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B683" w14:textId="19C703E3" w:rsidR="000E058D" w:rsidRDefault="00872B29">
      <w:r w:rsidRPr="000E058D">
        <w:rPr>
          <w:noProof/>
        </w:rPr>
        <w:drawing>
          <wp:anchor distT="0" distB="0" distL="114300" distR="114300" simplePos="0" relativeHeight="251669504" behindDoc="1" locked="0" layoutInCell="0" allowOverlap="1" wp14:anchorId="33D77F29" wp14:editId="7B4FAABC">
            <wp:simplePos x="0" y="0"/>
            <wp:positionH relativeFrom="page">
              <wp:posOffset>231775</wp:posOffset>
            </wp:positionH>
            <wp:positionV relativeFrom="page">
              <wp:posOffset>228600</wp:posOffset>
            </wp:positionV>
            <wp:extent cx="7315200" cy="1280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315200" cy="1280160"/>
                    </a:xfrm>
                    <a:prstGeom prst="rect">
                      <a:avLst/>
                    </a:prstGeom>
                    <a:noFill/>
                  </pic:spPr>
                </pic:pic>
              </a:graphicData>
            </a:graphic>
            <wp14:sizeRelH relativeFrom="page">
              <wp14:pctWidth>0</wp14:pctWidth>
            </wp14:sizeRelH>
            <wp14:sizeRelV relativeFrom="page">
              <wp14:pctHeight>0</wp14:pctHeight>
            </wp14:sizeRelV>
          </wp:anchor>
        </w:drawing>
      </w:r>
      <w:r w:rsidR="000E058D">
        <w:rPr>
          <w:noProof/>
        </w:rPr>
        <w:drawing>
          <wp:anchor distT="0" distB="0" distL="114300" distR="114300" simplePos="0" relativeHeight="251657216" behindDoc="1" locked="0" layoutInCell="1" allowOverlap="1" wp14:anchorId="4F126DFB" wp14:editId="111207A2">
            <wp:simplePos x="0" y="0"/>
            <wp:positionH relativeFrom="page">
              <wp:posOffset>457200</wp:posOffset>
            </wp:positionH>
            <wp:positionV relativeFrom="page">
              <wp:posOffset>9427210</wp:posOffset>
            </wp:positionV>
            <wp:extent cx="1371600" cy="274320"/>
            <wp:effectExtent l="0" t="0" r="0" b="0"/>
            <wp:wrapThrough wrapText="bothSides">
              <wp:wrapPolygon edited="0">
                <wp:start x="12900" y="0"/>
                <wp:lineTo x="0" y="3000"/>
                <wp:lineTo x="0" y="15000"/>
                <wp:lineTo x="13200" y="19500"/>
                <wp:lineTo x="21300" y="19500"/>
                <wp:lineTo x="21300" y="0"/>
                <wp:lineTo x="12900" y="0"/>
              </wp:wrapPolygon>
            </wp:wrapThrough>
            <wp:docPr id="2" name="Picture 2" descr="Henry Schein One logo_T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1" descr="Henry Schein One logo_TM-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pic:spPr>
                </pic:pic>
              </a:graphicData>
            </a:graphic>
            <wp14:sizeRelH relativeFrom="page">
              <wp14:pctWidth>0</wp14:pctWidth>
            </wp14:sizeRelH>
            <wp14:sizeRelV relativeFrom="page">
              <wp14:pctHeight>0</wp14:pctHeight>
            </wp14:sizeRelV>
          </wp:anchor>
        </w:drawing>
      </w:r>
      <w:r w:rsidR="00E35410">
        <w:rPr>
          <w:noProof/>
        </w:rPr>
        <mc:AlternateContent>
          <mc:Choice Requires="wps">
            <w:drawing>
              <wp:anchor distT="0" distB="0" distL="114300" distR="114300" simplePos="0" relativeHeight="251659264" behindDoc="0" locked="0" layoutInCell="0" allowOverlap="0" wp14:anchorId="7BBB9655" wp14:editId="577DF029">
                <wp:simplePos x="0" y="0"/>
                <wp:positionH relativeFrom="page">
                  <wp:posOffset>2825115</wp:posOffset>
                </wp:positionH>
                <wp:positionV relativeFrom="page">
                  <wp:posOffset>9443085</wp:posOffset>
                </wp:positionV>
                <wp:extent cx="4533900" cy="266700"/>
                <wp:effectExtent l="5715" t="13335" r="13335" b="5715"/>
                <wp:wrapNone/>
                <wp:docPr id="485" name="Text Box 2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66700"/>
                        </a:xfrm>
                        <a:prstGeom prst="rect">
                          <a:avLst/>
                        </a:prstGeom>
                        <a:solidFill>
                          <a:srgbClr val="FFFFFF"/>
                        </a:solidFill>
                        <a:ln w="0">
                          <a:solidFill>
                            <a:srgbClr val="FFFFFF"/>
                          </a:solidFill>
                          <a:miter lim="800000"/>
                          <a:headEnd/>
                          <a:tailEnd/>
                        </a:ln>
                      </wps:spPr>
                      <wps:txbx>
                        <w:txbxContent>
                          <w:p w14:paraId="374C5F12" w14:textId="77777777" w:rsidR="00E05628" w:rsidRPr="00B40E10" w:rsidRDefault="00E05628" w:rsidP="000E058D">
                            <w:pPr>
                              <w:jc w:val="right"/>
                              <w:rPr>
                                <w:rFonts w:ascii="Avenir LT Std 35 Light" w:hAnsi="Avenir LT Std 35 Light"/>
                                <w:b/>
                                <w:color w:val="0069AA"/>
                                <w:sz w:val="20"/>
                                <w:szCs w:val="20"/>
                              </w:rPr>
                            </w:pPr>
                            <w:r w:rsidRPr="00B40E10">
                              <w:rPr>
                                <w:rFonts w:ascii="Avenir LT Std 35 Light" w:hAnsi="Avenir LT Std 35 Light"/>
                                <w:b/>
                                <w:color w:val="0069AA"/>
                                <w:sz w:val="20"/>
                                <w:szCs w:val="20"/>
                              </w:rPr>
                              <w:t>www.Dentrix</w:t>
                            </w:r>
                            <w:r>
                              <w:rPr>
                                <w:rFonts w:ascii="Avenir LT Std 35 Light" w:hAnsi="Avenir LT Std 35 Light"/>
                                <w:b/>
                                <w:color w:val="0069AA"/>
                                <w:sz w:val="20"/>
                                <w:szCs w:val="20"/>
                              </w:rPr>
                              <w:t>Enterprise</w:t>
                            </w:r>
                            <w:r w:rsidRPr="00B40E10">
                              <w:rPr>
                                <w:rFonts w:ascii="Avenir LT Std 35 Light" w:hAnsi="Avenir LT Std 35 Light"/>
                                <w:b/>
                                <w:color w:val="0069AA"/>
                                <w:sz w:val="20"/>
                                <w:szCs w:val="20"/>
                              </w:rPr>
                              <w:t>.com</w:t>
                            </w:r>
                            <w:r>
                              <w:rPr>
                                <w:rFonts w:ascii="Avenir LT Std 35 Light" w:hAnsi="Avenir LT Std 35 Light"/>
                                <w:b/>
                                <w:color w:val="0069AA"/>
                                <w:sz w:val="20"/>
                                <w:szCs w:val="20"/>
                              </w:rPr>
                              <w:t xml:space="preserve">  </w:t>
                            </w:r>
                            <w:r w:rsidRPr="00B40E10">
                              <w:rPr>
                                <w:rFonts w:ascii="Avenir LT Std 35 Light" w:hAnsi="Avenir LT Std 35 Light"/>
                                <w:b/>
                                <w:color w:val="0069AA"/>
                                <w:sz w:val="20"/>
                                <w:szCs w:val="20"/>
                              </w:rPr>
                              <w:t xml:space="preserve">|  </w:t>
                            </w:r>
                            <w:bookmarkStart w:id="0" w:name="_Hlk132797446"/>
                            <w:r w:rsidRPr="00FA5048">
                              <w:rPr>
                                <w:rFonts w:ascii="Avenir LT Std 35 Light" w:hAnsi="Avenir LT Std 35 Light"/>
                                <w:b/>
                                <w:color w:val="0069AA"/>
                                <w:sz w:val="20"/>
                                <w:szCs w:val="20"/>
                              </w:rPr>
                              <w:t>800.459.8067</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BB9655" id="_x0000_t202" coordsize="21600,21600" o:spt="202" path="m,l,21600r21600,l21600,xe">
                <v:stroke joinstyle="miter"/>
                <v:path gradientshapeok="t" o:connecttype="rect"/>
              </v:shapetype>
              <v:shape id="Text Box 2970" o:spid="_x0000_s1026" type="#_x0000_t202" style="position:absolute;margin-left:222.45pt;margin-top:743.55pt;width:357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" o:allowincell="f" o:allowoverlap="f" strokecolor="white" strokeweight="0">
                <v:textbox>
                  <w:txbxContent>
                    <w:p w14:paraId="374C5F12" w14:textId="77777777" w:rsidR="00E05628" w:rsidRPr="00B40E10" w:rsidRDefault="00E05628" w:rsidP="000E058D">
                      <w:pPr>
                        <w:jc w:val="right"/>
                        <w:rPr>
                          <w:rFonts w:ascii="Avenir LT Std 35 Light" w:hAnsi="Avenir LT Std 35 Light"/>
                          <w:b/>
                          <w:color w:val="0069AA"/>
                          <w:sz w:val="20"/>
                          <w:szCs w:val="20"/>
                        </w:rPr>
                      </w:pPr>
                      <w:r w:rsidRPr="00B40E10">
                        <w:rPr>
                          <w:rFonts w:ascii="Avenir LT Std 35 Light" w:hAnsi="Avenir LT Std 35 Light"/>
                          <w:b/>
                          <w:color w:val="0069AA"/>
                          <w:sz w:val="20"/>
                          <w:szCs w:val="20"/>
                        </w:rPr>
                        <w:t>www.Dentrix</w:t>
                      </w:r>
                      <w:r>
                        <w:rPr>
                          <w:rFonts w:ascii="Avenir LT Std 35 Light" w:hAnsi="Avenir LT Std 35 Light"/>
                          <w:b/>
                          <w:color w:val="0069AA"/>
                          <w:sz w:val="20"/>
                          <w:szCs w:val="20"/>
                        </w:rPr>
                        <w:t>Enterprise</w:t>
                      </w:r>
                      <w:r w:rsidRPr="00B40E10">
                        <w:rPr>
                          <w:rFonts w:ascii="Avenir LT Std 35 Light" w:hAnsi="Avenir LT Std 35 Light"/>
                          <w:b/>
                          <w:color w:val="0069AA"/>
                          <w:sz w:val="20"/>
                          <w:szCs w:val="20"/>
                        </w:rPr>
                        <w:t>.com</w:t>
                      </w:r>
                      <w:r>
                        <w:rPr>
                          <w:rFonts w:ascii="Avenir LT Std 35 Light" w:hAnsi="Avenir LT Std 35 Light"/>
                          <w:b/>
                          <w:color w:val="0069AA"/>
                          <w:sz w:val="20"/>
                          <w:szCs w:val="20"/>
                        </w:rPr>
                        <w:t xml:space="preserve">  </w:t>
                      </w:r>
                      <w:r w:rsidRPr="00B40E10">
                        <w:rPr>
                          <w:rFonts w:ascii="Avenir LT Std 35 Light" w:hAnsi="Avenir LT Std 35 Light"/>
                          <w:b/>
                          <w:color w:val="0069AA"/>
                          <w:sz w:val="20"/>
                          <w:szCs w:val="20"/>
                        </w:rPr>
                        <w:t xml:space="preserve">|  </w:t>
                      </w:r>
                      <w:bookmarkStart w:id="1" w:name="_Hlk132797446"/>
                      <w:r w:rsidRPr="00FA5048">
                        <w:rPr>
                          <w:rFonts w:ascii="Avenir LT Std 35 Light" w:hAnsi="Avenir LT Std 35 Light"/>
                          <w:b/>
                          <w:color w:val="0069AA"/>
                          <w:sz w:val="20"/>
                          <w:szCs w:val="20"/>
                        </w:rPr>
                        <w:t>800.459.8067</w:t>
                      </w:r>
                      <w:bookmarkEnd w:id="1"/>
                    </w:p>
                  </w:txbxContent>
                </v:textbox>
                <w10:wrap anchorx="page" anchory="page"/>
              </v:shape>
            </w:pict>
          </mc:Fallback>
        </mc:AlternateContent>
      </w:r>
      <w:r w:rsidR="000E058D">
        <w:rPr>
          <w:noProof/>
        </w:rPr>
        <w:drawing>
          <wp:anchor distT="0" distB="0" distL="114300" distR="114300" simplePos="0" relativeHeight="251650048" behindDoc="1" locked="0" layoutInCell="0" allowOverlap="1" wp14:anchorId="66833BD4" wp14:editId="539B2515">
            <wp:simplePos x="0" y="0"/>
            <wp:positionH relativeFrom="page">
              <wp:posOffset>228600</wp:posOffset>
            </wp:positionH>
            <wp:positionV relativeFrom="page">
              <wp:posOffset>228600</wp:posOffset>
            </wp:positionV>
            <wp:extent cx="7326630" cy="1285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26630" cy="1285875"/>
                    </a:xfrm>
                    <a:prstGeom prst="rect">
                      <a:avLst/>
                    </a:prstGeom>
                    <a:noFill/>
                  </pic:spPr>
                </pic:pic>
              </a:graphicData>
            </a:graphic>
            <wp14:sizeRelH relativeFrom="page">
              <wp14:pctWidth>0</wp14:pctWidth>
            </wp14:sizeRelH>
            <wp14:sizeRelV relativeFrom="page">
              <wp14:pctHeight>0</wp14:pctHeight>
            </wp14:sizeRelV>
          </wp:anchor>
        </w:drawing>
      </w:r>
    </w:p>
    <w:p w14:paraId="2B0DA485" w14:textId="1313E2A6" w:rsidR="000E058D" w:rsidRDefault="000E058D"/>
    <w:p w14:paraId="531788C2" w14:textId="2298D458" w:rsidR="000E058D" w:rsidRDefault="000E058D"/>
    <w:p w14:paraId="41E81F38" w14:textId="77777777" w:rsidR="00EB6949" w:rsidRPr="00EB6949" w:rsidRDefault="00EB6949" w:rsidP="00EB6949"/>
    <w:p w14:paraId="4E4465E9" w14:textId="5319E1A7" w:rsidR="00605D50" w:rsidRDefault="00605D50" w:rsidP="00B77AF4">
      <w:pPr>
        <w:pStyle w:val="Title"/>
        <w:framePr w:w="10800" w:h="1664" w:hRule="exact" w:wrap="around" w:x="721" w:y="6265"/>
        <w:pBdr>
          <w:bottom w:val="single" w:sz="24" w:space="1" w:color="auto"/>
        </w:pBdr>
      </w:pPr>
      <w:r>
        <w:t>Indian Health Service (IHS)</w:t>
      </w:r>
      <w:r w:rsidR="00B74060">
        <w:br/>
        <w:t>Dental Clinic Manager’s Handbook</w:t>
      </w:r>
    </w:p>
    <w:p w14:paraId="2F385F92" w14:textId="0532A401" w:rsidR="0071059E" w:rsidRPr="000E058D" w:rsidRDefault="0071059E" w:rsidP="00AF06A0">
      <w:pPr>
        <w:framePr w:w="10800" w:h="475" w:hRule="exact" w:wrap="around" w:vAnchor="page" w:hAnchor="page" w:x="721" w:y="92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jc w:val="right"/>
        <w:rPr>
          <w:sz w:val="32"/>
          <w:szCs w:val="32"/>
        </w:rPr>
      </w:pPr>
      <w:bookmarkStart w:id="2" w:name="_Toc132705791"/>
      <w:r>
        <w:rPr>
          <w:color w:val="575757"/>
          <w:sz w:val="32"/>
          <w:szCs w:val="32"/>
        </w:rPr>
        <w:t xml:space="preserve">Last Updated: </w:t>
      </w:r>
      <w:r w:rsidR="00B77AF4">
        <w:rPr>
          <w:color w:val="575757"/>
          <w:sz w:val="32"/>
          <w:szCs w:val="32"/>
        </w:rPr>
        <w:t>9</w:t>
      </w:r>
      <w:r>
        <w:rPr>
          <w:color w:val="575757"/>
          <w:sz w:val="32"/>
          <w:szCs w:val="32"/>
        </w:rPr>
        <w:t>/</w:t>
      </w:r>
      <w:r w:rsidR="00B77AF4">
        <w:rPr>
          <w:color w:val="575757"/>
          <w:sz w:val="32"/>
          <w:szCs w:val="32"/>
        </w:rPr>
        <w:t>21</w:t>
      </w:r>
      <w:r>
        <w:rPr>
          <w:color w:val="575757"/>
          <w:sz w:val="32"/>
          <w:szCs w:val="32"/>
        </w:rPr>
        <w:t>/2023</w:t>
      </w:r>
    </w:p>
    <w:bookmarkEnd w:id="2"/>
    <w:p w14:paraId="72F57AD8" w14:textId="5C16FB86" w:rsidR="000A5D1F" w:rsidRDefault="00AF06A0" w:rsidP="005A39FB">
      <w:pPr>
        <w:sectPr w:rsidR="000A5D1F" w:rsidSect="007074D3">
          <w:headerReference w:type="even" r:id="rId11"/>
          <w:pgSz w:w="12240" w:h="15840"/>
          <w:pgMar w:top="1440" w:right="1440" w:bottom="1440" w:left="1440" w:header="708" w:footer="708" w:gutter="0"/>
          <w:cols w:space="708"/>
          <w:docGrid w:linePitch="360"/>
        </w:sectPr>
      </w:pPr>
      <w:r>
        <w:rPr>
          <w:noProof/>
        </w:rPr>
        <w:drawing>
          <wp:anchor distT="0" distB="0" distL="114300" distR="114300" simplePos="0" relativeHeight="251671552" behindDoc="0" locked="0" layoutInCell="1" allowOverlap="1" wp14:anchorId="528C4A9A" wp14:editId="50E09FF7">
            <wp:simplePos x="0" y="0"/>
            <wp:positionH relativeFrom="page">
              <wp:align>center</wp:align>
            </wp:positionH>
            <wp:positionV relativeFrom="page">
              <wp:posOffset>6708227</wp:posOffset>
            </wp:positionV>
            <wp:extent cx="1581912" cy="1581912"/>
            <wp:effectExtent l="0" t="0" r="0" b="0"/>
            <wp:wrapSquare wrapText="bothSides"/>
            <wp:docPr id="471" name="Picture 47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Picture 471" descr="Shape, circ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581912" cy="1581912"/>
                    </a:xfrm>
                    <a:prstGeom prst="rect">
                      <a:avLst/>
                    </a:prstGeom>
                  </pic:spPr>
                </pic:pic>
              </a:graphicData>
            </a:graphic>
            <wp14:sizeRelH relativeFrom="margin">
              <wp14:pctWidth>0</wp14:pctWidth>
            </wp14:sizeRelH>
            <wp14:sizeRelV relativeFrom="margin">
              <wp14:pctHeight>0</wp14:pctHeight>
            </wp14:sizeRelV>
          </wp:anchor>
        </w:drawing>
      </w:r>
    </w:p>
    <w:p w14:paraId="2C461629" w14:textId="29F1BAF8" w:rsidR="003D43BA" w:rsidRDefault="00EE2AFE" w:rsidP="003D43BA">
      <w:pPr>
        <w:pStyle w:val="TOCHeading"/>
      </w:pPr>
      <w:bookmarkStart w:id="3" w:name="Contents_Page"/>
      <w:bookmarkStart w:id="4" w:name="_Toc132705792"/>
      <w:bookmarkStart w:id="5" w:name="_Toc135416585"/>
      <w:bookmarkStart w:id="6" w:name="_Toc135416649"/>
      <w:bookmarkEnd w:id="3"/>
      <w:r>
        <w:lastRenderedPageBreak/>
        <w:t>Contents</w:t>
      </w:r>
      <w:bookmarkEnd w:id="4"/>
      <w:bookmarkEnd w:id="5"/>
      <w:bookmarkEnd w:id="6"/>
    </w:p>
    <w:p w14:paraId="1163A660" w14:textId="79674C7E" w:rsidR="00B36E3D" w:rsidRDefault="003D43BA">
      <w:pPr>
        <w:pStyle w:val="TOC1"/>
        <w:rPr>
          <w:rFonts w:asciiTheme="minorHAnsi" w:eastAsiaTheme="minorEastAsia" w:hAnsiTheme="minorHAnsi" w:cstheme="minorBidi"/>
          <w:noProof/>
          <w:color w:val="auto"/>
          <w:kern w:val="2"/>
          <w:sz w:val="22"/>
          <w:szCs w:val="22"/>
          <w14:ligatures w14:val="standardContextual"/>
        </w:rPr>
      </w:pPr>
      <w:r>
        <w:fldChar w:fldCharType="begin"/>
      </w:r>
      <w:r>
        <w:instrText xml:space="preserve"> TOC \o "1-3" \h \z \u </w:instrText>
      </w:r>
      <w:r>
        <w:fldChar w:fldCharType="separate"/>
      </w:r>
      <w:hyperlink w:anchor="_Toc146183245" w:history="1">
        <w:r w:rsidR="00B36E3D" w:rsidRPr="00B22E2A">
          <w:rPr>
            <w:rStyle w:val="Hyperlink"/>
            <w:noProof/>
          </w:rPr>
          <w:t>Record of Changes</w:t>
        </w:r>
        <w:r w:rsidR="00B36E3D">
          <w:rPr>
            <w:noProof/>
            <w:webHidden/>
          </w:rPr>
          <w:tab/>
        </w:r>
        <w:r w:rsidR="00B36E3D">
          <w:rPr>
            <w:noProof/>
            <w:webHidden/>
          </w:rPr>
          <w:fldChar w:fldCharType="begin"/>
        </w:r>
        <w:r w:rsidR="00B36E3D">
          <w:rPr>
            <w:noProof/>
            <w:webHidden/>
          </w:rPr>
          <w:instrText xml:space="preserve"> PAGEREF _Toc146183245 \h </w:instrText>
        </w:r>
        <w:r w:rsidR="00B36E3D">
          <w:rPr>
            <w:noProof/>
            <w:webHidden/>
          </w:rPr>
        </w:r>
        <w:r w:rsidR="00B36E3D">
          <w:rPr>
            <w:noProof/>
            <w:webHidden/>
          </w:rPr>
          <w:fldChar w:fldCharType="separate"/>
        </w:r>
        <w:r w:rsidR="002A1828">
          <w:rPr>
            <w:noProof/>
            <w:webHidden/>
          </w:rPr>
          <w:t>1</w:t>
        </w:r>
        <w:r w:rsidR="00B36E3D">
          <w:rPr>
            <w:noProof/>
            <w:webHidden/>
          </w:rPr>
          <w:fldChar w:fldCharType="end"/>
        </w:r>
      </w:hyperlink>
    </w:p>
    <w:p w14:paraId="36F27177" w14:textId="22F4AC9A" w:rsidR="00B36E3D"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46183246" w:history="1">
        <w:r w:rsidR="00B36E3D" w:rsidRPr="00B22E2A">
          <w:rPr>
            <w:rStyle w:val="Hyperlink"/>
            <w:noProof/>
          </w:rPr>
          <w:t>Overview</w:t>
        </w:r>
        <w:r w:rsidR="00B36E3D">
          <w:rPr>
            <w:noProof/>
            <w:webHidden/>
          </w:rPr>
          <w:tab/>
        </w:r>
        <w:r w:rsidR="00B36E3D">
          <w:rPr>
            <w:noProof/>
            <w:webHidden/>
          </w:rPr>
          <w:fldChar w:fldCharType="begin"/>
        </w:r>
        <w:r w:rsidR="00B36E3D">
          <w:rPr>
            <w:noProof/>
            <w:webHidden/>
          </w:rPr>
          <w:instrText xml:space="preserve"> PAGEREF _Toc146183246 \h </w:instrText>
        </w:r>
        <w:r w:rsidR="00B36E3D">
          <w:rPr>
            <w:noProof/>
            <w:webHidden/>
          </w:rPr>
        </w:r>
        <w:r w:rsidR="00B36E3D">
          <w:rPr>
            <w:noProof/>
            <w:webHidden/>
          </w:rPr>
          <w:fldChar w:fldCharType="separate"/>
        </w:r>
        <w:r w:rsidR="002A1828">
          <w:rPr>
            <w:noProof/>
            <w:webHidden/>
          </w:rPr>
          <w:t>2</w:t>
        </w:r>
        <w:r w:rsidR="00B36E3D">
          <w:rPr>
            <w:noProof/>
            <w:webHidden/>
          </w:rPr>
          <w:fldChar w:fldCharType="end"/>
        </w:r>
      </w:hyperlink>
    </w:p>
    <w:p w14:paraId="0DF7ABBD" w14:textId="3443C3CA" w:rsidR="00B36E3D"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46183247" w:history="1">
        <w:r w:rsidR="00B36E3D" w:rsidRPr="00B22E2A">
          <w:rPr>
            <w:rStyle w:val="Hyperlink"/>
            <w:noProof/>
          </w:rPr>
          <w:t>Daily Clinic Closeout Duties</w:t>
        </w:r>
        <w:r w:rsidR="00B36E3D">
          <w:rPr>
            <w:noProof/>
            <w:webHidden/>
          </w:rPr>
          <w:tab/>
        </w:r>
        <w:r w:rsidR="00B36E3D">
          <w:rPr>
            <w:noProof/>
            <w:webHidden/>
          </w:rPr>
          <w:fldChar w:fldCharType="begin"/>
        </w:r>
        <w:r w:rsidR="00B36E3D">
          <w:rPr>
            <w:noProof/>
            <w:webHidden/>
          </w:rPr>
          <w:instrText xml:space="preserve"> PAGEREF _Toc146183247 \h </w:instrText>
        </w:r>
        <w:r w:rsidR="00B36E3D">
          <w:rPr>
            <w:noProof/>
            <w:webHidden/>
          </w:rPr>
        </w:r>
        <w:r w:rsidR="00B36E3D">
          <w:rPr>
            <w:noProof/>
            <w:webHidden/>
          </w:rPr>
          <w:fldChar w:fldCharType="separate"/>
        </w:r>
        <w:r w:rsidR="002A1828">
          <w:rPr>
            <w:noProof/>
            <w:webHidden/>
          </w:rPr>
          <w:t>3</w:t>
        </w:r>
        <w:r w:rsidR="00B36E3D">
          <w:rPr>
            <w:noProof/>
            <w:webHidden/>
          </w:rPr>
          <w:fldChar w:fldCharType="end"/>
        </w:r>
      </w:hyperlink>
    </w:p>
    <w:p w14:paraId="71842C67" w14:textId="6BC72E6C" w:rsidR="00B36E3D"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46183248" w:history="1">
        <w:r w:rsidR="00B36E3D" w:rsidRPr="00B22E2A">
          <w:rPr>
            <w:rStyle w:val="Hyperlink"/>
            <w:noProof/>
          </w:rPr>
          <w:t>Weekly Clinic Closeout Duties</w:t>
        </w:r>
        <w:r w:rsidR="00B36E3D">
          <w:rPr>
            <w:noProof/>
            <w:webHidden/>
          </w:rPr>
          <w:tab/>
        </w:r>
        <w:r w:rsidR="00B36E3D">
          <w:rPr>
            <w:noProof/>
            <w:webHidden/>
          </w:rPr>
          <w:fldChar w:fldCharType="begin"/>
        </w:r>
        <w:r w:rsidR="00B36E3D">
          <w:rPr>
            <w:noProof/>
            <w:webHidden/>
          </w:rPr>
          <w:instrText xml:space="preserve"> PAGEREF _Toc146183248 \h </w:instrText>
        </w:r>
        <w:r w:rsidR="00B36E3D">
          <w:rPr>
            <w:noProof/>
            <w:webHidden/>
          </w:rPr>
        </w:r>
        <w:r w:rsidR="00B36E3D">
          <w:rPr>
            <w:noProof/>
            <w:webHidden/>
          </w:rPr>
          <w:fldChar w:fldCharType="separate"/>
        </w:r>
        <w:r w:rsidR="002A1828">
          <w:rPr>
            <w:noProof/>
            <w:webHidden/>
          </w:rPr>
          <w:t>9</w:t>
        </w:r>
        <w:r w:rsidR="00B36E3D">
          <w:rPr>
            <w:noProof/>
            <w:webHidden/>
          </w:rPr>
          <w:fldChar w:fldCharType="end"/>
        </w:r>
      </w:hyperlink>
    </w:p>
    <w:p w14:paraId="76A854D7" w14:textId="45F7036F" w:rsidR="00B36E3D"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46183249" w:history="1">
        <w:r w:rsidR="00B36E3D" w:rsidRPr="00B22E2A">
          <w:rPr>
            <w:rStyle w:val="Hyperlink"/>
            <w:noProof/>
          </w:rPr>
          <w:t>Monthly Clinic Closeout Duties</w:t>
        </w:r>
        <w:r w:rsidR="00B36E3D">
          <w:rPr>
            <w:noProof/>
            <w:webHidden/>
          </w:rPr>
          <w:tab/>
        </w:r>
        <w:r w:rsidR="00B36E3D">
          <w:rPr>
            <w:noProof/>
            <w:webHidden/>
          </w:rPr>
          <w:fldChar w:fldCharType="begin"/>
        </w:r>
        <w:r w:rsidR="00B36E3D">
          <w:rPr>
            <w:noProof/>
            <w:webHidden/>
          </w:rPr>
          <w:instrText xml:space="preserve"> PAGEREF _Toc146183249 \h </w:instrText>
        </w:r>
        <w:r w:rsidR="00B36E3D">
          <w:rPr>
            <w:noProof/>
            <w:webHidden/>
          </w:rPr>
        </w:r>
        <w:r w:rsidR="00B36E3D">
          <w:rPr>
            <w:noProof/>
            <w:webHidden/>
          </w:rPr>
          <w:fldChar w:fldCharType="separate"/>
        </w:r>
        <w:r w:rsidR="002A1828">
          <w:rPr>
            <w:noProof/>
            <w:webHidden/>
          </w:rPr>
          <w:t>16</w:t>
        </w:r>
        <w:r w:rsidR="00B36E3D">
          <w:rPr>
            <w:noProof/>
            <w:webHidden/>
          </w:rPr>
          <w:fldChar w:fldCharType="end"/>
        </w:r>
      </w:hyperlink>
    </w:p>
    <w:p w14:paraId="32CBABD3" w14:textId="5FA4150E" w:rsidR="00B36E3D"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46183250" w:history="1">
        <w:r w:rsidR="00B36E3D" w:rsidRPr="00B22E2A">
          <w:rPr>
            <w:rStyle w:val="Hyperlink"/>
            <w:noProof/>
          </w:rPr>
          <w:t>Administrative Reports Checklist</w:t>
        </w:r>
        <w:r w:rsidR="00B36E3D">
          <w:rPr>
            <w:noProof/>
            <w:webHidden/>
          </w:rPr>
          <w:tab/>
        </w:r>
        <w:r w:rsidR="00B36E3D">
          <w:rPr>
            <w:noProof/>
            <w:webHidden/>
          </w:rPr>
          <w:fldChar w:fldCharType="begin"/>
        </w:r>
        <w:r w:rsidR="00B36E3D">
          <w:rPr>
            <w:noProof/>
            <w:webHidden/>
          </w:rPr>
          <w:instrText xml:space="preserve"> PAGEREF _Toc146183250 \h </w:instrText>
        </w:r>
        <w:r w:rsidR="00B36E3D">
          <w:rPr>
            <w:noProof/>
            <w:webHidden/>
          </w:rPr>
        </w:r>
        <w:r w:rsidR="00B36E3D">
          <w:rPr>
            <w:noProof/>
            <w:webHidden/>
          </w:rPr>
          <w:fldChar w:fldCharType="separate"/>
        </w:r>
        <w:r w:rsidR="002A1828">
          <w:rPr>
            <w:noProof/>
            <w:webHidden/>
          </w:rPr>
          <w:t>25</w:t>
        </w:r>
        <w:r w:rsidR="00B36E3D">
          <w:rPr>
            <w:noProof/>
            <w:webHidden/>
          </w:rPr>
          <w:fldChar w:fldCharType="end"/>
        </w:r>
      </w:hyperlink>
    </w:p>
    <w:p w14:paraId="4A8B90E6" w14:textId="1185F2BE" w:rsidR="00B36E3D"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46183251" w:history="1">
        <w:r w:rsidR="00B36E3D" w:rsidRPr="00B22E2A">
          <w:rPr>
            <w:rStyle w:val="Hyperlink"/>
            <w:noProof/>
          </w:rPr>
          <w:t>Clinic IT Security Checklist</w:t>
        </w:r>
        <w:r w:rsidR="00B36E3D">
          <w:rPr>
            <w:noProof/>
            <w:webHidden/>
          </w:rPr>
          <w:tab/>
        </w:r>
        <w:r w:rsidR="00B36E3D">
          <w:rPr>
            <w:noProof/>
            <w:webHidden/>
          </w:rPr>
          <w:fldChar w:fldCharType="begin"/>
        </w:r>
        <w:r w:rsidR="00B36E3D">
          <w:rPr>
            <w:noProof/>
            <w:webHidden/>
          </w:rPr>
          <w:instrText xml:space="preserve"> PAGEREF _Toc146183251 \h </w:instrText>
        </w:r>
        <w:r w:rsidR="00B36E3D">
          <w:rPr>
            <w:noProof/>
            <w:webHidden/>
          </w:rPr>
        </w:r>
        <w:r w:rsidR="00B36E3D">
          <w:rPr>
            <w:noProof/>
            <w:webHidden/>
          </w:rPr>
          <w:fldChar w:fldCharType="separate"/>
        </w:r>
        <w:r w:rsidR="002A1828">
          <w:rPr>
            <w:noProof/>
            <w:webHidden/>
          </w:rPr>
          <w:t>31</w:t>
        </w:r>
        <w:r w:rsidR="00B36E3D">
          <w:rPr>
            <w:noProof/>
            <w:webHidden/>
          </w:rPr>
          <w:fldChar w:fldCharType="end"/>
        </w:r>
      </w:hyperlink>
    </w:p>
    <w:p w14:paraId="674299D3" w14:textId="49E21921" w:rsidR="00B36E3D"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46183252" w:history="1">
        <w:r w:rsidR="00B36E3D" w:rsidRPr="00B22E2A">
          <w:rPr>
            <w:rStyle w:val="Hyperlink"/>
            <w:noProof/>
          </w:rPr>
          <w:t>IT Security Protocols</w:t>
        </w:r>
        <w:r w:rsidR="00B36E3D">
          <w:rPr>
            <w:noProof/>
            <w:webHidden/>
          </w:rPr>
          <w:tab/>
        </w:r>
        <w:r w:rsidR="00B36E3D">
          <w:rPr>
            <w:noProof/>
            <w:webHidden/>
          </w:rPr>
          <w:fldChar w:fldCharType="begin"/>
        </w:r>
        <w:r w:rsidR="00B36E3D">
          <w:rPr>
            <w:noProof/>
            <w:webHidden/>
          </w:rPr>
          <w:instrText xml:space="preserve"> PAGEREF _Toc146183252 \h </w:instrText>
        </w:r>
        <w:r w:rsidR="00B36E3D">
          <w:rPr>
            <w:noProof/>
            <w:webHidden/>
          </w:rPr>
        </w:r>
        <w:r w:rsidR="00B36E3D">
          <w:rPr>
            <w:noProof/>
            <w:webHidden/>
          </w:rPr>
          <w:fldChar w:fldCharType="separate"/>
        </w:r>
        <w:r w:rsidR="002A1828">
          <w:rPr>
            <w:noProof/>
            <w:webHidden/>
          </w:rPr>
          <w:t>34</w:t>
        </w:r>
        <w:r w:rsidR="00B36E3D">
          <w:rPr>
            <w:noProof/>
            <w:webHidden/>
          </w:rPr>
          <w:fldChar w:fldCharType="end"/>
        </w:r>
      </w:hyperlink>
    </w:p>
    <w:p w14:paraId="01141E6E" w14:textId="2997E402" w:rsidR="00B36E3D" w:rsidRDefault="00000000">
      <w:pPr>
        <w:pStyle w:val="TOC2"/>
        <w:rPr>
          <w:rFonts w:asciiTheme="minorHAnsi" w:eastAsiaTheme="minorEastAsia" w:hAnsiTheme="minorHAnsi" w:cstheme="minorBidi"/>
          <w:noProof/>
          <w:kern w:val="2"/>
          <w:sz w:val="22"/>
          <w:szCs w:val="22"/>
          <w14:ligatures w14:val="standardContextual"/>
        </w:rPr>
      </w:pPr>
      <w:hyperlink w:anchor="_Toc146183253" w:history="1">
        <w:r w:rsidR="00B36E3D" w:rsidRPr="00B22E2A">
          <w:rPr>
            <w:rStyle w:val="Hyperlink"/>
            <w:noProof/>
          </w:rPr>
          <w:t>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Systems Administration</w:t>
        </w:r>
        <w:r w:rsidR="00B36E3D">
          <w:rPr>
            <w:noProof/>
            <w:webHidden/>
          </w:rPr>
          <w:tab/>
        </w:r>
        <w:r w:rsidR="00B36E3D">
          <w:rPr>
            <w:noProof/>
            <w:webHidden/>
          </w:rPr>
          <w:fldChar w:fldCharType="begin"/>
        </w:r>
        <w:r w:rsidR="00B36E3D">
          <w:rPr>
            <w:noProof/>
            <w:webHidden/>
          </w:rPr>
          <w:instrText xml:space="preserve"> PAGEREF _Toc146183253 \h </w:instrText>
        </w:r>
        <w:r w:rsidR="00B36E3D">
          <w:rPr>
            <w:noProof/>
            <w:webHidden/>
          </w:rPr>
        </w:r>
        <w:r w:rsidR="00B36E3D">
          <w:rPr>
            <w:noProof/>
            <w:webHidden/>
          </w:rPr>
          <w:fldChar w:fldCharType="separate"/>
        </w:r>
        <w:r w:rsidR="002A1828">
          <w:rPr>
            <w:noProof/>
            <w:webHidden/>
          </w:rPr>
          <w:t>34</w:t>
        </w:r>
        <w:r w:rsidR="00B36E3D">
          <w:rPr>
            <w:noProof/>
            <w:webHidden/>
          </w:rPr>
          <w:fldChar w:fldCharType="end"/>
        </w:r>
      </w:hyperlink>
    </w:p>
    <w:p w14:paraId="7BE00F37" w14:textId="4A7111DC"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54" w:history="1">
        <w:r w:rsidR="00B36E3D" w:rsidRPr="00B22E2A">
          <w:rPr>
            <w:rStyle w:val="Hyperlink"/>
            <w:noProof/>
          </w:rPr>
          <w:t>1.1.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Nightly Backup Verification</w:t>
        </w:r>
        <w:r w:rsidR="00B36E3D">
          <w:rPr>
            <w:noProof/>
            <w:webHidden/>
          </w:rPr>
          <w:tab/>
        </w:r>
        <w:r w:rsidR="00B36E3D">
          <w:rPr>
            <w:noProof/>
            <w:webHidden/>
          </w:rPr>
          <w:fldChar w:fldCharType="begin"/>
        </w:r>
        <w:r w:rsidR="00B36E3D">
          <w:rPr>
            <w:noProof/>
            <w:webHidden/>
          </w:rPr>
          <w:instrText xml:space="preserve"> PAGEREF _Toc146183254 \h </w:instrText>
        </w:r>
        <w:r w:rsidR="00B36E3D">
          <w:rPr>
            <w:noProof/>
            <w:webHidden/>
          </w:rPr>
        </w:r>
        <w:r w:rsidR="00B36E3D">
          <w:rPr>
            <w:noProof/>
            <w:webHidden/>
          </w:rPr>
          <w:fldChar w:fldCharType="separate"/>
        </w:r>
        <w:r w:rsidR="002A1828">
          <w:rPr>
            <w:noProof/>
            <w:webHidden/>
          </w:rPr>
          <w:t>34</w:t>
        </w:r>
        <w:r w:rsidR="00B36E3D">
          <w:rPr>
            <w:noProof/>
            <w:webHidden/>
          </w:rPr>
          <w:fldChar w:fldCharType="end"/>
        </w:r>
      </w:hyperlink>
    </w:p>
    <w:p w14:paraId="5DB4A618" w14:textId="624DDA57"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55" w:history="1">
        <w:r w:rsidR="00B36E3D" w:rsidRPr="00B22E2A">
          <w:rPr>
            <w:rStyle w:val="Hyperlink"/>
            <w:noProof/>
          </w:rPr>
          <w:t>1.2.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EDR and Image Server Backup Folders</w:t>
        </w:r>
        <w:r w:rsidR="00B36E3D">
          <w:rPr>
            <w:noProof/>
            <w:webHidden/>
          </w:rPr>
          <w:tab/>
        </w:r>
        <w:r w:rsidR="00B36E3D">
          <w:rPr>
            <w:noProof/>
            <w:webHidden/>
          </w:rPr>
          <w:fldChar w:fldCharType="begin"/>
        </w:r>
        <w:r w:rsidR="00B36E3D">
          <w:rPr>
            <w:noProof/>
            <w:webHidden/>
          </w:rPr>
          <w:instrText xml:space="preserve"> PAGEREF _Toc146183255 \h </w:instrText>
        </w:r>
        <w:r w:rsidR="00B36E3D">
          <w:rPr>
            <w:noProof/>
            <w:webHidden/>
          </w:rPr>
        </w:r>
        <w:r w:rsidR="00B36E3D">
          <w:rPr>
            <w:noProof/>
            <w:webHidden/>
          </w:rPr>
          <w:fldChar w:fldCharType="separate"/>
        </w:r>
        <w:r w:rsidR="002A1828">
          <w:rPr>
            <w:noProof/>
            <w:webHidden/>
          </w:rPr>
          <w:t>34</w:t>
        </w:r>
        <w:r w:rsidR="00B36E3D">
          <w:rPr>
            <w:noProof/>
            <w:webHidden/>
          </w:rPr>
          <w:fldChar w:fldCharType="end"/>
        </w:r>
      </w:hyperlink>
    </w:p>
    <w:p w14:paraId="7654C87F" w14:textId="1B2F7DBE"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56" w:history="1">
        <w:r w:rsidR="00B36E3D" w:rsidRPr="00B22E2A">
          <w:rPr>
            <w:rStyle w:val="Hyperlink"/>
            <w:noProof/>
          </w:rPr>
          <w:t>1.3.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Data Recovery</w:t>
        </w:r>
        <w:r w:rsidR="00B36E3D">
          <w:rPr>
            <w:noProof/>
            <w:webHidden/>
          </w:rPr>
          <w:tab/>
        </w:r>
        <w:r w:rsidR="00B36E3D">
          <w:rPr>
            <w:noProof/>
            <w:webHidden/>
          </w:rPr>
          <w:fldChar w:fldCharType="begin"/>
        </w:r>
        <w:r w:rsidR="00B36E3D">
          <w:rPr>
            <w:noProof/>
            <w:webHidden/>
          </w:rPr>
          <w:instrText xml:space="preserve"> PAGEREF _Toc146183256 \h </w:instrText>
        </w:r>
        <w:r w:rsidR="00B36E3D">
          <w:rPr>
            <w:noProof/>
            <w:webHidden/>
          </w:rPr>
        </w:r>
        <w:r w:rsidR="00B36E3D">
          <w:rPr>
            <w:noProof/>
            <w:webHidden/>
          </w:rPr>
          <w:fldChar w:fldCharType="separate"/>
        </w:r>
        <w:r w:rsidR="002A1828">
          <w:rPr>
            <w:noProof/>
            <w:webHidden/>
          </w:rPr>
          <w:t>35</w:t>
        </w:r>
        <w:r w:rsidR="00B36E3D">
          <w:rPr>
            <w:noProof/>
            <w:webHidden/>
          </w:rPr>
          <w:fldChar w:fldCharType="end"/>
        </w:r>
      </w:hyperlink>
    </w:p>
    <w:p w14:paraId="2D9CB1EA" w14:textId="4273C70C"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57" w:history="1">
        <w:r w:rsidR="00B36E3D" w:rsidRPr="00B22E2A">
          <w:rPr>
            <w:rStyle w:val="Hyperlink"/>
            <w:noProof/>
          </w:rPr>
          <w:t>1.4.</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SQL Maintenance Plans</w:t>
        </w:r>
        <w:r w:rsidR="00B36E3D">
          <w:rPr>
            <w:noProof/>
            <w:webHidden/>
          </w:rPr>
          <w:tab/>
        </w:r>
        <w:r w:rsidR="00B36E3D">
          <w:rPr>
            <w:noProof/>
            <w:webHidden/>
          </w:rPr>
          <w:fldChar w:fldCharType="begin"/>
        </w:r>
        <w:r w:rsidR="00B36E3D">
          <w:rPr>
            <w:noProof/>
            <w:webHidden/>
          </w:rPr>
          <w:instrText xml:space="preserve"> PAGEREF _Toc146183257 \h </w:instrText>
        </w:r>
        <w:r w:rsidR="00B36E3D">
          <w:rPr>
            <w:noProof/>
            <w:webHidden/>
          </w:rPr>
        </w:r>
        <w:r w:rsidR="00B36E3D">
          <w:rPr>
            <w:noProof/>
            <w:webHidden/>
          </w:rPr>
          <w:fldChar w:fldCharType="separate"/>
        </w:r>
        <w:r w:rsidR="002A1828">
          <w:rPr>
            <w:noProof/>
            <w:webHidden/>
          </w:rPr>
          <w:t>35</w:t>
        </w:r>
        <w:r w:rsidR="00B36E3D">
          <w:rPr>
            <w:noProof/>
            <w:webHidden/>
          </w:rPr>
          <w:fldChar w:fldCharType="end"/>
        </w:r>
      </w:hyperlink>
    </w:p>
    <w:p w14:paraId="6F62288F" w14:textId="3D86700F"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58" w:history="1">
        <w:r w:rsidR="00B36E3D" w:rsidRPr="00B22E2A">
          <w:rPr>
            <w:rStyle w:val="Hyperlink"/>
            <w:rFonts w:cstheme="minorHAnsi"/>
            <w:noProof/>
            <w:lang w:bidi="en-US"/>
          </w:rPr>
          <w:t>1.5.</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Windows Updates/Patches</w:t>
        </w:r>
        <w:r w:rsidR="00B36E3D">
          <w:rPr>
            <w:noProof/>
            <w:webHidden/>
          </w:rPr>
          <w:tab/>
        </w:r>
        <w:r w:rsidR="00B36E3D">
          <w:rPr>
            <w:noProof/>
            <w:webHidden/>
          </w:rPr>
          <w:fldChar w:fldCharType="begin"/>
        </w:r>
        <w:r w:rsidR="00B36E3D">
          <w:rPr>
            <w:noProof/>
            <w:webHidden/>
          </w:rPr>
          <w:instrText xml:space="preserve"> PAGEREF _Toc146183258 \h </w:instrText>
        </w:r>
        <w:r w:rsidR="00B36E3D">
          <w:rPr>
            <w:noProof/>
            <w:webHidden/>
          </w:rPr>
        </w:r>
        <w:r w:rsidR="00B36E3D">
          <w:rPr>
            <w:noProof/>
            <w:webHidden/>
          </w:rPr>
          <w:fldChar w:fldCharType="separate"/>
        </w:r>
        <w:r w:rsidR="002A1828">
          <w:rPr>
            <w:noProof/>
            <w:webHidden/>
          </w:rPr>
          <w:t>37</w:t>
        </w:r>
        <w:r w:rsidR="00B36E3D">
          <w:rPr>
            <w:noProof/>
            <w:webHidden/>
          </w:rPr>
          <w:fldChar w:fldCharType="end"/>
        </w:r>
      </w:hyperlink>
    </w:p>
    <w:p w14:paraId="23BAEBE3" w14:textId="4D11E759"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59" w:history="1">
        <w:r w:rsidR="00B36E3D" w:rsidRPr="00B22E2A">
          <w:rPr>
            <w:rStyle w:val="Hyperlink"/>
            <w:rFonts w:ascii="Calibri" w:eastAsia="Calibri" w:hAnsi="Calibri" w:cs="Calibri"/>
            <w:noProof/>
            <w:lang w:bidi="en-US"/>
          </w:rPr>
          <w:t>1.6.</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Windows System Logs</w:t>
        </w:r>
        <w:r w:rsidR="00B36E3D">
          <w:rPr>
            <w:noProof/>
            <w:webHidden/>
          </w:rPr>
          <w:tab/>
        </w:r>
        <w:r w:rsidR="00B36E3D">
          <w:rPr>
            <w:noProof/>
            <w:webHidden/>
          </w:rPr>
          <w:fldChar w:fldCharType="begin"/>
        </w:r>
        <w:r w:rsidR="00B36E3D">
          <w:rPr>
            <w:noProof/>
            <w:webHidden/>
          </w:rPr>
          <w:instrText xml:space="preserve"> PAGEREF _Toc146183259 \h </w:instrText>
        </w:r>
        <w:r w:rsidR="00B36E3D">
          <w:rPr>
            <w:noProof/>
            <w:webHidden/>
          </w:rPr>
        </w:r>
        <w:r w:rsidR="00B36E3D">
          <w:rPr>
            <w:noProof/>
            <w:webHidden/>
          </w:rPr>
          <w:fldChar w:fldCharType="separate"/>
        </w:r>
        <w:r w:rsidR="002A1828">
          <w:rPr>
            <w:noProof/>
            <w:webHidden/>
          </w:rPr>
          <w:t>37</w:t>
        </w:r>
        <w:r w:rsidR="00B36E3D">
          <w:rPr>
            <w:noProof/>
            <w:webHidden/>
          </w:rPr>
          <w:fldChar w:fldCharType="end"/>
        </w:r>
      </w:hyperlink>
    </w:p>
    <w:p w14:paraId="54F839B5" w14:textId="695903C7"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60" w:history="1">
        <w:r w:rsidR="00B36E3D" w:rsidRPr="00B22E2A">
          <w:rPr>
            <w:rStyle w:val="Hyperlink"/>
            <w:rFonts w:eastAsia="Calibri" w:cstheme="minorHAnsi"/>
            <w:noProof/>
            <w:lang w:bidi="en-US"/>
          </w:rPr>
          <w:t>1.7.</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Hard/Virtual Drive Maintenance</w:t>
        </w:r>
        <w:r w:rsidR="00B36E3D">
          <w:rPr>
            <w:noProof/>
            <w:webHidden/>
          </w:rPr>
          <w:tab/>
        </w:r>
        <w:r w:rsidR="00B36E3D">
          <w:rPr>
            <w:noProof/>
            <w:webHidden/>
          </w:rPr>
          <w:fldChar w:fldCharType="begin"/>
        </w:r>
        <w:r w:rsidR="00B36E3D">
          <w:rPr>
            <w:noProof/>
            <w:webHidden/>
          </w:rPr>
          <w:instrText xml:space="preserve"> PAGEREF _Toc146183260 \h </w:instrText>
        </w:r>
        <w:r w:rsidR="00B36E3D">
          <w:rPr>
            <w:noProof/>
            <w:webHidden/>
          </w:rPr>
        </w:r>
        <w:r w:rsidR="00B36E3D">
          <w:rPr>
            <w:noProof/>
            <w:webHidden/>
          </w:rPr>
          <w:fldChar w:fldCharType="separate"/>
        </w:r>
        <w:r w:rsidR="002A1828">
          <w:rPr>
            <w:noProof/>
            <w:webHidden/>
          </w:rPr>
          <w:t>37</w:t>
        </w:r>
        <w:r w:rsidR="00B36E3D">
          <w:rPr>
            <w:noProof/>
            <w:webHidden/>
          </w:rPr>
          <w:fldChar w:fldCharType="end"/>
        </w:r>
      </w:hyperlink>
    </w:p>
    <w:p w14:paraId="51CAB137" w14:textId="7B823205"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61" w:history="1">
        <w:r w:rsidR="00B36E3D" w:rsidRPr="00B22E2A">
          <w:rPr>
            <w:rStyle w:val="Hyperlink"/>
            <w:rFonts w:eastAsia="Times New Roman" w:cstheme="minorHAnsi"/>
            <w:noProof/>
          </w:rPr>
          <w:t>1.8.</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Antivirus Scans</w:t>
        </w:r>
        <w:r w:rsidR="00B36E3D">
          <w:rPr>
            <w:noProof/>
            <w:webHidden/>
          </w:rPr>
          <w:tab/>
        </w:r>
        <w:r w:rsidR="00B36E3D">
          <w:rPr>
            <w:noProof/>
            <w:webHidden/>
          </w:rPr>
          <w:fldChar w:fldCharType="begin"/>
        </w:r>
        <w:r w:rsidR="00B36E3D">
          <w:rPr>
            <w:noProof/>
            <w:webHidden/>
          </w:rPr>
          <w:instrText xml:space="preserve"> PAGEREF _Toc146183261 \h </w:instrText>
        </w:r>
        <w:r w:rsidR="00B36E3D">
          <w:rPr>
            <w:noProof/>
            <w:webHidden/>
          </w:rPr>
        </w:r>
        <w:r w:rsidR="00B36E3D">
          <w:rPr>
            <w:noProof/>
            <w:webHidden/>
          </w:rPr>
          <w:fldChar w:fldCharType="separate"/>
        </w:r>
        <w:r w:rsidR="002A1828">
          <w:rPr>
            <w:noProof/>
            <w:webHidden/>
          </w:rPr>
          <w:t>38</w:t>
        </w:r>
        <w:r w:rsidR="00B36E3D">
          <w:rPr>
            <w:noProof/>
            <w:webHidden/>
          </w:rPr>
          <w:fldChar w:fldCharType="end"/>
        </w:r>
      </w:hyperlink>
    </w:p>
    <w:p w14:paraId="67FD6A5D" w14:textId="5CF7F2DC" w:rsidR="00B36E3D" w:rsidRDefault="00000000">
      <w:pPr>
        <w:pStyle w:val="TOC2"/>
        <w:rPr>
          <w:rFonts w:asciiTheme="minorHAnsi" w:eastAsiaTheme="minorEastAsia" w:hAnsiTheme="minorHAnsi" w:cstheme="minorBidi"/>
          <w:noProof/>
          <w:kern w:val="2"/>
          <w:sz w:val="22"/>
          <w:szCs w:val="22"/>
          <w14:ligatures w14:val="standardContextual"/>
        </w:rPr>
      </w:pPr>
      <w:hyperlink w:anchor="_Toc146183262" w:history="1">
        <w:r w:rsidR="00B36E3D" w:rsidRPr="00B22E2A">
          <w:rPr>
            <w:rStyle w:val="Hyperlink"/>
            <w:noProof/>
          </w:rPr>
          <w:t>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General Firewall Rules</w:t>
        </w:r>
        <w:r w:rsidR="00B36E3D">
          <w:rPr>
            <w:noProof/>
            <w:webHidden/>
          </w:rPr>
          <w:tab/>
        </w:r>
        <w:r w:rsidR="00B36E3D">
          <w:rPr>
            <w:noProof/>
            <w:webHidden/>
          </w:rPr>
          <w:fldChar w:fldCharType="begin"/>
        </w:r>
        <w:r w:rsidR="00B36E3D">
          <w:rPr>
            <w:noProof/>
            <w:webHidden/>
          </w:rPr>
          <w:instrText xml:space="preserve"> PAGEREF _Toc146183262 \h </w:instrText>
        </w:r>
        <w:r w:rsidR="00B36E3D">
          <w:rPr>
            <w:noProof/>
            <w:webHidden/>
          </w:rPr>
        </w:r>
        <w:r w:rsidR="00B36E3D">
          <w:rPr>
            <w:noProof/>
            <w:webHidden/>
          </w:rPr>
          <w:fldChar w:fldCharType="separate"/>
        </w:r>
        <w:r w:rsidR="002A1828">
          <w:rPr>
            <w:noProof/>
            <w:webHidden/>
          </w:rPr>
          <w:t>38</w:t>
        </w:r>
        <w:r w:rsidR="00B36E3D">
          <w:rPr>
            <w:noProof/>
            <w:webHidden/>
          </w:rPr>
          <w:fldChar w:fldCharType="end"/>
        </w:r>
      </w:hyperlink>
    </w:p>
    <w:p w14:paraId="7FE65463" w14:textId="63204E84"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63" w:history="1">
        <w:r w:rsidR="00B36E3D" w:rsidRPr="00B22E2A">
          <w:rPr>
            <w:rStyle w:val="Hyperlink"/>
            <w:rFonts w:eastAsia="Calibri"/>
            <w:noProof/>
            <w:lang w:bidi="en-US"/>
          </w:rPr>
          <w:t>2.1.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rFonts w:eastAsia="Calibri"/>
            <w:noProof/>
            <w:lang w:bidi="en-US"/>
          </w:rPr>
          <w:t>Block traffic by default and monitor user access</w:t>
        </w:r>
        <w:r w:rsidR="00B36E3D">
          <w:rPr>
            <w:noProof/>
            <w:webHidden/>
          </w:rPr>
          <w:tab/>
        </w:r>
        <w:r w:rsidR="00B36E3D">
          <w:rPr>
            <w:noProof/>
            <w:webHidden/>
          </w:rPr>
          <w:fldChar w:fldCharType="begin"/>
        </w:r>
        <w:r w:rsidR="00B36E3D">
          <w:rPr>
            <w:noProof/>
            <w:webHidden/>
          </w:rPr>
          <w:instrText xml:space="preserve"> PAGEREF _Toc146183263 \h </w:instrText>
        </w:r>
        <w:r w:rsidR="00B36E3D">
          <w:rPr>
            <w:noProof/>
            <w:webHidden/>
          </w:rPr>
        </w:r>
        <w:r w:rsidR="00B36E3D">
          <w:rPr>
            <w:noProof/>
            <w:webHidden/>
          </w:rPr>
          <w:fldChar w:fldCharType="separate"/>
        </w:r>
        <w:r w:rsidR="002A1828">
          <w:rPr>
            <w:noProof/>
            <w:webHidden/>
          </w:rPr>
          <w:t>38</w:t>
        </w:r>
        <w:r w:rsidR="00B36E3D">
          <w:rPr>
            <w:noProof/>
            <w:webHidden/>
          </w:rPr>
          <w:fldChar w:fldCharType="end"/>
        </w:r>
      </w:hyperlink>
    </w:p>
    <w:p w14:paraId="42405BAA" w14:textId="32CCDFA5"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64" w:history="1">
        <w:r w:rsidR="00B36E3D" w:rsidRPr="00B22E2A">
          <w:rPr>
            <w:rStyle w:val="Hyperlink"/>
            <w:rFonts w:eastAsia="Calibri"/>
            <w:noProof/>
            <w:lang w:bidi="en-US"/>
          </w:rPr>
          <w:t>2.2.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rFonts w:eastAsia="Calibri"/>
            <w:noProof/>
            <w:lang w:bidi="en-US"/>
          </w:rPr>
          <w:t>Establish a firewall configuration change plan</w:t>
        </w:r>
        <w:r w:rsidR="00B36E3D">
          <w:rPr>
            <w:noProof/>
            <w:webHidden/>
          </w:rPr>
          <w:tab/>
        </w:r>
        <w:r w:rsidR="00B36E3D">
          <w:rPr>
            <w:noProof/>
            <w:webHidden/>
          </w:rPr>
          <w:fldChar w:fldCharType="begin"/>
        </w:r>
        <w:r w:rsidR="00B36E3D">
          <w:rPr>
            <w:noProof/>
            <w:webHidden/>
          </w:rPr>
          <w:instrText xml:space="preserve"> PAGEREF _Toc146183264 \h </w:instrText>
        </w:r>
        <w:r w:rsidR="00B36E3D">
          <w:rPr>
            <w:noProof/>
            <w:webHidden/>
          </w:rPr>
        </w:r>
        <w:r w:rsidR="00B36E3D">
          <w:rPr>
            <w:noProof/>
            <w:webHidden/>
          </w:rPr>
          <w:fldChar w:fldCharType="separate"/>
        </w:r>
        <w:r w:rsidR="002A1828">
          <w:rPr>
            <w:noProof/>
            <w:webHidden/>
          </w:rPr>
          <w:t>38</w:t>
        </w:r>
        <w:r w:rsidR="00B36E3D">
          <w:rPr>
            <w:noProof/>
            <w:webHidden/>
          </w:rPr>
          <w:fldChar w:fldCharType="end"/>
        </w:r>
      </w:hyperlink>
    </w:p>
    <w:p w14:paraId="3A0972C8" w14:textId="0F273395"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65" w:history="1">
        <w:r w:rsidR="00B36E3D" w:rsidRPr="00B22E2A">
          <w:rPr>
            <w:rStyle w:val="Hyperlink"/>
            <w:rFonts w:eastAsia="Calibri"/>
            <w:noProof/>
            <w:lang w:bidi="en-US"/>
          </w:rPr>
          <w:t>2.3.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rFonts w:eastAsia="Calibri"/>
            <w:noProof/>
            <w:lang w:bidi="en-US"/>
          </w:rPr>
          <w:t>Optimize the firewall rules of your network</w:t>
        </w:r>
        <w:r w:rsidR="00B36E3D">
          <w:rPr>
            <w:noProof/>
            <w:webHidden/>
          </w:rPr>
          <w:tab/>
        </w:r>
        <w:r w:rsidR="00B36E3D">
          <w:rPr>
            <w:noProof/>
            <w:webHidden/>
          </w:rPr>
          <w:fldChar w:fldCharType="begin"/>
        </w:r>
        <w:r w:rsidR="00B36E3D">
          <w:rPr>
            <w:noProof/>
            <w:webHidden/>
          </w:rPr>
          <w:instrText xml:space="preserve"> PAGEREF _Toc146183265 \h </w:instrText>
        </w:r>
        <w:r w:rsidR="00B36E3D">
          <w:rPr>
            <w:noProof/>
            <w:webHidden/>
          </w:rPr>
        </w:r>
        <w:r w:rsidR="00B36E3D">
          <w:rPr>
            <w:noProof/>
            <w:webHidden/>
          </w:rPr>
          <w:fldChar w:fldCharType="separate"/>
        </w:r>
        <w:r w:rsidR="002A1828">
          <w:rPr>
            <w:noProof/>
            <w:webHidden/>
          </w:rPr>
          <w:t>39</w:t>
        </w:r>
        <w:r w:rsidR="00B36E3D">
          <w:rPr>
            <w:noProof/>
            <w:webHidden/>
          </w:rPr>
          <w:fldChar w:fldCharType="end"/>
        </w:r>
      </w:hyperlink>
    </w:p>
    <w:p w14:paraId="17853D53" w14:textId="0F440BBD"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66" w:history="1">
        <w:r w:rsidR="00B36E3D" w:rsidRPr="00B22E2A">
          <w:rPr>
            <w:rStyle w:val="Hyperlink"/>
            <w:rFonts w:eastAsia="Calibri"/>
            <w:noProof/>
            <w:lang w:bidi="en-US"/>
          </w:rPr>
          <w:t>2.4.</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rFonts w:eastAsia="Calibri"/>
            <w:noProof/>
            <w:lang w:bidi="en-US"/>
          </w:rPr>
          <w:t>Update your firewall software regularly</w:t>
        </w:r>
        <w:r w:rsidR="00B36E3D">
          <w:rPr>
            <w:noProof/>
            <w:webHidden/>
          </w:rPr>
          <w:tab/>
        </w:r>
        <w:r w:rsidR="00B36E3D">
          <w:rPr>
            <w:noProof/>
            <w:webHidden/>
          </w:rPr>
          <w:fldChar w:fldCharType="begin"/>
        </w:r>
        <w:r w:rsidR="00B36E3D">
          <w:rPr>
            <w:noProof/>
            <w:webHidden/>
          </w:rPr>
          <w:instrText xml:space="preserve"> PAGEREF _Toc146183266 \h </w:instrText>
        </w:r>
        <w:r w:rsidR="00B36E3D">
          <w:rPr>
            <w:noProof/>
            <w:webHidden/>
          </w:rPr>
        </w:r>
        <w:r w:rsidR="00B36E3D">
          <w:rPr>
            <w:noProof/>
            <w:webHidden/>
          </w:rPr>
          <w:fldChar w:fldCharType="separate"/>
        </w:r>
        <w:r w:rsidR="002A1828">
          <w:rPr>
            <w:noProof/>
            <w:webHidden/>
          </w:rPr>
          <w:t>39</w:t>
        </w:r>
        <w:r w:rsidR="00B36E3D">
          <w:rPr>
            <w:noProof/>
            <w:webHidden/>
          </w:rPr>
          <w:fldChar w:fldCharType="end"/>
        </w:r>
      </w:hyperlink>
    </w:p>
    <w:p w14:paraId="6D8E4462" w14:textId="005FBF40"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67" w:history="1">
        <w:r w:rsidR="00B36E3D" w:rsidRPr="00B22E2A">
          <w:rPr>
            <w:rStyle w:val="Hyperlink"/>
            <w:rFonts w:eastAsia="Calibri"/>
            <w:noProof/>
            <w:lang w:bidi="en-US"/>
          </w:rPr>
          <w:t>2.5.</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rFonts w:eastAsia="Calibri"/>
            <w:noProof/>
            <w:lang w:bidi="en-US"/>
          </w:rPr>
          <w:t>Conduct regular firewall security audits</w:t>
        </w:r>
        <w:r w:rsidR="00B36E3D">
          <w:rPr>
            <w:noProof/>
            <w:webHidden/>
          </w:rPr>
          <w:tab/>
        </w:r>
        <w:r w:rsidR="00B36E3D">
          <w:rPr>
            <w:noProof/>
            <w:webHidden/>
          </w:rPr>
          <w:fldChar w:fldCharType="begin"/>
        </w:r>
        <w:r w:rsidR="00B36E3D">
          <w:rPr>
            <w:noProof/>
            <w:webHidden/>
          </w:rPr>
          <w:instrText xml:space="preserve"> PAGEREF _Toc146183267 \h </w:instrText>
        </w:r>
        <w:r w:rsidR="00B36E3D">
          <w:rPr>
            <w:noProof/>
            <w:webHidden/>
          </w:rPr>
        </w:r>
        <w:r w:rsidR="00B36E3D">
          <w:rPr>
            <w:noProof/>
            <w:webHidden/>
          </w:rPr>
          <w:fldChar w:fldCharType="separate"/>
        </w:r>
        <w:r w:rsidR="002A1828">
          <w:rPr>
            <w:noProof/>
            <w:webHidden/>
          </w:rPr>
          <w:t>39</w:t>
        </w:r>
        <w:r w:rsidR="00B36E3D">
          <w:rPr>
            <w:noProof/>
            <w:webHidden/>
          </w:rPr>
          <w:fldChar w:fldCharType="end"/>
        </w:r>
      </w:hyperlink>
    </w:p>
    <w:p w14:paraId="05E25C64" w14:textId="3B4B62D1" w:rsidR="00B36E3D" w:rsidRDefault="00000000">
      <w:pPr>
        <w:pStyle w:val="TOC2"/>
        <w:rPr>
          <w:rFonts w:asciiTheme="minorHAnsi" w:eastAsiaTheme="minorEastAsia" w:hAnsiTheme="minorHAnsi" w:cstheme="minorBidi"/>
          <w:noProof/>
          <w:kern w:val="2"/>
          <w:sz w:val="22"/>
          <w:szCs w:val="22"/>
          <w14:ligatures w14:val="standardContextual"/>
        </w:rPr>
      </w:pPr>
      <w:hyperlink w:anchor="_Toc146183268" w:history="1">
        <w:r w:rsidR="00B36E3D" w:rsidRPr="00B22E2A">
          <w:rPr>
            <w:rStyle w:val="Hyperlink"/>
            <w:rFonts w:ascii="Calibri" w:eastAsia="Calibri" w:hAnsi="Calibri" w:cs="Calibri"/>
            <w:noProof/>
            <w:lang w:bidi="en-US"/>
          </w:rPr>
          <w:t>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Incident</w:t>
        </w:r>
        <w:r w:rsidR="00B36E3D" w:rsidRPr="00B22E2A">
          <w:rPr>
            <w:rStyle w:val="Hyperlink"/>
            <w:rFonts w:ascii="Calibri" w:eastAsia="Calibri" w:hAnsi="Calibri" w:cs="Calibri"/>
            <w:noProof/>
            <w:lang w:bidi="en-US"/>
          </w:rPr>
          <w:t xml:space="preserve"> </w:t>
        </w:r>
        <w:r w:rsidR="00B36E3D" w:rsidRPr="00B22E2A">
          <w:rPr>
            <w:rStyle w:val="Hyperlink"/>
            <w:noProof/>
          </w:rPr>
          <w:t>Response and Log Review Protocol</w:t>
        </w:r>
        <w:r w:rsidR="00B36E3D">
          <w:rPr>
            <w:noProof/>
            <w:webHidden/>
          </w:rPr>
          <w:tab/>
        </w:r>
        <w:r w:rsidR="00B36E3D">
          <w:rPr>
            <w:noProof/>
            <w:webHidden/>
          </w:rPr>
          <w:fldChar w:fldCharType="begin"/>
        </w:r>
        <w:r w:rsidR="00B36E3D">
          <w:rPr>
            <w:noProof/>
            <w:webHidden/>
          </w:rPr>
          <w:instrText xml:space="preserve"> PAGEREF _Toc146183268 \h </w:instrText>
        </w:r>
        <w:r w:rsidR="00B36E3D">
          <w:rPr>
            <w:noProof/>
            <w:webHidden/>
          </w:rPr>
        </w:r>
        <w:r w:rsidR="00B36E3D">
          <w:rPr>
            <w:noProof/>
            <w:webHidden/>
          </w:rPr>
          <w:fldChar w:fldCharType="separate"/>
        </w:r>
        <w:r w:rsidR="002A1828">
          <w:rPr>
            <w:noProof/>
            <w:webHidden/>
          </w:rPr>
          <w:t>40</w:t>
        </w:r>
        <w:r w:rsidR="00B36E3D">
          <w:rPr>
            <w:noProof/>
            <w:webHidden/>
          </w:rPr>
          <w:fldChar w:fldCharType="end"/>
        </w:r>
      </w:hyperlink>
    </w:p>
    <w:p w14:paraId="57FF144F" w14:textId="5AD450E0"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69" w:history="1">
        <w:r w:rsidR="00B36E3D" w:rsidRPr="00B22E2A">
          <w:rPr>
            <w:rStyle w:val="Hyperlink"/>
            <w:rFonts w:eastAsia="Calibri"/>
            <w:noProof/>
            <w:lang w:bidi="en-US"/>
          </w:rPr>
          <w:t>3.1.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rFonts w:eastAsia="Calibri"/>
            <w:noProof/>
            <w:lang w:bidi="en-US"/>
          </w:rPr>
          <w:t>Information System Contingency Plan (ISCP)</w:t>
        </w:r>
        <w:r w:rsidR="00B36E3D">
          <w:rPr>
            <w:noProof/>
            <w:webHidden/>
          </w:rPr>
          <w:tab/>
        </w:r>
        <w:r w:rsidR="00B36E3D">
          <w:rPr>
            <w:noProof/>
            <w:webHidden/>
          </w:rPr>
          <w:fldChar w:fldCharType="begin"/>
        </w:r>
        <w:r w:rsidR="00B36E3D">
          <w:rPr>
            <w:noProof/>
            <w:webHidden/>
          </w:rPr>
          <w:instrText xml:space="preserve"> PAGEREF _Toc146183269 \h </w:instrText>
        </w:r>
        <w:r w:rsidR="00B36E3D">
          <w:rPr>
            <w:noProof/>
            <w:webHidden/>
          </w:rPr>
        </w:r>
        <w:r w:rsidR="00B36E3D">
          <w:rPr>
            <w:noProof/>
            <w:webHidden/>
          </w:rPr>
          <w:fldChar w:fldCharType="separate"/>
        </w:r>
        <w:r w:rsidR="002A1828">
          <w:rPr>
            <w:noProof/>
            <w:webHidden/>
          </w:rPr>
          <w:t>40</w:t>
        </w:r>
        <w:r w:rsidR="00B36E3D">
          <w:rPr>
            <w:noProof/>
            <w:webHidden/>
          </w:rPr>
          <w:fldChar w:fldCharType="end"/>
        </w:r>
      </w:hyperlink>
    </w:p>
    <w:p w14:paraId="6FBB0C70" w14:textId="212BE0E9"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70" w:history="1">
        <w:r w:rsidR="00B36E3D" w:rsidRPr="00B22E2A">
          <w:rPr>
            <w:rStyle w:val="Hyperlink"/>
            <w:rFonts w:eastAsia="Calibri"/>
            <w:noProof/>
            <w:lang w:bidi="en-US"/>
          </w:rPr>
          <w:t>3.2.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rFonts w:eastAsia="Calibri"/>
            <w:noProof/>
            <w:lang w:bidi="en-US"/>
          </w:rPr>
          <w:t>Security Alerts</w:t>
        </w:r>
        <w:r w:rsidR="00B36E3D">
          <w:rPr>
            <w:noProof/>
            <w:webHidden/>
          </w:rPr>
          <w:tab/>
        </w:r>
        <w:r w:rsidR="00B36E3D">
          <w:rPr>
            <w:noProof/>
            <w:webHidden/>
          </w:rPr>
          <w:fldChar w:fldCharType="begin"/>
        </w:r>
        <w:r w:rsidR="00B36E3D">
          <w:rPr>
            <w:noProof/>
            <w:webHidden/>
          </w:rPr>
          <w:instrText xml:space="preserve"> PAGEREF _Toc146183270 \h </w:instrText>
        </w:r>
        <w:r w:rsidR="00B36E3D">
          <w:rPr>
            <w:noProof/>
            <w:webHidden/>
          </w:rPr>
        </w:r>
        <w:r w:rsidR="00B36E3D">
          <w:rPr>
            <w:noProof/>
            <w:webHidden/>
          </w:rPr>
          <w:fldChar w:fldCharType="separate"/>
        </w:r>
        <w:r w:rsidR="002A1828">
          <w:rPr>
            <w:noProof/>
            <w:webHidden/>
          </w:rPr>
          <w:t>41</w:t>
        </w:r>
        <w:r w:rsidR="00B36E3D">
          <w:rPr>
            <w:noProof/>
            <w:webHidden/>
          </w:rPr>
          <w:fldChar w:fldCharType="end"/>
        </w:r>
      </w:hyperlink>
    </w:p>
    <w:p w14:paraId="75D91A8C" w14:textId="1E42AA50"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71" w:history="1">
        <w:r w:rsidR="00B36E3D" w:rsidRPr="00B22E2A">
          <w:rPr>
            <w:rStyle w:val="Hyperlink"/>
            <w:rFonts w:eastAsia="Calibri"/>
            <w:noProof/>
            <w:lang w:bidi="en-US"/>
          </w:rPr>
          <w:t>3.3.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rFonts w:eastAsia="Calibri"/>
            <w:noProof/>
            <w:lang w:bidi="en-US"/>
          </w:rPr>
          <w:t>EDR Audit Logs</w:t>
        </w:r>
        <w:r w:rsidR="00B36E3D">
          <w:rPr>
            <w:noProof/>
            <w:webHidden/>
          </w:rPr>
          <w:tab/>
        </w:r>
        <w:r w:rsidR="00B36E3D">
          <w:rPr>
            <w:noProof/>
            <w:webHidden/>
          </w:rPr>
          <w:fldChar w:fldCharType="begin"/>
        </w:r>
        <w:r w:rsidR="00B36E3D">
          <w:rPr>
            <w:noProof/>
            <w:webHidden/>
          </w:rPr>
          <w:instrText xml:space="preserve"> PAGEREF _Toc146183271 \h </w:instrText>
        </w:r>
        <w:r w:rsidR="00B36E3D">
          <w:rPr>
            <w:noProof/>
            <w:webHidden/>
          </w:rPr>
        </w:r>
        <w:r w:rsidR="00B36E3D">
          <w:rPr>
            <w:noProof/>
            <w:webHidden/>
          </w:rPr>
          <w:fldChar w:fldCharType="separate"/>
        </w:r>
        <w:r w:rsidR="002A1828">
          <w:rPr>
            <w:noProof/>
            <w:webHidden/>
          </w:rPr>
          <w:t>41</w:t>
        </w:r>
        <w:r w:rsidR="00B36E3D">
          <w:rPr>
            <w:noProof/>
            <w:webHidden/>
          </w:rPr>
          <w:fldChar w:fldCharType="end"/>
        </w:r>
      </w:hyperlink>
    </w:p>
    <w:p w14:paraId="24DC626D" w14:textId="700F8767"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72" w:history="1">
        <w:r w:rsidR="00B36E3D" w:rsidRPr="00B22E2A">
          <w:rPr>
            <w:rStyle w:val="Hyperlink"/>
            <w:rFonts w:eastAsia="Calibri"/>
            <w:noProof/>
            <w:lang w:bidi="en-US"/>
          </w:rPr>
          <w:t>3.4.</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rFonts w:eastAsia="Calibri"/>
            <w:noProof/>
            <w:lang w:bidi="en-US"/>
          </w:rPr>
          <w:t>PHI/PII Breaches</w:t>
        </w:r>
        <w:r w:rsidR="00B36E3D">
          <w:rPr>
            <w:noProof/>
            <w:webHidden/>
          </w:rPr>
          <w:tab/>
        </w:r>
        <w:r w:rsidR="00B36E3D">
          <w:rPr>
            <w:noProof/>
            <w:webHidden/>
          </w:rPr>
          <w:fldChar w:fldCharType="begin"/>
        </w:r>
        <w:r w:rsidR="00B36E3D">
          <w:rPr>
            <w:noProof/>
            <w:webHidden/>
          </w:rPr>
          <w:instrText xml:space="preserve"> PAGEREF _Toc146183272 \h </w:instrText>
        </w:r>
        <w:r w:rsidR="00B36E3D">
          <w:rPr>
            <w:noProof/>
            <w:webHidden/>
          </w:rPr>
        </w:r>
        <w:r w:rsidR="00B36E3D">
          <w:rPr>
            <w:noProof/>
            <w:webHidden/>
          </w:rPr>
          <w:fldChar w:fldCharType="separate"/>
        </w:r>
        <w:r w:rsidR="002A1828">
          <w:rPr>
            <w:noProof/>
            <w:webHidden/>
          </w:rPr>
          <w:t>41</w:t>
        </w:r>
        <w:r w:rsidR="00B36E3D">
          <w:rPr>
            <w:noProof/>
            <w:webHidden/>
          </w:rPr>
          <w:fldChar w:fldCharType="end"/>
        </w:r>
      </w:hyperlink>
    </w:p>
    <w:p w14:paraId="35B8A2ED" w14:textId="55709E4E" w:rsidR="00B36E3D" w:rsidRDefault="00000000">
      <w:pPr>
        <w:pStyle w:val="TOC2"/>
        <w:rPr>
          <w:rFonts w:asciiTheme="minorHAnsi" w:eastAsiaTheme="minorEastAsia" w:hAnsiTheme="minorHAnsi" w:cstheme="minorBidi"/>
          <w:noProof/>
          <w:kern w:val="2"/>
          <w:sz w:val="22"/>
          <w:szCs w:val="22"/>
          <w14:ligatures w14:val="standardContextual"/>
        </w:rPr>
      </w:pPr>
      <w:hyperlink w:anchor="_Toc146183273" w:history="1">
        <w:r w:rsidR="00B36E3D" w:rsidRPr="00B22E2A">
          <w:rPr>
            <w:rStyle w:val="Hyperlink"/>
            <w:rFonts w:eastAsia="Calibri"/>
            <w:noProof/>
            <w:lang w:bidi="en-US"/>
          </w:rPr>
          <w:t>4.</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rFonts w:eastAsia="Calibri"/>
            <w:noProof/>
            <w:lang w:bidi="en-US"/>
          </w:rPr>
          <w:t>Potential Security Penalties and HIPAA Fines</w:t>
        </w:r>
        <w:r w:rsidR="00B36E3D">
          <w:rPr>
            <w:noProof/>
            <w:webHidden/>
          </w:rPr>
          <w:tab/>
        </w:r>
        <w:r w:rsidR="00B36E3D">
          <w:rPr>
            <w:noProof/>
            <w:webHidden/>
          </w:rPr>
          <w:fldChar w:fldCharType="begin"/>
        </w:r>
        <w:r w:rsidR="00B36E3D">
          <w:rPr>
            <w:noProof/>
            <w:webHidden/>
          </w:rPr>
          <w:instrText xml:space="preserve"> PAGEREF _Toc146183273 \h </w:instrText>
        </w:r>
        <w:r w:rsidR="00B36E3D">
          <w:rPr>
            <w:noProof/>
            <w:webHidden/>
          </w:rPr>
        </w:r>
        <w:r w:rsidR="00B36E3D">
          <w:rPr>
            <w:noProof/>
            <w:webHidden/>
          </w:rPr>
          <w:fldChar w:fldCharType="separate"/>
        </w:r>
        <w:r w:rsidR="002A1828">
          <w:rPr>
            <w:noProof/>
            <w:webHidden/>
          </w:rPr>
          <w:t>41</w:t>
        </w:r>
        <w:r w:rsidR="00B36E3D">
          <w:rPr>
            <w:noProof/>
            <w:webHidden/>
          </w:rPr>
          <w:fldChar w:fldCharType="end"/>
        </w:r>
      </w:hyperlink>
    </w:p>
    <w:p w14:paraId="074F21D6" w14:textId="35D345C4"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74" w:history="1">
        <w:r w:rsidR="00B36E3D" w:rsidRPr="00B22E2A">
          <w:rPr>
            <w:rStyle w:val="Hyperlink"/>
            <w:noProof/>
            <w:lang w:bidi="en-US"/>
          </w:rPr>
          <w:t>4.1.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rFonts w:eastAsia="Calibri"/>
            <w:noProof/>
            <w:lang w:bidi="en-US"/>
          </w:rPr>
          <w:t>Penalties for HIPAA Violations (PII/PHI Breaches)</w:t>
        </w:r>
        <w:r w:rsidR="00B36E3D">
          <w:rPr>
            <w:noProof/>
            <w:webHidden/>
          </w:rPr>
          <w:tab/>
        </w:r>
        <w:r w:rsidR="00B36E3D">
          <w:rPr>
            <w:noProof/>
            <w:webHidden/>
          </w:rPr>
          <w:fldChar w:fldCharType="begin"/>
        </w:r>
        <w:r w:rsidR="00B36E3D">
          <w:rPr>
            <w:noProof/>
            <w:webHidden/>
          </w:rPr>
          <w:instrText xml:space="preserve"> PAGEREF _Toc146183274 \h </w:instrText>
        </w:r>
        <w:r w:rsidR="00B36E3D">
          <w:rPr>
            <w:noProof/>
            <w:webHidden/>
          </w:rPr>
        </w:r>
        <w:r w:rsidR="00B36E3D">
          <w:rPr>
            <w:noProof/>
            <w:webHidden/>
          </w:rPr>
          <w:fldChar w:fldCharType="separate"/>
        </w:r>
        <w:r w:rsidR="002A1828">
          <w:rPr>
            <w:noProof/>
            <w:webHidden/>
          </w:rPr>
          <w:t>41</w:t>
        </w:r>
        <w:r w:rsidR="00B36E3D">
          <w:rPr>
            <w:noProof/>
            <w:webHidden/>
          </w:rPr>
          <w:fldChar w:fldCharType="end"/>
        </w:r>
      </w:hyperlink>
    </w:p>
    <w:p w14:paraId="01D1CA04" w14:textId="76B8ADA3"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75" w:history="1">
        <w:r w:rsidR="00B36E3D" w:rsidRPr="00B22E2A">
          <w:rPr>
            <w:rStyle w:val="Hyperlink"/>
            <w:rFonts w:eastAsia="Calibri"/>
            <w:noProof/>
            <w:lang w:bidi="en-US"/>
          </w:rPr>
          <w:t>4.2.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rFonts w:eastAsia="Calibri"/>
            <w:noProof/>
            <w:lang w:bidi="en-US"/>
          </w:rPr>
          <w:t>False Claims Act</w:t>
        </w:r>
        <w:r w:rsidR="00B36E3D">
          <w:rPr>
            <w:noProof/>
            <w:webHidden/>
          </w:rPr>
          <w:tab/>
        </w:r>
        <w:r w:rsidR="00B36E3D">
          <w:rPr>
            <w:noProof/>
            <w:webHidden/>
          </w:rPr>
          <w:fldChar w:fldCharType="begin"/>
        </w:r>
        <w:r w:rsidR="00B36E3D">
          <w:rPr>
            <w:noProof/>
            <w:webHidden/>
          </w:rPr>
          <w:instrText xml:space="preserve"> PAGEREF _Toc146183275 \h </w:instrText>
        </w:r>
        <w:r w:rsidR="00B36E3D">
          <w:rPr>
            <w:noProof/>
            <w:webHidden/>
          </w:rPr>
        </w:r>
        <w:r w:rsidR="00B36E3D">
          <w:rPr>
            <w:noProof/>
            <w:webHidden/>
          </w:rPr>
          <w:fldChar w:fldCharType="separate"/>
        </w:r>
        <w:r w:rsidR="002A1828">
          <w:rPr>
            <w:noProof/>
            <w:webHidden/>
          </w:rPr>
          <w:t>42</w:t>
        </w:r>
        <w:r w:rsidR="00B36E3D">
          <w:rPr>
            <w:noProof/>
            <w:webHidden/>
          </w:rPr>
          <w:fldChar w:fldCharType="end"/>
        </w:r>
      </w:hyperlink>
    </w:p>
    <w:p w14:paraId="683FA290" w14:textId="279968D3"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76" w:history="1">
        <w:r w:rsidR="00B36E3D" w:rsidRPr="00B22E2A">
          <w:rPr>
            <w:rStyle w:val="Hyperlink"/>
            <w:noProof/>
            <w:lang w:bidi="en-US"/>
          </w:rPr>
          <w:t>4.3.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rFonts w:eastAsia="Calibri"/>
            <w:noProof/>
            <w:lang w:bidi="en-US"/>
          </w:rPr>
          <w:t>Data breaches</w:t>
        </w:r>
        <w:r w:rsidR="00B36E3D">
          <w:rPr>
            <w:noProof/>
            <w:webHidden/>
          </w:rPr>
          <w:tab/>
        </w:r>
        <w:r w:rsidR="00B36E3D">
          <w:rPr>
            <w:noProof/>
            <w:webHidden/>
          </w:rPr>
          <w:fldChar w:fldCharType="begin"/>
        </w:r>
        <w:r w:rsidR="00B36E3D">
          <w:rPr>
            <w:noProof/>
            <w:webHidden/>
          </w:rPr>
          <w:instrText xml:space="preserve"> PAGEREF _Toc146183276 \h </w:instrText>
        </w:r>
        <w:r w:rsidR="00B36E3D">
          <w:rPr>
            <w:noProof/>
            <w:webHidden/>
          </w:rPr>
        </w:r>
        <w:r w:rsidR="00B36E3D">
          <w:rPr>
            <w:noProof/>
            <w:webHidden/>
          </w:rPr>
          <w:fldChar w:fldCharType="separate"/>
        </w:r>
        <w:r w:rsidR="002A1828">
          <w:rPr>
            <w:noProof/>
            <w:webHidden/>
          </w:rPr>
          <w:t>42</w:t>
        </w:r>
        <w:r w:rsidR="00B36E3D">
          <w:rPr>
            <w:noProof/>
            <w:webHidden/>
          </w:rPr>
          <w:fldChar w:fldCharType="end"/>
        </w:r>
      </w:hyperlink>
    </w:p>
    <w:p w14:paraId="6C4C6779" w14:textId="0235B746"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77" w:history="1">
        <w:r w:rsidR="00B36E3D" w:rsidRPr="00B22E2A">
          <w:rPr>
            <w:rStyle w:val="Hyperlink"/>
            <w:noProof/>
            <w:lang w:bidi="en-US"/>
          </w:rPr>
          <w:t>4.4.</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rFonts w:eastAsia="Calibri"/>
            <w:noProof/>
            <w:lang w:bidi="en-US"/>
          </w:rPr>
          <w:t>Cost of remediation of breaches/incidents</w:t>
        </w:r>
        <w:r w:rsidR="00B36E3D">
          <w:rPr>
            <w:noProof/>
            <w:webHidden/>
          </w:rPr>
          <w:tab/>
        </w:r>
        <w:r w:rsidR="00B36E3D">
          <w:rPr>
            <w:noProof/>
            <w:webHidden/>
          </w:rPr>
          <w:fldChar w:fldCharType="begin"/>
        </w:r>
        <w:r w:rsidR="00B36E3D">
          <w:rPr>
            <w:noProof/>
            <w:webHidden/>
          </w:rPr>
          <w:instrText xml:space="preserve"> PAGEREF _Toc146183277 \h </w:instrText>
        </w:r>
        <w:r w:rsidR="00B36E3D">
          <w:rPr>
            <w:noProof/>
            <w:webHidden/>
          </w:rPr>
        </w:r>
        <w:r w:rsidR="00B36E3D">
          <w:rPr>
            <w:noProof/>
            <w:webHidden/>
          </w:rPr>
          <w:fldChar w:fldCharType="separate"/>
        </w:r>
        <w:r w:rsidR="002A1828">
          <w:rPr>
            <w:noProof/>
            <w:webHidden/>
          </w:rPr>
          <w:t>42</w:t>
        </w:r>
        <w:r w:rsidR="00B36E3D">
          <w:rPr>
            <w:noProof/>
            <w:webHidden/>
          </w:rPr>
          <w:fldChar w:fldCharType="end"/>
        </w:r>
      </w:hyperlink>
    </w:p>
    <w:p w14:paraId="4A2A72C9" w14:textId="4F8B25E6" w:rsidR="00B36E3D"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46183278" w:history="1">
        <w:r w:rsidR="00B36E3D" w:rsidRPr="00B22E2A">
          <w:rPr>
            <w:rStyle w:val="Hyperlink"/>
            <w:noProof/>
          </w:rPr>
          <w:t>Schedule Optimization</w:t>
        </w:r>
        <w:r w:rsidR="00B36E3D">
          <w:rPr>
            <w:noProof/>
            <w:webHidden/>
          </w:rPr>
          <w:tab/>
        </w:r>
        <w:r w:rsidR="00B36E3D">
          <w:rPr>
            <w:noProof/>
            <w:webHidden/>
          </w:rPr>
          <w:fldChar w:fldCharType="begin"/>
        </w:r>
        <w:r w:rsidR="00B36E3D">
          <w:rPr>
            <w:noProof/>
            <w:webHidden/>
          </w:rPr>
          <w:instrText xml:space="preserve"> PAGEREF _Toc146183278 \h </w:instrText>
        </w:r>
        <w:r w:rsidR="00B36E3D">
          <w:rPr>
            <w:noProof/>
            <w:webHidden/>
          </w:rPr>
        </w:r>
        <w:r w:rsidR="00B36E3D">
          <w:rPr>
            <w:noProof/>
            <w:webHidden/>
          </w:rPr>
          <w:fldChar w:fldCharType="separate"/>
        </w:r>
        <w:r w:rsidR="002A1828">
          <w:rPr>
            <w:noProof/>
            <w:webHidden/>
          </w:rPr>
          <w:t>44</w:t>
        </w:r>
        <w:r w:rsidR="00B36E3D">
          <w:rPr>
            <w:noProof/>
            <w:webHidden/>
          </w:rPr>
          <w:fldChar w:fldCharType="end"/>
        </w:r>
      </w:hyperlink>
    </w:p>
    <w:p w14:paraId="59825D2A" w14:textId="48EF44DE" w:rsidR="00B36E3D" w:rsidRDefault="00000000">
      <w:pPr>
        <w:pStyle w:val="TOC2"/>
        <w:rPr>
          <w:rFonts w:asciiTheme="minorHAnsi" w:eastAsiaTheme="minorEastAsia" w:hAnsiTheme="minorHAnsi" w:cstheme="minorBidi"/>
          <w:noProof/>
          <w:kern w:val="2"/>
          <w:sz w:val="22"/>
          <w:szCs w:val="22"/>
          <w14:ligatures w14:val="standardContextual"/>
        </w:rPr>
      </w:pPr>
      <w:hyperlink w:anchor="_Toc146183279" w:history="1">
        <w:r w:rsidR="00B36E3D" w:rsidRPr="00B22E2A">
          <w:rPr>
            <w:rStyle w:val="Hyperlink"/>
            <w:noProof/>
          </w:rPr>
          <w:t>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Scheduling Templates</w:t>
        </w:r>
        <w:r w:rsidR="00B36E3D">
          <w:rPr>
            <w:noProof/>
            <w:webHidden/>
          </w:rPr>
          <w:tab/>
        </w:r>
        <w:r w:rsidR="00B36E3D">
          <w:rPr>
            <w:noProof/>
            <w:webHidden/>
          </w:rPr>
          <w:fldChar w:fldCharType="begin"/>
        </w:r>
        <w:r w:rsidR="00B36E3D">
          <w:rPr>
            <w:noProof/>
            <w:webHidden/>
          </w:rPr>
          <w:instrText xml:space="preserve"> PAGEREF _Toc146183279 \h </w:instrText>
        </w:r>
        <w:r w:rsidR="00B36E3D">
          <w:rPr>
            <w:noProof/>
            <w:webHidden/>
          </w:rPr>
        </w:r>
        <w:r w:rsidR="00B36E3D">
          <w:rPr>
            <w:noProof/>
            <w:webHidden/>
          </w:rPr>
          <w:fldChar w:fldCharType="separate"/>
        </w:r>
        <w:r w:rsidR="002A1828">
          <w:rPr>
            <w:noProof/>
            <w:webHidden/>
          </w:rPr>
          <w:t>44</w:t>
        </w:r>
        <w:r w:rsidR="00B36E3D">
          <w:rPr>
            <w:noProof/>
            <w:webHidden/>
          </w:rPr>
          <w:fldChar w:fldCharType="end"/>
        </w:r>
      </w:hyperlink>
    </w:p>
    <w:p w14:paraId="793CED6B" w14:textId="768D6C4A"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80" w:history="1">
        <w:r w:rsidR="00B36E3D" w:rsidRPr="00B22E2A">
          <w:rPr>
            <w:rStyle w:val="Hyperlink"/>
            <w:noProof/>
          </w:rPr>
          <w:t>1.1.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Maintaining Schedule Accuracy</w:t>
        </w:r>
        <w:r w:rsidR="00B36E3D">
          <w:rPr>
            <w:noProof/>
            <w:webHidden/>
          </w:rPr>
          <w:tab/>
        </w:r>
        <w:r w:rsidR="00B36E3D">
          <w:rPr>
            <w:noProof/>
            <w:webHidden/>
          </w:rPr>
          <w:fldChar w:fldCharType="begin"/>
        </w:r>
        <w:r w:rsidR="00B36E3D">
          <w:rPr>
            <w:noProof/>
            <w:webHidden/>
          </w:rPr>
          <w:instrText xml:space="preserve"> PAGEREF _Toc146183280 \h </w:instrText>
        </w:r>
        <w:r w:rsidR="00B36E3D">
          <w:rPr>
            <w:noProof/>
            <w:webHidden/>
          </w:rPr>
        </w:r>
        <w:r w:rsidR="00B36E3D">
          <w:rPr>
            <w:noProof/>
            <w:webHidden/>
          </w:rPr>
          <w:fldChar w:fldCharType="separate"/>
        </w:r>
        <w:r w:rsidR="002A1828">
          <w:rPr>
            <w:noProof/>
            <w:webHidden/>
          </w:rPr>
          <w:t>44</w:t>
        </w:r>
        <w:r w:rsidR="00B36E3D">
          <w:rPr>
            <w:noProof/>
            <w:webHidden/>
          </w:rPr>
          <w:fldChar w:fldCharType="end"/>
        </w:r>
      </w:hyperlink>
    </w:p>
    <w:p w14:paraId="316D27EB" w14:textId="15BB9EDE"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81" w:history="1">
        <w:r w:rsidR="00B36E3D" w:rsidRPr="00B22E2A">
          <w:rPr>
            <w:rStyle w:val="Hyperlink"/>
            <w:noProof/>
          </w:rPr>
          <w:t>1.2.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Procedure Times</w:t>
        </w:r>
        <w:r w:rsidR="00B36E3D">
          <w:rPr>
            <w:noProof/>
            <w:webHidden/>
          </w:rPr>
          <w:tab/>
        </w:r>
        <w:r w:rsidR="00B36E3D">
          <w:rPr>
            <w:noProof/>
            <w:webHidden/>
          </w:rPr>
          <w:fldChar w:fldCharType="begin"/>
        </w:r>
        <w:r w:rsidR="00B36E3D">
          <w:rPr>
            <w:noProof/>
            <w:webHidden/>
          </w:rPr>
          <w:instrText xml:space="preserve"> PAGEREF _Toc146183281 \h </w:instrText>
        </w:r>
        <w:r w:rsidR="00B36E3D">
          <w:rPr>
            <w:noProof/>
            <w:webHidden/>
          </w:rPr>
        </w:r>
        <w:r w:rsidR="00B36E3D">
          <w:rPr>
            <w:noProof/>
            <w:webHidden/>
          </w:rPr>
          <w:fldChar w:fldCharType="separate"/>
        </w:r>
        <w:r w:rsidR="002A1828">
          <w:rPr>
            <w:noProof/>
            <w:webHidden/>
          </w:rPr>
          <w:t>46</w:t>
        </w:r>
        <w:r w:rsidR="00B36E3D">
          <w:rPr>
            <w:noProof/>
            <w:webHidden/>
          </w:rPr>
          <w:fldChar w:fldCharType="end"/>
        </w:r>
      </w:hyperlink>
    </w:p>
    <w:p w14:paraId="43A13A90" w14:textId="42C92BF6"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82" w:history="1">
        <w:r w:rsidR="00B36E3D" w:rsidRPr="00B22E2A">
          <w:rPr>
            <w:rStyle w:val="Hyperlink"/>
            <w:noProof/>
          </w:rPr>
          <w:t>1.3.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Perfect Day Scheduling</w:t>
        </w:r>
        <w:r w:rsidR="00B36E3D">
          <w:rPr>
            <w:noProof/>
            <w:webHidden/>
          </w:rPr>
          <w:tab/>
        </w:r>
        <w:r w:rsidR="00B36E3D">
          <w:rPr>
            <w:noProof/>
            <w:webHidden/>
          </w:rPr>
          <w:fldChar w:fldCharType="begin"/>
        </w:r>
        <w:r w:rsidR="00B36E3D">
          <w:rPr>
            <w:noProof/>
            <w:webHidden/>
          </w:rPr>
          <w:instrText xml:space="preserve"> PAGEREF _Toc146183282 \h </w:instrText>
        </w:r>
        <w:r w:rsidR="00B36E3D">
          <w:rPr>
            <w:noProof/>
            <w:webHidden/>
          </w:rPr>
        </w:r>
        <w:r w:rsidR="00B36E3D">
          <w:rPr>
            <w:noProof/>
            <w:webHidden/>
          </w:rPr>
          <w:fldChar w:fldCharType="separate"/>
        </w:r>
        <w:r w:rsidR="002A1828">
          <w:rPr>
            <w:noProof/>
            <w:webHidden/>
          </w:rPr>
          <w:t>46</w:t>
        </w:r>
        <w:r w:rsidR="00B36E3D">
          <w:rPr>
            <w:noProof/>
            <w:webHidden/>
          </w:rPr>
          <w:fldChar w:fldCharType="end"/>
        </w:r>
      </w:hyperlink>
    </w:p>
    <w:p w14:paraId="1B507823" w14:textId="681114A3" w:rsidR="00B36E3D" w:rsidRDefault="00000000">
      <w:pPr>
        <w:pStyle w:val="TOC2"/>
        <w:rPr>
          <w:rFonts w:asciiTheme="minorHAnsi" w:eastAsiaTheme="minorEastAsia" w:hAnsiTheme="minorHAnsi" w:cstheme="minorBidi"/>
          <w:noProof/>
          <w:kern w:val="2"/>
          <w:sz w:val="22"/>
          <w:szCs w:val="22"/>
          <w14:ligatures w14:val="standardContextual"/>
        </w:rPr>
      </w:pPr>
      <w:hyperlink w:anchor="_Toc146183283" w:history="1">
        <w:r w:rsidR="00B36E3D" w:rsidRPr="00B22E2A">
          <w:rPr>
            <w:rStyle w:val="Hyperlink"/>
            <w:noProof/>
          </w:rPr>
          <w:t>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Appointment Management</w:t>
        </w:r>
        <w:r w:rsidR="00B36E3D">
          <w:rPr>
            <w:noProof/>
            <w:webHidden/>
          </w:rPr>
          <w:tab/>
        </w:r>
        <w:r w:rsidR="00B36E3D">
          <w:rPr>
            <w:noProof/>
            <w:webHidden/>
          </w:rPr>
          <w:fldChar w:fldCharType="begin"/>
        </w:r>
        <w:r w:rsidR="00B36E3D">
          <w:rPr>
            <w:noProof/>
            <w:webHidden/>
          </w:rPr>
          <w:instrText xml:space="preserve"> PAGEREF _Toc146183283 \h </w:instrText>
        </w:r>
        <w:r w:rsidR="00B36E3D">
          <w:rPr>
            <w:noProof/>
            <w:webHidden/>
          </w:rPr>
        </w:r>
        <w:r w:rsidR="00B36E3D">
          <w:rPr>
            <w:noProof/>
            <w:webHidden/>
          </w:rPr>
          <w:fldChar w:fldCharType="separate"/>
        </w:r>
        <w:r w:rsidR="002A1828">
          <w:rPr>
            <w:noProof/>
            <w:webHidden/>
          </w:rPr>
          <w:t>48</w:t>
        </w:r>
        <w:r w:rsidR="00B36E3D">
          <w:rPr>
            <w:noProof/>
            <w:webHidden/>
          </w:rPr>
          <w:fldChar w:fldCharType="end"/>
        </w:r>
      </w:hyperlink>
    </w:p>
    <w:p w14:paraId="791D97AD" w14:textId="41D115E6"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84" w:history="1">
        <w:r w:rsidR="00B36E3D" w:rsidRPr="00B22E2A">
          <w:rPr>
            <w:rStyle w:val="Hyperlink"/>
            <w:noProof/>
          </w:rPr>
          <w:t>2.1.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Broken Appointments</w:t>
        </w:r>
        <w:r w:rsidR="00B36E3D">
          <w:rPr>
            <w:noProof/>
            <w:webHidden/>
          </w:rPr>
          <w:tab/>
        </w:r>
        <w:r w:rsidR="00B36E3D">
          <w:rPr>
            <w:noProof/>
            <w:webHidden/>
          </w:rPr>
          <w:fldChar w:fldCharType="begin"/>
        </w:r>
        <w:r w:rsidR="00B36E3D">
          <w:rPr>
            <w:noProof/>
            <w:webHidden/>
          </w:rPr>
          <w:instrText xml:space="preserve"> PAGEREF _Toc146183284 \h </w:instrText>
        </w:r>
        <w:r w:rsidR="00B36E3D">
          <w:rPr>
            <w:noProof/>
            <w:webHidden/>
          </w:rPr>
        </w:r>
        <w:r w:rsidR="00B36E3D">
          <w:rPr>
            <w:noProof/>
            <w:webHidden/>
          </w:rPr>
          <w:fldChar w:fldCharType="separate"/>
        </w:r>
        <w:r w:rsidR="002A1828">
          <w:rPr>
            <w:noProof/>
            <w:webHidden/>
          </w:rPr>
          <w:t>48</w:t>
        </w:r>
        <w:r w:rsidR="00B36E3D">
          <w:rPr>
            <w:noProof/>
            <w:webHidden/>
          </w:rPr>
          <w:fldChar w:fldCharType="end"/>
        </w:r>
      </w:hyperlink>
    </w:p>
    <w:p w14:paraId="7F50B431" w14:textId="357E640E"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85" w:history="1">
        <w:r w:rsidR="00B36E3D" w:rsidRPr="00B22E2A">
          <w:rPr>
            <w:rStyle w:val="Hyperlink"/>
            <w:noProof/>
          </w:rPr>
          <w:t>2.2.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Wait/Will Call</w:t>
        </w:r>
        <w:r w:rsidR="00B36E3D">
          <w:rPr>
            <w:noProof/>
            <w:webHidden/>
          </w:rPr>
          <w:tab/>
        </w:r>
        <w:r w:rsidR="00B36E3D">
          <w:rPr>
            <w:noProof/>
            <w:webHidden/>
          </w:rPr>
          <w:fldChar w:fldCharType="begin"/>
        </w:r>
        <w:r w:rsidR="00B36E3D">
          <w:rPr>
            <w:noProof/>
            <w:webHidden/>
          </w:rPr>
          <w:instrText xml:space="preserve"> PAGEREF _Toc146183285 \h </w:instrText>
        </w:r>
        <w:r w:rsidR="00B36E3D">
          <w:rPr>
            <w:noProof/>
            <w:webHidden/>
          </w:rPr>
        </w:r>
        <w:r w:rsidR="00B36E3D">
          <w:rPr>
            <w:noProof/>
            <w:webHidden/>
          </w:rPr>
          <w:fldChar w:fldCharType="separate"/>
        </w:r>
        <w:r w:rsidR="002A1828">
          <w:rPr>
            <w:noProof/>
            <w:webHidden/>
          </w:rPr>
          <w:t>48</w:t>
        </w:r>
        <w:r w:rsidR="00B36E3D">
          <w:rPr>
            <w:noProof/>
            <w:webHidden/>
          </w:rPr>
          <w:fldChar w:fldCharType="end"/>
        </w:r>
      </w:hyperlink>
    </w:p>
    <w:p w14:paraId="561DAED1" w14:textId="11F716A7"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86" w:history="1">
        <w:r w:rsidR="00B36E3D" w:rsidRPr="00B22E2A">
          <w:rPr>
            <w:rStyle w:val="Hyperlink"/>
            <w:noProof/>
          </w:rPr>
          <w:t>2.3.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Rescheduling Appointments</w:t>
        </w:r>
        <w:r w:rsidR="00B36E3D">
          <w:rPr>
            <w:noProof/>
            <w:webHidden/>
          </w:rPr>
          <w:tab/>
        </w:r>
        <w:r w:rsidR="00B36E3D">
          <w:rPr>
            <w:noProof/>
            <w:webHidden/>
          </w:rPr>
          <w:fldChar w:fldCharType="begin"/>
        </w:r>
        <w:r w:rsidR="00B36E3D">
          <w:rPr>
            <w:noProof/>
            <w:webHidden/>
          </w:rPr>
          <w:instrText xml:space="preserve"> PAGEREF _Toc146183286 \h </w:instrText>
        </w:r>
        <w:r w:rsidR="00B36E3D">
          <w:rPr>
            <w:noProof/>
            <w:webHidden/>
          </w:rPr>
        </w:r>
        <w:r w:rsidR="00B36E3D">
          <w:rPr>
            <w:noProof/>
            <w:webHidden/>
          </w:rPr>
          <w:fldChar w:fldCharType="separate"/>
        </w:r>
        <w:r w:rsidR="002A1828">
          <w:rPr>
            <w:noProof/>
            <w:webHidden/>
          </w:rPr>
          <w:t>49</w:t>
        </w:r>
        <w:r w:rsidR="00B36E3D">
          <w:rPr>
            <w:noProof/>
            <w:webHidden/>
          </w:rPr>
          <w:fldChar w:fldCharType="end"/>
        </w:r>
      </w:hyperlink>
    </w:p>
    <w:p w14:paraId="4BC85ADF" w14:textId="057E08A1"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87" w:history="1">
        <w:r w:rsidR="00B36E3D" w:rsidRPr="00B22E2A">
          <w:rPr>
            <w:rStyle w:val="Hyperlink"/>
            <w:noProof/>
          </w:rPr>
          <w:t>2.4.</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ASAP/Open/Fixed Schedule</w:t>
        </w:r>
        <w:r w:rsidR="00B36E3D">
          <w:rPr>
            <w:noProof/>
            <w:webHidden/>
          </w:rPr>
          <w:tab/>
        </w:r>
        <w:r w:rsidR="00B36E3D">
          <w:rPr>
            <w:noProof/>
            <w:webHidden/>
          </w:rPr>
          <w:fldChar w:fldCharType="begin"/>
        </w:r>
        <w:r w:rsidR="00B36E3D">
          <w:rPr>
            <w:noProof/>
            <w:webHidden/>
          </w:rPr>
          <w:instrText xml:space="preserve"> PAGEREF _Toc146183287 \h </w:instrText>
        </w:r>
        <w:r w:rsidR="00B36E3D">
          <w:rPr>
            <w:noProof/>
            <w:webHidden/>
          </w:rPr>
        </w:r>
        <w:r w:rsidR="00B36E3D">
          <w:rPr>
            <w:noProof/>
            <w:webHidden/>
          </w:rPr>
          <w:fldChar w:fldCharType="separate"/>
        </w:r>
        <w:r w:rsidR="002A1828">
          <w:rPr>
            <w:noProof/>
            <w:webHidden/>
          </w:rPr>
          <w:t>49</w:t>
        </w:r>
        <w:r w:rsidR="00B36E3D">
          <w:rPr>
            <w:noProof/>
            <w:webHidden/>
          </w:rPr>
          <w:fldChar w:fldCharType="end"/>
        </w:r>
      </w:hyperlink>
    </w:p>
    <w:p w14:paraId="6052F9C5" w14:textId="42F48213" w:rsidR="00B36E3D" w:rsidRDefault="00000000">
      <w:pPr>
        <w:pStyle w:val="TOC2"/>
        <w:rPr>
          <w:rFonts w:asciiTheme="minorHAnsi" w:eastAsiaTheme="minorEastAsia" w:hAnsiTheme="minorHAnsi" w:cstheme="minorBidi"/>
          <w:noProof/>
          <w:kern w:val="2"/>
          <w:sz w:val="22"/>
          <w:szCs w:val="22"/>
          <w14:ligatures w14:val="standardContextual"/>
        </w:rPr>
      </w:pPr>
      <w:hyperlink w:anchor="_Toc146183288" w:history="1">
        <w:r w:rsidR="00B36E3D" w:rsidRPr="00B22E2A">
          <w:rPr>
            <w:rStyle w:val="Hyperlink"/>
            <w:noProof/>
          </w:rPr>
          <w:t>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Patient Communication</w:t>
        </w:r>
        <w:r w:rsidR="00B36E3D">
          <w:rPr>
            <w:noProof/>
            <w:webHidden/>
          </w:rPr>
          <w:tab/>
        </w:r>
        <w:r w:rsidR="00B36E3D">
          <w:rPr>
            <w:noProof/>
            <w:webHidden/>
          </w:rPr>
          <w:fldChar w:fldCharType="begin"/>
        </w:r>
        <w:r w:rsidR="00B36E3D">
          <w:rPr>
            <w:noProof/>
            <w:webHidden/>
          </w:rPr>
          <w:instrText xml:space="preserve"> PAGEREF _Toc146183288 \h </w:instrText>
        </w:r>
        <w:r w:rsidR="00B36E3D">
          <w:rPr>
            <w:noProof/>
            <w:webHidden/>
          </w:rPr>
        </w:r>
        <w:r w:rsidR="00B36E3D">
          <w:rPr>
            <w:noProof/>
            <w:webHidden/>
          </w:rPr>
          <w:fldChar w:fldCharType="separate"/>
        </w:r>
        <w:r w:rsidR="002A1828">
          <w:rPr>
            <w:noProof/>
            <w:webHidden/>
          </w:rPr>
          <w:t>50</w:t>
        </w:r>
        <w:r w:rsidR="00B36E3D">
          <w:rPr>
            <w:noProof/>
            <w:webHidden/>
          </w:rPr>
          <w:fldChar w:fldCharType="end"/>
        </w:r>
      </w:hyperlink>
    </w:p>
    <w:p w14:paraId="6A44F5D2" w14:textId="588D8313"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89" w:history="1">
        <w:r w:rsidR="00B36E3D" w:rsidRPr="00B22E2A">
          <w:rPr>
            <w:rStyle w:val="Hyperlink"/>
            <w:noProof/>
          </w:rPr>
          <w:t>3.1.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Manual Communication</w:t>
        </w:r>
        <w:r w:rsidR="00B36E3D">
          <w:rPr>
            <w:noProof/>
            <w:webHidden/>
          </w:rPr>
          <w:tab/>
        </w:r>
        <w:r w:rsidR="00B36E3D">
          <w:rPr>
            <w:noProof/>
            <w:webHidden/>
          </w:rPr>
          <w:fldChar w:fldCharType="begin"/>
        </w:r>
        <w:r w:rsidR="00B36E3D">
          <w:rPr>
            <w:noProof/>
            <w:webHidden/>
          </w:rPr>
          <w:instrText xml:space="preserve"> PAGEREF _Toc146183289 \h </w:instrText>
        </w:r>
        <w:r w:rsidR="00B36E3D">
          <w:rPr>
            <w:noProof/>
            <w:webHidden/>
          </w:rPr>
        </w:r>
        <w:r w:rsidR="00B36E3D">
          <w:rPr>
            <w:noProof/>
            <w:webHidden/>
          </w:rPr>
          <w:fldChar w:fldCharType="separate"/>
        </w:r>
        <w:r w:rsidR="002A1828">
          <w:rPr>
            <w:noProof/>
            <w:webHidden/>
          </w:rPr>
          <w:t>50</w:t>
        </w:r>
        <w:r w:rsidR="00B36E3D">
          <w:rPr>
            <w:noProof/>
            <w:webHidden/>
          </w:rPr>
          <w:fldChar w:fldCharType="end"/>
        </w:r>
      </w:hyperlink>
    </w:p>
    <w:p w14:paraId="729771C5" w14:textId="01FF10FE"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90" w:history="1">
        <w:r w:rsidR="00B36E3D" w:rsidRPr="00B22E2A">
          <w:rPr>
            <w:rStyle w:val="Hyperlink"/>
            <w:noProof/>
          </w:rPr>
          <w:t>3.2.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Appointment Lists</w:t>
        </w:r>
        <w:r w:rsidR="00B36E3D">
          <w:rPr>
            <w:noProof/>
            <w:webHidden/>
          </w:rPr>
          <w:tab/>
        </w:r>
        <w:r w:rsidR="00B36E3D">
          <w:rPr>
            <w:noProof/>
            <w:webHidden/>
          </w:rPr>
          <w:fldChar w:fldCharType="begin"/>
        </w:r>
        <w:r w:rsidR="00B36E3D">
          <w:rPr>
            <w:noProof/>
            <w:webHidden/>
          </w:rPr>
          <w:instrText xml:space="preserve"> PAGEREF _Toc146183290 \h </w:instrText>
        </w:r>
        <w:r w:rsidR="00B36E3D">
          <w:rPr>
            <w:noProof/>
            <w:webHidden/>
          </w:rPr>
        </w:r>
        <w:r w:rsidR="00B36E3D">
          <w:rPr>
            <w:noProof/>
            <w:webHidden/>
          </w:rPr>
          <w:fldChar w:fldCharType="separate"/>
        </w:r>
        <w:r w:rsidR="002A1828">
          <w:rPr>
            <w:noProof/>
            <w:webHidden/>
          </w:rPr>
          <w:t>51</w:t>
        </w:r>
        <w:r w:rsidR="00B36E3D">
          <w:rPr>
            <w:noProof/>
            <w:webHidden/>
          </w:rPr>
          <w:fldChar w:fldCharType="end"/>
        </w:r>
      </w:hyperlink>
    </w:p>
    <w:p w14:paraId="36F495C4" w14:textId="55FBFA49"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91" w:history="1">
        <w:r w:rsidR="00B36E3D" w:rsidRPr="00B22E2A">
          <w:rPr>
            <w:rStyle w:val="Hyperlink"/>
            <w:noProof/>
          </w:rPr>
          <w:t>3.3.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Automated Campaigns</w:t>
        </w:r>
        <w:r w:rsidR="00B36E3D">
          <w:rPr>
            <w:noProof/>
            <w:webHidden/>
          </w:rPr>
          <w:tab/>
        </w:r>
        <w:r w:rsidR="00B36E3D">
          <w:rPr>
            <w:noProof/>
            <w:webHidden/>
          </w:rPr>
          <w:fldChar w:fldCharType="begin"/>
        </w:r>
        <w:r w:rsidR="00B36E3D">
          <w:rPr>
            <w:noProof/>
            <w:webHidden/>
          </w:rPr>
          <w:instrText xml:space="preserve"> PAGEREF _Toc146183291 \h </w:instrText>
        </w:r>
        <w:r w:rsidR="00B36E3D">
          <w:rPr>
            <w:noProof/>
            <w:webHidden/>
          </w:rPr>
        </w:r>
        <w:r w:rsidR="00B36E3D">
          <w:rPr>
            <w:noProof/>
            <w:webHidden/>
          </w:rPr>
          <w:fldChar w:fldCharType="separate"/>
        </w:r>
        <w:r w:rsidR="002A1828">
          <w:rPr>
            <w:noProof/>
            <w:webHidden/>
          </w:rPr>
          <w:t>51</w:t>
        </w:r>
        <w:r w:rsidR="00B36E3D">
          <w:rPr>
            <w:noProof/>
            <w:webHidden/>
          </w:rPr>
          <w:fldChar w:fldCharType="end"/>
        </w:r>
      </w:hyperlink>
    </w:p>
    <w:p w14:paraId="60225C23" w14:textId="0C019D24" w:rsidR="00B36E3D"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46183292" w:history="1">
        <w:r w:rsidR="00B36E3D" w:rsidRPr="00B22E2A">
          <w:rPr>
            <w:rStyle w:val="Hyperlink"/>
            <w:noProof/>
          </w:rPr>
          <w:t>Patient Records Management</w:t>
        </w:r>
        <w:r w:rsidR="00B36E3D">
          <w:rPr>
            <w:noProof/>
            <w:webHidden/>
          </w:rPr>
          <w:tab/>
        </w:r>
        <w:r w:rsidR="00B36E3D">
          <w:rPr>
            <w:noProof/>
            <w:webHidden/>
          </w:rPr>
          <w:fldChar w:fldCharType="begin"/>
        </w:r>
        <w:r w:rsidR="00B36E3D">
          <w:rPr>
            <w:noProof/>
            <w:webHidden/>
          </w:rPr>
          <w:instrText xml:space="preserve"> PAGEREF _Toc146183292 \h </w:instrText>
        </w:r>
        <w:r w:rsidR="00B36E3D">
          <w:rPr>
            <w:noProof/>
            <w:webHidden/>
          </w:rPr>
        </w:r>
        <w:r w:rsidR="00B36E3D">
          <w:rPr>
            <w:noProof/>
            <w:webHidden/>
          </w:rPr>
          <w:fldChar w:fldCharType="separate"/>
        </w:r>
        <w:r w:rsidR="002A1828">
          <w:rPr>
            <w:noProof/>
            <w:webHidden/>
          </w:rPr>
          <w:t>52</w:t>
        </w:r>
        <w:r w:rsidR="00B36E3D">
          <w:rPr>
            <w:noProof/>
            <w:webHidden/>
          </w:rPr>
          <w:fldChar w:fldCharType="end"/>
        </w:r>
      </w:hyperlink>
    </w:p>
    <w:p w14:paraId="2135A60D" w14:textId="5FD14902" w:rsidR="00B36E3D" w:rsidRDefault="00000000">
      <w:pPr>
        <w:pStyle w:val="TOC2"/>
        <w:rPr>
          <w:rFonts w:asciiTheme="minorHAnsi" w:eastAsiaTheme="minorEastAsia" w:hAnsiTheme="minorHAnsi" w:cstheme="minorBidi"/>
          <w:noProof/>
          <w:kern w:val="2"/>
          <w:sz w:val="22"/>
          <w:szCs w:val="22"/>
          <w14:ligatures w14:val="standardContextual"/>
        </w:rPr>
      </w:pPr>
      <w:hyperlink w:anchor="_Toc146183293" w:history="1">
        <w:r w:rsidR="00B36E3D" w:rsidRPr="00B22E2A">
          <w:rPr>
            <w:rStyle w:val="Hyperlink"/>
            <w:noProof/>
            <w:lang w:val="en"/>
          </w:rPr>
          <w:t>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lang w:val="en"/>
          </w:rPr>
          <w:t>Patient Forms</w:t>
        </w:r>
        <w:r w:rsidR="00B36E3D">
          <w:rPr>
            <w:noProof/>
            <w:webHidden/>
          </w:rPr>
          <w:tab/>
        </w:r>
        <w:r w:rsidR="00B36E3D">
          <w:rPr>
            <w:noProof/>
            <w:webHidden/>
          </w:rPr>
          <w:fldChar w:fldCharType="begin"/>
        </w:r>
        <w:r w:rsidR="00B36E3D">
          <w:rPr>
            <w:noProof/>
            <w:webHidden/>
          </w:rPr>
          <w:instrText xml:space="preserve"> PAGEREF _Toc146183293 \h </w:instrText>
        </w:r>
        <w:r w:rsidR="00B36E3D">
          <w:rPr>
            <w:noProof/>
            <w:webHidden/>
          </w:rPr>
        </w:r>
        <w:r w:rsidR="00B36E3D">
          <w:rPr>
            <w:noProof/>
            <w:webHidden/>
          </w:rPr>
          <w:fldChar w:fldCharType="separate"/>
        </w:r>
        <w:r w:rsidR="002A1828">
          <w:rPr>
            <w:noProof/>
            <w:webHidden/>
          </w:rPr>
          <w:t>52</w:t>
        </w:r>
        <w:r w:rsidR="00B36E3D">
          <w:rPr>
            <w:noProof/>
            <w:webHidden/>
          </w:rPr>
          <w:fldChar w:fldCharType="end"/>
        </w:r>
      </w:hyperlink>
    </w:p>
    <w:p w14:paraId="222FF374" w14:textId="1B0365FA"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94" w:history="1">
        <w:r w:rsidR="00B36E3D" w:rsidRPr="00B22E2A">
          <w:rPr>
            <w:rStyle w:val="Hyperlink"/>
            <w:noProof/>
            <w:lang w:val="en"/>
          </w:rPr>
          <w:t>1.1.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lang w:val="en"/>
          </w:rPr>
          <w:t>Quick Letters</w:t>
        </w:r>
        <w:r w:rsidR="00B36E3D">
          <w:rPr>
            <w:noProof/>
            <w:webHidden/>
          </w:rPr>
          <w:tab/>
        </w:r>
        <w:r w:rsidR="00B36E3D">
          <w:rPr>
            <w:noProof/>
            <w:webHidden/>
          </w:rPr>
          <w:fldChar w:fldCharType="begin"/>
        </w:r>
        <w:r w:rsidR="00B36E3D">
          <w:rPr>
            <w:noProof/>
            <w:webHidden/>
          </w:rPr>
          <w:instrText xml:space="preserve"> PAGEREF _Toc146183294 \h </w:instrText>
        </w:r>
        <w:r w:rsidR="00B36E3D">
          <w:rPr>
            <w:noProof/>
            <w:webHidden/>
          </w:rPr>
        </w:r>
        <w:r w:rsidR="00B36E3D">
          <w:rPr>
            <w:noProof/>
            <w:webHidden/>
          </w:rPr>
          <w:fldChar w:fldCharType="separate"/>
        </w:r>
        <w:r w:rsidR="002A1828">
          <w:rPr>
            <w:noProof/>
            <w:webHidden/>
          </w:rPr>
          <w:t>52</w:t>
        </w:r>
        <w:r w:rsidR="00B36E3D">
          <w:rPr>
            <w:noProof/>
            <w:webHidden/>
          </w:rPr>
          <w:fldChar w:fldCharType="end"/>
        </w:r>
      </w:hyperlink>
    </w:p>
    <w:p w14:paraId="249B5B7F" w14:textId="007847E8"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95" w:history="1">
        <w:r w:rsidR="00B36E3D" w:rsidRPr="00B22E2A">
          <w:rPr>
            <w:rStyle w:val="Hyperlink"/>
            <w:noProof/>
            <w:lang w:val="en"/>
          </w:rPr>
          <w:t>1.2.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lang w:val="en"/>
          </w:rPr>
          <w:t>Consent Forms</w:t>
        </w:r>
        <w:r w:rsidR="00B36E3D">
          <w:rPr>
            <w:noProof/>
            <w:webHidden/>
          </w:rPr>
          <w:tab/>
        </w:r>
        <w:r w:rsidR="00B36E3D">
          <w:rPr>
            <w:noProof/>
            <w:webHidden/>
          </w:rPr>
          <w:fldChar w:fldCharType="begin"/>
        </w:r>
        <w:r w:rsidR="00B36E3D">
          <w:rPr>
            <w:noProof/>
            <w:webHidden/>
          </w:rPr>
          <w:instrText xml:space="preserve"> PAGEREF _Toc146183295 \h </w:instrText>
        </w:r>
        <w:r w:rsidR="00B36E3D">
          <w:rPr>
            <w:noProof/>
            <w:webHidden/>
          </w:rPr>
        </w:r>
        <w:r w:rsidR="00B36E3D">
          <w:rPr>
            <w:noProof/>
            <w:webHidden/>
          </w:rPr>
          <w:fldChar w:fldCharType="separate"/>
        </w:r>
        <w:r w:rsidR="002A1828">
          <w:rPr>
            <w:noProof/>
            <w:webHidden/>
          </w:rPr>
          <w:t>52</w:t>
        </w:r>
        <w:r w:rsidR="00B36E3D">
          <w:rPr>
            <w:noProof/>
            <w:webHidden/>
          </w:rPr>
          <w:fldChar w:fldCharType="end"/>
        </w:r>
      </w:hyperlink>
    </w:p>
    <w:p w14:paraId="7711CD02" w14:textId="2AECDE27"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96" w:history="1">
        <w:r w:rsidR="00B36E3D" w:rsidRPr="00B22E2A">
          <w:rPr>
            <w:rStyle w:val="Hyperlink"/>
            <w:noProof/>
            <w:lang w:val="en"/>
          </w:rPr>
          <w:t>1.3.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lang w:val="en"/>
          </w:rPr>
          <w:t>Questionnaires</w:t>
        </w:r>
        <w:r w:rsidR="00B36E3D">
          <w:rPr>
            <w:noProof/>
            <w:webHidden/>
          </w:rPr>
          <w:tab/>
        </w:r>
        <w:r w:rsidR="00B36E3D">
          <w:rPr>
            <w:noProof/>
            <w:webHidden/>
          </w:rPr>
          <w:fldChar w:fldCharType="begin"/>
        </w:r>
        <w:r w:rsidR="00B36E3D">
          <w:rPr>
            <w:noProof/>
            <w:webHidden/>
          </w:rPr>
          <w:instrText xml:space="preserve"> PAGEREF _Toc146183296 \h </w:instrText>
        </w:r>
        <w:r w:rsidR="00B36E3D">
          <w:rPr>
            <w:noProof/>
            <w:webHidden/>
          </w:rPr>
        </w:r>
        <w:r w:rsidR="00B36E3D">
          <w:rPr>
            <w:noProof/>
            <w:webHidden/>
          </w:rPr>
          <w:fldChar w:fldCharType="separate"/>
        </w:r>
        <w:r w:rsidR="002A1828">
          <w:rPr>
            <w:noProof/>
            <w:webHidden/>
          </w:rPr>
          <w:t>52</w:t>
        </w:r>
        <w:r w:rsidR="00B36E3D">
          <w:rPr>
            <w:noProof/>
            <w:webHidden/>
          </w:rPr>
          <w:fldChar w:fldCharType="end"/>
        </w:r>
      </w:hyperlink>
    </w:p>
    <w:p w14:paraId="00F2B693" w14:textId="690C5589" w:rsidR="00B36E3D" w:rsidRDefault="00000000">
      <w:pPr>
        <w:pStyle w:val="TOC2"/>
        <w:rPr>
          <w:rFonts w:asciiTheme="minorHAnsi" w:eastAsiaTheme="minorEastAsia" w:hAnsiTheme="minorHAnsi" w:cstheme="minorBidi"/>
          <w:noProof/>
          <w:kern w:val="2"/>
          <w:sz w:val="22"/>
          <w:szCs w:val="22"/>
          <w14:ligatures w14:val="standardContextual"/>
        </w:rPr>
      </w:pPr>
      <w:hyperlink w:anchor="_Toc146183297" w:history="1">
        <w:r w:rsidR="00B36E3D" w:rsidRPr="00B22E2A">
          <w:rPr>
            <w:rStyle w:val="Hyperlink"/>
            <w:noProof/>
          </w:rPr>
          <w:t>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Patient/Household File</w:t>
        </w:r>
        <w:r w:rsidR="00B36E3D">
          <w:rPr>
            <w:noProof/>
            <w:webHidden/>
          </w:rPr>
          <w:tab/>
        </w:r>
        <w:r w:rsidR="00B36E3D">
          <w:rPr>
            <w:noProof/>
            <w:webHidden/>
          </w:rPr>
          <w:fldChar w:fldCharType="begin"/>
        </w:r>
        <w:r w:rsidR="00B36E3D">
          <w:rPr>
            <w:noProof/>
            <w:webHidden/>
          </w:rPr>
          <w:instrText xml:space="preserve"> PAGEREF _Toc146183297 \h </w:instrText>
        </w:r>
        <w:r w:rsidR="00B36E3D">
          <w:rPr>
            <w:noProof/>
            <w:webHidden/>
          </w:rPr>
        </w:r>
        <w:r w:rsidR="00B36E3D">
          <w:rPr>
            <w:noProof/>
            <w:webHidden/>
          </w:rPr>
          <w:fldChar w:fldCharType="separate"/>
        </w:r>
        <w:r w:rsidR="002A1828">
          <w:rPr>
            <w:noProof/>
            <w:webHidden/>
          </w:rPr>
          <w:t>53</w:t>
        </w:r>
        <w:r w:rsidR="00B36E3D">
          <w:rPr>
            <w:noProof/>
            <w:webHidden/>
          </w:rPr>
          <w:fldChar w:fldCharType="end"/>
        </w:r>
      </w:hyperlink>
    </w:p>
    <w:p w14:paraId="7A52C7CB" w14:textId="6ECBE1CB"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98" w:history="1">
        <w:r w:rsidR="00B36E3D" w:rsidRPr="00B22E2A">
          <w:rPr>
            <w:rStyle w:val="Hyperlink"/>
            <w:noProof/>
          </w:rPr>
          <w:t>2.1.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Patient Information</w:t>
        </w:r>
        <w:r w:rsidR="00B36E3D">
          <w:rPr>
            <w:noProof/>
            <w:webHidden/>
          </w:rPr>
          <w:tab/>
        </w:r>
        <w:r w:rsidR="00B36E3D">
          <w:rPr>
            <w:noProof/>
            <w:webHidden/>
          </w:rPr>
          <w:fldChar w:fldCharType="begin"/>
        </w:r>
        <w:r w:rsidR="00B36E3D">
          <w:rPr>
            <w:noProof/>
            <w:webHidden/>
          </w:rPr>
          <w:instrText xml:space="preserve"> PAGEREF _Toc146183298 \h </w:instrText>
        </w:r>
        <w:r w:rsidR="00B36E3D">
          <w:rPr>
            <w:noProof/>
            <w:webHidden/>
          </w:rPr>
        </w:r>
        <w:r w:rsidR="00B36E3D">
          <w:rPr>
            <w:noProof/>
            <w:webHidden/>
          </w:rPr>
          <w:fldChar w:fldCharType="separate"/>
        </w:r>
        <w:r w:rsidR="002A1828">
          <w:rPr>
            <w:noProof/>
            <w:webHidden/>
          </w:rPr>
          <w:t>53</w:t>
        </w:r>
        <w:r w:rsidR="00B36E3D">
          <w:rPr>
            <w:noProof/>
            <w:webHidden/>
          </w:rPr>
          <w:fldChar w:fldCharType="end"/>
        </w:r>
      </w:hyperlink>
    </w:p>
    <w:p w14:paraId="54C79EE6" w14:textId="4C017B82"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99" w:history="1">
        <w:r w:rsidR="00B36E3D" w:rsidRPr="00B22E2A">
          <w:rPr>
            <w:rStyle w:val="Hyperlink"/>
            <w:noProof/>
          </w:rPr>
          <w:t>2.2.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Continuing Care</w:t>
        </w:r>
        <w:r w:rsidR="00B36E3D">
          <w:rPr>
            <w:noProof/>
            <w:webHidden/>
          </w:rPr>
          <w:tab/>
        </w:r>
        <w:r w:rsidR="00B36E3D">
          <w:rPr>
            <w:noProof/>
            <w:webHidden/>
          </w:rPr>
          <w:fldChar w:fldCharType="begin"/>
        </w:r>
        <w:r w:rsidR="00B36E3D">
          <w:rPr>
            <w:noProof/>
            <w:webHidden/>
          </w:rPr>
          <w:instrText xml:space="preserve"> PAGEREF _Toc146183299 \h </w:instrText>
        </w:r>
        <w:r w:rsidR="00B36E3D">
          <w:rPr>
            <w:noProof/>
            <w:webHidden/>
          </w:rPr>
        </w:r>
        <w:r w:rsidR="00B36E3D">
          <w:rPr>
            <w:noProof/>
            <w:webHidden/>
          </w:rPr>
          <w:fldChar w:fldCharType="separate"/>
        </w:r>
        <w:r w:rsidR="002A1828">
          <w:rPr>
            <w:noProof/>
            <w:webHidden/>
          </w:rPr>
          <w:t>54</w:t>
        </w:r>
        <w:r w:rsidR="00B36E3D">
          <w:rPr>
            <w:noProof/>
            <w:webHidden/>
          </w:rPr>
          <w:fldChar w:fldCharType="end"/>
        </w:r>
      </w:hyperlink>
    </w:p>
    <w:p w14:paraId="0927AF01" w14:textId="4B36FF6D"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00" w:history="1">
        <w:r w:rsidR="00B36E3D" w:rsidRPr="00B22E2A">
          <w:rPr>
            <w:rStyle w:val="Hyperlink"/>
            <w:noProof/>
          </w:rPr>
          <w:t>2.3.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Referral Information</w:t>
        </w:r>
        <w:r w:rsidR="00B36E3D">
          <w:rPr>
            <w:noProof/>
            <w:webHidden/>
          </w:rPr>
          <w:tab/>
        </w:r>
        <w:r w:rsidR="00B36E3D">
          <w:rPr>
            <w:noProof/>
            <w:webHidden/>
          </w:rPr>
          <w:fldChar w:fldCharType="begin"/>
        </w:r>
        <w:r w:rsidR="00B36E3D">
          <w:rPr>
            <w:noProof/>
            <w:webHidden/>
          </w:rPr>
          <w:instrText xml:space="preserve"> PAGEREF _Toc146183300 \h </w:instrText>
        </w:r>
        <w:r w:rsidR="00B36E3D">
          <w:rPr>
            <w:noProof/>
            <w:webHidden/>
          </w:rPr>
        </w:r>
        <w:r w:rsidR="00B36E3D">
          <w:rPr>
            <w:noProof/>
            <w:webHidden/>
          </w:rPr>
          <w:fldChar w:fldCharType="separate"/>
        </w:r>
        <w:r w:rsidR="002A1828">
          <w:rPr>
            <w:noProof/>
            <w:webHidden/>
          </w:rPr>
          <w:t>55</w:t>
        </w:r>
        <w:r w:rsidR="00B36E3D">
          <w:rPr>
            <w:noProof/>
            <w:webHidden/>
          </w:rPr>
          <w:fldChar w:fldCharType="end"/>
        </w:r>
      </w:hyperlink>
    </w:p>
    <w:p w14:paraId="52717DD9" w14:textId="34AF9283" w:rsidR="00B36E3D" w:rsidRDefault="00000000">
      <w:pPr>
        <w:pStyle w:val="TOC2"/>
        <w:rPr>
          <w:rFonts w:asciiTheme="minorHAnsi" w:eastAsiaTheme="minorEastAsia" w:hAnsiTheme="minorHAnsi" w:cstheme="minorBidi"/>
          <w:noProof/>
          <w:kern w:val="2"/>
          <w:sz w:val="22"/>
          <w:szCs w:val="22"/>
          <w14:ligatures w14:val="standardContextual"/>
        </w:rPr>
      </w:pPr>
      <w:hyperlink w:anchor="_Toc146183301" w:history="1">
        <w:r w:rsidR="00B36E3D" w:rsidRPr="00B22E2A">
          <w:rPr>
            <w:rStyle w:val="Hyperlink"/>
            <w:noProof/>
          </w:rPr>
          <w:t>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Patient Financial and Billing Information</w:t>
        </w:r>
        <w:r w:rsidR="00B36E3D">
          <w:rPr>
            <w:noProof/>
            <w:webHidden/>
          </w:rPr>
          <w:tab/>
        </w:r>
        <w:r w:rsidR="00B36E3D">
          <w:rPr>
            <w:noProof/>
            <w:webHidden/>
          </w:rPr>
          <w:fldChar w:fldCharType="begin"/>
        </w:r>
        <w:r w:rsidR="00B36E3D">
          <w:rPr>
            <w:noProof/>
            <w:webHidden/>
          </w:rPr>
          <w:instrText xml:space="preserve"> PAGEREF _Toc146183301 \h </w:instrText>
        </w:r>
        <w:r w:rsidR="00B36E3D">
          <w:rPr>
            <w:noProof/>
            <w:webHidden/>
          </w:rPr>
        </w:r>
        <w:r w:rsidR="00B36E3D">
          <w:rPr>
            <w:noProof/>
            <w:webHidden/>
          </w:rPr>
          <w:fldChar w:fldCharType="separate"/>
        </w:r>
        <w:r w:rsidR="002A1828">
          <w:rPr>
            <w:noProof/>
            <w:webHidden/>
          </w:rPr>
          <w:t>55</w:t>
        </w:r>
        <w:r w:rsidR="00B36E3D">
          <w:rPr>
            <w:noProof/>
            <w:webHidden/>
          </w:rPr>
          <w:fldChar w:fldCharType="end"/>
        </w:r>
      </w:hyperlink>
    </w:p>
    <w:p w14:paraId="66F5C86B" w14:textId="33C113C5"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02" w:history="1">
        <w:r w:rsidR="00B36E3D" w:rsidRPr="00B22E2A">
          <w:rPr>
            <w:rStyle w:val="Hyperlink"/>
            <w:noProof/>
          </w:rPr>
          <w:t>3.1.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Billing Types</w:t>
        </w:r>
        <w:r w:rsidR="00B36E3D">
          <w:rPr>
            <w:noProof/>
            <w:webHidden/>
          </w:rPr>
          <w:tab/>
        </w:r>
        <w:r w:rsidR="00B36E3D">
          <w:rPr>
            <w:noProof/>
            <w:webHidden/>
          </w:rPr>
          <w:fldChar w:fldCharType="begin"/>
        </w:r>
        <w:r w:rsidR="00B36E3D">
          <w:rPr>
            <w:noProof/>
            <w:webHidden/>
          </w:rPr>
          <w:instrText xml:space="preserve"> PAGEREF _Toc146183302 \h </w:instrText>
        </w:r>
        <w:r w:rsidR="00B36E3D">
          <w:rPr>
            <w:noProof/>
            <w:webHidden/>
          </w:rPr>
        </w:r>
        <w:r w:rsidR="00B36E3D">
          <w:rPr>
            <w:noProof/>
            <w:webHidden/>
          </w:rPr>
          <w:fldChar w:fldCharType="separate"/>
        </w:r>
        <w:r w:rsidR="002A1828">
          <w:rPr>
            <w:noProof/>
            <w:webHidden/>
          </w:rPr>
          <w:t>55</w:t>
        </w:r>
        <w:r w:rsidR="00B36E3D">
          <w:rPr>
            <w:noProof/>
            <w:webHidden/>
          </w:rPr>
          <w:fldChar w:fldCharType="end"/>
        </w:r>
      </w:hyperlink>
    </w:p>
    <w:p w14:paraId="7E16A1DC" w14:textId="1E0617C9"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03" w:history="1">
        <w:r w:rsidR="00B36E3D" w:rsidRPr="00B22E2A">
          <w:rPr>
            <w:rStyle w:val="Hyperlink"/>
            <w:noProof/>
          </w:rPr>
          <w:t>3.2.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Insurance</w:t>
        </w:r>
        <w:r w:rsidR="00B36E3D">
          <w:rPr>
            <w:noProof/>
            <w:webHidden/>
          </w:rPr>
          <w:tab/>
        </w:r>
        <w:r w:rsidR="00B36E3D">
          <w:rPr>
            <w:noProof/>
            <w:webHidden/>
          </w:rPr>
          <w:fldChar w:fldCharType="begin"/>
        </w:r>
        <w:r w:rsidR="00B36E3D">
          <w:rPr>
            <w:noProof/>
            <w:webHidden/>
          </w:rPr>
          <w:instrText xml:space="preserve"> PAGEREF _Toc146183303 \h </w:instrText>
        </w:r>
        <w:r w:rsidR="00B36E3D">
          <w:rPr>
            <w:noProof/>
            <w:webHidden/>
          </w:rPr>
        </w:r>
        <w:r w:rsidR="00B36E3D">
          <w:rPr>
            <w:noProof/>
            <w:webHidden/>
          </w:rPr>
          <w:fldChar w:fldCharType="separate"/>
        </w:r>
        <w:r w:rsidR="002A1828">
          <w:rPr>
            <w:noProof/>
            <w:webHidden/>
          </w:rPr>
          <w:t>56</w:t>
        </w:r>
        <w:r w:rsidR="00B36E3D">
          <w:rPr>
            <w:noProof/>
            <w:webHidden/>
          </w:rPr>
          <w:fldChar w:fldCharType="end"/>
        </w:r>
      </w:hyperlink>
    </w:p>
    <w:p w14:paraId="454C71D4" w14:textId="0F2A37FC" w:rsidR="00B36E3D" w:rsidRDefault="00000000">
      <w:pPr>
        <w:pStyle w:val="TOC2"/>
        <w:rPr>
          <w:rFonts w:asciiTheme="minorHAnsi" w:eastAsiaTheme="minorEastAsia" w:hAnsiTheme="minorHAnsi" w:cstheme="minorBidi"/>
          <w:noProof/>
          <w:kern w:val="2"/>
          <w:sz w:val="22"/>
          <w:szCs w:val="22"/>
          <w14:ligatures w14:val="standardContextual"/>
        </w:rPr>
      </w:pPr>
      <w:hyperlink w:anchor="_Toc146183304" w:history="1">
        <w:r w:rsidR="00B36E3D" w:rsidRPr="00B22E2A">
          <w:rPr>
            <w:rStyle w:val="Hyperlink"/>
            <w:noProof/>
          </w:rPr>
          <w:t>4.</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Administrative/Patient Notes</w:t>
        </w:r>
        <w:r w:rsidR="00B36E3D">
          <w:rPr>
            <w:noProof/>
            <w:webHidden/>
          </w:rPr>
          <w:tab/>
        </w:r>
        <w:r w:rsidR="00B36E3D">
          <w:rPr>
            <w:noProof/>
            <w:webHidden/>
          </w:rPr>
          <w:fldChar w:fldCharType="begin"/>
        </w:r>
        <w:r w:rsidR="00B36E3D">
          <w:rPr>
            <w:noProof/>
            <w:webHidden/>
          </w:rPr>
          <w:instrText xml:space="preserve"> PAGEREF _Toc146183304 \h </w:instrText>
        </w:r>
        <w:r w:rsidR="00B36E3D">
          <w:rPr>
            <w:noProof/>
            <w:webHidden/>
          </w:rPr>
        </w:r>
        <w:r w:rsidR="00B36E3D">
          <w:rPr>
            <w:noProof/>
            <w:webHidden/>
          </w:rPr>
          <w:fldChar w:fldCharType="separate"/>
        </w:r>
        <w:r w:rsidR="002A1828">
          <w:rPr>
            <w:noProof/>
            <w:webHidden/>
          </w:rPr>
          <w:t>57</w:t>
        </w:r>
        <w:r w:rsidR="00B36E3D">
          <w:rPr>
            <w:noProof/>
            <w:webHidden/>
          </w:rPr>
          <w:fldChar w:fldCharType="end"/>
        </w:r>
      </w:hyperlink>
    </w:p>
    <w:p w14:paraId="20B7A410" w14:textId="17768EB7"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05" w:history="1">
        <w:r w:rsidR="00B36E3D" w:rsidRPr="00B22E2A">
          <w:rPr>
            <w:rStyle w:val="Hyperlink"/>
            <w:noProof/>
          </w:rPr>
          <w:t>4.1.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Office Journal</w:t>
        </w:r>
        <w:r w:rsidR="00B36E3D">
          <w:rPr>
            <w:noProof/>
            <w:webHidden/>
          </w:rPr>
          <w:tab/>
        </w:r>
        <w:r w:rsidR="00B36E3D">
          <w:rPr>
            <w:noProof/>
            <w:webHidden/>
          </w:rPr>
          <w:fldChar w:fldCharType="begin"/>
        </w:r>
        <w:r w:rsidR="00B36E3D">
          <w:rPr>
            <w:noProof/>
            <w:webHidden/>
          </w:rPr>
          <w:instrText xml:space="preserve"> PAGEREF _Toc146183305 \h </w:instrText>
        </w:r>
        <w:r w:rsidR="00B36E3D">
          <w:rPr>
            <w:noProof/>
            <w:webHidden/>
          </w:rPr>
        </w:r>
        <w:r w:rsidR="00B36E3D">
          <w:rPr>
            <w:noProof/>
            <w:webHidden/>
          </w:rPr>
          <w:fldChar w:fldCharType="separate"/>
        </w:r>
        <w:r w:rsidR="002A1828">
          <w:rPr>
            <w:noProof/>
            <w:webHidden/>
          </w:rPr>
          <w:t>57</w:t>
        </w:r>
        <w:r w:rsidR="00B36E3D">
          <w:rPr>
            <w:noProof/>
            <w:webHidden/>
          </w:rPr>
          <w:fldChar w:fldCharType="end"/>
        </w:r>
      </w:hyperlink>
    </w:p>
    <w:p w14:paraId="401DCFAE" w14:textId="52CE83BA"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06" w:history="1">
        <w:r w:rsidR="00B36E3D" w:rsidRPr="00B22E2A">
          <w:rPr>
            <w:rStyle w:val="Hyperlink"/>
            <w:noProof/>
          </w:rPr>
          <w:t>4.2.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Patient Note</w:t>
        </w:r>
        <w:r w:rsidR="00B36E3D">
          <w:rPr>
            <w:noProof/>
            <w:webHidden/>
          </w:rPr>
          <w:tab/>
        </w:r>
        <w:r w:rsidR="00B36E3D">
          <w:rPr>
            <w:noProof/>
            <w:webHidden/>
          </w:rPr>
          <w:fldChar w:fldCharType="begin"/>
        </w:r>
        <w:r w:rsidR="00B36E3D">
          <w:rPr>
            <w:noProof/>
            <w:webHidden/>
          </w:rPr>
          <w:instrText xml:space="preserve"> PAGEREF _Toc146183306 \h </w:instrText>
        </w:r>
        <w:r w:rsidR="00B36E3D">
          <w:rPr>
            <w:noProof/>
            <w:webHidden/>
          </w:rPr>
        </w:r>
        <w:r w:rsidR="00B36E3D">
          <w:rPr>
            <w:noProof/>
            <w:webHidden/>
          </w:rPr>
          <w:fldChar w:fldCharType="separate"/>
        </w:r>
        <w:r w:rsidR="002A1828">
          <w:rPr>
            <w:noProof/>
            <w:webHidden/>
          </w:rPr>
          <w:t>57</w:t>
        </w:r>
        <w:r w:rsidR="00B36E3D">
          <w:rPr>
            <w:noProof/>
            <w:webHidden/>
          </w:rPr>
          <w:fldChar w:fldCharType="end"/>
        </w:r>
      </w:hyperlink>
    </w:p>
    <w:p w14:paraId="52B52631" w14:textId="3C7E9AB7"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07" w:history="1">
        <w:r w:rsidR="00B36E3D" w:rsidRPr="00B22E2A">
          <w:rPr>
            <w:rStyle w:val="Hyperlink"/>
            <w:noProof/>
          </w:rPr>
          <w:t>4.3.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Decision Support</w:t>
        </w:r>
        <w:r w:rsidR="00B36E3D">
          <w:rPr>
            <w:noProof/>
            <w:webHidden/>
          </w:rPr>
          <w:tab/>
        </w:r>
        <w:r w:rsidR="00B36E3D">
          <w:rPr>
            <w:noProof/>
            <w:webHidden/>
          </w:rPr>
          <w:fldChar w:fldCharType="begin"/>
        </w:r>
        <w:r w:rsidR="00B36E3D">
          <w:rPr>
            <w:noProof/>
            <w:webHidden/>
          </w:rPr>
          <w:instrText xml:space="preserve"> PAGEREF _Toc146183307 \h </w:instrText>
        </w:r>
        <w:r w:rsidR="00B36E3D">
          <w:rPr>
            <w:noProof/>
            <w:webHidden/>
          </w:rPr>
        </w:r>
        <w:r w:rsidR="00B36E3D">
          <w:rPr>
            <w:noProof/>
            <w:webHidden/>
          </w:rPr>
          <w:fldChar w:fldCharType="separate"/>
        </w:r>
        <w:r w:rsidR="002A1828">
          <w:rPr>
            <w:noProof/>
            <w:webHidden/>
          </w:rPr>
          <w:t>57</w:t>
        </w:r>
        <w:r w:rsidR="00B36E3D">
          <w:rPr>
            <w:noProof/>
            <w:webHidden/>
          </w:rPr>
          <w:fldChar w:fldCharType="end"/>
        </w:r>
      </w:hyperlink>
    </w:p>
    <w:p w14:paraId="0A8719CB" w14:textId="4CD35A84"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08" w:history="1">
        <w:r w:rsidR="00B36E3D" w:rsidRPr="00B22E2A">
          <w:rPr>
            <w:rStyle w:val="Hyperlink"/>
            <w:noProof/>
          </w:rPr>
          <w:t>4.4.</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Document Storage</w:t>
        </w:r>
        <w:r w:rsidR="00B36E3D">
          <w:rPr>
            <w:noProof/>
            <w:webHidden/>
          </w:rPr>
          <w:tab/>
        </w:r>
        <w:r w:rsidR="00B36E3D">
          <w:rPr>
            <w:noProof/>
            <w:webHidden/>
          </w:rPr>
          <w:fldChar w:fldCharType="begin"/>
        </w:r>
        <w:r w:rsidR="00B36E3D">
          <w:rPr>
            <w:noProof/>
            <w:webHidden/>
          </w:rPr>
          <w:instrText xml:space="preserve"> PAGEREF _Toc146183308 \h </w:instrText>
        </w:r>
        <w:r w:rsidR="00B36E3D">
          <w:rPr>
            <w:noProof/>
            <w:webHidden/>
          </w:rPr>
        </w:r>
        <w:r w:rsidR="00B36E3D">
          <w:rPr>
            <w:noProof/>
            <w:webHidden/>
          </w:rPr>
          <w:fldChar w:fldCharType="separate"/>
        </w:r>
        <w:r w:rsidR="002A1828">
          <w:rPr>
            <w:noProof/>
            <w:webHidden/>
          </w:rPr>
          <w:t>58</w:t>
        </w:r>
        <w:r w:rsidR="00B36E3D">
          <w:rPr>
            <w:noProof/>
            <w:webHidden/>
          </w:rPr>
          <w:fldChar w:fldCharType="end"/>
        </w:r>
      </w:hyperlink>
    </w:p>
    <w:p w14:paraId="7BF53B1D" w14:textId="51C7C7F7"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09" w:history="1">
        <w:r w:rsidR="00B36E3D" w:rsidRPr="00B22E2A">
          <w:rPr>
            <w:rStyle w:val="Hyperlink"/>
            <w:noProof/>
          </w:rPr>
          <w:t>4.5.</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Patient Online Access (FUTURE)</w:t>
        </w:r>
        <w:r w:rsidR="00B36E3D">
          <w:rPr>
            <w:noProof/>
            <w:webHidden/>
          </w:rPr>
          <w:tab/>
        </w:r>
        <w:r w:rsidR="00B36E3D">
          <w:rPr>
            <w:noProof/>
            <w:webHidden/>
          </w:rPr>
          <w:fldChar w:fldCharType="begin"/>
        </w:r>
        <w:r w:rsidR="00B36E3D">
          <w:rPr>
            <w:noProof/>
            <w:webHidden/>
          </w:rPr>
          <w:instrText xml:space="preserve"> PAGEREF _Toc146183309 \h </w:instrText>
        </w:r>
        <w:r w:rsidR="00B36E3D">
          <w:rPr>
            <w:noProof/>
            <w:webHidden/>
          </w:rPr>
        </w:r>
        <w:r w:rsidR="00B36E3D">
          <w:rPr>
            <w:noProof/>
            <w:webHidden/>
          </w:rPr>
          <w:fldChar w:fldCharType="separate"/>
        </w:r>
        <w:r w:rsidR="002A1828">
          <w:rPr>
            <w:noProof/>
            <w:webHidden/>
          </w:rPr>
          <w:t>60</w:t>
        </w:r>
        <w:r w:rsidR="00B36E3D">
          <w:rPr>
            <w:noProof/>
            <w:webHidden/>
          </w:rPr>
          <w:fldChar w:fldCharType="end"/>
        </w:r>
      </w:hyperlink>
    </w:p>
    <w:p w14:paraId="09E9B47C" w14:textId="11DF632D" w:rsidR="00B36E3D"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46183310" w:history="1">
        <w:r w:rsidR="00B36E3D" w:rsidRPr="00B22E2A">
          <w:rPr>
            <w:rStyle w:val="Hyperlink"/>
            <w:noProof/>
          </w:rPr>
          <w:t>Clinical Records Management</w:t>
        </w:r>
        <w:r w:rsidR="00B36E3D">
          <w:rPr>
            <w:noProof/>
            <w:webHidden/>
          </w:rPr>
          <w:tab/>
        </w:r>
        <w:r w:rsidR="00B36E3D">
          <w:rPr>
            <w:noProof/>
            <w:webHidden/>
          </w:rPr>
          <w:fldChar w:fldCharType="begin"/>
        </w:r>
        <w:r w:rsidR="00B36E3D">
          <w:rPr>
            <w:noProof/>
            <w:webHidden/>
          </w:rPr>
          <w:instrText xml:space="preserve"> PAGEREF _Toc146183310 \h </w:instrText>
        </w:r>
        <w:r w:rsidR="00B36E3D">
          <w:rPr>
            <w:noProof/>
            <w:webHidden/>
          </w:rPr>
        </w:r>
        <w:r w:rsidR="00B36E3D">
          <w:rPr>
            <w:noProof/>
            <w:webHidden/>
          </w:rPr>
          <w:fldChar w:fldCharType="separate"/>
        </w:r>
        <w:r w:rsidR="002A1828">
          <w:rPr>
            <w:noProof/>
            <w:webHidden/>
          </w:rPr>
          <w:t>61</w:t>
        </w:r>
        <w:r w:rsidR="00B36E3D">
          <w:rPr>
            <w:noProof/>
            <w:webHidden/>
          </w:rPr>
          <w:fldChar w:fldCharType="end"/>
        </w:r>
      </w:hyperlink>
    </w:p>
    <w:p w14:paraId="65BDB0B7" w14:textId="28021B5B" w:rsidR="00B36E3D" w:rsidRDefault="00000000">
      <w:pPr>
        <w:pStyle w:val="TOC2"/>
        <w:rPr>
          <w:rFonts w:asciiTheme="minorHAnsi" w:eastAsiaTheme="minorEastAsia" w:hAnsiTheme="minorHAnsi" w:cstheme="minorBidi"/>
          <w:noProof/>
          <w:kern w:val="2"/>
          <w:sz w:val="22"/>
          <w:szCs w:val="22"/>
          <w14:ligatures w14:val="standardContextual"/>
        </w:rPr>
      </w:pPr>
      <w:hyperlink w:anchor="_Toc146183311" w:history="1">
        <w:r w:rsidR="00B36E3D" w:rsidRPr="00B22E2A">
          <w:rPr>
            <w:rStyle w:val="Hyperlink"/>
            <w:noProof/>
          </w:rPr>
          <w:t>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Clinical Records Accuracy</w:t>
        </w:r>
        <w:r w:rsidR="00B36E3D">
          <w:rPr>
            <w:noProof/>
            <w:webHidden/>
          </w:rPr>
          <w:tab/>
        </w:r>
        <w:r w:rsidR="00B36E3D">
          <w:rPr>
            <w:noProof/>
            <w:webHidden/>
          </w:rPr>
          <w:fldChar w:fldCharType="begin"/>
        </w:r>
        <w:r w:rsidR="00B36E3D">
          <w:rPr>
            <w:noProof/>
            <w:webHidden/>
          </w:rPr>
          <w:instrText xml:space="preserve"> PAGEREF _Toc146183311 \h </w:instrText>
        </w:r>
        <w:r w:rsidR="00B36E3D">
          <w:rPr>
            <w:noProof/>
            <w:webHidden/>
          </w:rPr>
        </w:r>
        <w:r w:rsidR="00B36E3D">
          <w:rPr>
            <w:noProof/>
            <w:webHidden/>
          </w:rPr>
          <w:fldChar w:fldCharType="separate"/>
        </w:r>
        <w:r w:rsidR="002A1828">
          <w:rPr>
            <w:noProof/>
            <w:webHidden/>
          </w:rPr>
          <w:t>61</w:t>
        </w:r>
        <w:r w:rsidR="00B36E3D">
          <w:rPr>
            <w:noProof/>
            <w:webHidden/>
          </w:rPr>
          <w:fldChar w:fldCharType="end"/>
        </w:r>
      </w:hyperlink>
    </w:p>
    <w:p w14:paraId="39315B1C" w14:textId="7E5F4D23"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12" w:history="1">
        <w:r w:rsidR="00B36E3D" w:rsidRPr="00B22E2A">
          <w:rPr>
            <w:rStyle w:val="Hyperlink"/>
            <w:noProof/>
          </w:rPr>
          <w:t>1.1.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Coding</w:t>
        </w:r>
        <w:r w:rsidR="00B36E3D">
          <w:rPr>
            <w:noProof/>
            <w:webHidden/>
          </w:rPr>
          <w:tab/>
        </w:r>
        <w:r w:rsidR="00B36E3D">
          <w:rPr>
            <w:noProof/>
            <w:webHidden/>
          </w:rPr>
          <w:fldChar w:fldCharType="begin"/>
        </w:r>
        <w:r w:rsidR="00B36E3D">
          <w:rPr>
            <w:noProof/>
            <w:webHidden/>
          </w:rPr>
          <w:instrText xml:space="preserve"> PAGEREF _Toc146183312 \h </w:instrText>
        </w:r>
        <w:r w:rsidR="00B36E3D">
          <w:rPr>
            <w:noProof/>
            <w:webHidden/>
          </w:rPr>
        </w:r>
        <w:r w:rsidR="00B36E3D">
          <w:rPr>
            <w:noProof/>
            <w:webHidden/>
          </w:rPr>
          <w:fldChar w:fldCharType="separate"/>
        </w:r>
        <w:r w:rsidR="002A1828">
          <w:rPr>
            <w:noProof/>
            <w:webHidden/>
          </w:rPr>
          <w:t>61</w:t>
        </w:r>
        <w:r w:rsidR="00B36E3D">
          <w:rPr>
            <w:noProof/>
            <w:webHidden/>
          </w:rPr>
          <w:fldChar w:fldCharType="end"/>
        </w:r>
      </w:hyperlink>
    </w:p>
    <w:p w14:paraId="358119F6" w14:textId="2E187F77"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13" w:history="1">
        <w:r w:rsidR="00B36E3D" w:rsidRPr="00B22E2A">
          <w:rPr>
            <w:rStyle w:val="Hyperlink"/>
            <w:noProof/>
          </w:rPr>
          <w:t>1.2.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Clinical Notes</w:t>
        </w:r>
        <w:r w:rsidR="00B36E3D">
          <w:rPr>
            <w:noProof/>
            <w:webHidden/>
          </w:rPr>
          <w:tab/>
        </w:r>
        <w:r w:rsidR="00B36E3D">
          <w:rPr>
            <w:noProof/>
            <w:webHidden/>
          </w:rPr>
          <w:fldChar w:fldCharType="begin"/>
        </w:r>
        <w:r w:rsidR="00B36E3D">
          <w:rPr>
            <w:noProof/>
            <w:webHidden/>
          </w:rPr>
          <w:instrText xml:space="preserve"> PAGEREF _Toc146183313 \h </w:instrText>
        </w:r>
        <w:r w:rsidR="00B36E3D">
          <w:rPr>
            <w:noProof/>
            <w:webHidden/>
          </w:rPr>
        </w:r>
        <w:r w:rsidR="00B36E3D">
          <w:rPr>
            <w:noProof/>
            <w:webHidden/>
          </w:rPr>
          <w:fldChar w:fldCharType="separate"/>
        </w:r>
        <w:r w:rsidR="002A1828">
          <w:rPr>
            <w:noProof/>
            <w:webHidden/>
          </w:rPr>
          <w:t>62</w:t>
        </w:r>
        <w:r w:rsidR="00B36E3D">
          <w:rPr>
            <w:noProof/>
            <w:webHidden/>
          </w:rPr>
          <w:fldChar w:fldCharType="end"/>
        </w:r>
      </w:hyperlink>
    </w:p>
    <w:p w14:paraId="34CDD593" w14:textId="072B9C62"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14" w:history="1">
        <w:r w:rsidR="00B36E3D" w:rsidRPr="00B22E2A">
          <w:rPr>
            <w:rStyle w:val="Hyperlink"/>
            <w:noProof/>
          </w:rPr>
          <w:t>1.3.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Perio Charting</w:t>
        </w:r>
        <w:r w:rsidR="00B36E3D">
          <w:rPr>
            <w:noProof/>
            <w:webHidden/>
          </w:rPr>
          <w:tab/>
        </w:r>
        <w:r w:rsidR="00B36E3D">
          <w:rPr>
            <w:noProof/>
            <w:webHidden/>
          </w:rPr>
          <w:fldChar w:fldCharType="begin"/>
        </w:r>
        <w:r w:rsidR="00B36E3D">
          <w:rPr>
            <w:noProof/>
            <w:webHidden/>
          </w:rPr>
          <w:instrText xml:space="preserve"> PAGEREF _Toc146183314 \h </w:instrText>
        </w:r>
        <w:r w:rsidR="00B36E3D">
          <w:rPr>
            <w:noProof/>
            <w:webHidden/>
          </w:rPr>
        </w:r>
        <w:r w:rsidR="00B36E3D">
          <w:rPr>
            <w:noProof/>
            <w:webHidden/>
          </w:rPr>
          <w:fldChar w:fldCharType="separate"/>
        </w:r>
        <w:r w:rsidR="002A1828">
          <w:rPr>
            <w:noProof/>
            <w:webHidden/>
          </w:rPr>
          <w:t>63</w:t>
        </w:r>
        <w:r w:rsidR="00B36E3D">
          <w:rPr>
            <w:noProof/>
            <w:webHidden/>
          </w:rPr>
          <w:fldChar w:fldCharType="end"/>
        </w:r>
      </w:hyperlink>
    </w:p>
    <w:p w14:paraId="57872EC2" w14:textId="3E126D6F"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15" w:history="1">
        <w:r w:rsidR="00B36E3D" w:rsidRPr="00B22E2A">
          <w:rPr>
            <w:rStyle w:val="Hyperlink"/>
            <w:noProof/>
          </w:rPr>
          <w:t>1.4.</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Supporting Documentation</w:t>
        </w:r>
        <w:r w:rsidR="00B36E3D">
          <w:rPr>
            <w:noProof/>
            <w:webHidden/>
          </w:rPr>
          <w:tab/>
        </w:r>
        <w:r w:rsidR="00B36E3D">
          <w:rPr>
            <w:noProof/>
            <w:webHidden/>
          </w:rPr>
          <w:fldChar w:fldCharType="begin"/>
        </w:r>
        <w:r w:rsidR="00B36E3D">
          <w:rPr>
            <w:noProof/>
            <w:webHidden/>
          </w:rPr>
          <w:instrText xml:space="preserve"> PAGEREF _Toc146183315 \h </w:instrText>
        </w:r>
        <w:r w:rsidR="00B36E3D">
          <w:rPr>
            <w:noProof/>
            <w:webHidden/>
          </w:rPr>
        </w:r>
        <w:r w:rsidR="00B36E3D">
          <w:rPr>
            <w:noProof/>
            <w:webHidden/>
          </w:rPr>
          <w:fldChar w:fldCharType="separate"/>
        </w:r>
        <w:r w:rsidR="002A1828">
          <w:rPr>
            <w:noProof/>
            <w:webHidden/>
          </w:rPr>
          <w:t>64</w:t>
        </w:r>
        <w:r w:rsidR="00B36E3D">
          <w:rPr>
            <w:noProof/>
            <w:webHidden/>
          </w:rPr>
          <w:fldChar w:fldCharType="end"/>
        </w:r>
      </w:hyperlink>
    </w:p>
    <w:p w14:paraId="7819B7D1" w14:textId="00D6AA47" w:rsidR="00B36E3D" w:rsidRDefault="00000000">
      <w:pPr>
        <w:pStyle w:val="TOC2"/>
        <w:rPr>
          <w:rFonts w:asciiTheme="minorHAnsi" w:eastAsiaTheme="minorEastAsia" w:hAnsiTheme="minorHAnsi" w:cstheme="minorBidi"/>
          <w:noProof/>
          <w:kern w:val="2"/>
          <w:sz w:val="22"/>
          <w:szCs w:val="22"/>
          <w14:ligatures w14:val="standardContextual"/>
        </w:rPr>
      </w:pPr>
      <w:hyperlink w:anchor="_Toc146183316" w:history="1">
        <w:r w:rsidR="00B36E3D" w:rsidRPr="00B22E2A">
          <w:rPr>
            <w:rStyle w:val="Hyperlink"/>
            <w:noProof/>
          </w:rPr>
          <w:t>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Treatment Planning</w:t>
        </w:r>
        <w:r w:rsidR="00B36E3D">
          <w:rPr>
            <w:noProof/>
            <w:webHidden/>
          </w:rPr>
          <w:tab/>
        </w:r>
        <w:r w:rsidR="00B36E3D">
          <w:rPr>
            <w:noProof/>
            <w:webHidden/>
          </w:rPr>
          <w:fldChar w:fldCharType="begin"/>
        </w:r>
        <w:r w:rsidR="00B36E3D">
          <w:rPr>
            <w:noProof/>
            <w:webHidden/>
          </w:rPr>
          <w:instrText xml:space="preserve"> PAGEREF _Toc146183316 \h </w:instrText>
        </w:r>
        <w:r w:rsidR="00B36E3D">
          <w:rPr>
            <w:noProof/>
            <w:webHidden/>
          </w:rPr>
        </w:r>
        <w:r w:rsidR="00B36E3D">
          <w:rPr>
            <w:noProof/>
            <w:webHidden/>
          </w:rPr>
          <w:fldChar w:fldCharType="separate"/>
        </w:r>
        <w:r w:rsidR="002A1828">
          <w:rPr>
            <w:noProof/>
            <w:webHidden/>
          </w:rPr>
          <w:t>66</w:t>
        </w:r>
        <w:r w:rsidR="00B36E3D">
          <w:rPr>
            <w:noProof/>
            <w:webHidden/>
          </w:rPr>
          <w:fldChar w:fldCharType="end"/>
        </w:r>
      </w:hyperlink>
    </w:p>
    <w:p w14:paraId="0DADC9FC" w14:textId="6195143E"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17" w:history="1">
        <w:r w:rsidR="00B36E3D" w:rsidRPr="00B22E2A">
          <w:rPr>
            <w:rStyle w:val="Hyperlink"/>
            <w:noProof/>
          </w:rPr>
          <w:t>2.1.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Case Visit Order</w:t>
        </w:r>
        <w:r w:rsidR="00B36E3D">
          <w:rPr>
            <w:noProof/>
            <w:webHidden/>
          </w:rPr>
          <w:tab/>
        </w:r>
        <w:r w:rsidR="00B36E3D">
          <w:rPr>
            <w:noProof/>
            <w:webHidden/>
          </w:rPr>
          <w:fldChar w:fldCharType="begin"/>
        </w:r>
        <w:r w:rsidR="00B36E3D">
          <w:rPr>
            <w:noProof/>
            <w:webHidden/>
          </w:rPr>
          <w:instrText xml:space="preserve"> PAGEREF _Toc146183317 \h </w:instrText>
        </w:r>
        <w:r w:rsidR="00B36E3D">
          <w:rPr>
            <w:noProof/>
            <w:webHidden/>
          </w:rPr>
        </w:r>
        <w:r w:rsidR="00B36E3D">
          <w:rPr>
            <w:noProof/>
            <w:webHidden/>
          </w:rPr>
          <w:fldChar w:fldCharType="separate"/>
        </w:r>
        <w:r w:rsidR="002A1828">
          <w:rPr>
            <w:noProof/>
            <w:webHidden/>
          </w:rPr>
          <w:t>66</w:t>
        </w:r>
        <w:r w:rsidR="00B36E3D">
          <w:rPr>
            <w:noProof/>
            <w:webHidden/>
          </w:rPr>
          <w:fldChar w:fldCharType="end"/>
        </w:r>
      </w:hyperlink>
    </w:p>
    <w:p w14:paraId="5F2A822A" w14:textId="552EEAE1"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18" w:history="1">
        <w:r w:rsidR="00B36E3D" w:rsidRPr="00B22E2A">
          <w:rPr>
            <w:rStyle w:val="Hyperlink"/>
            <w:noProof/>
          </w:rPr>
          <w:t>2.2.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Alternate Treatment Options</w:t>
        </w:r>
        <w:r w:rsidR="00B36E3D">
          <w:rPr>
            <w:noProof/>
            <w:webHidden/>
          </w:rPr>
          <w:tab/>
        </w:r>
        <w:r w:rsidR="00B36E3D">
          <w:rPr>
            <w:noProof/>
            <w:webHidden/>
          </w:rPr>
          <w:fldChar w:fldCharType="begin"/>
        </w:r>
        <w:r w:rsidR="00B36E3D">
          <w:rPr>
            <w:noProof/>
            <w:webHidden/>
          </w:rPr>
          <w:instrText xml:space="preserve"> PAGEREF _Toc146183318 \h </w:instrText>
        </w:r>
        <w:r w:rsidR="00B36E3D">
          <w:rPr>
            <w:noProof/>
            <w:webHidden/>
          </w:rPr>
        </w:r>
        <w:r w:rsidR="00B36E3D">
          <w:rPr>
            <w:noProof/>
            <w:webHidden/>
          </w:rPr>
          <w:fldChar w:fldCharType="separate"/>
        </w:r>
        <w:r w:rsidR="002A1828">
          <w:rPr>
            <w:noProof/>
            <w:webHidden/>
          </w:rPr>
          <w:t>66</w:t>
        </w:r>
        <w:r w:rsidR="00B36E3D">
          <w:rPr>
            <w:noProof/>
            <w:webHidden/>
          </w:rPr>
          <w:fldChar w:fldCharType="end"/>
        </w:r>
      </w:hyperlink>
    </w:p>
    <w:p w14:paraId="7CD0793E" w14:textId="00257B31"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19" w:history="1">
        <w:r w:rsidR="00B36E3D" w:rsidRPr="00B22E2A">
          <w:rPr>
            <w:rStyle w:val="Hyperlink"/>
            <w:noProof/>
          </w:rPr>
          <w:t>2.3.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Document Treatment Status</w:t>
        </w:r>
        <w:r w:rsidR="00B36E3D">
          <w:rPr>
            <w:noProof/>
            <w:webHidden/>
          </w:rPr>
          <w:tab/>
        </w:r>
        <w:r w:rsidR="00B36E3D">
          <w:rPr>
            <w:noProof/>
            <w:webHidden/>
          </w:rPr>
          <w:fldChar w:fldCharType="begin"/>
        </w:r>
        <w:r w:rsidR="00B36E3D">
          <w:rPr>
            <w:noProof/>
            <w:webHidden/>
          </w:rPr>
          <w:instrText xml:space="preserve"> PAGEREF _Toc146183319 \h </w:instrText>
        </w:r>
        <w:r w:rsidR="00B36E3D">
          <w:rPr>
            <w:noProof/>
            <w:webHidden/>
          </w:rPr>
        </w:r>
        <w:r w:rsidR="00B36E3D">
          <w:rPr>
            <w:noProof/>
            <w:webHidden/>
          </w:rPr>
          <w:fldChar w:fldCharType="separate"/>
        </w:r>
        <w:r w:rsidR="002A1828">
          <w:rPr>
            <w:noProof/>
            <w:webHidden/>
          </w:rPr>
          <w:t>66</w:t>
        </w:r>
        <w:r w:rsidR="00B36E3D">
          <w:rPr>
            <w:noProof/>
            <w:webHidden/>
          </w:rPr>
          <w:fldChar w:fldCharType="end"/>
        </w:r>
      </w:hyperlink>
    </w:p>
    <w:p w14:paraId="64C8469E" w14:textId="772FFF21"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20" w:history="1">
        <w:r w:rsidR="00B36E3D" w:rsidRPr="00B22E2A">
          <w:rPr>
            <w:rStyle w:val="Hyperlink"/>
            <w:noProof/>
          </w:rPr>
          <w:t>2.4.</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Consent Forms</w:t>
        </w:r>
        <w:r w:rsidR="00B36E3D">
          <w:rPr>
            <w:noProof/>
            <w:webHidden/>
          </w:rPr>
          <w:tab/>
        </w:r>
        <w:r w:rsidR="00B36E3D">
          <w:rPr>
            <w:noProof/>
            <w:webHidden/>
          </w:rPr>
          <w:fldChar w:fldCharType="begin"/>
        </w:r>
        <w:r w:rsidR="00B36E3D">
          <w:rPr>
            <w:noProof/>
            <w:webHidden/>
          </w:rPr>
          <w:instrText xml:space="preserve"> PAGEREF _Toc146183320 \h </w:instrText>
        </w:r>
        <w:r w:rsidR="00B36E3D">
          <w:rPr>
            <w:noProof/>
            <w:webHidden/>
          </w:rPr>
        </w:r>
        <w:r w:rsidR="00B36E3D">
          <w:rPr>
            <w:noProof/>
            <w:webHidden/>
          </w:rPr>
          <w:fldChar w:fldCharType="separate"/>
        </w:r>
        <w:r w:rsidR="002A1828">
          <w:rPr>
            <w:noProof/>
            <w:webHidden/>
          </w:rPr>
          <w:t>67</w:t>
        </w:r>
        <w:r w:rsidR="00B36E3D">
          <w:rPr>
            <w:noProof/>
            <w:webHidden/>
          </w:rPr>
          <w:fldChar w:fldCharType="end"/>
        </w:r>
      </w:hyperlink>
    </w:p>
    <w:p w14:paraId="724A086B" w14:textId="5F96E933" w:rsidR="00B36E3D" w:rsidRDefault="00000000">
      <w:pPr>
        <w:pStyle w:val="TOC2"/>
        <w:rPr>
          <w:rFonts w:asciiTheme="minorHAnsi" w:eastAsiaTheme="minorEastAsia" w:hAnsiTheme="minorHAnsi" w:cstheme="minorBidi"/>
          <w:noProof/>
          <w:kern w:val="2"/>
          <w:sz w:val="22"/>
          <w:szCs w:val="22"/>
          <w14:ligatures w14:val="standardContextual"/>
        </w:rPr>
      </w:pPr>
      <w:hyperlink w:anchor="_Toc146183321" w:history="1">
        <w:r w:rsidR="00B36E3D" w:rsidRPr="00B22E2A">
          <w:rPr>
            <w:rStyle w:val="Hyperlink"/>
            <w:noProof/>
          </w:rPr>
          <w:t>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Clinical Setup Integrity</w:t>
        </w:r>
        <w:r w:rsidR="00B36E3D">
          <w:rPr>
            <w:noProof/>
            <w:webHidden/>
          </w:rPr>
          <w:tab/>
        </w:r>
        <w:r w:rsidR="00B36E3D">
          <w:rPr>
            <w:noProof/>
            <w:webHidden/>
          </w:rPr>
          <w:fldChar w:fldCharType="begin"/>
        </w:r>
        <w:r w:rsidR="00B36E3D">
          <w:rPr>
            <w:noProof/>
            <w:webHidden/>
          </w:rPr>
          <w:instrText xml:space="preserve"> PAGEREF _Toc146183321 \h </w:instrText>
        </w:r>
        <w:r w:rsidR="00B36E3D">
          <w:rPr>
            <w:noProof/>
            <w:webHidden/>
          </w:rPr>
        </w:r>
        <w:r w:rsidR="00B36E3D">
          <w:rPr>
            <w:noProof/>
            <w:webHidden/>
          </w:rPr>
          <w:fldChar w:fldCharType="separate"/>
        </w:r>
        <w:r w:rsidR="002A1828">
          <w:rPr>
            <w:noProof/>
            <w:webHidden/>
          </w:rPr>
          <w:t>67</w:t>
        </w:r>
        <w:r w:rsidR="00B36E3D">
          <w:rPr>
            <w:noProof/>
            <w:webHidden/>
          </w:rPr>
          <w:fldChar w:fldCharType="end"/>
        </w:r>
      </w:hyperlink>
    </w:p>
    <w:p w14:paraId="1D31D5BA" w14:textId="4BBCB392"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22" w:history="1">
        <w:r w:rsidR="00B36E3D" w:rsidRPr="00B22E2A">
          <w:rPr>
            <w:rStyle w:val="Hyperlink"/>
            <w:noProof/>
          </w:rPr>
          <w:t>3.1.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Maintaining Coding Connected Features</w:t>
        </w:r>
        <w:r w:rsidR="00B36E3D">
          <w:rPr>
            <w:noProof/>
            <w:webHidden/>
          </w:rPr>
          <w:tab/>
        </w:r>
        <w:r w:rsidR="00B36E3D">
          <w:rPr>
            <w:noProof/>
            <w:webHidden/>
          </w:rPr>
          <w:fldChar w:fldCharType="begin"/>
        </w:r>
        <w:r w:rsidR="00B36E3D">
          <w:rPr>
            <w:noProof/>
            <w:webHidden/>
          </w:rPr>
          <w:instrText xml:space="preserve"> PAGEREF _Toc146183322 \h </w:instrText>
        </w:r>
        <w:r w:rsidR="00B36E3D">
          <w:rPr>
            <w:noProof/>
            <w:webHidden/>
          </w:rPr>
        </w:r>
        <w:r w:rsidR="00B36E3D">
          <w:rPr>
            <w:noProof/>
            <w:webHidden/>
          </w:rPr>
          <w:fldChar w:fldCharType="separate"/>
        </w:r>
        <w:r w:rsidR="002A1828">
          <w:rPr>
            <w:noProof/>
            <w:webHidden/>
          </w:rPr>
          <w:t>67</w:t>
        </w:r>
        <w:r w:rsidR="00B36E3D">
          <w:rPr>
            <w:noProof/>
            <w:webHidden/>
          </w:rPr>
          <w:fldChar w:fldCharType="end"/>
        </w:r>
      </w:hyperlink>
    </w:p>
    <w:p w14:paraId="1BE106EE" w14:textId="70A99E13"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23" w:history="1">
        <w:r w:rsidR="00B36E3D" w:rsidRPr="00B22E2A">
          <w:rPr>
            <w:rStyle w:val="Hyperlink"/>
            <w:noProof/>
          </w:rPr>
          <w:t>3.2.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Maintaining Code Sets and Access</w:t>
        </w:r>
        <w:r w:rsidR="00B36E3D">
          <w:rPr>
            <w:noProof/>
            <w:webHidden/>
          </w:rPr>
          <w:tab/>
        </w:r>
        <w:r w:rsidR="00B36E3D">
          <w:rPr>
            <w:noProof/>
            <w:webHidden/>
          </w:rPr>
          <w:fldChar w:fldCharType="begin"/>
        </w:r>
        <w:r w:rsidR="00B36E3D">
          <w:rPr>
            <w:noProof/>
            <w:webHidden/>
          </w:rPr>
          <w:instrText xml:space="preserve"> PAGEREF _Toc146183323 \h </w:instrText>
        </w:r>
        <w:r w:rsidR="00B36E3D">
          <w:rPr>
            <w:noProof/>
            <w:webHidden/>
          </w:rPr>
        </w:r>
        <w:r w:rsidR="00B36E3D">
          <w:rPr>
            <w:noProof/>
            <w:webHidden/>
          </w:rPr>
          <w:fldChar w:fldCharType="separate"/>
        </w:r>
        <w:r w:rsidR="002A1828">
          <w:rPr>
            <w:noProof/>
            <w:webHidden/>
          </w:rPr>
          <w:t>68</w:t>
        </w:r>
        <w:r w:rsidR="00B36E3D">
          <w:rPr>
            <w:noProof/>
            <w:webHidden/>
          </w:rPr>
          <w:fldChar w:fldCharType="end"/>
        </w:r>
      </w:hyperlink>
    </w:p>
    <w:p w14:paraId="22D3A171" w14:textId="58D37809" w:rsidR="00B36E3D"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46183324" w:history="1">
        <w:r w:rsidR="00B36E3D" w:rsidRPr="00B22E2A">
          <w:rPr>
            <w:rStyle w:val="Hyperlink"/>
            <w:noProof/>
          </w:rPr>
          <w:t>Revenue Cycle Management</w:t>
        </w:r>
        <w:r w:rsidR="00B36E3D">
          <w:rPr>
            <w:noProof/>
            <w:webHidden/>
          </w:rPr>
          <w:tab/>
        </w:r>
        <w:r w:rsidR="00B36E3D">
          <w:rPr>
            <w:noProof/>
            <w:webHidden/>
          </w:rPr>
          <w:fldChar w:fldCharType="begin"/>
        </w:r>
        <w:r w:rsidR="00B36E3D">
          <w:rPr>
            <w:noProof/>
            <w:webHidden/>
          </w:rPr>
          <w:instrText xml:space="preserve"> PAGEREF _Toc146183324 \h </w:instrText>
        </w:r>
        <w:r w:rsidR="00B36E3D">
          <w:rPr>
            <w:noProof/>
            <w:webHidden/>
          </w:rPr>
        </w:r>
        <w:r w:rsidR="00B36E3D">
          <w:rPr>
            <w:noProof/>
            <w:webHidden/>
          </w:rPr>
          <w:fldChar w:fldCharType="separate"/>
        </w:r>
        <w:r w:rsidR="002A1828">
          <w:rPr>
            <w:noProof/>
            <w:webHidden/>
          </w:rPr>
          <w:t>70</w:t>
        </w:r>
        <w:r w:rsidR="00B36E3D">
          <w:rPr>
            <w:noProof/>
            <w:webHidden/>
          </w:rPr>
          <w:fldChar w:fldCharType="end"/>
        </w:r>
      </w:hyperlink>
    </w:p>
    <w:p w14:paraId="2BE542BF" w14:textId="74FEAE35" w:rsidR="00B36E3D" w:rsidRDefault="00000000">
      <w:pPr>
        <w:pStyle w:val="TOC2"/>
        <w:rPr>
          <w:rFonts w:asciiTheme="minorHAnsi" w:eastAsiaTheme="minorEastAsia" w:hAnsiTheme="minorHAnsi" w:cstheme="minorBidi"/>
          <w:noProof/>
          <w:kern w:val="2"/>
          <w:sz w:val="22"/>
          <w:szCs w:val="22"/>
          <w14:ligatures w14:val="standardContextual"/>
        </w:rPr>
      </w:pPr>
      <w:hyperlink w:anchor="_Toc146183325" w:history="1">
        <w:r w:rsidR="00B36E3D" w:rsidRPr="00B22E2A">
          <w:rPr>
            <w:rStyle w:val="Hyperlink"/>
            <w:noProof/>
          </w:rPr>
          <w:t>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Insurance Plan Setup and Maintenance</w:t>
        </w:r>
        <w:r w:rsidR="00B36E3D">
          <w:rPr>
            <w:noProof/>
            <w:webHidden/>
          </w:rPr>
          <w:tab/>
        </w:r>
        <w:r w:rsidR="00B36E3D">
          <w:rPr>
            <w:noProof/>
            <w:webHidden/>
          </w:rPr>
          <w:fldChar w:fldCharType="begin"/>
        </w:r>
        <w:r w:rsidR="00B36E3D">
          <w:rPr>
            <w:noProof/>
            <w:webHidden/>
          </w:rPr>
          <w:instrText xml:space="preserve"> PAGEREF _Toc146183325 \h </w:instrText>
        </w:r>
        <w:r w:rsidR="00B36E3D">
          <w:rPr>
            <w:noProof/>
            <w:webHidden/>
          </w:rPr>
        </w:r>
        <w:r w:rsidR="00B36E3D">
          <w:rPr>
            <w:noProof/>
            <w:webHidden/>
          </w:rPr>
          <w:fldChar w:fldCharType="separate"/>
        </w:r>
        <w:r w:rsidR="002A1828">
          <w:rPr>
            <w:noProof/>
            <w:webHidden/>
          </w:rPr>
          <w:t>70</w:t>
        </w:r>
        <w:r w:rsidR="00B36E3D">
          <w:rPr>
            <w:noProof/>
            <w:webHidden/>
          </w:rPr>
          <w:fldChar w:fldCharType="end"/>
        </w:r>
      </w:hyperlink>
    </w:p>
    <w:p w14:paraId="153E52EF" w14:textId="3DB695AC"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26" w:history="1">
        <w:r w:rsidR="00B36E3D" w:rsidRPr="00B22E2A">
          <w:rPr>
            <w:rStyle w:val="Hyperlink"/>
            <w:noProof/>
          </w:rPr>
          <w:t>1.1.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Insurance Data</w:t>
        </w:r>
        <w:r w:rsidR="00B36E3D">
          <w:rPr>
            <w:noProof/>
            <w:webHidden/>
          </w:rPr>
          <w:tab/>
        </w:r>
        <w:r w:rsidR="00B36E3D">
          <w:rPr>
            <w:noProof/>
            <w:webHidden/>
          </w:rPr>
          <w:fldChar w:fldCharType="begin"/>
        </w:r>
        <w:r w:rsidR="00B36E3D">
          <w:rPr>
            <w:noProof/>
            <w:webHidden/>
          </w:rPr>
          <w:instrText xml:space="preserve"> PAGEREF _Toc146183326 \h </w:instrText>
        </w:r>
        <w:r w:rsidR="00B36E3D">
          <w:rPr>
            <w:noProof/>
            <w:webHidden/>
          </w:rPr>
        </w:r>
        <w:r w:rsidR="00B36E3D">
          <w:rPr>
            <w:noProof/>
            <w:webHidden/>
          </w:rPr>
          <w:fldChar w:fldCharType="separate"/>
        </w:r>
        <w:r w:rsidR="002A1828">
          <w:rPr>
            <w:noProof/>
            <w:webHidden/>
          </w:rPr>
          <w:t>71</w:t>
        </w:r>
        <w:r w:rsidR="00B36E3D">
          <w:rPr>
            <w:noProof/>
            <w:webHidden/>
          </w:rPr>
          <w:fldChar w:fldCharType="end"/>
        </w:r>
      </w:hyperlink>
    </w:p>
    <w:p w14:paraId="1300617C" w14:textId="20CCECDA"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27" w:history="1">
        <w:r w:rsidR="00B36E3D" w:rsidRPr="00B22E2A">
          <w:rPr>
            <w:rStyle w:val="Hyperlink"/>
            <w:noProof/>
          </w:rPr>
          <w:t>1.2.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Insurance Plan Claim Settings (Dental Form):</w:t>
        </w:r>
        <w:r w:rsidR="00B36E3D">
          <w:rPr>
            <w:noProof/>
            <w:webHidden/>
          </w:rPr>
          <w:tab/>
        </w:r>
        <w:r w:rsidR="00B36E3D">
          <w:rPr>
            <w:noProof/>
            <w:webHidden/>
          </w:rPr>
          <w:fldChar w:fldCharType="begin"/>
        </w:r>
        <w:r w:rsidR="00B36E3D">
          <w:rPr>
            <w:noProof/>
            <w:webHidden/>
          </w:rPr>
          <w:instrText xml:space="preserve"> PAGEREF _Toc146183327 \h </w:instrText>
        </w:r>
        <w:r w:rsidR="00B36E3D">
          <w:rPr>
            <w:noProof/>
            <w:webHidden/>
          </w:rPr>
        </w:r>
        <w:r w:rsidR="00B36E3D">
          <w:rPr>
            <w:noProof/>
            <w:webHidden/>
          </w:rPr>
          <w:fldChar w:fldCharType="separate"/>
        </w:r>
        <w:r w:rsidR="002A1828">
          <w:rPr>
            <w:noProof/>
            <w:webHidden/>
          </w:rPr>
          <w:t>73</w:t>
        </w:r>
        <w:r w:rsidR="00B36E3D">
          <w:rPr>
            <w:noProof/>
            <w:webHidden/>
          </w:rPr>
          <w:fldChar w:fldCharType="end"/>
        </w:r>
      </w:hyperlink>
    </w:p>
    <w:p w14:paraId="10A8908A" w14:textId="560A6668"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28" w:history="1">
        <w:r w:rsidR="00B36E3D" w:rsidRPr="00B22E2A">
          <w:rPr>
            <w:rStyle w:val="Hyperlink"/>
            <w:noProof/>
          </w:rPr>
          <w:t>1.3.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Insurance Plan Claim Settings (Medical Form):</w:t>
        </w:r>
        <w:r w:rsidR="00B36E3D">
          <w:rPr>
            <w:noProof/>
            <w:webHidden/>
          </w:rPr>
          <w:tab/>
        </w:r>
        <w:r w:rsidR="00B36E3D">
          <w:rPr>
            <w:noProof/>
            <w:webHidden/>
          </w:rPr>
          <w:fldChar w:fldCharType="begin"/>
        </w:r>
        <w:r w:rsidR="00B36E3D">
          <w:rPr>
            <w:noProof/>
            <w:webHidden/>
          </w:rPr>
          <w:instrText xml:space="preserve"> PAGEREF _Toc146183328 \h </w:instrText>
        </w:r>
        <w:r w:rsidR="00B36E3D">
          <w:rPr>
            <w:noProof/>
            <w:webHidden/>
          </w:rPr>
        </w:r>
        <w:r w:rsidR="00B36E3D">
          <w:rPr>
            <w:noProof/>
            <w:webHidden/>
          </w:rPr>
          <w:fldChar w:fldCharType="separate"/>
        </w:r>
        <w:r w:rsidR="002A1828">
          <w:rPr>
            <w:noProof/>
            <w:webHidden/>
          </w:rPr>
          <w:t>74</w:t>
        </w:r>
        <w:r w:rsidR="00B36E3D">
          <w:rPr>
            <w:noProof/>
            <w:webHidden/>
          </w:rPr>
          <w:fldChar w:fldCharType="end"/>
        </w:r>
      </w:hyperlink>
    </w:p>
    <w:p w14:paraId="2DBDC458" w14:textId="01B316B7"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29" w:history="1">
        <w:r w:rsidR="00B36E3D" w:rsidRPr="00B22E2A">
          <w:rPr>
            <w:rStyle w:val="Hyperlink"/>
            <w:noProof/>
          </w:rPr>
          <w:t>1.4.</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Insurance Coverage and Estimates</w:t>
        </w:r>
        <w:r w:rsidR="00B36E3D">
          <w:rPr>
            <w:noProof/>
            <w:webHidden/>
          </w:rPr>
          <w:tab/>
        </w:r>
        <w:r w:rsidR="00B36E3D">
          <w:rPr>
            <w:noProof/>
            <w:webHidden/>
          </w:rPr>
          <w:fldChar w:fldCharType="begin"/>
        </w:r>
        <w:r w:rsidR="00B36E3D">
          <w:rPr>
            <w:noProof/>
            <w:webHidden/>
          </w:rPr>
          <w:instrText xml:space="preserve"> PAGEREF _Toc146183329 \h </w:instrText>
        </w:r>
        <w:r w:rsidR="00B36E3D">
          <w:rPr>
            <w:noProof/>
            <w:webHidden/>
          </w:rPr>
        </w:r>
        <w:r w:rsidR="00B36E3D">
          <w:rPr>
            <w:noProof/>
            <w:webHidden/>
          </w:rPr>
          <w:fldChar w:fldCharType="separate"/>
        </w:r>
        <w:r w:rsidR="002A1828">
          <w:rPr>
            <w:noProof/>
            <w:webHidden/>
          </w:rPr>
          <w:t>75</w:t>
        </w:r>
        <w:r w:rsidR="00B36E3D">
          <w:rPr>
            <w:noProof/>
            <w:webHidden/>
          </w:rPr>
          <w:fldChar w:fldCharType="end"/>
        </w:r>
      </w:hyperlink>
    </w:p>
    <w:p w14:paraId="64221F03" w14:textId="636FDABB" w:rsidR="00B36E3D" w:rsidRDefault="00000000">
      <w:pPr>
        <w:pStyle w:val="TOC2"/>
        <w:rPr>
          <w:rFonts w:asciiTheme="minorHAnsi" w:eastAsiaTheme="minorEastAsia" w:hAnsiTheme="minorHAnsi" w:cstheme="minorBidi"/>
          <w:noProof/>
          <w:kern w:val="2"/>
          <w:sz w:val="22"/>
          <w:szCs w:val="22"/>
          <w14:ligatures w14:val="standardContextual"/>
        </w:rPr>
      </w:pPr>
      <w:hyperlink w:anchor="_Toc146183330" w:history="1">
        <w:r w:rsidR="00B36E3D" w:rsidRPr="00B22E2A">
          <w:rPr>
            <w:rStyle w:val="Hyperlink"/>
            <w:bCs/>
            <w:noProof/>
          </w:rPr>
          <w:t>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Claim Management</w:t>
        </w:r>
        <w:r w:rsidR="00B36E3D">
          <w:rPr>
            <w:noProof/>
            <w:webHidden/>
          </w:rPr>
          <w:tab/>
        </w:r>
        <w:r w:rsidR="00B36E3D">
          <w:rPr>
            <w:noProof/>
            <w:webHidden/>
          </w:rPr>
          <w:fldChar w:fldCharType="begin"/>
        </w:r>
        <w:r w:rsidR="00B36E3D">
          <w:rPr>
            <w:noProof/>
            <w:webHidden/>
          </w:rPr>
          <w:instrText xml:space="preserve"> PAGEREF _Toc146183330 \h </w:instrText>
        </w:r>
        <w:r w:rsidR="00B36E3D">
          <w:rPr>
            <w:noProof/>
            <w:webHidden/>
          </w:rPr>
        </w:r>
        <w:r w:rsidR="00B36E3D">
          <w:rPr>
            <w:noProof/>
            <w:webHidden/>
          </w:rPr>
          <w:fldChar w:fldCharType="separate"/>
        </w:r>
        <w:r w:rsidR="002A1828">
          <w:rPr>
            <w:noProof/>
            <w:webHidden/>
          </w:rPr>
          <w:t>76</w:t>
        </w:r>
        <w:r w:rsidR="00B36E3D">
          <w:rPr>
            <w:noProof/>
            <w:webHidden/>
          </w:rPr>
          <w:fldChar w:fldCharType="end"/>
        </w:r>
      </w:hyperlink>
    </w:p>
    <w:p w14:paraId="0C0C9507" w14:textId="577FC37D"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31" w:history="1">
        <w:r w:rsidR="00B36E3D" w:rsidRPr="00B22E2A">
          <w:rPr>
            <w:rStyle w:val="Hyperlink"/>
            <w:noProof/>
          </w:rPr>
          <w:t>2.1.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Claim Submission</w:t>
        </w:r>
        <w:r w:rsidR="00B36E3D">
          <w:rPr>
            <w:noProof/>
            <w:webHidden/>
          </w:rPr>
          <w:tab/>
        </w:r>
        <w:r w:rsidR="00B36E3D">
          <w:rPr>
            <w:noProof/>
            <w:webHidden/>
          </w:rPr>
          <w:fldChar w:fldCharType="begin"/>
        </w:r>
        <w:r w:rsidR="00B36E3D">
          <w:rPr>
            <w:noProof/>
            <w:webHidden/>
          </w:rPr>
          <w:instrText xml:space="preserve"> PAGEREF _Toc146183331 \h </w:instrText>
        </w:r>
        <w:r w:rsidR="00B36E3D">
          <w:rPr>
            <w:noProof/>
            <w:webHidden/>
          </w:rPr>
        </w:r>
        <w:r w:rsidR="00B36E3D">
          <w:rPr>
            <w:noProof/>
            <w:webHidden/>
          </w:rPr>
          <w:fldChar w:fldCharType="separate"/>
        </w:r>
        <w:r w:rsidR="002A1828">
          <w:rPr>
            <w:noProof/>
            <w:webHidden/>
          </w:rPr>
          <w:t>77</w:t>
        </w:r>
        <w:r w:rsidR="00B36E3D">
          <w:rPr>
            <w:noProof/>
            <w:webHidden/>
          </w:rPr>
          <w:fldChar w:fldCharType="end"/>
        </w:r>
      </w:hyperlink>
    </w:p>
    <w:p w14:paraId="59BDE656" w14:textId="296A7F9F"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32" w:history="1">
        <w:r w:rsidR="00B36E3D" w:rsidRPr="00B22E2A">
          <w:rPr>
            <w:rStyle w:val="Hyperlink"/>
            <w:noProof/>
          </w:rPr>
          <w:t>2.2.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Claim Tracking</w:t>
        </w:r>
        <w:r w:rsidR="00B36E3D">
          <w:rPr>
            <w:noProof/>
            <w:webHidden/>
          </w:rPr>
          <w:tab/>
        </w:r>
        <w:r w:rsidR="00B36E3D">
          <w:rPr>
            <w:noProof/>
            <w:webHidden/>
          </w:rPr>
          <w:fldChar w:fldCharType="begin"/>
        </w:r>
        <w:r w:rsidR="00B36E3D">
          <w:rPr>
            <w:noProof/>
            <w:webHidden/>
          </w:rPr>
          <w:instrText xml:space="preserve"> PAGEREF _Toc146183332 \h </w:instrText>
        </w:r>
        <w:r w:rsidR="00B36E3D">
          <w:rPr>
            <w:noProof/>
            <w:webHidden/>
          </w:rPr>
        </w:r>
        <w:r w:rsidR="00B36E3D">
          <w:rPr>
            <w:noProof/>
            <w:webHidden/>
          </w:rPr>
          <w:fldChar w:fldCharType="separate"/>
        </w:r>
        <w:r w:rsidR="002A1828">
          <w:rPr>
            <w:noProof/>
            <w:webHidden/>
          </w:rPr>
          <w:t>78</w:t>
        </w:r>
        <w:r w:rsidR="00B36E3D">
          <w:rPr>
            <w:noProof/>
            <w:webHidden/>
          </w:rPr>
          <w:fldChar w:fldCharType="end"/>
        </w:r>
      </w:hyperlink>
    </w:p>
    <w:p w14:paraId="653A654E" w14:textId="4C21312A"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33" w:history="1">
        <w:r w:rsidR="00B36E3D" w:rsidRPr="00B22E2A">
          <w:rPr>
            <w:rStyle w:val="Hyperlink"/>
            <w:noProof/>
          </w:rPr>
          <w:t>2.3.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Claim Payments</w:t>
        </w:r>
        <w:r w:rsidR="00B36E3D">
          <w:rPr>
            <w:noProof/>
            <w:webHidden/>
          </w:rPr>
          <w:tab/>
        </w:r>
        <w:r w:rsidR="00B36E3D">
          <w:rPr>
            <w:noProof/>
            <w:webHidden/>
          </w:rPr>
          <w:fldChar w:fldCharType="begin"/>
        </w:r>
        <w:r w:rsidR="00B36E3D">
          <w:rPr>
            <w:noProof/>
            <w:webHidden/>
          </w:rPr>
          <w:instrText xml:space="preserve"> PAGEREF _Toc146183333 \h </w:instrText>
        </w:r>
        <w:r w:rsidR="00B36E3D">
          <w:rPr>
            <w:noProof/>
            <w:webHidden/>
          </w:rPr>
        </w:r>
        <w:r w:rsidR="00B36E3D">
          <w:rPr>
            <w:noProof/>
            <w:webHidden/>
          </w:rPr>
          <w:fldChar w:fldCharType="separate"/>
        </w:r>
        <w:r w:rsidR="002A1828">
          <w:rPr>
            <w:noProof/>
            <w:webHidden/>
          </w:rPr>
          <w:t>80</w:t>
        </w:r>
        <w:r w:rsidR="00B36E3D">
          <w:rPr>
            <w:noProof/>
            <w:webHidden/>
          </w:rPr>
          <w:fldChar w:fldCharType="end"/>
        </w:r>
      </w:hyperlink>
    </w:p>
    <w:p w14:paraId="0C4D490A" w14:textId="1E01C34B" w:rsidR="00B36E3D" w:rsidRDefault="00000000" w:rsidP="00B36E3D">
      <w:pPr>
        <w:pStyle w:val="TOC2"/>
        <w:rPr>
          <w:rFonts w:asciiTheme="minorHAnsi" w:eastAsiaTheme="minorEastAsia" w:hAnsiTheme="minorHAnsi" w:cstheme="minorBidi"/>
          <w:noProof/>
          <w:kern w:val="2"/>
          <w:sz w:val="22"/>
          <w:szCs w:val="22"/>
          <w14:ligatures w14:val="standardContextual"/>
        </w:rPr>
      </w:pPr>
      <w:hyperlink w:anchor="_Toc146183334" w:history="1">
        <w:r w:rsidR="00B36E3D" w:rsidRPr="00B22E2A">
          <w:rPr>
            <w:rStyle w:val="Hyperlink"/>
            <w:noProof/>
          </w:rPr>
          <w:t>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Posting Payments</w:t>
        </w:r>
        <w:r w:rsidR="00B36E3D">
          <w:rPr>
            <w:noProof/>
            <w:webHidden/>
          </w:rPr>
          <w:tab/>
        </w:r>
        <w:r w:rsidR="00B36E3D">
          <w:rPr>
            <w:noProof/>
            <w:webHidden/>
          </w:rPr>
          <w:fldChar w:fldCharType="begin"/>
        </w:r>
        <w:r w:rsidR="00B36E3D">
          <w:rPr>
            <w:noProof/>
            <w:webHidden/>
          </w:rPr>
          <w:instrText xml:space="preserve"> PAGEREF _Toc146183334 \h </w:instrText>
        </w:r>
        <w:r w:rsidR="00B36E3D">
          <w:rPr>
            <w:noProof/>
            <w:webHidden/>
          </w:rPr>
        </w:r>
        <w:r w:rsidR="00B36E3D">
          <w:rPr>
            <w:noProof/>
            <w:webHidden/>
          </w:rPr>
          <w:fldChar w:fldCharType="separate"/>
        </w:r>
        <w:r w:rsidR="002A1828">
          <w:rPr>
            <w:noProof/>
            <w:webHidden/>
          </w:rPr>
          <w:t>81</w:t>
        </w:r>
        <w:r w:rsidR="00B36E3D">
          <w:rPr>
            <w:noProof/>
            <w:webHidden/>
          </w:rPr>
          <w:fldChar w:fldCharType="end"/>
        </w:r>
      </w:hyperlink>
    </w:p>
    <w:p w14:paraId="0BF7C719" w14:textId="5A46D0B4" w:rsidR="00B36E3D" w:rsidRDefault="00000000" w:rsidP="00B36E3D">
      <w:pPr>
        <w:pStyle w:val="TOC3"/>
        <w:keepNext/>
        <w:tabs>
          <w:tab w:val="left" w:pos="1526"/>
        </w:tabs>
        <w:rPr>
          <w:rFonts w:asciiTheme="minorHAnsi" w:eastAsiaTheme="minorEastAsia" w:hAnsiTheme="minorHAnsi" w:cstheme="minorBidi"/>
          <w:noProof/>
          <w:kern w:val="2"/>
          <w:sz w:val="22"/>
          <w:szCs w:val="22"/>
          <w14:ligatures w14:val="standardContextual"/>
        </w:rPr>
      </w:pPr>
      <w:hyperlink w:anchor="_Toc146183335" w:history="1">
        <w:r w:rsidR="00B36E3D" w:rsidRPr="00B22E2A">
          <w:rPr>
            <w:rStyle w:val="Hyperlink"/>
            <w:noProof/>
          </w:rPr>
          <w:t>3.1.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Patient Payments</w:t>
        </w:r>
        <w:r w:rsidR="00B36E3D">
          <w:rPr>
            <w:noProof/>
            <w:webHidden/>
          </w:rPr>
          <w:tab/>
        </w:r>
        <w:r w:rsidR="00B36E3D">
          <w:rPr>
            <w:noProof/>
            <w:webHidden/>
          </w:rPr>
          <w:fldChar w:fldCharType="begin"/>
        </w:r>
        <w:r w:rsidR="00B36E3D">
          <w:rPr>
            <w:noProof/>
            <w:webHidden/>
          </w:rPr>
          <w:instrText xml:space="preserve"> PAGEREF _Toc146183335 \h </w:instrText>
        </w:r>
        <w:r w:rsidR="00B36E3D">
          <w:rPr>
            <w:noProof/>
            <w:webHidden/>
          </w:rPr>
        </w:r>
        <w:r w:rsidR="00B36E3D">
          <w:rPr>
            <w:noProof/>
            <w:webHidden/>
          </w:rPr>
          <w:fldChar w:fldCharType="separate"/>
        </w:r>
        <w:r w:rsidR="002A1828">
          <w:rPr>
            <w:noProof/>
            <w:webHidden/>
          </w:rPr>
          <w:t>81</w:t>
        </w:r>
        <w:r w:rsidR="00B36E3D">
          <w:rPr>
            <w:noProof/>
            <w:webHidden/>
          </w:rPr>
          <w:fldChar w:fldCharType="end"/>
        </w:r>
      </w:hyperlink>
    </w:p>
    <w:p w14:paraId="3B9DC1FB" w14:textId="3F023253"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36" w:history="1">
        <w:r w:rsidR="00B36E3D" w:rsidRPr="00B22E2A">
          <w:rPr>
            <w:rStyle w:val="Hyperlink"/>
            <w:noProof/>
          </w:rPr>
          <w:t>3.2.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Adjustments</w:t>
        </w:r>
        <w:r w:rsidR="00B36E3D">
          <w:rPr>
            <w:noProof/>
            <w:webHidden/>
          </w:rPr>
          <w:tab/>
        </w:r>
        <w:r w:rsidR="00B36E3D">
          <w:rPr>
            <w:noProof/>
            <w:webHidden/>
          </w:rPr>
          <w:fldChar w:fldCharType="begin"/>
        </w:r>
        <w:r w:rsidR="00B36E3D">
          <w:rPr>
            <w:noProof/>
            <w:webHidden/>
          </w:rPr>
          <w:instrText xml:space="preserve"> PAGEREF _Toc146183336 \h </w:instrText>
        </w:r>
        <w:r w:rsidR="00B36E3D">
          <w:rPr>
            <w:noProof/>
            <w:webHidden/>
          </w:rPr>
        </w:r>
        <w:r w:rsidR="00B36E3D">
          <w:rPr>
            <w:noProof/>
            <w:webHidden/>
          </w:rPr>
          <w:fldChar w:fldCharType="separate"/>
        </w:r>
        <w:r w:rsidR="002A1828">
          <w:rPr>
            <w:noProof/>
            <w:webHidden/>
          </w:rPr>
          <w:t>82</w:t>
        </w:r>
        <w:r w:rsidR="00B36E3D">
          <w:rPr>
            <w:noProof/>
            <w:webHidden/>
          </w:rPr>
          <w:fldChar w:fldCharType="end"/>
        </w:r>
      </w:hyperlink>
    </w:p>
    <w:p w14:paraId="2E2780FE" w14:textId="19A22B89"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37" w:history="1">
        <w:r w:rsidR="00B36E3D" w:rsidRPr="00B22E2A">
          <w:rPr>
            <w:rStyle w:val="Hyperlink"/>
            <w:noProof/>
          </w:rPr>
          <w:t>3.3.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Suspended Credits</w:t>
        </w:r>
        <w:r w:rsidR="00B36E3D">
          <w:rPr>
            <w:noProof/>
            <w:webHidden/>
          </w:rPr>
          <w:tab/>
        </w:r>
        <w:r w:rsidR="00B36E3D">
          <w:rPr>
            <w:noProof/>
            <w:webHidden/>
          </w:rPr>
          <w:fldChar w:fldCharType="begin"/>
        </w:r>
        <w:r w:rsidR="00B36E3D">
          <w:rPr>
            <w:noProof/>
            <w:webHidden/>
          </w:rPr>
          <w:instrText xml:space="preserve"> PAGEREF _Toc146183337 \h </w:instrText>
        </w:r>
        <w:r w:rsidR="00B36E3D">
          <w:rPr>
            <w:noProof/>
            <w:webHidden/>
          </w:rPr>
        </w:r>
        <w:r w:rsidR="00B36E3D">
          <w:rPr>
            <w:noProof/>
            <w:webHidden/>
          </w:rPr>
          <w:fldChar w:fldCharType="separate"/>
        </w:r>
        <w:r w:rsidR="002A1828">
          <w:rPr>
            <w:noProof/>
            <w:webHidden/>
          </w:rPr>
          <w:t>83</w:t>
        </w:r>
        <w:r w:rsidR="00B36E3D">
          <w:rPr>
            <w:noProof/>
            <w:webHidden/>
          </w:rPr>
          <w:fldChar w:fldCharType="end"/>
        </w:r>
      </w:hyperlink>
    </w:p>
    <w:p w14:paraId="3C8C5CB3" w14:textId="54C6AB81" w:rsidR="00B36E3D" w:rsidRDefault="00000000">
      <w:pPr>
        <w:pStyle w:val="TOC2"/>
        <w:rPr>
          <w:rFonts w:asciiTheme="minorHAnsi" w:eastAsiaTheme="minorEastAsia" w:hAnsiTheme="minorHAnsi" w:cstheme="minorBidi"/>
          <w:noProof/>
          <w:kern w:val="2"/>
          <w:sz w:val="22"/>
          <w:szCs w:val="22"/>
          <w14:ligatures w14:val="standardContextual"/>
        </w:rPr>
      </w:pPr>
      <w:hyperlink w:anchor="_Toc146183338" w:history="1">
        <w:r w:rsidR="00B36E3D" w:rsidRPr="00B22E2A">
          <w:rPr>
            <w:rStyle w:val="Hyperlink"/>
            <w:noProof/>
          </w:rPr>
          <w:t>4.</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Maintaining Insurance Database and Fees</w:t>
        </w:r>
        <w:r w:rsidR="00B36E3D">
          <w:rPr>
            <w:noProof/>
            <w:webHidden/>
          </w:rPr>
          <w:tab/>
        </w:r>
        <w:r w:rsidR="00B36E3D">
          <w:rPr>
            <w:noProof/>
            <w:webHidden/>
          </w:rPr>
          <w:fldChar w:fldCharType="begin"/>
        </w:r>
        <w:r w:rsidR="00B36E3D">
          <w:rPr>
            <w:noProof/>
            <w:webHidden/>
          </w:rPr>
          <w:instrText xml:space="preserve"> PAGEREF _Toc146183338 \h </w:instrText>
        </w:r>
        <w:r w:rsidR="00B36E3D">
          <w:rPr>
            <w:noProof/>
            <w:webHidden/>
          </w:rPr>
        </w:r>
        <w:r w:rsidR="00B36E3D">
          <w:rPr>
            <w:noProof/>
            <w:webHidden/>
          </w:rPr>
          <w:fldChar w:fldCharType="separate"/>
        </w:r>
        <w:r w:rsidR="002A1828">
          <w:rPr>
            <w:noProof/>
            <w:webHidden/>
          </w:rPr>
          <w:t>84</w:t>
        </w:r>
        <w:r w:rsidR="00B36E3D">
          <w:rPr>
            <w:noProof/>
            <w:webHidden/>
          </w:rPr>
          <w:fldChar w:fldCharType="end"/>
        </w:r>
      </w:hyperlink>
    </w:p>
    <w:p w14:paraId="6FCD235B" w14:textId="1099A507"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39" w:history="1">
        <w:r w:rsidR="00B36E3D" w:rsidRPr="00B22E2A">
          <w:rPr>
            <w:rStyle w:val="Hyperlink"/>
            <w:noProof/>
          </w:rPr>
          <w:t>4.1.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Insurance Reference Utilities</w:t>
        </w:r>
        <w:r w:rsidR="00B36E3D">
          <w:rPr>
            <w:noProof/>
            <w:webHidden/>
          </w:rPr>
          <w:tab/>
        </w:r>
        <w:r w:rsidR="00B36E3D">
          <w:rPr>
            <w:noProof/>
            <w:webHidden/>
          </w:rPr>
          <w:fldChar w:fldCharType="begin"/>
        </w:r>
        <w:r w:rsidR="00B36E3D">
          <w:rPr>
            <w:noProof/>
            <w:webHidden/>
          </w:rPr>
          <w:instrText xml:space="preserve"> PAGEREF _Toc146183339 \h </w:instrText>
        </w:r>
        <w:r w:rsidR="00B36E3D">
          <w:rPr>
            <w:noProof/>
            <w:webHidden/>
          </w:rPr>
        </w:r>
        <w:r w:rsidR="00B36E3D">
          <w:rPr>
            <w:noProof/>
            <w:webHidden/>
          </w:rPr>
          <w:fldChar w:fldCharType="separate"/>
        </w:r>
        <w:r w:rsidR="002A1828">
          <w:rPr>
            <w:noProof/>
            <w:webHidden/>
          </w:rPr>
          <w:t>84</w:t>
        </w:r>
        <w:r w:rsidR="00B36E3D">
          <w:rPr>
            <w:noProof/>
            <w:webHidden/>
          </w:rPr>
          <w:fldChar w:fldCharType="end"/>
        </w:r>
      </w:hyperlink>
    </w:p>
    <w:p w14:paraId="2BD23C37" w14:textId="0D3090C8"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40" w:history="1">
        <w:r w:rsidR="00B36E3D" w:rsidRPr="00B22E2A">
          <w:rPr>
            <w:rStyle w:val="Hyperlink"/>
            <w:rFonts w:ascii="Times New Roman" w:hAnsi="Times New Roman"/>
            <w:noProof/>
          </w:rPr>
          <w:t>4.2.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Fee Schedule Maintenance</w:t>
        </w:r>
        <w:r w:rsidR="00B36E3D">
          <w:rPr>
            <w:noProof/>
            <w:webHidden/>
          </w:rPr>
          <w:tab/>
        </w:r>
        <w:r w:rsidR="00B36E3D">
          <w:rPr>
            <w:noProof/>
            <w:webHidden/>
          </w:rPr>
          <w:fldChar w:fldCharType="begin"/>
        </w:r>
        <w:r w:rsidR="00B36E3D">
          <w:rPr>
            <w:noProof/>
            <w:webHidden/>
          </w:rPr>
          <w:instrText xml:space="preserve"> PAGEREF _Toc146183340 \h </w:instrText>
        </w:r>
        <w:r w:rsidR="00B36E3D">
          <w:rPr>
            <w:noProof/>
            <w:webHidden/>
          </w:rPr>
        </w:r>
        <w:r w:rsidR="00B36E3D">
          <w:rPr>
            <w:noProof/>
            <w:webHidden/>
          </w:rPr>
          <w:fldChar w:fldCharType="separate"/>
        </w:r>
        <w:r w:rsidR="002A1828">
          <w:rPr>
            <w:noProof/>
            <w:webHidden/>
          </w:rPr>
          <w:t>84</w:t>
        </w:r>
        <w:r w:rsidR="00B36E3D">
          <w:rPr>
            <w:noProof/>
            <w:webHidden/>
          </w:rPr>
          <w:fldChar w:fldCharType="end"/>
        </w:r>
      </w:hyperlink>
    </w:p>
    <w:p w14:paraId="3B5CE206" w14:textId="7800CE30" w:rsidR="00B36E3D"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46183341" w:history="1">
        <w:r w:rsidR="00B36E3D" w:rsidRPr="00B22E2A">
          <w:rPr>
            <w:rStyle w:val="Hyperlink"/>
            <w:noProof/>
            <w:lang w:val="en"/>
          </w:rPr>
          <w:t>Database Design</w:t>
        </w:r>
        <w:r w:rsidR="00B36E3D">
          <w:rPr>
            <w:noProof/>
            <w:webHidden/>
          </w:rPr>
          <w:tab/>
        </w:r>
        <w:r w:rsidR="00B36E3D">
          <w:rPr>
            <w:noProof/>
            <w:webHidden/>
          </w:rPr>
          <w:fldChar w:fldCharType="begin"/>
        </w:r>
        <w:r w:rsidR="00B36E3D">
          <w:rPr>
            <w:noProof/>
            <w:webHidden/>
          </w:rPr>
          <w:instrText xml:space="preserve"> PAGEREF _Toc146183341 \h </w:instrText>
        </w:r>
        <w:r w:rsidR="00B36E3D">
          <w:rPr>
            <w:noProof/>
            <w:webHidden/>
          </w:rPr>
        </w:r>
        <w:r w:rsidR="00B36E3D">
          <w:rPr>
            <w:noProof/>
            <w:webHidden/>
          </w:rPr>
          <w:fldChar w:fldCharType="separate"/>
        </w:r>
        <w:r w:rsidR="002A1828">
          <w:rPr>
            <w:noProof/>
            <w:webHidden/>
          </w:rPr>
          <w:t>86</w:t>
        </w:r>
        <w:r w:rsidR="00B36E3D">
          <w:rPr>
            <w:noProof/>
            <w:webHidden/>
          </w:rPr>
          <w:fldChar w:fldCharType="end"/>
        </w:r>
      </w:hyperlink>
    </w:p>
    <w:p w14:paraId="7557C410" w14:textId="72E936CA" w:rsidR="00B36E3D" w:rsidRDefault="00000000">
      <w:pPr>
        <w:pStyle w:val="TOC2"/>
        <w:rPr>
          <w:rFonts w:asciiTheme="minorHAnsi" w:eastAsiaTheme="minorEastAsia" w:hAnsiTheme="minorHAnsi" w:cstheme="minorBidi"/>
          <w:noProof/>
          <w:kern w:val="2"/>
          <w:sz w:val="22"/>
          <w:szCs w:val="22"/>
          <w14:ligatures w14:val="standardContextual"/>
        </w:rPr>
      </w:pPr>
      <w:hyperlink w:anchor="_Toc146183342" w:history="1">
        <w:r w:rsidR="00B36E3D" w:rsidRPr="00B22E2A">
          <w:rPr>
            <w:rStyle w:val="Hyperlink"/>
            <w:noProof/>
          </w:rPr>
          <w:t>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Enterprise Setup</w:t>
        </w:r>
        <w:r w:rsidR="00B36E3D">
          <w:rPr>
            <w:noProof/>
            <w:webHidden/>
          </w:rPr>
          <w:tab/>
        </w:r>
        <w:r w:rsidR="00B36E3D">
          <w:rPr>
            <w:noProof/>
            <w:webHidden/>
          </w:rPr>
          <w:fldChar w:fldCharType="begin"/>
        </w:r>
        <w:r w:rsidR="00B36E3D">
          <w:rPr>
            <w:noProof/>
            <w:webHidden/>
          </w:rPr>
          <w:instrText xml:space="preserve"> PAGEREF _Toc146183342 \h </w:instrText>
        </w:r>
        <w:r w:rsidR="00B36E3D">
          <w:rPr>
            <w:noProof/>
            <w:webHidden/>
          </w:rPr>
        </w:r>
        <w:r w:rsidR="00B36E3D">
          <w:rPr>
            <w:noProof/>
            <w:webHidden/>
          </w:rPr>
          <w:fldChar w:fldCharType="separate"/>
        </w:r>
        <w:r w:rsidR="002A1828">
          <w:rPr>
            <w:noProof/>
            <w:webHidden/>
          </w:rPr>
          <w:t>86</w:t>
        </w:r>
        <w:r w:rsidR="00B36E3D">
          <w:rPr>
            <w:noProof/>
            <w:webHidden/>
          </w:rPr>
          <w:fldChar w:fldCharType="end"/>
        </w:r>
      </w:hyperlink>
    </w:p>
    <w:p w14:paraId="43098962" w14:textId="136F418F"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43" w:history="1">
        <w:r w:rsidR="00B36E3D" w:rsidRPr="00B22E2A">
          <w:rPr>
            <w:rStyle w:val="Hyperlink"/>
            <w:noProof/>
          </w:rPr>
          <w:t>1.1.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Clinic Information – Clinic Settings Tab</w:t>
        </w:r>
        <w:r w:rsidR="00B36E3D">
          <w:rPr>
            <w:noProof/>
            <w:webHidden/>
          </w:rPr>
          <w:tab/>
        </w:r>
        <w:r w:rsidR="00B36E3D">
          <w:rPr>
            <w:noProof/>
            <w:webHidden/>
          </w:rPr>
          <w:fldChar w:fldCharType="begin"/>
        </w:r>
        <w:r w:rsidR="00B36E3D">
          <w:rPr>
            <w:noProof/>
            <w:webHidden/>
          </w:rPr>
          <w:instrText xml:space="preserve"> PAGEREF _Toc146183343 \h </w:instrText>
        </w:r>
        <w:r w:rsidR="00B36E3D">
          <w:rPr>
            <w:noProof/>
            <w:webHidden/>
          </w:rPr>
        </w:r>
        <w:r w:rsidR="00B36E3D">
          <w:rPr>
            <w:noProof/>
            <w:webHidden/>
          </w:rPr>
          <w:fldChar w:fldCharType="separate"/>
        </w:r>
        <w:r w:rsidR="002A1828">
          <w:rPr>
            <w:noProof/>
            <w:webHidden/>
          </w:rPr>
          <w:t>87</w:t>
        </w:r>
        <w:r w:rsidR="00B36E3D">
          <w:rPr>
            <w:noProof/>
            <w:webHidden/>
          </w:rPr>
          <w:fldChar w:fldCharType="end"/>
        </w:r>
      </w:hyperlink>
    </w:p>
    <w:p w14:paraId="5FE839E9" w14:textId="6D191DBF"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44" w:history="1">
        <w:r w:rsidR="00B36E3D" w:rsidRPr="00B22E2A">
          <w:rPr>
            <w:rStyle w:val="Hyperlink"/>
            <w:noProof/>
          </w:rPr>
          <w:t>1.2.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Clinic Information – Organization Settings Tab</w:t>
        </w:r>
        <w:r w:rsidR="00B36E3D">
          <w:rPr>
            <w:noProof/>
            <w:webHidden/>
          </w:rPr>
          <w:tab/>
        </w:r>
        <w:r w:rsidR="00B36E3D">
          <w:rPr>
            <w:noProof/>
            <w:webHidden/>
          </w:rPr>
          <w:fldChar w:fldCharType="begin"/>
        </w:r>
        <w:r w:rsidR="00B36E3D">
          <w:rPr>
            <w:noProof/>
            <w:webHidden/>
          </w:rPr>
          <w:instrText xml:space="preserve"> PAGEREF _Toc146183344 \h </w:instrText>
        </w:r>
        <w:r w:rsidR="00B36E3D">
          <w:rPr>
            <w:noProof/>
            <w:webHidden/>
          </w:rPr>
        </w:r>
        <w:r w:rsidR="00B36E3D">
          <w:rPr>
            <w:noProof/>
            <w:webHidden/>
          </w:rPr>
          <w:fldChar w:fldCharType="separate"/>
        </w:r>
        <w:r w:rsidR="002A1828">
          <w:rPr>
            <w:noProof/>
            <w:webHidden/>
          </w:rPr>
          <w:t>91</w:t>
        </w:r>
        <w:r w:rsidR="00B36E3D">
          <w:rPr>
            <w:noProof/>
            <w:webHidden/>
          </w:rPr>
          <w:fldChar w:fldCharType="end"/>
        </w:r>
      </w:hyperlink>
    </w:p>
    <w:p w14:paraId="6B027A28" w14:textId="7D8CB422"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45" w:history="1">
        <w:r w:rsidR="00B36E3D" w:rsidRPr="00B22E2A">
          <w:rPr>
            <w:rStyle w:val="Hyperlink"/>
            <w:noProof/>
          </w:rPr>
          <w:t>1.3.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Clinic Information - Subscriptions Tab</w:t>
        </w:r>
        <w:r w:rsidR="00B36E3D">
          <w:rPr>
            <w:noProof/>
            <w:webHidden/>
          </w:rPr>
          <w:tab/>
        </w:r>
        <w:r w:rsidR="00B36E3D">
          <w:rPr>
            <w:noProof/>
            <w:webHidden/>
          </w:rPr>
          <w:fldChar w:fldCharType="begin"/>
        </w:r>
        <w:r w:rsidR="00B36E3D">
          <w:rPr>
            <w:noProof/>
            <w:webHidden/>
          </w:rPr>
          <w:instrText xml:space="preserve"> PAGEREF _Toc146183345 \h </w:instrText>
        </w:r>
        <w:r w:rsidR="00B36E3D">
          <w:rPr>
            <w:noProof/>
            <w:webHidden/>
          </w:rPr>
        </w:r>
        <w:r w:rsidR="00B36E3D">
          <w:rPr>
            <w:noProof/>
            <w:webHidden/>
          </w:rPr>
          <w:fldChar w:fldCharType="separate"/>
        </w:r>
        <w:r w:rsidR="002A1828">
          <w:rPr>
            <w:noProof/>
            <w:webHidden/>
          </w:rPr>
          <w:t>93</w:t>
        </w:r>
        <w:r w:rsidR="00B36E3D">
          <w:rPr>
            <w:noProof/>
            <w:webHidden/>
          </w:rPr>
          <w:fldChar w:fldCharType="end"/>
        </w:r>
      </w:hyperlink>
    </w:p>
    <w:p w14:paraId="59153A8E" w14:textId="5F7CF286" w:rsidR="00B36E3D" w:rsidRDefault="00000000">
      <w:pPr>
        <w:pStyle w:val="TOC2"/>
        <w:rPr>
          <w:rFonts w:asciiTheme="minorHAnsi" w:eastAsiaTheme="minorEastAsia" w:hAnsiTheme="minorHAnsi" w:cstheme="minorBidi"/>
          <w:noProof/>
          <w:kern w:val="2"/>
          <w:sz w:val="22"/>
          <w:szCs w:val="22"/>
          <w14:ligatures w14:val="standardContextual"/>
        </w:rPr>
      </w:pPr>
      <w:hyperlink w:anchor="_Toc146183346" w:history="1">
        <w:r w:rsidR="00B36E3D" w:rsidRPr="00B22E2A">
          <w:rPr>
            <w:rStyle w:val="Hyperlink"/>
            <w:noProof/>
          </w:rPr>
          <w:t>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Clinic Resource Setup</w:t>
        </w:r>
        <w:r w:rsidR="00B36E3D">
          <w:rPr>
            <w:noProof/>
            <w:webHidden/>
          </w:rPr>
          <w:tab/>
        </w:r>
        <w:r w:rsidR="00B36E3D">
          <w:rPr>
            <w:noProof/>
            <w:webHidden/>
          </w:rPr>
          <w:fldChar w:fldCharType="begin"/>
        </w:r>
        <w:r w:rsidR="00B36E3D">
          <w:rPr>
            <w:noProof/>
            <w:webHidden/>
          </w:rPr>
          <w:instrText xml:space="preserve"> PAGEREF _Toc146183346 \h </w:instrText>
        </w:r>
        <w:r w:rsidR="00B36E3D">
          <w:rPr>
            <w:noProof/>
            <w:webHidden/>
          </w:rPr>
        </w:r>
        <w:r w:rsidR="00B36E3D">
          <w:rPr>
            <w:noProof/>
            <w:webHidden/>
          </w:rPr>
          <w:fldChar w:fldCharType="separate"/>
        </w:r>
        <w:r w:rsidR="002A1828">
          <w:rPr>
            <w:noProof/>
            <w:webHidden/>
          </w:rPr>
          <w:t>94</w:t>
        </w:r>
        <w:r w:rsidR="00B36E3D">
          <w:rPr>
            <w:noProof/>
            <w:webHidden/>
          </w:rPr>
          <w:fldChar w:fldCharType="end"/>
        </w:r>
      </w:hyperlink>
    </w:p>
    <w:p w14:paraId="1E743454" w14:textId="1FEA0F96"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47" w:history="1">
        <w:r w:rsidR="00B36E3D" w:rsidRPr="00B22E2A">
          <w:rPr>
            <w:rStyle w:val="Hyperlink"/>
            <w:noProof/>
          </w:rPr>
          <w:t>2.1.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Provider Setup</w:t>
        </w:r>
        <w:r w:rsidR="00B36E3D">
          <w:rPr>
            <w:noProof/>
            <w:webHidden/>
          </w:rPr>
          <w:tab/>
        </w:r>
        <w:r w:rsidR="00B36E3D">
          <w:rPr>
            <w:noProof/>
            <w:webHidden/>
          </w:rPr>
          <w:fldChar w:fldCharType="begin"/>
        </w:r>
        <w:r w:rsidR="00B36E3D">
          <w:rPr>
            <w:noProof/>
            <w:webHidden/>
          </w:rPr>
          <w:instrText xml:space="preserve"> PAGEREF _Toc146183347 \h </w:instrText>
        </w:r>
        <w:r w:rsidR="00B36E3D">
          <w:rPr>
            <w:noProof/>
            <w:webHidden/>
          </w:rPr>
        </w:r>
        <w:r w:rsidR="00B36E3D">
          <w:rPr>
            <w:noProof/>
            <w:webHidden/>
          </w:rPr>
          <w:fldChar w:fldCharType="separate"/>
        </w:r>
        <w:r w:rsidR="002A1828">
          <w:rPr>
            <w:noProof/>
            <w:webHidden/>
          </w:rPr>
          <w:t>94</w:t>
        </w:r>
        <w:r w:rsidR="00B36E3D">
          <w:rPr>
            <w:noProof/>
            <w:webHidden/>
          </w:rPr>
          <w:fldChar w:fldCharType="end"/>
        </w:r>
      </w:hyperlink>
    </w:p>
    <w:p w14:paraId="6B082CB7" w14:textId="3C88BB61"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48" w:history="1">
        <w:r w:rsidR="00B36E3D" w:rsidRPr="00B22E2A">
          <w:rPr>
            <w:rStyle w:val="Hyperlink"/>
            <w:noProof/>
          </w:rPr>
          <w:t>2.2.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Staff Setup</w:t>
        </w:r>
        <w:r w:rsidR="00B36E3D">
          <w:rPr>
            <w:noProof/>
            <w:webHidden/>
          </w:rPr>
          <w:tab/>
        </w:r>
        <w:r w:rsidR="00B36E3D">
          <w:rPr>
            <w:noProof/>
            <w:webHidden/>
          </w:rPr>
          <w:fldChar w:fldCharType="begin"/>
        </w:r>
        <w:r w:rsidR="00B36E3D">
          <w:rPr>
            <w:noProof/>
            <w:webHidden/>
          </w:rPr>
          <w:instrText xml:space="preserve"> PAGEREF _Toc146183348 \h </w:instrText>
        </w:r>
        <w:r w:rsidR="00B36E3D">
          <w:rPr>
            <w:noProof/>
            <w:webHidden/>
          </w:rPr>
        </w:r>
        <w:r w:rsidR="00B36E3D">
          <w:rPr>
            <w:noProof/>
            <w:webHidden/>
          </w:rPr>
          <w:fldChar w:fldCharType="separate"/>
        </w:r>
        <w:r w:rsidR="002A1828">
          <w:rPr>
            <w:noProof/>
            <w:webHidden/>
          </w:rPr>
          <w:t>96</w:t>
        </w:r>
        <w:r w:rsidR="00B36E3D">
          <w:rPr>
            <w:noProof/>
            <w:webHidden/>
          </w:rPr>
          <w:fldChar w:fldCharType="end"/>
        </w:r>
      </w:hyperlink>
    </w:p>
    <w:p w14:paraId="33A85D25" w14:textId="0135F0ED"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49" w:history="1">
        <w:r w:rsidR="00B36E3D" w:rsidRPr="00B22E2A">
          <w:rPr>
            <w:rStyle w:val="Hyperlink"/>
            <w:noProof/>
          </w:rPr>
          <w:t>2.3.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Operatory Setup</w:t>
        </w:r>
        <w:r w:rsidR="00B36E3D">
          <w:rPr>
            <w:noProof/>
            <w:webHidden/>
          </w:rPr>
          <w:tab/>
        </w:r>
        <w:r w:rsidR="00B36E3D">
          <w:rPr>
            <w:noProof/>
            <w:webHidden/>
          </w:rPr>
          <w:fldChar w:fldCharType="begin"/>
        </w:r>
        <w:r w:rsidR="00B36E3D">
          <w:rPr>
            <w:noProof/>
            <w:webHidden/>
          </w:rPr>
          <w:instrText xml:space="preserve"> PAGEREF _Toc146183349 \h </w:instrText>
        </w:r>
        <w:r w:rsidR="00B36E3D">
          <w:rPr>
            <w:noProof/>
            <w:webHidden/>
          </w:rPr>
        </w:r>
        <w:r w:rsidR="00B36E3D">
          <w:rPr>
            <w:noProof/>
            <w:webHidden/>
          </w:rPr>
          <w:fldChar w:fldCharType="separate"/>
        </w:r>
        <w:r w:rsidR="002A1828">
          <w:rPr>
            <w:noProof/>
            <w:webHidden/>
          </w:rPr>
          <w:t>96</w:t>
        </w:r>
        <w:r w:rsidR="00B36E3D">
          <w:rPr>
            <w:noProof/>
            <w:webHidden/>
          </w:rPr>
          <w:fldChar w:fldCharType="end"/>
        </w:r>
      </w:hyperlink>
    </w:p>
    <w:p w14:paraId="5D0A273C" w14:textId="7ACA3385" w:rsidR="00B36E3D" w:rsidRDefault="00000000">
      <w:pPr>
        <w:pStyle w:val="TOC2"/>
        <w:rPr>
          <w:rFonts w:asciiTheme="minorHAnsi" w:eastAsiaTheme="minorEastAsia" w:hAnsiTheme="minorHAnsi" w:cstheme="minorBidi"/>
          <w:noProof/>
          <w:kern w:val="2"/>
          <w:sz w:val="22"/>
          <w:szCs w:val="22"/>
          <w14:ligatures w14:val="standardContextual"/>
        </w:rPr>
      </w:pPr>
      <w:hyperlink w:anchor="_Toc146183350" w:history="1">
        <w:r w:rsidR="00B36E3D" w:rsidRPr="00B22E2A">
          <w:rPr>
            <w:rStyle w:val="Hyperlink"/>
            <w:noProof/>
          </w:rPr>
          <w:t>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Dentrix Enterprise Configuration</w:t>
        </w:r>
        <w:r w:rsidR="00B36E3D">
          <w:rPr>
            <w:noProof/>
            <w:webHidden/>
          </w:rPr>
          <w:tab/>
        </w:r>
        <w:r w:rsidR="00B36E3D">
          <w:rPr>
            <w:noProof/>
            <w:webHidden/>
          </w:rPr>
          <w:fldChar w:fldCharType="begin"/>
        </w:r>
        <w:r w:rsidR="00B36E3D">
          <w:rPr>
            <w:noProof/>
            <w:webHidden/>
          </w:rPr>
          <w:instrText xml:space="preserve"> PAGEREF _Toc146183350 \h </w:instrText>
        </w:r>
        <w:r w:rsidR="00B36E3D">
          <w:rPr>
            <w:noProof/>
            <w:webHidden/>
          </w:rPr>
        </w:r>
        <w:r w:rsidR="00B36E3D">
          <w:rPr>
            <w:noProof/>
            <w:webHidden/>
          </w:rPr>
          <w:fldChar w:fldCharType="separate"/>
        </w:r>
        <w:r w:rsidR="002A1828">
          <w:rPr>
            <w:noProof/>
            <w:webHidden/>
          </w:rPr>
          <w:t>96</w:t>
        </w:r>
        <w:r w:rsidR="00B36E3D">
          <w:rPr>
            <w:noProof/>
            <w:webHidden/>
          </w:rPr>
          <w:fldChar w:fldCharType="end"/>
        </w:r>
      </w:hyperlink>
    </w:p>
    <w:p w14:paraId="69901DFC" w14:textId="142C6FB0"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51" w:history="1">
        <w:r w:rsidR="00B36E3D" w:rsidRPr="00B22E2A">
          <w:rPr>
            <w:rStyle w:val="Hyperlink"/>
            <w:noProof/>
          </w:rPr>
          <w:t>3.1.</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Security Setup</w:t>
        </w:r>
        <w:r w:rsidR="00B36E3D">
          <w:rPr>
            <w:noProof/>
            <w:webHidden/>
          </w:rPr>
          <w:tab/>
        </w:r>
        <w:r w:rsidR="00B36E3D">
          <w:rPr>
            <w:noProof/>
            <w:webHidden/>
          </w:rPr>
          <w:fldChar w:fldCharType="begin"/>
        </w:r>
        <w:r w:rsidR="00B36E3D">
          <w:rPr>
            <w:noProof/>
            <w:webHidden/>
          </w:rPr>
          <w:instrText xml:space="preserve"> PAGEREF _Toc146183351 \h </w:instrText>
        </w:r>
        <w:r w:rsidR="00B36E3D">
          <w:rPr>
            <w:noProof/>
            <w:webHidden/>
          </w:rPr>
        </w:r>
        <w:r w:rsidR="00B36E3D">
          <w:rPr>
            <w:noProof/>
            <w:webHidden/>
          </w:rPr>
          <w:fldChar w:fldCharType="separate"/>
        </w:r>
        <w:r w:rsidR="002A1828">
          <w:rPr>
            <w:noProof/>
            <w:webHidden/>
          </w:rPr>
          <w:t>96</w:t>
        </w:r>
        <w:r w:rsidR="00B36E3D">
          <w:rPr>
            <w:noProof/>
            <w:webHidden/>
          </w:rPr>
          <w:fldChar w:fldCharType="end"/>
        </w:r>
      </w:hyperlink>
    </w:p>
    <w:p w14:paraId="58DB29AE" w14:textId="3ECAF614"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52" w:history="1">
        <w:r w:rsidR="00B36E3D" w:rsidRPr="00B22E2A">
          <w:rPr>
            <w:rStyle w:val="Hyperlink"/>
            <w:noProof/>
          </w:rPr>
          <w:t>3.2.</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Definitions</w:t>
        </w:r>
        <w:r w:rsidR="00B36E3D">
          <w:rPr>
            <w:noProof/>
            <w:webHidden/>
          </w:rPr>
          <w:tab/>
        </w:r>
        <w:r w:rsidR="00B36E3D">
          <w:rPr>
            <w:noProof/>
            <w:webHidden/>
          </w:rPr>
          <w:fldChar w:fldCharType="begin"/>
        </w:r>
        <w:r w:rsidR="00B36E3D">
          <w:rPr>
            <w:noProof/>
            <w:webHidden/>
          </w:rPr>
          <w:instrText xml:space="preserve"> PAGEREF _Toc146183352 \h </w:instrText>
        </w:r>
        <w:r w:rsidR="00B36E3D">
          <w:rPr>
            <w:noProof/>
            <w:webHidden/>
          </w:rPr>
        </w:r>
        <w:r w:rsidR="00B36E3D">
          <w:rPr>
            <w:noProof/>
            <w:webHidden/>
          </w:rPr>
          <w:fldChar w:fldCharType="separate"/>
        </w:r>
        <w:r w:rsidR="002A1828">
          <w:rPr>
            <w:noProof/>
            <w:webHidden/>
          </w:rPr>
          <w:t>98</w:t>
        </w:r>
        <w:r w:rsidR="00B36E3D">
          <w:rPr>
            <w:noProof/>
            <w:webHidden/>
          </w:rPr>
          <w:fldChar w:fldCharType="end"/>
        </w:r>
      </w:hyperlink>
    </w:p>
    <w:p w14:paraId="6ADAEFF2" w14:textId="7B0FE0CF"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53" w:history="1">
        <w:r w:rsidR="00B36E3D" w:rsidRPr="00B22E2A">
          <w:rPr>
            <w:rStyle w:val="Hyperlink"/>
            <w:noProof/>
          </w:rPr>
          <w:t>3.3.</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Procedure Code Setup</w:t>
        </w:r>
        <w:r w:rsidR="00B36E3D">
          <w:rPr>
            <w:noProof/>
            <w:webHidden/>
          </w:rPr>
          <w:tab/>
        </w:r>
        <w:r w:rsidR="00B36E3D">
          <w:rPr>
            <w:noProof/>
            <w:webHidden/>
          </w:rPr>
          <w:fldChar w:fldCharType="begin"/>
        </w:r>
        <w:r w:rsidR="00B36E3D">
          <w:rPr>
            <w:noProof/>
            <w:webHidden/>
          </w:rPr>
          <w:instrText xml:space="preserve"> PAGEREF _Toc146183353 \h </w:instrText>
        </w:r>
        <w:r w:rsidR="00B36E3D">
          <w:rPr>
            <w:noProof/>
            <w:webHidden/>
          </w:rPr>
        </w:r>
        <w:r w:rsidR="00B36E3D">
          <w:rPr>
            <w:noProof/>
            <w:webHidden/>
          </w:rPr>
          <w:fldChar w:fldCharType="separate"/>
        </w:r>
        <w:r w:rsidR="002A1828">
          <w:rPr>
            <w:noProof/>
            <w:webHidden/>
          </w:rPr>
          <w:t>99</w:t>
        </w:r>
        <w:r w:rsidR="00B36E3D">
          <w:rPr>
            <w:noProof/>
            <w:webHidden/>
          </w:rPr>
          <w:fldChar w:fldCharType="end"/>
        </w:r>
      </w:hyperlink>
    </w:p>
    <w:p w14:paraId="6C33FACB" w14:textId="7C94BC3B"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54" w:history="1">
        <w:r w:rsidR="00B36E3D" w:rsidRPr="00B22E2A">
          <w:rPr>
            <w:rStyle w:val="Hyperlink"/>
            <w:noProof/>
          </w:rPr>
          <w:t>3.4.</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Continuing Care</w:t>
        </w:r>
        <w:r w:rsidR="00B36E3D">
          <w:rPr>
            <w:noProof/>
            <w:webHidden/>
          </w:rPr>
          <w:tab/>
        </w:r>
        <w:r w:rsidR="00B36E3D">
          <w:rPr>
            <w:noProof/>
            <w:webHidden/>
          </w:rPr>
          <w:fldChar w:fldCharType="begin"/>
        </w:r>
        <w:r w:rsidR="00B36E3D">
          <w:rPr>
            <w:noProof/>
            <w:webHidden/>
          </w:rPr>
          <w:instrText xml:space="preserve"> PAGEREF _Toc146183354 \h </w:instrText>
        </w:r>
        <w:r w:rsidR="00B36E3D">
          <w:rPr>
            <w:noProof/>
            <w:webHidden/>
          </w:rPr>
        </w:r>
        <w:r w:rsidR="00B36E3D">
          <w:rPr>
            <w:noProof/>
            <w:webHidden/>
          </w:rPr>
          <w:fldChar w:fldCharType="separate"/>
        </w:r>
        <w:r w:rsidR="002A1828">
          <w:rPr>
            <w:noProof/>
            <w:webHidden/>
          </w:rPr>
          <w:t>100</w:t>
        </w:r>
        <w:r w:rsidR="00B36E3D">
          <w:rPr>
            <w:noProof/>
            <w:webHidden/>
          </w:rPr>
          <w:fldChar w:fldCharType="end"/>
        </w:r>
      </w:hyperlink>
    </w:p>
    <w:p w14:paraId="21291C88" w14:textId="129DA108"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55" w:history="1">
        <w:r w:rsidR="00B36E3D" w:rsidRPr="00B22E2A">
          <w:rPr>
            <w:rStyle w:val="Hyperlink"/>
            <w:noProof/>
          </w:rPr>
          <w:t>3.5.</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Appointment Book Setup</w:t>
        </w:r>
        <w:r w:rsidR="00B36E3D">
          <w:rPr>
            <w:noProof/>
            <w:webHidden/>
          </w:rPr>
          <w:tab/>
        </w:r>
        <w:r w:rsidR="00B36E3D">
          <w:rPr>
            <w:noProof/>
            <w:webHidden/>
          </w:rPr>
          <w:fldChar w:fldCharType="begin"/>
        </w:r>
        <w:r w:rsidR="00B36E3D">
          <w:rPr>
            <w:noProof/>
            <w:webHidden/>
          </w:rPr>
          <w:instrText xml:space="preserve"> PAGEREF _Toc146183355 \h </w:instrText>
        </w:r>
        <w:r w:rsidR="00B36E3D">
          <w:rPr>
            <w:noProof/>
            <w:webHidden/>
          </w:rPr>
        </w:r>
        <w:r w:rsidR="00B36E3D">
          <w:rPr>
            <w:noProof/>
            <w:webHidden/>
          </w:rPr>
          <w:fldChar w:fldCharType="separate"/>
        </w:r>
        <w:r w:rsidR="002A1828">
          <w:rPr>
            <w:noProof/>
            <w:webHidden/>
          </w:rPr>
          <w:t>100</w:t>
        </w:r>
        <w:r w:rsidR="00B36E3D">
          <w:rPr>
            <w:noProof/>
            <w:webHidden/>
          </w:rPr>
          <w:fldChar w:fldCharType="end"/>
        </w:r>
      </w:hyperlink>
    </w:p>
    <w:p w14:paraId="41385EB4" w14:textId="1EB55834"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56" w:history="1">
        <w:r w:rsidR="00B36E3D" w:rsidRPr="00B22E2A">
          <w:rPr>
            <w:rStyle w:val="Hyperlink"/>
            <w:bCs/>
            <w:noProof/>
          </w:rPr>
          <w:t>3.6.</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Clinical Setup</w:t>
        </w:r>
        <w:r w:rsidR="00B36E3D">
          <w:rPr>
            <w:noProof/>
            <w:webHidden/>
          </w:rPr>
          <w:tab/>
        </w:r>
        <w:r w:rsidR="00B36E3D">
          <w:rPr>
            <w:noProof/>
            <w:webHidden/>
          </w:rPr>
          <w:fldChar w:fldCharType="begin"/>
        </w:r>
        <w:r w:rsidR="00B36E3D">
          <w:rPr>
            <w:noProof/>
            <w:webHidden/>
          </w:rPr>
          <w:instrText xml:space="preserve"> PAGEREF _Toc146183356 \h </w:instrText>
        </w:r>
        <w:r w:rsidR="00B36E3D">
          <w:rPr>
            <w:noProof/>
            <w:webHidden/>
          </w:rPr>
        </w:r>
        <w:r w:rsidR="00B36E3D">
          <w:rPr>
            <w:noProof/>
            <w:webHidden/>
          </w:rPr>
          <w:fldChar w:fldCharType="separate"/>
        </w:r>
        <w:r w:rsidR="002A1828">
          <w:rPr>
            <w:noProof/>
            <w:webHidden/>
          </w:rPr>
          <w:t>104</w:t>
        </w:r>
        <w:r w:rsidR="00B36E3D">
          <w:rPr>
            <w:noProof/>
            <w:webHidden/>
          </w:rPr>
          <w:fldChar w:fldCharType="end"/>
        </w:r>
      </w:hyperlink>
    </w:p>
    <w:p w14:paraId="2A95FC4E" w14:textId="249A6ECD"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57" w:history="1">
        <w:r w:rsidR="00B36E3D" w:rsidRPr="00B22E2A">
          <w:rPr>
            <w:rStyle w:val="Hyperlink"/>
            <w:noProof/>
          </w:rPr>
          <w:t>3.7.</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Prescriptions</w:t>
        </w:r>
        <w:r w:rsidR="00B36E3D">
          <w:rPr>
            <w:noProof/>
            <w:webHidden/>
          </w:rPr>
          <w:tab/>
        </w:r>
        <w:r w:rsidR="00B36E3D">
          <w:rPr>
            <w:noProof/>
            <w:webHidden/>
          </w:rPr>
          <w:fldChar w:fldCharType="begin"/>
        </w:r>
        <w:r w:rsidR="00B36E3D">
          <w:rPr>
            <w:noProof/>
            <w:webHidden/>
          </w:rPr>
          <w:instrText xml:space="preserve"> PAGEREF _Toc146183357 \h </w:instrText>
        </w:r>
        <w:r w:rsidR="00B36E3D">
          <w:rPr>
            <w:noProof/>
            <w:webHidden/>
          </w:rPr>
        </w:r>
        <w:r w:rsidR="00B36E3D">
          <w:rPr>
            <w:noProof/>
            <w:webHidden/>
          </w:rPr>
          <w:fldChar w:fldCharType="separate"/>
        </w:r>
        <w:r w:rsidR="002A1828">
          <w:rPr>
            <w:noProof/>
            <w:webHidden/>
          </w:rPr>
          <w:t>110</w:t>
        </w:r>
        <w:r w:rsidR="00B36E3D">
          <w:rPr>
            <w:noProof/>
            <w:webHidden/>
          </w:rPr>
          <w:fldChar w:fldCharType="end"/>
        </w:r>
      </w:hyperlink>
    </w:p>
    <w:p w14:paraId="56FCF8CD" w14:textId="434BBF87"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58" w:history="1">
        <w:r w:rsidR="00B36E3D" w:rsidRPr="00B22E2A">
          <w:rPr>
            <w:rStyle w:val="Hyperlink"/>
            <w:noProof/>
          </w:rPr>
          <w:t>3.8.</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Ledger Setup</w:t>
        </w:r>
        <w:r w:rsidR="00B36E3D">
          <w:rPr>
            <w:noProof/>
            <w:webHidden/>
          </w:rPr>
          <w:tab/>
        </w:r>
        <w:r w:rsidR="00B36E3D">
          <w:rPr>
            <w:noProof/>
            <w:webHidden/>
          </w:rPr>
          <w:fldChar w:fldCharType="begin"/>
        </w:r>
        <w:r w:rsidR="00B36E3D">
          <w:rPr>
            <w:noProof/>
            <w:webHidden/>
          </w:rPr>
          <w:instrText xml:space="preserve"> PAGEREF _Toc146183358 \h </w:instrText>
        </w:r>
        <w:r w:rsidR="00B36E3D">
          <w:rPr>
            <w:noProof/>
            <w:webHidden/>
          </w:rPr>
        </w:r>
        <w:r w:rsidR="00B36E3D">
          <w:rPr>
            <w:noProof/>
            <w:webHidden/>
          </w:rPr>
          <w:fldChar w:fldCharType="separate"/>
        </w:r>
        <w:r w:rsidR="002A1828">
          <w:rPr>
            <w:noProof/>
            <w:webHidden/>
          </w:rPr>
          <w:t>111</w:t>
        </w:r>
        <w:r w:rsidR="00B36E3D">
          <w:rPr>
            <w:noProof/>
            <w:webHidden/>
          </w:rPr>
          <w:fldChar w:fldCharType="end"/>
        </w:r>
      </w:hyperlink>
    </w:p>
    <w:p w14:paraId="41E1C0B7" w14:textId="24561760" w:rsidR="00B36E3D" w:rsidRDefault="00000000">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59" w:history="1">
        <w:r w:rsidR="00B36E3D" w:rsidRPr="00B22E2A">
          <w:rPr>
            <w:rStyle w:val="Hyperlink"/>
            <w:noProof/>
          </w:rPr>
          <w:t>3.9.</w:t>
        </w:r>
        <w:r w:rsidR="00B36E3D">
          <w:rPr>
            <w:rFonts w:asciiTheme="minorHAnsi" w:eastAsiaTheme="minorEastAsia" w:hAnsiTheme="minorHAnsi" w:cstheme="minorBidi"/>
            <w:noProof/>
            <w:kern w:val="2"/>
            <w:sz w:val="22"/>
            <w:szCs w:val="22"/>
            <w14:ligatures w14:val="standardContextual"/>
          </w:rPr>
          <w:tab/>
        </w:r>
        <w:r w:rsidR="00B36E3D" w:rsidRPr="00B22E2A">
          <w:rPr>
            <w:rStyle w:val="Hyperlink"/>
            <w:noProof/>
          </w:rPr>
          <w:t>Document Center Setup</w:t>
        </w:r>
        <w:r w:rsidR="00B36E3D">
          <w:rPr>
            <w:noProof/>
            <w:webHidden/>
          </w:rPr>
          <w:tab/>
        </w:r>
        <w:r w:rsidR="00B36E3D">
          <w:rPr>
            <w:noProof/>
            <w:webHidden/>
          </w:rPr>
          <w:fldChar w:fldCharType="begin"/>
        </w:r>
        <w:r w:rsidR="00B36E3D">
          <w:rPr>
            <w:noProof/>
            <w:webHidden/>
          </w:rPr>
          <w:instrText xml:space="preserve"> PAGEREF _Toc146183359 \h </w:instrText>
        </w:r>
        <w:r w:rsidR="00B36E3D">
          <w:rPr>
            <w:noProof/>
            <w:webHidden/>
          </w:rPr>
        </w:r>
        <w:r w:rsidR="00B36E3D">
          <w:rPr>
            <w:noProof/>
            <w:webHidden/>
          </w:rPr>
          <w:fldChar w:fldCharType="separate"/>
        </w:r>
        <w:r w:rsidR="002A1828">
          <w:rPr>
            <w:noProof/>
            <w:webHidden/>
          </w:rPr>
          <w:t>113</w:t>
        </w:r>
        <w:r w:rsidR="00B36E3D">
          <w:rPr>
            <w:noProof/>
            <w:webHidden/>
          </w:rPr>
          <w:fldChar w:fldCharType="end"/>
        </w:r>
      </w:hyperlink>
    </w:p>
    <w:p w14:paraId="0CAB0A12" w14:textId="3DD0216E" w:rsidR="00B36E3D"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46183360" w:history="1">
        <w:r w:rsidR="00B36E3D" w:rsidRPr="00B22E2A">
          <w:rPr>
            <w:rStyle w:val="Hyperlink"/>
            <w:noProof/>
          </w:rPr>
          <w:t>Indian Health Manual (IHM)</w:t>
        </w:r>
        <w:r w:rsidR="00B36E3D">
          <w:rPr>
            <w:noProof/>
            <w:webHidden/>
          </w:rPr>
          <w:tab/>
        </w:r>
        <w:r w:rsidR="00B36E3D">
          <w:rPr>
            <w:noProof/>
            <w:webHidden/>
          </w:rPr>
          <w:fldChar w:fldCharType="begin"/>
        </w:r>
        <w:r w:rsidR="00B36E3D">
          <w:rPr>
            <w:noProof/>
            <w:webHidden/>
          </w:rPr>
          <w:instrText xml:space="preserve"> PAGEREF _Toc146183360 \h </w:instrText>
        </w:r>
        <w:r w:rsidR="00B36E3D">
          <w:rPr>
            <w:noProof/>
            <w:webHidden/>
          </w:rPr>
        </w:r>
        <w:r w:rsidR="00B36E3D">
          <w:rPr>
            <w:noProof/>
            <w:webHidden/>
          </w:rPr>
          <w:fldChar w:fldCharType="separate"/>
        </w:r>
        <w:r w:rsidR="002A1828">
          <w:rPr>
            <w:noProof/>
            <w:webHidden/>
          </w:rPr>
          <w:t>114</w:t>
        </w:r>
        <w:r w:rsidR="00B36E3D">
          <w:rPr>
            <w:noProof/>
            <w:webHidden/>
          </w:rPr>
          <w:fldChar w:fldCharType="end"/>
        </w:r>
      </w:hyperlink>
    </w:p>
    <w:p w14:paraId="399E8C7E" w14:textId="18AE02FF" w:rsidR="003D43BA" w:rsidRPr="003D43BA" w:rsidRDefault="003D43BA" w:rsidP="003D43BA">
      <w:r>
        <w:fldChar w:fldCharType="end"/>
      </w:r>
    </w:p>
    <w:p w14:paraId="76585101" w14:textId="2679CC39" w:rsidR="00F34999" w:rsidRDefault="00F34999" w:rsidP="00EE2AFE">
      <w:pPr>
        <w:pStyle w:val="BodyText"/>
        <w:sectPr w:rsidR="00F34999" w:rsidSect="00EE2AFE">
          <w:headerReference w:type="even" r:id="rId13"/>
          <w:headerReference w:type="default" r:id="rId14"/>
          <w:footerReference w:type="even" r:id="rId15"/>
          <w:footerReference w:type="default" r:id="rId16"/>
          <w:pgSz w:w="12240" w:h="15840"/>
          <w:pgMar w:top="1440" w:right="1440" w:bottom="1440" w:left="1440" w:header="360" w:footer="360" w:gutter="0"/>
          <w:pgNumType w:fmt="lowerRoman"/>
          <w:cols w:space="720"/>
          <w:docGrid w:linePitch="299"/>
        </w:sectPr>
      </w:pPr>
    </w:p>
    <w:p w14:paraId="43B3D9D8" w14:textId="260BD80A" w:rsidR="007F769A" w:rsidRDefault="007F769A" w:rsidP="007F769A">
      <w:pPr>
        <w:pStyle w:val="Heading1"/>
      </w:pPr>
      <w:bookmarkStart w:id="7" w:name="_Toc146183245"/>
      <w:bookmarkStart w:id="8" w:name="_Toc135416586"/>
      <w:bookmarkStart w:id="9" w:name="_Toc135416651"/>
      <w:r>
        <w:lastRenderedPageBreak/>
        <w:t>Record of Changes</w:t>
      </w:r>
      <w:bookmarkEnd w:id="7"/>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34"/>
        <w:gridCol w:w="1529"/>
        <w:gridCol w:w="6377"/>
      </w:tblGrid>
      <w:tr w:rsidR="007F769A" w14:paraId="72B3A4E0" w14:textId="77777777" w:rsidTr="00F17274">
        <w:trPr>
          <w:trHeight w:val="430"/>
        </w:trPr>
        <w:tc>
          <w:tcPr>
            <w:tcW w:w="1435" w:type="dxa"/>
            <w:shd w:val="clear" w:color="auto" w:fill="D9D9D9" w:themeFill="background1" w:themeFillShade="D9"/>
            <w:vAlign w:val="center"/>
          </w:tcPr>
          <w:p w14:paraId="5D7DA5AA" w14:textId="4F47A982" w:rsidR="007F769A" w:rsidRPr="007F769A" w:rsidRDefault="007F769A" w:rsidP="00F17274">
            <w:pPr>
              <w:pStyle w:val="TableText"/>
              <w:rPr>
                <w:b/>
                <w:bCs/>
              </w:rPr>
            </w:pPr>
            <w:r w:rsidRPr="007F769A">
              <w:rPr>
                <w:b/>
                <w:bCs/>
              </w:rPr>
              <w:t>Revision Date</w:t>
            </w:r>
          </w:p>
        </w:tc>
        <w:tc>
          <w:tcPr>
            <w:tcW w:w="1530" w:type="dxa"/>
            <w:shd w:val="clear" w:color="auto" w:fill="D9D9D9" w:themeFill="background1" w:themeFillShade="D9"/>
            <w:vAlign w:val="center"/>
          </w:tcPr>
          <w:p w14:paraId="384964E4" w14:textId="7A5B380D" w:rsidR="007F769A" w:rsidRPr="007F769A" w:rsidRDefault="007F769A" w:rsidP="00F17274">
            <w:pPr>
              <w:pStyle w:val="TableText"/>
              <w:rPr>
                <w:b/>
                <w:bCs/>
              </w:rPr>
            </w:pPr>
            <w:r w:rsidRPr="007F769A">
              <w:rPr>
                <w:b/>
                <w:bCs/>
              </w:rPr>
              <w:t>Revision Class</w:t>
            </w:r>
          </w:p>
        </w:tc>
        <w:tc>
          <w:tcPr>
            <w:tcW w:w="6385" w:type="dxa"/>
            <w:shd w:val="clear" w:color="auto" w:fill="D9D9D9" w:themeFill="background1" w:themeFillShade="D9"/>
            <w:vAlign w:val="center"/>
          </w:tcPr>
          <w:p w14:paraId="72B05B83" w14:textId="32F4A697" w:rsidR="007F769A" w:rsidRPr="007F769A" w:rsidRDefault="007F769A" w:rsidP="00F17274">
            <w:pPr>
              <w:pStyle w:val="TableText"/>
              <w:rPr>
                <w:b/>
                <w:bCs/>
              </w:rPr>
            </w:pPr>
            <w:r w:rsidRPr="007F769A">
              <w:rPr>
                <w:b/>
                <w:bCs/>
              </w:rPr>
              <w:t>Revision Details</w:t>
            </w:r>
          </w:p>
        </w:tc>
      </w:tr>
      <w:tr w:rsidR="00E065B7" w14:paraId="4F2208C8" w14:textId="77777777" w:rsidTr="0091131B">
        <w:trPr>
          <w:trHeight w:val="107"/>
        </w:trPr>
        <w:tc>
          <w:tcPr>
            <w:tcW w:w="1435" w:type="dxa"/>
            <w:shd w:val="clear" w:color="auto" w:fill="auto"/>
          </w:tcPr>
          <w:p w14:paraId="1092AACD" w14:textId="77777777" w:rsidR="00E065B7" w:rsidRPr="00E065B7" w:rsidRDefault="00E065B7" w:rsidP="00E065B7">
            <w:pPr>
              <w:pStyle w:val="TableText"/>
            </w:pPr>
          </w:p>
        </w:tc>
        <w:tc>
          <w:tcPr>
            <w:tcW w:w="1530" w:type="dxa"/>
            <w:shd w:val="clear" w:color="auto" w:fill="auto"/>
          </w:tcPr>
          <w:p w14:paraId="65AF3C42" w14:textId="77777777" w:rsidR="00E065B7" w:rsidRPr="00E065B7" w:rsidRDefault="00E065B7" w:rsidP="00E065B7">
            <w:pPr>
              <w:pStyle w:val="TableText"/>
            </w:pPr>
          </w:p>
        </w:tc>
        <w:tc>
          <w:tcPr>
            <w:tcW w:w="6385" w:type="dxa"/>
            <w:shd w:val="clear" w:color="auto" w:fill="auto"/>
          </w:tcPr>
          <w:p w14:paraId="0EA79C40" w14:textId="77777777" w:rsidR="00E065B7" w:rsidRPr="00E065B7" w:rsidRDefault="00E065B7" w:rsidP="00E065B7">
            <w:pPr>
              <w:pStyle w:val="TableText"/>
            </w:pPr>
          </w:p>
        </w:tc>
      </w:tr>
      <w:tr w:rsidR="00B77AF4" w14:paraId="57D623E3" w14:textId="77777777" w:rsidTr="0091131B">
        <w:trPr>
          <w:trHeight w:val="107"/>
        </w:trPr>
        <w:tc>
          <w:tcPr>
            <w:tcW w:w="1435" w:type="dxa"/>
            <w:shd w:val="clear" w:color="auto" w:fill="auto"/>
          </w:tcPr>
          <w:p w14:paraId="6EB55443" w14:textId="796DC2BA" w:rsidR="00B77AF4" w:rsidRPr="00E065B7" w:rsidRDefault="00B77AF4" w:rsidP="00E065B7">
            <w:pPr>
              <w:pStyle w:val="TableText"/>
            </w:pPr>
            <w:r>
              <w:t>9/21/2023</w:t>
            </w:r>
          </w:p>
        </w:tc>
        <w:tc>
          <w:tcPr>
            <w:tcW w:w="1530" w:type="dxa"/>
            <w:shd w:val="clear" w:color="auto" w:fill="auto"/>
          </w:tcPr>
          <w:p w14:paraId="3D6E76A4" w14:textId="0523731A" w:rsidR="00B77AF4" w:rsidRPr="00E065B7" w:rsidRDefault="00B77AF4" w:rsidP="00E065B7">
            <w:pPr>
              <w:pStyle w:val="TableText"/>
            </w:pPr>
            <w:r>
              <w:t>Minor</w:t>
            </w:r>
          </w:p>
        </w:tc>
        <w:tc>
          <w:tcPr>
            <w:tcW w:w="6385" w:type="dxa"/>
            <w:shd w:val="clear" w:color="auto" w:fill="auto"/>
          </w:tcPr>
          <w:p w14:paraId="0CECA55B" w14:textId="77777777" w:rsidR="00B77AF4" w:rsidRDefault="00B77AF4" w:rsidP="00E065B7">
            <w:pPr>
              <w:pStyle w:val="TableText"/>
            </w:pPr>
            <w:r>
              <w:t>Updated cover page.</w:t>
            </w:r>
          </w:p>
          <w:p w14:paraId="395AFAA3" w14:textId="77777777" w:rsidR="00B77AF4" w:rsidRDefault="00B77AF4" w:rsidP="00E065B7">
            <w:pPr>
              <w:pStyle w:val="TableText"/>
            </w:pPr>
            <w:r>
              <w:t>Repeated headers across pages of each checklist table.</w:t>
            </w:r>
          </w:p>
          <w:p w14:paraId="51CA456C" w14:textId="11739773" w:rsidR="00B77AF4" w:rsidRPr="00E065B7" w:rsidRDefault="00B77AF4" w:rsidP="00E065B7">
            <w:pPr>
              <w:pStyle w:val="TableText"/>
            </w:pPr>
            <w:r>
              <w:t>Fixed page numbering.</w:t>
            </w:r>
          </w:p>
        </w:tc>
      </w:tr>
      <w:tr w:rsidR="007F769A" w14:paraId="315E50E7" w14:textId="77777777" w:rsidTr="0091131B">
        <w:tc>
          <w:tcPr>
            <w:tcW w:w="1435" w:type="dxa"/>
          </w:tcPr>
          <w:p w14:paraId="6A1A8567" w14:textId="48071626" w:rsidR="007F769A" w:rsidRDefault="007F769A" w:rsidP="007F769A">
            <w:pPr>
              <w:pStyle w:val="TableText"/>
            </w:pPr>
            <w:r>
              <w:t>6/19/2023</w:t>
            </w:r>
          </w:p>
        </w:tc>
        <w:tc>
          <w:tcPr>
            <w:tcW w:w="1530" w:type="dxa"/>
          </w:tcPr>
          <w:p w14:paraId="167C9E3B" w14:textId="5E0778E6" w:rsidR="007F769A" w:rsidRDefault="007F769A" w:rsidP="007F769A">
            <w:pPr>
              <w:pStyle w:val="TableText"/>
            </w:pPr>
            <w:r>
              <w:t>Major</w:t>
            </w:r>
          </w:p>
        </w:tc>
        <w:tc>
          <w:tcPr>
            <w:tcW w:w="6385" w:type="dxa"/>
          </w:tcPr>
          <w:p w14:paraId="09FEB647" w14:textId="4CFDB408" w:rsidR="007F769A" w:rsidRDefault="004D5594" w:rsidP="007F769A">
            <w:pPr>
              <w:pStyle w:val="TableText"/>
            </w:pPr>
            <w:r>
              <w:t>Reformatting and rearranging of content, and spelling and grammar corrections throughout.</w:t>
            </w:r>
          </w:p>
          <w:p w14:paraId="0A4DED4F" w14:textId="77777777" w:rsidR="004D5594" w:rsidRDefault="004D5594" w:rsidP="007F769A">
            <w:pPr>
              <w:pStyle w:val="TableText"/>
            </w:pPr>
            <w:r>
              <w:t>Schedule Optimization:</w:t>
            </w:r>
          </w:p>
          <w:p w14:paraId="0B3949B2" w14:textId="160942F3" w:rsidR="004D5594" w:rsidRDefault="004D5594" w:rsidP="004D5594">
            <w:pPr>
              <w:pStyle w:val="TableText"/>
              <w:ind w:left="168"/>
            </w:pPr>
            <w:r>
              <w:t>1.2 Procedure Times – Added multi-code timing section.</w:t>
            </w:r>
          </w:p>
          <w:p w14:paraId="28DAC6F1" w14:textId="77777777" w:rsidR="004D5594" w:rsidRDefault="004D5594" w:rsidP="004D5594">
            <w:pPr>
              <w:pStyle w:val="TableText"/>
            </w:pPr>
            <w:r>
              <w:t>Patient Record Management:</w:t>
            </w:r>
          </w:p>
          <w:p w14:paraId="5A037F87" w14:textId="77777777" w:rsidR="004D5594" w:rsidRDefault="004D5594" w:rsidP="004D5594">
            <w:pPr>
              <w:pStyle w:val="TableText"/>
              <w:ind w:left="168"/>
            </w:pPr>
            <w:r>
              <w:t>3. Patient/Household File – Added note.</w:t>
            </w:r>
          </w:p>
          <w:p w14:paraId="1D9AC2A9" w14:textId="77777777" w:rsidR="004D5594" w:rsidRDefault="004D5594" w:rsidP="004D5594">
            <w:pPr>
              <w:pStyle w:val="TableText"/>
              <w:ind w:left="168"/>
            </w:pPr>
            <w:r>
              <w:t>3.2 Insurance – Added notes regarding verification of benefits, eligibility, and remaining benefits.</w:t>
            </w:r>
          </w:p>
          <w:p w14:paraId="21CAB808" w14:textId="77777777" w:rsidR="004D5594" w:rsidRDefault="004D5594" w:rsidP="004D5594">
            <w:pPr>
              <w:pStyle w:val="TableText"/>
            </w:pPr>
            <w:r>
              <w:t>Revenue Cycle Management</w:t>
            </w:r>
          </w:p>
          <w:p w14:paraId="22FC1E8F" w14:textId="77777777" w:rsidR="004D5594" w:rsidRDefault="004D5594" w:rsidP="004D5594">
            <w:pPr>
              <w:pStyle w:val="TableText"/>
              <w:ind w:left="168"/>
            </w:pPr>
            <w:r>
              <w:t>1. Insurance Plan Setup and Maintenance – Added introductory table, and split content for claim settings into two sections: one for dental; and one for medical. Added notes about fee schedules. Added payment table information.</w:t>
            </w:r>
          </w:p>
          <w:p w14:paraId="43C1A433" w14:textId="77777777" w:rsidR="004D5594" w:rsidRDefault="004D5594" w:rsidP="004D5594">
            <w:pPr>
              <w:pStyle w:val="TableText"/>
              <w:ind w:left="168"/>
            </w:pPr>
            <w:r>
              <w:t xml:space="preserve">2. Claim Management – Replaced green callout with prerequisites list (referring to applicable parts of </w:t>
            </w:r>
            <w:r w:rsidR="00192C3E">
              <w:t xml:space="preserve">the </w:t>
            </w:r>
            <w:r>
              <w:t>document)</w:t>
            </w:r>
            <w:r w:rsidR="00192C3E">
              <w:t>.</w:t>
            </w:r>
          </w:p>
          <w:p w14:paraId="22E882D0" w14:textId="77777777" w:rsidR="00192C3E" w:rsidRDefault="00192C3E" w:rsidP="004D5594">
            <w:pPr>
              <w:pStyle w:val="TableText"/>
              <w:ind w:left="168"/>
            </w:pPr>
            <w:r>
              <w:t>2.1 Claim Submission – Added information regarding claim providers.</w:t>
            </w:r>
          </w:p>
          <w:p w14:paraId="7896940A" w14:textId="77777777" w:rsidR="00192C3E" w:rsidRDefault="00192C3E" w:rsidP="004D5594">
            <w:pPr>
              <w:pStyle w:val="TableText"/>
              <w:ind w:left="168"/>
            </w:pPr>
            <w:r>
              <w:t>4.1 Insurance Reference Utilities – Removed green callout. Added note.</w:t>
            </w:r>
          </w:p>
          <w:p w14:paraId="0C3F069F" w14:textId="77777777" w:rsidR="00192C3E" w:rsidRDefault="00192C3E" w:rsidP="004D5594">
            <w:pPr>
              <w:pStyle w:val="TableText"/>
              <w:ind w:left="168"/>
            </w:pPr>
            <w:r>
              <w:t>4.2 Fee Schedule Maintenance – Added note.</w:t>
            </w:r>
          </w:p>
          <w:p w14:paraId="0B29FAFB" w14:textId="77777777" w:rsidR="00192C3E" w:rsidRDefault="00192C3E" w:rsidP="00192C3E">
            <w:pPr>
              <w:pStyle w:val="TableText"/>
            </w:pPr>
            <w:r>
              <w:t>Database Design:</w:t>
            </w:r>
          </w:p>
          <w:p w14:paraId="709A5B76" w14:textId="2D8D0228" w:rsidR="00192C3E" w:rsidRDefault="00192C3E" w:rsidP="00192C3E">
            <w:pPr>
              <w:pStyle w:val="TableText"/>
              <w:ind w:left="168"/>
            </w:pPr>
            <w:r>
              <w:t>1. Enterprise Setup – Rearranged information. Added notes. Updated content.</w:t>
            </w:r>
          </w:p>
          <w:p w14:paraId="26E48849" w14:textId="77777777" w:rsidR="00192C3E" w:rsidRDefault="00192C3E" w:rsidP="00192C3E">
            <w:pPr>
              <w:pStyle w:val="TableText"/>
              <w:ind w:left="168"/>
            </w:pPr>
            <w:r>
              <w:t>2.1 Provider Setup – Added specialty information. Added to details regarding IDs.</w:t>
            </w:r>
          </w:p>
          <w:p w14:paraId="45CF00CB" w14:textId="4FD7E5CF" w:rsidR="00192C3E" w:rsidRDefault="00192C3E" w:rsidP="00192C3E">
            <w:pPr>
              <w:pStyle w:val="TableText"/>
              <w:ind w:left="168"/>
            </w:pPr>
            <w:r>
              <w:t>3. Dentrix Enterprise Configuration – Reordered topics.</w:t>
            </w:r>
          </w:p>
        </w:tc>
      </w:tr>
      <w:tr w:rsidR="00B77AF4" w14:paraId="75C56F89" w14:textId="77777777" w:rsidTr="0091131B">
        <w:tc>
          <w:tcPr>
            <w:tcW w:w="1435" w:type="dxa"/>
          </w:tcPr>
          <w:p w14:paraId="0A8747D9" w14:textId="1E1C7B74" w:rsidR="00B77AF4" w:rsidRDefault="00F17274" w:rsidP="007F769A">
            <w:pPr>
              <w:pStyle w:val="TableText"/>
            </w:pPr>
            <w:r>
              <w:t>2023</w:t>
            </w:r>
          </w:p>
        </w:tc>
        <w:tc>
          <w:tcPr>
            <w:tcW w:w="1530" w:type="dxa"/>
          </w:tcPr>
          <w:p w14:paraId="02DC14B2" w14:textId="4A04A87A" w:rsidR="00B77AF4" w:rsidRDefault="00F17274" w:rsidP="007F769A">
            <w:pPr>
              <w:pStyle w:val="TableText"/>
            </w:pPr>
            <w:r>
              <w:t>Minor</w:t>
            </w:r>
          </w:p>
        </w:tc>
        <w:tc>
          <w:tcPr>
            <w:tcW w:w="6385" w:type="dxa"/>
          </w:tcPr>
          <w:p w14:paraId="6FA70369" w14:textId="77777777" w:rsidR="00B77AF4" w:rsidRDefault="00B77AF4" w:rsidP="007F769A">
            <w:pPr>
              <w:pStyle w:val="TableText"/>
            </w:pPr>
            <w:r>
              <w:t>Billing Updates.</w:t>
            </w:r>
          </w:p>
          <w:p w14:paraId="5012A15E" w14:textId="431FF012" w:rsidR="00B77AF4" w:rsidRDefault="00B77AF4" w:rsidP="007F769A">
            <w:pPr>
              <w:pStyle w:val="TableText"/>
            </w:pPr>
            <w:r>
              <w:t>Formatting Updates.</w:t>
            </w:r>
          </w:p>
        </w:tc>
      </w:tr>
      <w:tr w:rsidR="00B77AF4" w14:paraId="54B6E2F6" w14:textId="77777777" w:rsidTr="0091131B">
        <w:tc>
          <w:tcPr>
            <w:tcW w:w="1435" w:type="dxa"/>
          </w:tcPr>
          <w:p w14:paraId="234F42A4" w14:textId="431F2DD6" w:rsidR="00B77AF4" w:rsidRDefault="00F17274" w:rsidP="007F769A">
            <w:pPr>
              <w:pStyle w:val="TableText"/>
            </w:pPr>
            <w:r>
              <w:t>2022</w:t>
            </w:r>
          </w:p>
        </w:tc>
        <w:tc>
          <w:tcPr>
            <w:tcW w:w="1530" w:type="dxa"/>
          </w:tcPr>
          <w:p w14:paraId="32BC65FF" w14:textId="2ED14ADD" w:rsidR="00B77AF4" w:rsidRDefault="00B77AF4" w:rsidP="007F769A">
            <w:pPr>
              <w:pStyle w:val="TableText"/>
            </w:pPr>
            <w:r>
              <w:t>New</w:t>
            </w:r>
          </w:p>
        </w:tc>
        <w:tc>
          <w:tcPr>
            <w:tcW w:w="6385" w:type="dxa"/>
          </w:tcPr>
          <w:p w14:paraId="00A1A801" w14:textId="3B49B676" w:rsidR="00B77AF4" w:rsidRDefault="00B77AF4" w:rsidP="007F769A">
            <w:pPr>
              <w:pStyle w:val="TableText"/>
            </w:pPr>
            <w:r>
              <w:t>IT Security Protocols.</w:t>
            </w:r>
          </w:p>
        </w:tc>
      </w:tr>
      <w:tr w:rsidR="00B77AF4" w14:paraId="7E351484" w14:textId="77777777" w:rsidTr="0091131B">
        <w:tc>
          <w:tcPr>
            <w:tcW w:w="1435" w:type="dxa"/>
          </w:tcPr>
          <w:p w14:paraId="55CBBC7B" w14:textId="4FFDD016" w:rsidR="00B77AF4" w:rsidRDefault="00F17274" w:rsidP="007F769A">
            <w:pPr>
              <w:pStyle w:val="TableText"/>
            </w:pPr>
            <w:r>
              <w:t>2021</w:t>
            </w:r>
          </w:p>
        </w:tc>
        <w:tc>
          <w:tcPr>
            <w:tcW w:w="1530" w:type="dxa"/>
          </w:tcPr>
          <w:p w14:paraId="040AAB88" w14:textId="1F3B8E3B" w:rsidR="00B77AF4" w:rsidRDefault="00B77AF4" w:rsidP="007F769A">
            <w:pPr>
              <w:pStyle w:val="TableText"/>
            </w:pPr>
            <w:r>
              <w:t>New</w:t>
            </w:r>
          </w:p>
        </w:tc>
        <w:tc>
          <w:tcPr>
            <w:tcW w:w="6385" w:type="dxa"/>
          </w:tcPr>
          <w:p w14:paraId="286322A6" w14:textId="15E99121" w:rsidR="00B77AF4" w:rsidRDefault="00B77AF4" w:rsidP="007F769A">
            <w:pPr>
              <w:pStyle w:val="TableText"/>
            </w:pPr>
            <w:r>
              <w:t>Checklists.</w:t>
            </w:r>
          </w:p>
        </w:tc>
      </w:tr>
      <w:tr w:rsidR="00B77AF4" w14:paraId="1DE97B4D" w14:textId="77777777" w:rsidTr="0091131B">
        <w:tc>
          <w:tcPr>
            <w:tcW w:w="1435" w:type="dxa"/>
          </w:tcPr>
          <w:p w14:paraId="1460DB1F" w14:textId="5D61D62F" w:rsidR="00B77AF4" w:rsidRDefault="00F17274" w:rsidP="007F769A">
            <w:pPr>
              <w:pStyle w:val="TableText"/>
            </w:pPr>
            <w:r>
              <w:t>2020</w:t>
            </w:r>
          </w:p>
        </w:tc>
        <w:tc>
          <w:tcPr>
            <w:tcW w:w="1530" w:type="dxa"/>
          </w:tcPr>
          <w:p w14:paraId="62C2E916" w14:textId="6BB52203" w:rsidR="00B77AF4" w:rsidRDefault="00B77AF4" w:rsidP="007F769A">
            <w:pPr>
              <w:pStyle w:val="TableText"/>
            </w:pPr>
            <w:r>
              <w:t>Minor</w:t>
            </w:r>
          </w:p>
        </w:tc>
        <w:tc>
          <w:tcPr>
            <w:tcW w:w="6385" w:type="dxa"/>
          </w:tcPr>
          <w:p w14:paraId="6A74CD00" w14:textId="3C7164AC" w:rsidR="00B77AF4" w:rsidRDefault="00B77AF4" w:rsidP="007F769A">
            <w:pPr>
              <w:pStyle w:val="TableText"/>
            </w:pPr>
            <w:r>
              <w:t>Content updates, various sections.</w:t>
            </w:r>
          </w:p>
        </w:tc>
      </w:tr>
      <w:tr w:rsidR="00B77AF4" w14:paraId="48FC8C2C" w14:textId="77777777" w:rsidTr="0091131B">
        <w:tc>
          <w:tcPr>
            <w:tcW w:w="1435" w:type="dxa"/>
          </w:tcPr>
          <w:p w14:paraId="0285EC63" w14:textId="78621807" w:rsidR="00B77AF4" w:rsidRDefault="00B77AF4" w:rsidP="007F769A">
            <w:pPr>
              <w:pStyle w:val="TableText"/>
            </w:pPr>
            <w:r>
              <w:t>2019</w:t>
            </w:r>
          </w:p>
        </w:tc>
        <w:tc>
          <w:tcPr>
            <w:tcW w:w="1530" w:type="dxa"/>
          </w:tcPr>
          <w:p w14:paraId="66CA3807" w14:textId="4230EB51" w:rsidR="00B77AF4" w:rsidRDefault="00B77AF4" w:rsidP="007F769A">
            <w:pPr>
              <w:pStyle w:val="TableText"/>
            </w:pPr>
            <w:r>
              <w:t>New</w:t>
            </w:r>
          </w:p>
        </w:tc>
        <w:tc>
          <w:tcPr>
            <w:tcW w:w="6385" w:type="dxa"/>
          </w:tcPr>
          <w:p w14:paraId="76D448DF" w14:textId="652FF179" w:rsidR="00B77AF4" w:rsidRDefault="00B77AF4" w:rsidP="007F769A">
            <w:pPr>
              <w:pStyle w:val="TableText"/>
            </w:pPr>
            <w:r>
              <w:t>Handbook release / first version.</w:t>
            </w:r>
          </w:p>
        </w:tc>
      </w:tr>
    </w:tbl>
    <w:p w14:paraId="551C4E77" w14:textId="77777777" w:rsidR="007F769A" w:rsidRDefault="007F769A" w:rsidP="007F769A">
      <w:pPr>
        <w:pStyle w:val="BodyText"/>
      </w:pPr>
    </w:p>
    <w:p w14:paraId="3CE81203" w14:textId="77777777" w:rsidR="007F769A" w:rsidRDefault="007F769A" w:rsidP="007F769A">
      <w:pPr>
        <w:pStyle w:val="BodyText"/>
      </w:pPr>
    </w:p>
    <w:p w14:paraId="3420CD24" w14:textId="77777777" w:rsidR="007F769A" w:rsidRDefault="007F769A" w:rsidP="007F769A">
      <w:pPr>
        <w:pStyle w:val="BodyText"/>
        <w:sectPr w:rsidR="007F769A" w:rsidSect="008E6BF9">
          <w:headerReference w:type="even" r:id="rId17"/>
          <w:headerReference w:type="default" r:id="rId18"/>
          <w:footerReference w:type="even" r:id="rId19"/>
          <w:footerReference w:type="default" r:id="rId20"/>
          <w:pgSz w:w="12240" w:h="15840"/>
          <w:pgMar w:top="1440" w:right="1440" w:bottom="1440" w:left="1440" w:header="360" w:footer="360" w:gutter="0"/>
          <w:pgNumType w:start="1"/>
          <w:cols w:space="720"/>
          <w:docGrid w:linePitch="299"/>
        </w:sectPr>
      </w:pPr>
    </w:p>
    <w:p w14:paraId="2393C91F" w14:textId="5E06BDFF" w:rsidR="009B344D" w:rsidRPr="00081245" w:rsidRDefault="00875D0D" w:rsidP="00875D0D">
      <w:pPr>
        <w:pStyle w:val="Heading1"/>
      </w:pPr>
      <w:bookmarkStart w:id="10" w:name="_Toc146183246"/>
      <w:r>
        <w:lastRenderedPageBreak/>
        <w:t>Overview</w:t>
      </w:r>
      <w:bookmarkEnd w:id="8"/>
      <w:bookmarkEnd w:id="9"/>
      <w:bookmarkEnd w:id="10"/>
    </w:p>
    <w:p w14:paraId="4199BE3B" w14:textId="77777777" w:rsidR="00B74060" w:rsidRDefault="00F34999" w:rsidP="001D496B">
      <w:pPr>
        <w:pStyle w:val="BodyText"/>
      </w:pPr>
      <w:r w:rsidRPr="00F34999">
        <w:t>The IHS D</w:t>
      </w:r>
      <w:r w:rsidR="00FC522C">
        <w:t>ental</w:t>
      </w:r>
      <w:r w:rsidR="009B344D">
        <w:t xml:space="preserve"> </w:t>
      </w:r>
      <w:r w:rsidRPr="00F34999">
        <w:t xml:space="preserve">Clinic Manager’s Handbook </w:t>
      </w:r>
      <w:r w:rsidR="009B344D">
        <w:t>outlines</w:t>
      </w:r>
      <w:r w:rsidRPr="00F34999">
        <w:t xml:space="preserve"> </w:t>
      </w:r>
      <w:r w:rsidR="009B344D">
        <w:t>the</w:t>
      </w:r>
      <w:r w:rsidRPr="00F34999">
        <w:t xml:space="preserve"> best practice</w:t>
      </w:r>
      <w:r w:rsidR="009B344D">
        <w:t>s</w:t>
      </w:r>
      <w:r w:rsidRPr="00F34999">
        <w:t xml:space="preserve"> for the management and operation of Dentrix Enterprise in </w:t>
      </w:r>
      <w:r w:rsidR="009B344D">
        <w:t>an</w:t>
      </w:r>
      <w:r w:rsidRPr="00F34999">
        <w:t xml:space="preserve"> IHS clinic. This handbook </w:t>
      </w:r>
      <w:r w:rsidR="009B344D">
        <w:t xml:space="preserve">provides guidance for performing </w:t>
      </w:r>
      <w:r w:rsidRPr="00F34999">
        <w:t>specific workflows</w:t>
      </w:r>
      <w:r w:rsidR="009B344D">
        <w:t xml:space="preserve"> in Dentrix Enterprise—f</w:t>
      </w:r>
      <w:r w:rsidRPr="00F34999">
        <w:t xml:space="preserve">rom </w:t>
      </w:r>
      <w:r w:rsidR="009B344D">
        <w:t xml:space="preserve">program </w:t>
      </w:r>
      <w:r w:rsidRPr="00F34999">
        <w:t>configuration to monthly closeout duties</w:t>
      </w:r>
      <w:r w:rsidR="009B344D">
        <w:t>. T</w:t>
      </w:r>
      <w:r w:rsidRPr="00F34999">
        <w:t>h</w:t>
      </w:r>
      <w:r w:rsidR="009B344D">
        <w:t>is</w:t>
      </w:r>
      <w:r w:rsidRPr="00F34999">
        <w:t xml:space="preserve"> </w:t>
      </w:r>
      <w:r w:rsidR="009B344D">
        <w:t>h</w:t>
      </w:r>
      <w:r w:rsidRPr="00F34999">
        <w:t xml:space="preserve">andbook is </w:t>
      </w:r>
      <w:r w:rsidR="009B344D">
        <w:t>your</w:t>
      </w:r>
      <w:r w:rsidRPr="00F34999">
        <w:t xml:space="preserve"> resource </w:t>
      </w:r>
      <w:r w:rsidR="009B344D">
        <w:t>for</w:t>
      </w:r>
      <w:r w:rsidRPr="00F34999">
        <w:t xml:space="preserve"> dental clinic management processes in Dentrix Enterprise.</w:t>
      </w:r>
    </w:p>
    <w:p w14:paraId="56D995AC" w14:textId="04072E96" w:rsidR="00B74060" w:rsidRDefault="00B74060" w:rsidP="001D496B">
      <w:pPr>
        <w:pStyle w:val="BodyText"/>
        <w:sectPr w:rsidR="00B74060" w:rsidSect="00AE36C6">
          <w:headerReference w:type="even" r:id="rId21"/>
          <w:headerReference w:type="default" r:id="rId22"/>
          <w:footerReference w:type="even" r:id="rId23"/>
          <w:pgSz w:w="12240" w:h="15840"/>
          <w:pgMar w:top="1440" w:right="1440" w:bottom="1440" w:left="1440" w:header="360" w:footer="360" w:gutter="0"/>
          <w:cols w:space="720"/>
          <w:docGrid w:linePitch="299"/>
        </w:sectPr>
      </w:pPr>
      <w:r>
        <w:t>Note: This document has been updated for Dentrix Enterprise versions up to 11.0.4</w:t>
      </w:r>
      <w:r w:rsidR="00272316">
        <w:t>4</w:t>
      </w:r>
      <w:r>
        <w:t>.</w:t>
      </w:r>
    </w:p>
    <w:p w14:paraId="3B4FF693" w14:textId="76B36F48" w:rsidR="00D2666D" w:rsidRPr="00FF7D88" w:rsidRDefault="00FF7D88" w:rsidP="00FF7D88">
      <w:pPr>
        <w:pStyle w:val="Heading1"/>
      </w:pPr>
      <w:bookmarkStart w:id="11" w:name="_Toc135416587"/>
      <w:bookmarkStart w:id="12" w:name="_Toc135416652"/>
      <w:bookmarkStart w:id="13" w:name="_Toc146183247"/>
      <w:r w:rsidRPr="00FF7D88">
        <w:lastRenderedPageBreak/>
        <w:t xml:space="preserve">Daily </w:t>
      </w:r>
      <w:r w:rsidR="009B344D" w:rsidRPr="00FF7D88">
        <w:t>C</w:t>
      </w:r>
      <w:r w:rsidR="00F514DD" w:rsidRPr="00FF7D88">
        <w:t>linic C</w:t>
      </w:r>
      <w:r w:rsidR="009B344D" w:rsidRPr="00FF7D88">
        <w:t>loseout Duties</w:t>
      </w:r>
      <w:bookmarkEnd w:id="11"/>
      <w:bookmarkEnd w:id="12"/>
      <w:bookmarkEnd w:id="13"/>
    </w:p>
    <w:p w14:paraId="0A3916EE" w14:textId="2A36EDBC" w:rsidR="006A6338" w:rsidRPr="00912847" w:rsidRDefault="00F514DD" w:rsidP="00D506A7">
      <w:pPr>
        <w:pStyle w:val="BodyText"/>
        <w:spacing w:after="360"/>
      </w:pPr>
      <w:bookmarkStart w:id="14" w:name="_Hlk132712833"/>
      <w:r w:rsidRPr="00912847">
        <w:t xml:space="preserve">The Daily Clinic Closeout Duties </w:t>
      </w:r>
      <w:r w:rsidR="00120292">
        <w:t>checklist</w:t>
      </w:r>
      <w:r w:rsidRPr="00912847">
        <w:t xml:space="preserve"> </w:t>
      </w:r>
      <w:r w:rsidR="00120292">
        <w:t xml:space="preserve">is </w:t>
      </w:r>
      <w:r w:rsidRPr="00912847">
        <w:t xml:space="preserve">a comprehensive list of checks and balances to ensure the accuracy of today's entries recorded within Dentrix Enterprise, allow </w:t>
      </w:r>
      <w:r w:rsidR="00C2272C">
        <w:t xml:space="preserve">the </w:t>
      </w:r>
      <w:r w:rsidRPr="00912847">
        <w:t>tracking and review</w:t>
      </w:r>
      <w:r w:rsidR="00120292">
        <w:t>ing</w:t>
      </w:r>
      <w:r w:rsidRPr="00912847">
        <w:t xml:space="preserve"> of daily internal key performance indicators, guide preparations for tomorrow's scheduled appointments, and verify the completion of today's insurance revenue processes, where applicable. </w:t>
      </w:r>
      <w:r w:rsidR="00832ADD">
        <w:t xml:space="preserve">Each table of the checklist provides details for </w:t>
      </w:r>
      <w:r w:rsidR="00B5107E">
        <w:t>performing</w:t>
      </w:r>
      <w:r w:rsidR="00832ADD">
        <w:t xml:space="preserve"> a task</w:t>
      </w:r>
      <w:r w:rsidR="00B5107E">
        <w:t xml:space="preserve">. To complete the </w:t>
      </w:r>
      <w:r w:rsidR="004C7ADA">
        <w:t>task’s</w:t>
      </w:r>
      <w:r w:rsidR="00B5107E">
        <w:t xml:space="preserve"> objective, use </w:t>
      </w:r>
      <w:r w:rsidR="00832ADD">
        <w:t>the</w:t>
      </w:r>
      <w:r w:rsidRPr="00912847">
        <w:t xml:space="preserve"> suggested report filters</w:t>
      </w:r>
      <w:r w:rsidR="00B5107E">
        <w:t xml:space="preserve">, </w:t>
      </w:r>
      <w:r w:rsidRPr="00912847">
        <w:t>review</w:t>
      </w:r>
      <w:r w:rsidR="00B5107E">
        <w:t xml:space="preserve"> the report</w:t>
      </w:r>
      <w:r w:rsidRPr="00912847">
        <w:t xml:space="preserve">, </w:t>
      </w:r>
      <w:r w:rsidR="00B5107E">
        <w:t>be aware of any</w:t>
      </w:r>
      <w:r w:rsidRPr="00912847">
        <w:t xml:space="preserve"> dependencies</w:t>
      </w:r>
      <w:r w:rsidR="00B5107E">
        <w:t xml:space="preserve">, and </w:t>
      </w:r>
      <w:r w:rsidR="004C7ADA">
        <w:t>take actions or make</w:t>
      </w:r>
      <w:r w:rsidRPr="00912847">
        <w:t xml:space="preserve"> corrections if</w:t>
      </w:r>
      <w:r w:rsidR="004C7ADA">
        <w:t xml:space="preserve"> </w:t>
      </w:r>
      <w:r w:rsidRPr="00912847">
        <w:t xml:space="preserve">the report does not yield the expected result. </w:t>
      </w:r>
      <w:r w:rsidR="004C7ADA">
        <w:t xml:space="preserve">To </w:t>
      </w:r>
      <w:r w:rsidR="00C2272C">
        <w:t>record</w:t>
      </w:r>
      <w:r w:rsidR="004C7ADA">
        <w:t xml:space="preserve"> the task’s completion,</w:t>
      </w:r>
      <w:r w:rsidRPr="00912847">
        <w:t xml:space="preserve"> enter the review date, your name, recommended actions, target date</w:t>
      </w:r>
      <w:r w:rsidR="004C7ADA">
        <w:t>,</w:t>
      </w:r>
      <w:r w:rsidRPr="00912847">
        <w:t xml:space="preserve"> and completion date.</w:t>
      </w:r>
    </w:p>
    <w:tbl>
      <w:tblPr>
        <w:tblStyle w:val="TableGrid"/>
        <w:tblW w:w="14400" w:type="dxa"/>
        <w:tblInd w:w="-7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1255"/>
        <w:gridCol w:w="1351"/>
        <w:gridCol w:w="1261"/>
        <w:gridCol w:w="1981"/>
        <w:gridCol w:w="2699"/>
        <w:gridCol w:w="2071"/>
        <w:gridCol w:w="1532"/>
        <w:gridCol w:w="994"/>
        <w:gridCol w:w="1256"/>
      </w:tblGrid>
      <w:tr w:rsidR="00E80A68" w:rsidRPr="00EE4BD6" w14:paraId="6759931A" w14:textId="2FA0DA40" w:rsidTr="001337C7">
        <w:trPr>
          <w:cantSplit/>
          <w:tblHeader/>
        </w:trPr>
        <w:tc>
          <w:tcPr>
            <w:tcW w:w="436" w:type="pct"/>
            <w:vAlign w:val="center"/>
          </w:tcPr>
          <w:p w14:paraId="78D0A7AF" w14:textId="1DAAED1E" w:rsidR="00435784" w:rsidRPr="00912847" w:rsidRDefault="00435784" w:rsidP="00EF587A">
            <w:pPr>
              <w:pStyle w:val="TableText"/>
              <w:jc w:val="center"/>
              <w:rPr>
                <w:b/>
                <w:bCs/>
              </w:rPr>
            </w:pPr>
            <w:r w:rsidRPr="00435784">
              <w:rPr>
                <w:b/>
                <w:bCs/>
              </w:rPr>
              <w:t>Checklist Task / Report</w:t>
            </w:r>
          </w:p>
        </w:tc>
        <w:tc>
          <w:tcPr>
            <w:tcW w:w="469" w:type="pct"/>
            <w:vAlign w:val="center"/>
          </w:tcPr>
          <w:p w14:paraId="0D7250BA" w14:textId="3BBA6565" w:rsidR="00435784" w:rsidRPr="00912847" w:rsidRDefault="00435784" w:rsidP="00912847">
            <w:pPr>
              <w:pStyle w:val="TableText"/>
              <w:jc w:val="center"/>
              <w:rPr>
                <w:b/>
                <w:bCs/>
              </w:rPr>
            </w:pPr>
            <w:r w:rsidRPr="00912847">
              <w:rPr>
                <w:b/>
                <w:bCs/>
              </w:rPr>
              <w:t>Suggested Report Filters</w:t>
            </w:r>
          </w:p>
        </w:tc>
        <w:tc>
          <w:tcPr>
            <w:tcW w:w="438" w:type="pct"/>
            <w:vAlign w:val="center"/>
          </w:tcPr>
          <w:p w14:paraId="507BC81C" w14:textId="0DBF92D5" w:rsidR="00435784" w:rsidRPr="00912847" w:rsidRDefault="00435784" w:rsidP="00912847">
            <w:pPr>
              <w:pStyle w:val="TableText"/>
              <w:jc w:val="center"/>
              <w:rPr>
                <w:b/>
                <w:bCs/>
              </w:rPr>
            </w:pPr>
            <w:r w:rsidRPr="00912847">
              <w:rPr>
                <w:b/>
                <w:bCs/>
              </w:rPr>
              <w:t>Intent / Responsibility</w:t>
            </w:r>
          </w:p>
        </w:tc>
        <w:tc>
          <w:tcPr>
            <w:tcW w:w="688" w:type="pct"/>
            <w:vAlign w:val="center"/>
          </w:tcPr>
          <w:p w14:paraId="38E4F5F1" w14:textId="64294256" w:rsidR="00435784" w:rsidRPr="00912847" w:rsidRDefault="00435784" w:rsidP="00912847">
            <w:pPr>
              <w:pStyle w:val="TableText"/>
              <w:jc w:val="center"/>
              <w:rPr>
                <w:b/>
                <w:bCs/>
              </w:rPr>
            </w:pPr>
            <w:r w:rsidRPr="00912847">
              <w:rPr>
                <w:b/>
                <w:bCs/>
              </w:rPr>
              <w:t>Objective</w:t>
            </w:r>
          </w:p>
        </w:tc>
        <w:tc>
          <w:tcPr>
            <w:tcW w:w="937" w:type="pct"/>
            <w:vAlign w:val="center"/>
          </w:tcPr>
          <w:p w14:paraId="6256BD31" w14:textId="682EE142" w:rsidR="00435784" w:rsidRPr="00912847" w:rsidRDefault="00435784" w:rsidP="00912847">
            <w:pPr>
              <w:pStyle w:val="TableText"/>
              <w:jc w:val="center"/>
              <w:rPr>
                <w:b/>
                <w:bCs/>
              </w:rPr>
            </w:pPr>
            <w:r w:rsidRPr="00912847">
              <w:rPr>
                <w:b/>
                <w:bCs/>
              </w:rPr>
              <w:t>Dependencies and Possible Actions or Corrections Needed to Meet Objective</w:t>
            </w:r>
          </w:p>
        </w:tc>
        <w:tc>
          <w:tcPr>
            <w:tcW w:w="719" w:type="pct"/>
            <w:vAlign w:val="center"/>
          </w:tcPr>
          <w:p w14:paraId="03ECE8D2" w14:textId="0DD5D2ED" w:rsidR="00435784" w:rsidRPr="009A1DE7" w:rsidRDefault="00435784" w:rsidP="00EF587A">
            <w:pPr>
              <w:pStyle w:val="TableText"/>
              <w:jc w:val="center"/>
            </w:pPr>
            <w:r w:rsidRPr="00912847">
              <w:rPr>
                <w:b/>
                <w:bCs/>
              </w:rPr>
              <w:t>Warning</w:t>
            </w:r>
          </w:p>
          <w:p w14:paraId="7FB4629B" w14:textId="32AC836D" w:rsidR="00435784" w:rsidRPr="009A1DE7" w:rsidRDefault="00435784" w:rsidP="00EF587A">
            <w:pPr>
              <w:pStyle w:val="TableText"/>
              <w:jc w:val="center"/>
            </w:pPr>
            <w:r w:rsidRPr="009A1DE7">
              <w:rPr>
                <w:i/>
                <w:iCs/>
              </w:rPr>
              <w:t>Not following the recommendations may yield the</w:t>
            </w:r>
            <w:r>
              <w:rPr>
                <w:i/>
                <w:iCs/>
              </w:rPr>
              <w:t>se</w:t>
            </w:r>
            <w:r w:rsidRPr="009A1DE7">
              <w:rPr>
                <w:i/>
                <w:iCs/>
              </w:rPr>
              <w:t xml:space="preserve"> unintended results.</w:t>
            </w:r>
          </w:p>
        </w:tc>
        <w:tc>
          <w:tcPr>
            <w:tcW w:w="532" w:type="pct"/>
            <w:vAlign w:val="center"/>
          </w:tcPr>
          <w:p w14:paraId="4E1A963C" w14:textId="0FAA2839" w:rsidR="00435784" w:rsidRPr="009A1DE7" w:rsidRDefault="00435784" w:rsidP="00EF587A">
            <w:pPr>
              <w:pStyle w:val="TableText"/>
              <w:jc w:val="center"/>
            </w:pPr>
            <w:r w:rsidRPr="00912847">
              <w:rPr>
                <w:b/>
                <w:bCs/>
              </w:rPr>
              <w:t>References</w:t>
            </w:r>
          </w:p>
          <w:p w14:paraId="71D4F295" w14:textId="6D026358" w:rsidR="00435784" w:rsidRPr="009A1DE7" w:rsidRDefault="00435784" w:rsidP="00EF587A">
            <w:pPr>
              <w:pStyle w:val="TableText"/>
              <w:jc w:val="center"/>
            </w:pPr>
            <w:r w:rsidRPr="009A1DE7">
              <w:rPr>
                <w:i/>
                <w:iCs/>
              </w:rPr>
              <w:t>An asterisk (*) denotes an external resource.</w:t>
            </w:r>
          </w:p>
        </w:tc>
        <w:tc>
          <w:tcPr>
            <w:tcW w:w="781" w:type="pct"/>
            <w:gridSpan w:val="2"/>
            <w:shd w:val="clear" w:color="auto" w:fill="F2F2F2" w:themeFill="background1" w:themeFillShade="F2"/>
            <w:vAlign w:val="center"/>
          </w:tcPr>
          <w:p w14:paraId="48E1A70F" w14:textId="77994ECE" w:rsidR="00435784" w:rsidRPr="00EF587A" w:rsidRDefault="00EF587A" w:rsidP="00EF587A">
            <w:pPr>
              <w:pStyle w:val="TableText"/>
              <w:jc w:val="center"/>
              <w:rPr>
                <w:b/>
                <w:bCs/>
              </w:rPr>
            </w:pPr>
            <w:r w:rsidRPr="00EF587A">
              <w:rPr>
                <w:b/>
                <w:bCs/>
              </w:rPr>
              <w:t>Completion</w:t>
            </w:r>
          </w:p>
        </w:tc>
      </w:tr>
      <w:tr w:rsidR="00E80A68" w:rsidRPr="00EE4BD6" w14:paraId="75034EC6" w14:textId="13D2D42D" w:rsidTr="001337C7">
        <w:trPr>
          <w:cantSplit/>
          <w:trHeight w:val="654"/>
        </w:trPr>
        <w:tc>
          <w:tcPr>
            <w:tcW w:w="436" w:type="pct"/>
            <w:vMerge w:val="restart"/>
            <w:vAlign w:val="center"/>
          </w:tcPr>
          <w:p w14:paraId="48CDF12F" w14:textId="597DFB7C" w:rsidR="001F26DF" w:rsidRPr="00F77313" w:rsidRDefault="001F26DF" w:rsidP="00F77313">
            <w:pPr>
              <w:pStyle w:val="TableText"/>
              <w:jc w:val="center"/>
              <w:rPr>
                <w:b/>
                <w:bCs/>
              </w:rPr>
            </w:pPr>
            <w:r w:rsidRPr="00F77313">
              <w:rPr>
                <w:b/>
                <w:bCs/>
              </w:rPr>
              <w:t>Day Sheet Report</w:t>
            </w:r>
            <w:r w:rsidR="00E80A68" w:rsidRPr="00F77313">
              <w:rPr>
                <w:b/>
                <w:bCs/>
              </w:rPr>
              <w:br/>
            </w:r>
            <w:r w:rsidRPr="00F77313">
              <w:rPr>
                <w:b/>
                <w:bCs/>
              </w:rPr>
              <w:t>(All Clinics /</w:t>
            </w:r>
            <w:r w:rsidR="00F77313">
              <w:rPr>
                <w:b/>
                <w:bCs/>
              </w:rPr>
              <w:br/>
            </w:r>
            <w:r w:rsidRPr="00F77313">
              <w:rPr>
                <w:b/>
                <w:bCs/>
              </w:rPr>
              <w:t>All Providers)</w:t>
            </w:r>
          </w:p>
        </w:tc>
        <w:tc>
          <w:tcPr>
            <w:tcW w:w="469" w:type="pct"/>
            <w:vMerge w:val="restart"/>
          </w:tcPr>
          <w:p w14:paraId="71651F10" w14:textId="77BDD62A" w:rsidR="001F26DF" w:rsidRPr="009A1DE7" w:rsidRDefault="001F26DF" w:rsidP="00F77313">
            <w:pPr>
              <w:pStyle w:val="TableText"/>
              <w:numPr>
                <w:ilvl w:val="0"/>
                <w:numId w:val="3"/>
              </w:numPr>
              <w:ind w:left="226" w:hanging="180"/>
            </w:pPr>
            <w:r w:rsidRPr="009A1DE7">
              <w:t>Date Range: Today</w:t>
            </w:r>
            <w:r>
              <w:t>,</w:t>
            </w:r>
            <w:r w:rsidRPr="009A1DE7">
              <w:t xml:space="preserve"> by Entry Date</w:t>
            </w:r>
          </w:p>
          <w:p w14:paraId="221B78C9" w14:textId="142E6B34" w:rsidR="001F26DF" w:rsidRPr="009A1DE7" w:rsidRDefault="001F26DF" w:rsidP="00F77313">
            <w:pPr>
              <w:pStyle w:val="TableText"/>
              <w:numPr>
                <w:ilvl w:val="0"/>
                <w:numId w:val="3"/>
              </w:numPr>
              <w:ind w:left="226" w:hanging="180"/>
            </w:pPr>
            <w:r w:rsidRPr="009A1DE7">
              <w:t>All parameters for Clinic, Provider, Billing Type, and Patient Tag</w:t>
            </w:r>
          </w:p>
        </w:tc>
        <w:tc>
          <w:tcPr>
            <w:tcW w:w="438" w:type="pct"/>
            <w:vMerge w:val="restart"/>
          </w:tcPr>
          <w:p w14:paraId="46CA0723" w14:textId="619B8F81" w:rsidR="001F26DF" w:rsidRPr="009A1DE7" w:rsidRDefault="001F26DF" w:rsidP="00F77313">
            <w:pPr>
              <w:pStyle w:val="TableText"/>
            </w:pPr>
            <w:r w:rsidRPr="009A1DE7">
              <w:t>Dental Chief or Management Lead</w:t>
            </w:r>
          </w:p>
        </w:tc>
        <w:tc>
          <w:tcPr>
            <w:tcW w:w="688" w:type="pct"/>
            <w:vMerge w:val="restart"/>
          </w:tcPr>
          <w:p w14:paraId="3FC1EB2C" w14:textId="0AFB31C1" w:rsidR="001F26DF" w:rsidRPr="009A1DE7" w:rsidRDefault="001F26DF" w:rsidP="00F77313">
            <w:pPr>
              <w:pStyle w:val="TableText"/>
            </w:pPr>
            <w:r w:rsidRPr="009A1DE7">
              <w:t>Review all transaction activity to gain an understanding of the care provided to patients, identify gaps</w:t>
            </w:r>
            <w:r>
              <w:t xml:space="preserve"> in care,</w:t>
            </w:r>
            <w:r w:rsidRPr="009A1DE7">
              <w:t xml:space="preserve"> and </w:t>
            </w:r>
            <w:r>
              <w:t>determine</w:t>
            </w:r>
            <w:r w:rsidRPr="009A1DE7">
              <w:t xml:space="preserve"> </w:t>
            </w:r>
            <w:r>
              <w:t xml:space="preserve">the </w:t>
            </w:r>
            <w:r w:rsidRPr="009A1DE7">
              <w:t>productivity of each provider.</w:t>
            </w:r>
          </w:p>
        </w:tc>
        <w:tc>
          <w:tcPr>
            <w:tcW w:w="937" w:type="pct"/>
            <w:vMerge w:val="restart"/>
          </w:tcPr>
          <w:p w14:paraId="38AAEAF6" w14:textId="2953E05F" w:rsidR="001F26DF" w:rsidRPr="009A1DE7" w:rsidRDefault="001F26DF" w:rsidP="00F77313">
            <w:pPr>
              <w:pStyle w:val="TableText"/>
            </w:pPr>
            <w:r w:rsidRPr="009A1DE7">
              <w:t>Prior to running the Day Sheet Report, all appointments must be marked as &lt;</w:t>
            </w:r>
            <w:r>
              <w:t>C</w:t>
            </w:r>
            <w:r w:rsidRPr="009A1DE7">
              <w:t xml:space="preserve">omplete&gt;, </w:t>
            </w:r>
            <w:r>
              <w:t>which indicates</w:t>
            </w:r>
            <w:r w:rsidRPr="009A1DE7">
              <w:t xml:space="preserve"> that all procedures have been completed and reviewed for accuracy.</w:t>
            </w:r>
          </w:p>
          <w:p w14:paraId="1004A714" w14:textId="523E2A6D" w:rsidR="001F26DF" w:rsidRPr="009A1DE7" w:rsidRDefault="001F26DF" w:rsidP="00F77313">
            <w:pPr>
              <w:pStyle w:val="TableText"/>
              <w:numPr>
                <w:ilvl w:val="0"/>
                <w:numId w:val="2"/>
              </w:numPr>
              <w:ind w:left="232" w:hanging="180"/>
            </w:pPr>
            <w:r w:rsidRPr="009A1DE7">
              <w:rPr>
                <w:u w:val="single"/>
              </w:rPr>
              <w:t>Appointment Book</w:t>
            </w:r>
            <w:r w:rsidRPr="009A1DE7">
              <w:t xml:space="preserve">: Confirm all </w:t>
            </w:r>
            <w:r>
              <w:t>appointment</w:t>
            </w:r>
            <w:r w:rsidRPr="009A1DE7">
              <w:t xml:space="preserve"> status</w:t>
            </w:r>
            <w:r>
              <w:t>es</w:t>
            </w:r>
            <w:r w:rsidRPr="009A1DE7">
              <w:t xml:space="preserve"> have been changed to COMPLETE</w:t>
            </w:r>
            <w:r>
              <w:t xml:space="preserve">. </w:t>
            </w:r>
            <w:r w:rsidRPr="009A1DE7">
              <w:t>Cross check the schedule with the day sheet for missing patients</w:t>
            </w:r>
            <w:r>
              <w:t>.</w:t>
            </w:r>
          </w:p>
          <w:p w14:paraId="1D8A573A" w14:textId="130BA76F" w:rsidR="001F26DF" w:rsidRPr="009A1DE7" w:rsidRDefault="001F26DF" w:rsidP="00F77313">
            <w:pPr>
              <w:pStyle w:val="TableText"/>
              <w:numPr>
                <w:ilvl w:val="0"/>
                <w:numId w:val="2"/>
              </w:numPr>
              <w:ind w:left="232" w:hanging="180"/>
            </w:pPr>
            <w:r w:rsidRPr="009A1DE7">
              <w:rPr>
                <w:u w:val="single"/>
              </w:rPr>
              <w:t>Chart</w:t>
            </w:r>
            <w:r w:rsidRPr="009A1DE7">
              <w:t xml:space="preserve">: </w:t>
            </w:r>
            <w:r>
              <w:t xml:space="preserve">Assign the correct patient </w:t>
            </w:r>
            <w:r w:rsidRPr="009A1DE7">
              <w:t>clinic</w:t>
            </w:r>
            <w:r>
              <w:t xml:space="preserve"> and</w:t>
            </w:r>
            <w:r w:rsidRPr="009A1DE7">
              <w:t xml:space="preserve"> provider(s)</w:t>
            </w:r>
            <w:r>
              <w:t xml:space="preserve"> to </w:t>
            </w:r>
            <w:r w:rsidRPr="009A1DE7">
              <w:t xml:space="preserve">and complete </w:t>
            </w:r>
            <w:r>
              <w:t xml:space="preserve">the </w:t>
            </w:r>
            <w:r w:rsidRPr="009A1DE7">
              <w:t>day</w:t>
            </w:r>
            <w:r>
              <w:t>’</w:t>
            </w:r>
            <w:r w:rsidRPr="009A1DE7">
              <w:t>s services</w:t>
            </w:r>
            <w:r>
              <w:t>.</w:t>
            </w:r>
          </w:p>
          <w:p w14:paraId="5F40FEF2" w14:textId="609818E4" w:rsidR="001F26DF" w:rsidRPr="009A1DE7" w:rsidRDefault="001F26DF" w:rsidP="00F77313">
            <w:pPr>
              <w:pStyle w:val="TableText"/>
              <w:numPr>
                <w:ilvl w:val="0"/>
                <w:numId w:val="2"/>
              </w:numPr>
              <w:ind w:left="232" w:hanging="180"/>
            </w:pPr>
            <w:r w:rsidRPr="009A1DE7">
              <w:rPr>
                <w:u w:val="single"/>
              </w:rPr>
              <w:t>Ledger</w:t>
            </w:r>
            <w:r w:rsidRPr="009A1DE7">
              <w:t>: Correct posting errors for payments</w:t>
            </w:r>
            <w:r>
              <w:t xml:space="preserve"> and </w:t>
            </w:r>
            <w:r w:rsidRPr="009A1DE7">
              <w:t>adjustments</w:t>
            </w:r>
            <w:r>
              <w:t>.</w:t>
            </w:r>
          </w:p>
          <w:p w14:paraId="332839F8" w14:textId="4C4C06E3" w:rsidR="001F26DF" w:rsidRPr="009A1DE7" w:rsidRDefault="001F26DF" w:rsidP="00F77313">
            <w:pPr>
              <w:pStyle w:val="TableText"/>
              <w:numPr>
                <w:ilvl w:val="0"/>
                <w:numId w:val="2"/>
              </w:numPr>
              <w:ind w:left="232" w:hanging="180"/>
            </w:pPr>
            <w:r w:rsidRPr="009A1DE7">
              <w:rPr>
                <w:u w:val="single"/>
              </w:rPr>
              <w:t>Family File</w:t>
            </w:r>
            <w:r w:rsidRPr="009A1DE7">
              <w:t xml:space="preserve">: Assign </w:t>
            </w:r>
            <w:r>
              <w:t xml:space="preserve">the </w:t>
            </w:r>
            <w:r w:rsidRPr="009A1DE7">
              <w:t>correct billing type</w:t>
            </w:r>
            <w:r>
              <w:t>.</w:t>
            </w:r>
          </w:p>
        </w:tc>
        <w:tc>
          <w:tcPr>
            <w:tcW w:w="719" w:type="pct"/>
            <w:vMerge w:val="restart"/>
          </w:tcPr>
          <w:p w14:paraId="64BB6FF6" w14:textId="3188EEE4" w:rsidR="001F26DF" w:rsidRPr="00EF587A" w:rsidRDefault="001F26DF" w:rsidP="00F77313">
            <w:pPr>
              <w:pStyle w:val="TableText"/>
            </w:pPr>
            <w:r w:rsidRPr="009A1DE7">
              <w:t xml:space="preserve">The Dental Chief (or </w:t>
            </w:r>
            <w:r>
              <w:t>M</w:t>
            </w:r>
            <w:r w:rsidRPr="009A1DE7">
              <w:t xml:space="preserve">anagement </w:t>
            </w:r>
            <w:r>
              <w:t>L</w:t>
            </w:r>
            <w:r w:rsidRPr="009A1DE7">
              <w:t xml:space="preserve">ead) will not be able to </w:t>
            </w:r>
            <w:r>
              <w:t>observe</w:t>
            </w:r>
            <w:r w:rsidRPr="009A1DE7">
              <w:t xml:space="preserve"> the amount and type of dental care being delivered by the clinic as a whole and/or by specific </w:t>
            </w:r>
            <w:r>
              <w:t>p</w:t>
            </w:r>
            <w:r w:rsidRPr="009A1DE7">
              <w:t xml:space="preserve">rimary and </w:t>
            </w:r>
            <w:r>
              <w:t>s</w:t>
            </w:r>
            <w:r w:rsidRPr="009A1DE7">
              <w:t xml:space="preserve">econdary </w:t>
            </w:r>
            <w:r>
              <w:t>p</w:t>
            </w:r>
            <w:r w:rsidRPr="009A1DE7">
              <w:t>roviders.</w:t>
            </w:r>
          </w:p>
        </w:tc>
        <w:tc>
          <w:tcPr>
            <w:tcW w:w="532" w:type="pct"/>
            <w:vMerge w:val="restart"/>
          </w:tcPr>
          <w:p w14:paraId="5E137649" w14:textId="77777777" w:rsidR="001F26DF" w:rsidRPr="009A1DE7" w:rsidRDefault="001F26DF" w:rsidP="00F77313">
            <w:pPr>
              <w:pStyle w:val="TableText"/>
              <w:numPr>
                <w:ilvl w:val="0"/>
                <w:numId w:val="1"/>
              </w:numPr>
              <w:spacing w:after="0"/>
              <w:ind w:left="187" w:hanging="187"/>
            </w:pPr>
            <w:r w:rsidRPr="009A1DE7">
              <w:t>Schedule Optimization</w:t>
            </w:r>
          </w:p>
          <w:p w14:paraId="2BADBFAA" w14:textId="77777777" w:rsidR="001F26DF" w:rsidRPr="009A1DE7" w:rsidRDefault="001F26DF" w:rsidP="00F77313">
            <w:pPr>
              <w:pStyle w:val="TableText"/>
              <w:numPr>
                <w:ilvl w:val="0"/>
                <w:numId w:val="1"/>
              </w:numPr>
              <w:spacing w:after="0"/>
              <w:ind w:left="187" w:hanging="187"/>
            </w:pPr>
            <w:r w:rsidRPr="009A1DE7">
              <w:t>Patient Records</w:t>
            </w:r>
          </w:p>
          <w:p w14:paraId="439EA656" w14:textId="77777777" w:rsidR="001F26DF" w:rsidRPr="009A1DE7" w:rsidRDefault="001F26DF" w:rsidP="00F77313">
            <w:pPr>
              <w:pStyle w:val="TableText"/>
              <w:numPr>
                <w:ilvl w:val="0"/>
                <w:numId w:val="1"/>
              </w:numPr>
              <w:spacing w:after="0"/>
              <w:ind w:left="187" w:hanging="187"/>
            </w:pPr>
            <w:r w:rsidRPr="009A1DE7">
              <w:t>Clinical Records</w:t>
            </w:r>
          </w:p>
          <w:p w14:paraId="4F60F842" w14:textId="77777777" w:rsidR="001F26DF" w:rsidRDefault="001F26DF" w:rsidP="00F77313">
            <w:pPr>
              <w:pStyle w:val="TableText"/>
              <w:numPr>
                <w:ilvl w:val="0"/>
                <w:numId w:val="1"/>
              </w:numPr>
              <w:spacing w:after="0"/>
              <w:ind w:left="187" w:hanging="187"/>
            </w:pPr>
            <w:r w:rsidRPr="009A1DE7">
              <w:t>Revenue Cycle</w:t>
            </w:r>
          </w:p>
          <w:p w14:paraId="59827D37" w14:textId="660B0237" w:rsidR="001F26DF" w:rsidRPr="00EF587A" w:rsidRDefault="001F26DF" w:rsidP="00F77313">
            <w:pPr>
              <w:pStyle w:val="TableText"/>
              <w:numPr>
                <w:ilvl w:val="0"/>
                <w:numId w:val="1"/>
              </w:numPr>
              <w:spacing w:after="0"/>
              <w:ind w:left="187" w:hanging="187"/>
            </w:pPr>
            <w:r w:rsidRPr="009A1DE7">
              <w:t>Reports Reference*</w:t>
            </w:r>
          </w:p>
        </w:tc>
        <w:tc>
          <w:tcPr>
            <w:tcW w:w="345" w:type="pct"/>
            <w:shd w:val="clear" w:color="auto" w:fill="F2F2F2" w:themeFill="background1" w:themeFillShade="F2"/>
          </w:tcPr>
          <w:p w14:paraId="519A9E50" w14:textId="507BBF18" w:rsidR="001F26DF" w:rsidRPr="00EE4BD6" w:rsidRDefault="001F26DF" w:rsidP="001F26DF">
            <w:pPr>
              <w:pStyle w:val="TableText"/>
            </w:pPr>
            <w:r w:rsidRPr="001F26DF">
              <w:t>Date Reviewed</w:t>
            </w:r>
            <w:r>
              <w:t>:</w:t>
            </w:r>
          </w:p>
        </w:tc>
        <w:tc>
          <w:tcPr>
            <w:tcW w:w="436" w:type="pct"/>
            <w:shd w:val="clear" w:color="auto" w:fill="F2F2F2" w:themeFill="background1" w:themeFillShade="F2"/>
          </w:tcPr>
          <w:p w14:paraId="1A228124" w14:textId="20A413DC" w:rsidR="001F26DF" w:rsidRPr="00EE4BD6" w:rsidRDefault="001F26DF" w:rsidP="001F26DF">
            <w:pPr>
              <w:pStyle w:val="TableText"/>
            </w:pPr>
          </w:p>
        </w:tc>
      </w:tr>
      <w:tr w:rsidR="00E80A68" w:rsidRPr="00EE4BD6" w14:paraId="49240EE5" w14:textId="77777777" w:rsidTr="001337C7">
        <w:trPr>
          <w:cantSplit/>
          <w:trHeight w:val="654"/>
        </w:trPr>
        <w:tc>
          <w:tcPr>
            <w:tcW w:w="436" w:type="pct"/>
            <w:vMerge/>
          </w:tcPr>
          <w:p w14:paraId="2D7A7BBE" w14:textId="77777777" w:rsidR="001F26DF" w:rsidRPr="00EF587A" w:rsidRDefault="001F26DF" w:rsidP="00435784">
            <w:pPr>
              <w:pStyle w:val="TableText"/>
            </w:pPr>
          </w:p>
        </w:tc>
        <w:tc>
          <w:tcPr>
            <w:tcW w:w="469" w:type="pct"/>
            <w:vMerge/>
          </w:tcPr>
          <w:p w14:paraId="4EE9E889" w14:textId="77777777" w:rsidR="001F26DF" w:rsidRPr="009A1DE7" w:rsidRDefault="001F26DF">
            <w:pPr>
              <w:pStyle w:val="TableText"/>
              <w:numPr>
                <w:ilvl w:val="0"/>
                <w:numId w:val="3"/>
              </w:numPr>
              <w:ind w:left="226" w:hanging="180"/>
            </w:pPr>
          </w:p>
        </w:tc>
        <w:tc>
          <w:tcPr>
            <w:tcW w:w="438" w:type="pct"/>
            <w:vMerge/>
          </w:tcPr>
          <w:p w14:paraId="7E8AB8AA" w14:textId="77777777" w:rsidR="001F26DF" w:rsidRPr="009A1DE7" w:rsidRDefault="001F26DF" w:rsidP="00912847">
            <w:pPr>
              <w:pStyle w:val="TableText"/>
            </w:pPr>
          </w:p>
        </w:tc>
        <w:tc>
          <w:tcPr>
            <w:tcW w:w="688" w:type="pct"/>
            <w:vMerge/>
          </w:tcPr>
          <w:p w14:paraId="2ADB5D5A" w14:textId="77777777" w:rsidR="001F26DF" w:rsidRPr="009A1DE7" w:rsidRDefault="001F26DF" w:rsidP="00912847">
            <w:pPr>
              <w:pStyle w:val="TableText"/>
            </w:pPr>
          </w:p>
        </w:tc>
        <w:tc>
          <w:tcPr>
            <w:tcW w:w="937" w:type="pct"/>
            <w:vMerge/>
          </w:tcPr>
          <w:p w14:paraId="3C990875" w14:textId="77777777" w:rsidR="001F26DF" w:rsidRPr="009A1DE7" w:rsidRDefault="001F26DF" w:rsidP="00912847">
            <w:pPr>
              <w:pStyle w:val="TableText"/>
            </w:pPr>
          </w:p>
        </w:tc>
        <w:tc>
          <w:tcPr>
            <w:tcW w:w="719" w:type="pct"/>
            <w:vMerge/>
          </w:tcPr>
          <w:p w14:paraId="55E64446" w14:textId="77777777" w:rsidR="001F26DF" w:rsidRPr="009A1DE7" w:rsidRDefault="001F26DF" w:rsidP="00EF587A">
            <w:pPr>
              <w:pStyle w:val="TableText"/>
            </w:pPr>
          </w:p>
        </w:tc>
        <w:tc>
          <w:tcPr>
            <w:tcW w:w="532" w:type="pct"/>
            <w:vMerge/>
          </w:tcPr>
          <w:p w14:paraId="7DD60E1D" w14:textId="77777777" w:rsidR="001F26DF" w:rsidRPr="009A1DE7" w:rsidRDefault="001F26DF" w:rsidP="00EF587A">
            <w:pPr>
              <w:pStyle w:val="TableText"/>
              <w:numPr>
                <w:ilvl w:val="0"/>
                <w:numId w:val="1"/>
              </w:numPr>
              <w:spacing w:after="0"/>
              <w:ind w:left="187" w:hanging="187"/>
            </w:pPr>
          </w:p>
        </w:tc>
        <w:tc>
          <w:tcPr>
            <w:tcW w:w="345" w:type="pct"/>
            <w:shd w:val="clear" w:color="auto" w:fill="F2F2F2" w:themeFill="background1" w:themeFillShade="F2"/>
          </w:tcPr>
          <w:p w14:paraId="003C3403" w14:textId="365ED9C1" w:rsidR="001F26DF" w:rsidRPr="00EE4BD6" w:rsidRDefault="001F26DF" w:rsidP="001F26DF">
            <w:pPr>
              <w:pStyle w:val="TableText"/>
            </w:pPr>
            <w:r w:rsidRPr="009A1DE7">
              <w:t>Assigned Individual</w:t>
            </w:r>
            <w:r>
              <w:t>:</w:t>
            </w:r>
          </w:p>
        </w:tc>
        <w:tc>
          <w:tcPr>
            <w:tcW w:w="436" w:type="pct"/>
            <w:shd w:val="clear" w:color="auto" w:fill="F2F2F2" w:themeFill="background1" w:themeFillShade="F2"/>
          </w:tcPr>
          <w:p w14:paraId="17E862D4" w14:textId="691FB3A8" w:rsidR="001F26DF" w:rsidRPr="00EE4BD6" w:rsidRDefault="001F26DF" w:rsidP="001F26DF">
            <w:pPr>
              <w:pStyle w:val="TableText"/>
            </w:pPr>
          </w:p>
        </w:tc>
      </w:tr>
      <w:tr w:rsidR="00E80A68" w:rsidRPr="00EE4BD6" w14:paraId="5856FCF3" w14:textId="77777777" w:rsidTr="001337C7">
        <w:trPr>
          <w:cantSplit/>
          <w:trHeight w:val="654"/>
        </w:trPr>
        <w:tc>
          <w:tcPr>
            <w:tcW w:w="436" w:type="pct"/>
            <w:vMerge/>
          </w:tcPr>
          <w:p w14:paraId="075C43A8" w14:textId="77777777" w:rsidR="001F26DF" w:rsidRPr="00EF587A" w:rsidRDefault="001F26DF" w:rsidP="00435784">
            <w:pPr>
              <w:pStyle w:val="TableText"/>
            </w:pPr>
          </w:p>
        </w:tc>
        <w:tc>
          <w:tcPr>
            <w:tcW w:w="469" w:type="pct"/>
            <w:vMerge/>
          </w:tcPr>
          <w:p w14:paraId="799C3D0C" w14:textId="77777777" w:rsidR="001F26DF" w:rsidRPr="009A1DE7" w:rsidRDefault="001F26DF">
            <w:pPr>
              <w:pStyle w:val="TableText"/>
              <w:numPr>
                <w:ilvl w:val="0"/>
                <w:numId w:val="3"/>
              </w:numPr>
              <w:ind w:left="226" w:hanging="180"/>
            </w:pPr>
          </w:p>
        </w:tc>
        <w:tc>
          <w:tcPr>
            <w:tcW w:w="438" w:type="pct"/>
            <w:vMerge/>
          </w:tcPr>
          <w:p w14:paraId="79DEFE53" w14:textId="77777777" w:rsidR="001F26DF" w:rsidRPr="009A1DE7" w:rsidRDefault="001F26DF" w:rsidP="00912847">
            <w:pPr>
              <w:pStyle w:val="TableText"/>
            </w:pPr>
          </w:p>
        </w:tc>
        <w:tc>
          <w:tcPr>
            <w:tcW w:w="688" w:type="pct"/>
            <w:vMerge/>
          </w:tcPr>
          <w:p w14:paraId="7ACFB7DA" w14:textId="77777777" w:rsidR="001F26DF" w:rsidRPr="009A1DE7" w:rsidRDefault="001F26DF" w:rsidP="00912847">
            <w:pPr>
              <w:pStyle w:val="TableText"/>
            </w:pPr>
          </w:p>
        </w:tc>
        <w:tc>
          <w:tcPr>
            <w:tcW w:w="937" w:type="pct"/>
            <w:vMerge/>
          </w:tcPr>
          <w:p w14:paraId="0DCD1039" w14:textId="77777777" w:rsidR="001F26DF" w:rsidRPr="009A1DE7" w:rsidRDefault="001F26DF" w:rsidP="00912847">
            <w:pPr>
              <w:pStyle w:val="TableText"/>
            </w:pPr>
          </w:p>
        </w:tc>
        <w:tc>
          <w:tcPr>
            <w:tcW w:w="719" w:type="pct"/>
            <w:vMerge/>
          </w:tcPr>
          <w:p w14:paraId="0EF40F16" w14:textId="77777777" w:rsidR="001F26DF" w:rsidRPr="009A1DE7" w:rsidRDefault="001F26DF" w:rsidP="00EF587A">
            <w:pPr>
              <w:pStyle w:val="TableText"/>
            </w:pPr>
          </w:p>
        </w:tc>
        <w:tc>
          <w:tcPr>
            <w:tcW w:w="532" w:type="pct"/>
            <w:vMerge/>
          </w:tcPr>
          <w:p w14:paraId="43F37132" w14:textId="77777777" w:rsidR="001F26DF" w:rsidRPr="009A1DE7" w:rsidRDefault="001F26DF" w:rsidP="00EF587A">
            <w:pPr>
              <w:pStyle w:val="TableText"/>
              <w:numPr>
                <w:ilvl w:val="0"/>
                <w:numId w:val="1"/>
              </w:numPr>
              <w:spacing w:after="0"/>
              <w:ind w:left="187" w:hanging="187"/>
            </w:pPr>
          </w:p>
        </w:tc>
        <w:tc>
          <w:tcPr>
            <w:tcW w:w="345" w:type="pct"/>
            <w:shd w:val="clear" w:color="auto" w:fill="F2F2F2" w:themeFill="background1" w:themeFillShade="F2"/>
          </w:tcPr>
          <w:p w14:paraId="150482EE" w14:textId="6FD49960" w:rsidR="001F26DF" w:rsidRPr="00EE4BD6" w:rsidRDefault="001F26DF" w:rsidP="001F26DF">
            <w:pPr>
              <w:pStyle w:val="TableText"/>
            </w:pPr>
            <w:r w:rsidRPr="009A1DE7">
              <w:t>Actions Required</w:t>
            </w:r>
            <w:r>
              <w:t>:</w:t>
            </w:r>
          </w:p>
        </w:tc>
        <w:tc>
          <w:tcPr>
            <w:tcW w:w="436" w:type="pct"/>
            <w:shd w:val="clear" w:color="auto" w:fill="F2F2F2" w:themeFill="background1" w:themeFillShade="F2"/>
          </w:tcPr>
          <w:p w14:paraId="6D4A5976" w14:textId="6DA2AE45" w:rsidR="001F26DF" w:rsidRPr="00EE4BD6" w:rsidRDefault="001F26DF" w:rsidP="001F26DF">
            <w:pPr>
              <w:pStyle w:val="TableText"/>
            </w:pPr>
          </w:p>
        </w:tc>
      </w:tr>
      <w:tr w:rsidR="00E80A68" w:rsidRPr="00EE4BD6" w14:paraId="68BB204C" w14:textId="77777777" w:rsidTr="001337C7">
        <w:trPr>
          <w:cantSplit/>
          <w:trHeight w:val="654"/>
        </w:trPr>
        <w:tc>
          <w:tcPr>
            <w:tcW w:w="436" w:type="pct"/>
            <w:vMerge/>
          </w:tcPr>
          <w:p w14:paraId="1C32E480" w14:textId="77777777" w:rsidR="001F26DF" w:rsidRPr="00EF587A" w:rsidRDefault="001F26DF" w:rsidP="00435784">
            <w:pPr>
              <w:pStyle w:val="TableText"/>
            </w:pPr>
          </w:p>
        </w:tc>
        <w:tc>
          <w:tcPr>
            <w:tcW w:w="469" w:type="pct"/>
            <w:vMerge/>
          </w:tcPr>
          <w:p w14:paraId="6774BD64" w14:textId="77777777" w:rsidR="001F26DF" w:rsidRPr="009A1DE7" w:rsidRDefault="001F26DF">
            <w:pPr>
              <w:pStyle w:val="TableText"/>
              <w:numPr>
                <w:ilvl w:val="0"/>
                <w:numId w:val="3"/>
              </w:numPr>
              <w:ind w:left="226" w:hanging="180"/>
            </w:pPr>
          </w:p>
        </w:tc>
        <w:tc>
          <w:tcPr>
            <w:tcW w:w="438" w:type="pct"/>
            <w:vMerge/>
          </w:tcPr>
          <w:p w14:paraId="04929CB1" w14:textId="77777777" w:rsidR="001F26DF" w:rsidRPr="009A1DE7" w:rsidRDefault="001F26DF" w:rsidP="00912847">
            <w:pPr>
              <w:pStyle w:val="TableText"/>
            </w:pPr>
          </w:p>
        </w:tc>
        <w:tc>
          <w:tcPr>
            <w:tcW w:w="688" w:type="pct"/>
            <w:vMerge/>
          </w:tcPr>
          <w:p w14:paraId="0791F358" w14:textId="77777777" w:rsidR="001F26DF" w:rsidRPr="009A1DE7" w:rsidRDefault="001F26DF" w:rsidP="00912847">
            <w:pPr>
              <w:pStyle w:val="TableText"/>
            </w:pPr>
          </w:p>
        </w:tc>
        <w:tc>
          <w:tcPr>
            <w:tcW w:w="937" w:type="pct"/>
            <w:vMerge/>
          </w:tcPr>
          <w:p w14:paraId="05311D90" w14:textId="77777777" w:rsidR="001F26DF" w:rsidRPr="009A1DE7" w:rsidRDefault="001F26DF" w:rsidP="00912847">
            <w:pPr>
              <w:pStyle w:val="TableText"/>
            </w:pPr>
          </w:p>
        </w:tc>
        <w:tc>
          <w:tcPr>
            <w:tcW w:w="719" w:type="pct"/>
            <w:vMerge/>
          </w:tcPr>
          <w:p w14:paraId="4847BF54" w14:textId="77777777" w:rsidR="001F26DF" w:rsidRPr="009A1DE7" w:rsidRDefault="001F26DF" w:rsidP="00EF587A">
            <w:pPr>
              <w:pStyle w:val="TableText"/>
            </w:pPr>
          </w:p>
        </w:tc>
        <w:tc>
          <w:tcPr>
            <w:tcW w:w="532" w:type="pct"/>
            <w:vMerge/>
          </w:tcPr>
          <w:p w14:paraId="0383E531" w14:textId="77777777" w:rsidR="001F26DF" w:rsidRPr="009A1DE7" w:rsidRDefault="001F26DF" w:rsidP="00EF587A">
            <w:pPr>
              <w:pStyle w:val="TableText"/>
              <w:numPr>
                <w:ilvl w:val="0"/>
                <w:numId w:val="1"/>
              </w:numPr>
              <w:spacing w:after="0"/>
              <w:ind w:left="187" w:hanging="187"/>
            </w:pPr>
          </w:p>
        </w:tc>
        <w:tc>
          <w:tcPr>
            <w:tcW w:w="345" w:type="pct"/>
            <w:shd w:val="clear" w:color="auto" w:fill="F2F2F2" w:themeFill="background1" w:themeFillShade="F2"/>
          </w:tcPr>
          <w:p w14:paraId="1896D629" w14:textId="4A0CF707" w:rsidR="001F26DF" w:rsidRPr="00EE4BD6" w:rsidRDefault="001F26DF" w:rsidP="001F26DF">
            <w:pPr>
              <w:pStyle w:val="TableText"/>
            </w:pPr>
            <w:r w:rsidRPr="009A1DE7">
              <w:t>Target Date</w:t>
            </w:r>
            <w:r>
              <w:t>:</w:t>
            </w:r>
          </w:p>
        </w:tc>
        <w:tc>
          <w:tcPr>
            <w:tcW w:w="436" w:type="pct"/>
            <w:shd w:val="clear" w:color="auto" w:fill="F2F2F2" w:themeFill="background1" w:themeFillShade="F2"/>
          </w:tcPr>
          <w:p w14:paraId="75FC3CF3" w14:textId="14303611" w:rsidR="001F26DF" w:rsidRPr="00EE4BD6" w:rsidRDefault="001F26DF" w:rsidP="001F26DF">
            <w:pPr>
              <w:pStyle w:val="TableText"/>
            </w:pPr>
          </w:p>
        </w:tc>
      </w:tr>
      <w:tr w:rsidR="00E80A68" w:rsidRPr="00EE4BD6" w14:paraId="6D58C3C6" w14:textId="77777777" w:rsidTr="001337C7">
        <w:trPr>
          <w:cantSplit/>
          <w:trHeight w:val="655"/>
        </w:trPr>
        <w:tc>
          <w:tcPr>
            <w:tcW w:w="436" w:type="pct"/>
            <w:vMerge/>
          </w:tcPr>
          <w:p w14:paraId="6E56C754" w14:textId="77777777" w:rsidR="001F26DF" w:rsidRPr="00EF587A" w:rsidRDefault="001F26DF" w:rsidP="00EF587A">
            <w:pPr>
              <w:pStyle w:val="TableText"/>
            </w:pPr>
          </w:p>
        </w:tc>
        <w:tc>
          <w:tcPr>
            <w:tcW w:w="469" w:type="pct"/>
            <w:vMerge/>
          </w:tcPr>
          <w:p w14:paraId="1229DDFA" w14:textId="77777777" w:rsidR="001F26DF" w:rsidRPr="00EF587A" w:rsidRDefault="001F26DF" w:rsidP="00EF587A">
            <w:pPr>
              <w:pStyle w:val="TableText"/>
            </w:pPr>
          </w:p>
        </w:tc>
        <w:tc>
          <w:tcPr>
            <w:tcW w:w="438" w:type="pct"/>
            <w:vMerge/>
          </w:tcPr>
          <w:p w14:paraId="6B35680E" w14:textId="77777777" w:rsidR="001F26DF" w:rsidRPr="00EF587A" w:rsidRDefault="001F26DF" w:rsidP="00EF587A">
            <w:pPr>
              <w:pStyle w:val="TableText"/>
            </w:pPr>
          </w:p>
        </w:tc>
        <w:tc>
          <w:tcPr>
            <w:tcW w:w="688" w:type="pct"/>
            <w:vMerge/>
          </w:tcPr>
          <w:p w14:paraId="7AE5CFAD" w14:textId="77777777" w:rsidR="001F26DF" w:rsidRPr="00EF587A" w:rsidRDefault="001F26DF" w:rsidP="00EF587A">
            <w:pPr>
              <w:pStyle w:val="TableText"/>
            </w:pPr>
          </w:p>
        </w:tc>
        <w:tc>
          <w:tcPr>
            <w:tcW w:w="937" w:type="pct"/>
            <w:vMerge/>
          </w:tcPr>
          <w:p w14:paraId="5D5D23F2" w14:textId="77777777" w:rsidR="001F26DF" w:rsidRPr="00EF587A" w:rsidRDefault="001F26DF" w:rsidP="00EF587A">
            <w:pPr>
              <w:pStyle w:val="TableText"/>
            </w:pPr>
          </w:p>
        </w:tc>
        <w:tc>
          <w:tcPr>
            <w:tcW w:w="719" w:type="pct"/>
            <w:vMerge/>
          </w:tcPr>
          <w:p w14:paraId="5938DDBE" w14:textId="77777777" w:rsidR="001F26DF" w:rsidRPr="00EF587A" w:rsidRDefault="001F26DF" w:rsidP="00EF587A">
            <w:pPr>
              <w:pStyle w:val="TableText"/>
            </w:pPr>
          </w:p>
        </w:tc>
        <w:tc>
          <w:tcPr>
            <w:tcW w:w="532" w:type="pct"/>
            <w:vMerge/>
          </w:tcPr>
          <w:p w14:paraId="759FB243" w14:textId="77777777" w:rsidR="001F26DF" w:rsidRPr="00EF587A" w:rsidRDefault="001F26DF" w:rsidP="00EF587A">
            <w:pPr>
              <w:pStyle w:val="TableText"/>
            </w:pPr>
          </w:p>
        </w:tc>
        <w:tc>
          <w:tcPr>
            <w:tcW w:w="345" w:type="pct"/>
            <w:shd w:val="clear" w:color="auto" w:fill="F2F2F2" w:themeFill="background1" w:themeFillShade="F2"/>
          </w:tcPr>
          <w:p w14:paraId="0FE3D245" w14:textId="6E6DAAD2" w:rsidR="001F26DF" w:rsidRPr="00EF587A" w:rsidRDefault="001F26DF" w:rsidP="001F26DF">
            <w:pPr>
              <w:pStyle w:val="TableText"/>
            </w:pPr>
            <w:r w:rsidRPr="009A1DE7">
              <w:t>Completion Date</w:t>
            </w:r>
            <w:r>
              <w:t>:</w:t>
            </w:r>
          </w:p>
        </w:tc>
        <w:tc>
          <w:tcPr>
            <w:tcW w:w="436" w:type="pct"/>
            <w:shd w:val="clear" w:color="auto" w:fill="F2F2F2" w:themeFill="background1" w:themeFillShade="F2"/>
          </w:tcPr>
          <w:p w14:paraId="0A86B84B" w14:textId="45CE2164" w:rsidR="001F26DF" w:rsidRPr="00EF587A" w:rsidRDefault="001F26DF" w:rsidP="001F26DF">
            <w:pPr>
              <w:pStyle w:val="TableText"/>
            </w:pPr>
          </w:p>
        </w:tc>
      </w:tr>
      <w:tr w:rsidR="00F77313" w:rsidRPr="00EE4BD6" w14:paraId="18F12EBF" w14:textId="77777777" w:rsidTr="001337C7">
        <w:trPr>
          <w:cantSplit/>
        </w:trPr>
        <w:tc>
          <w:tcPr>
            <w:tcW w:w="5000" w:type="pct"/>
            <w:gridSpan w:val="9"/>
            <w:shd w:val="clear" w:color="auto" w:fill="E2EFD9" w:themeFill="accent6" w:themeFillTint="33"/>
          </w:tcPr>
          <w:p w14:paraId="3A38325F" w14:textId="77777777" w:rsidR="00F77313" w:rsidRPr="004A5961" w:rsidRDefault="00F77313" w:rsidP="00EF587A">
            <w:pPr>
              <w:pStyle w:val="TableText"/>
              <w:rPr>
                <w:sz w:val="8"/>
                <w:szCs w:val="8"/>
              </w:rPr>
            </w:pPr>
          </w:p>
        </w:tc>
      </w:tr>
      <w:tr w:rsidR="00FE6BD7" w:rsidRPr="00EE4BD6" w14:paraId="5782D6F1" w14:textId="77777777" w:rsidTr="001337C7">
        <w:trPr>
          <w:cantSplit/>
          <w:trHeight w:val="654"/>
        </w:trPr>
        <w:tc>
          <w:tcPr>
            <w:tcW w:w="436" w:type="pct"/>
            <w:vMerge w:val="restart"/>
            <w:vAlign w:val="center"/>
          </w:tcPr>
          <w:p w14:paraId="20D30D7B" w14:textId="38848683" w:rsidR="00FE6BD7" w:rsidRPr="00F77313" w:rsidRDefault="00FE6BD7" w:rsidP="00304C5D">
            <w:pPr>
              <w:pStyle w:val="TableText"/>
              <w:pageBreakBefore/>
              <w:jc w:val="center"/>
              <w:rPr>
                <w:b/>
                <w:bCs/>
              </w:rPr>
            </w:pPr>
            <w:r w:rsidRPr="00FE6BD7">
              <w:rPr>
                <w:b/>
                <w:bCs/>
              </w:rPr>
              <w:lastRenderedPageBreak/>
              <w:t>Day Sheet Report (Individual Provider)</w:t>
            </w:r>
          </w:p>
        </w:tc>
        <w:tc>
          <w:tcPr>
            <w:tcW w:w="469" w:type="pct"/>
            <w:vMerge w:val="restart"/>
          </w:tcPr>
          <w:p w14:paraId="19F8366F" w14:textId="77777777" w:rsidR="00FE6BD7" w:rsidRPr="00F37181" w:rsidRDefault="00FE6BD7" w:rsidP="00F37181">
            <w:pPr>
              <w:pStyle w:val="TableText"/>
              <w:numPr>
                <w:ilvl w:val="0"/>
                <w:numId w:val="1"/>
              </w:numPr>
              <w:ind w:left="232" w:hanging="180"/>
            </w:pPr>
            <w:r w:rsidRPr="00F37181">
              <w:t>Date Range: Today, by Entry Date</w:t>
            </w:r>
          </w:p>
          <w:p w14:paraId="624CF91E" w14:textId="77777777" w:rsidR="00FE6BD7" w:rsidRPr="00F37181" w:rsidRDefault="00FE6BD7" w:rsidP="00F37181">
            <w:pPr>
              <w:pStyle w:val="TableText"/>
              <w:numPr>
                <w:ilvl w:val="0"/>
                <w:numId w:val="1"/>
              </w:numPr>
              <w:ind w:left="232" w:hanging="180"/>
            </w:pPr>
            <w:r w:rsidRPr="00F37181">
              <w:t>All parameters for Clinic, Billing Type, and Patient Tag</w:t>
            </w:r>
          </w:p>
          <w:p w14:paraId="61687B46" w14:textId="3DFDE7F6" w:rsidR="00FE6BD7" w:rsidRPr="009A1DE7" w:rsidRDefault="00FE6BD7" w:rsidP="00F37181">
            <w:pPr>
              <w:pStyle w:val="TableText"/>
              <w:numPr>
                <w:ilvl w:val="0"/>
                <w:numId w:val="1"/>
              </w:numPr>
              <w:ind w:left="232" w:hanging="180"/>
            </w:pPr>
            <w:r w:rsidRPr="00F37181">
              <w:t>Filter by individual Provider</w:t>
            </w:r>
          </w:p>
        </w:tc>
        <w:tc>
          <w:tcPr>
            <w:tcW w:w="438" w:type="pct"/>
            <w:vMerge w:val="restart"/>
          </w:tcPr>
          <w:p w14:paraId="004E2751" w14:textId="3856C426" w:rsidR="00FE6BD7" w:rsidRPr="009A1DE7" w:rsidRDefault="00FE6BD7" w:rsidP="00C81021">
            <w:pPr>
              <w:pStyle w:val="TableText"/>
            </w:pPr>
            <w:r>
              <w:t>Individual Provider</w:t>
            </w:r>
          </w:p>
        </w:tc>
        <w:tc>
          <w:tcPr>
            <w:tcW w:w="688" w:type="pct"/>
            <w:vMerge w:val="restart"/>
          </w:tcPr>
          <w:p w14:paraId="5146FDB4" w14:textId="48FAAD66" w:rsidR="00FE6BD7" w:rsidRPr="009A1DE7" w:rsidRDefault="00FE6BD7" w:rsidP="00C81021">
            <w:pPr>
              <w:pStyle w:val="TableText"/>
            </w:pPr>
            <w:r>
              <w:t>An i</w:t>
            </w:r>
            <w:r w:rsidRPr="009A1DE7">
              <w:t>ndividual provider reviews their completed procedures prior to filing insurance claim</w:t>
            </w:r>
            <w:r>
              <w:t xml:space="preserve">s so they can take </w:t>
            </w:r>
            <w:r w:rsidRPr="009A1DE7">
              <w:t xml:space="preserve">accountability </w:t>
            </w:r>
            <w:r>
              <w:t>for</w:t>
            </w:r>
            <w:r w:rsidRPr="009A1DE7">
              <w:t xml:space="preserve"> patient care </w:t>
            </w:r>
            <w:r>
              <w:t>that was performed</w:t>
            </w:r>
            <w:r w:rsidRPr="009A1DE7">
              <w:t>.</w:t>
            </w:r>
          </w:p>
        </w:tc>
        <w:tc>
          <w:tcPr>
            <w:tcW w:w="937" w:type="pct"/>
            <w:vMerge w:val="restart"/>
          </w:tcPr>
          <w:p w14:paraId="7AC9A5F4" w14:textId="77777777" w:rsidR="00FE6BD7" w:rsidRPr="009A1DE7" w:rsidRDefault="00FE6BD7" w:rsidP="00F37181">
            <w:pPr>
              <w:pStyle w:val="TableText"/>
            </w:pPr>
            <w:r w:rsidRPr="009A1DE7">
              <w:t>Prior to running the Day Sheet Report, all appointments must be marked as &lt;</w:t>
            </w:r>
            <w:r>
              <w:t>C</w:t>
            </w:r>
            <w:r w:rsidRPr="009A1DE7">
              <w:t xml:space="preserve">omplete&gt;, </w:t>
            </w:r>
            <w:r>
              <w:t>which indicates</w:t>
            </w:r>
            <w:r w:rsidRPr="009A1DE7">
              <w:t xml:space="preserve"> that all procedures have been completed and reviewed for accuracy</w:t>
            </w:r>
            <w:r>
              <w:t>.</w:t>
            </w:r>
          </w:p>
          <w:p w14:paraId="24F087C4" w14:textId="77777777" w:rsidR="00FE6BD7" w:rsidRPr="009A1DE7" w:rsidRDefault="00FE6BD7" w:rsidP="00FE6BD7">
            <w:pPr>
              <w:pStyle w:val="TableText"/>
              <w:keepNext/>
              <w:keepLines/>
              <w:numPr>
                <w:ilvl w:val="0"/>
                <w:numId w:val="2"/>
              </w:numPr>
              <w:ind w:left="232" w:hanging="180"/>
            </w:pPr>
            <w:r w:rsidRPr="009A1DE7">
              <w:rPr>
                <w:u w:val="single"/>
              </w:rPr>
              <w:t>Appointment Book</w:t>
            </w:r>
            <w:r w:rsidRPr="009A1DE7">
              <w:t xml:space="preserve">: Confirm all </w:t>
            </w:r>
            <w:r>
              <w:t>appointment</w:t>
            </w:r>
            <w:r w:rsidRPr="009A1DE7">
              <w:t xml:space="preserve"> status</w:t>
            </w:r>
            <w:r>
              <w:t>es</w:t>
            </w:r>
            <w:r w:rsidRPr="009A1DE7">
              <w:t xml:space="preserve"> have been changed to COMPLETE</w:t>
            </w:r>
            <w:r>
              <w:t xml:space="preserve">. </w:t>
            </w:r>
            <w:r w:rsidRPr="009A1DE7">
              <w:t>Cross check the schedule with the day sheet for missing patients</w:t>
            </w:r>
            <w:r>
              <w:t>.</w:t>
            </w:r>
          </w:p>
          <w:p w14:paraId="3A952313" w14:textId="77777777" w:rsidR="00FE6BD7" w:rsidRPr="009A1DE7" w:rsidRDefault="00FE6BD7" w:rsidP="00FE6BD7">
            <w:pPr>
              <w:pStyle w:val="TableText"/>
              <w:keepNext/>
              <w:keepLines/>
              <w:numPr>
                <w:ilvl w:val="0"/>
                <w:numId w:val="2"/>
              </w:numPr>
              <w:ind w:left="232" w:hanging="180"/>
            </w:pPr>
            <w:r w:rsidRPr="009A1DE7">
              <w:rPr>
                <w:u w:val="single"/>
              </w:rPr>
              <w:t>Chart</w:t>
            </w:r>
            <w:r w:rsidRPr="009A1DE7">
              <w:t xml:space="preserve">: </w:t>
            </w:r>
            <w:r>
              <w:t xml:space="preserve">Assign the correct patient </w:t>
            </w:r>
            <w:r w:rsidRPr="009A1DE7">
              <w:t>clinic</w:t>
            </w:r>
            <w:r>
              <w:t xml:space="preserve"> and</w:t>
            </w:r>
            <w:r w:rsidRPr="009A1DE7">
              <w:t xml:space="preserve"> provider(s)</w:t>
            </w:r>
            <w:r>
              <w:t xml:space="preserve"> to </w:t>
            </w:r>
            <w:r w:rsidRPr="009A1DE7">
              <w:t xml:space="preserve">and complete </w:t>
            </w:r>
            <w:r>
              <w:t xml:space="preserve">the </w:t>
            </w:r>
            <w:r w:rsidRPr="009A1DE7">
              <w:t>day</w:t>
            </w:r>
            <w:r>
              <w:t>’</w:t>
            </w:r>
            <w:r w:rsidRPr="009A1DE7">
              <w:t>s services</w:t>
            </w:r>
            <w:r>
              <w:t>.</w:t>
            </w:r>
          </w:p>
          <w:p w14:paraId="066F6493" w14:textId="77777777" w:rsidR="00FE6BD7" w:rsidRPr="009A1DE7" w:rsidRDefault="00FE6BD7" w:rsidP="00FE6BD7">
            <w:pPr>
              <w:pStyle w:val="TableText"/>
              <w:keepNext/>
              <w:keepLines/>
              <w:numPr>
                <w:ilvl w:val="0"/>
                <w:numId w:val="2"/>
              </w:numPr>
              <w:ind w:left="232" w:hanging="180"/>
            </w:pPr>
            <w:r w:rsidRPr="009A1DE7">
              <w:rPr>
                <w:u w:val="single"/>
              </w:rPr>
              <w:t>Ledger</w:t>
            </w:r>
            <w:r w:rsidRPr="009A1DE7">
              <w:t>: Correct posting errors for payments</w:t>
            </w:r>
            <w:r>
              <w:t xml:space="preserve"> and </w:t>
            </w:r>
            <w:r w:rsidRPr="009A1DE7">
              <w:t>adjustments</w:t>
            </w:r>
            <w:r>
              <w:t>.</w:t>
            </w:r>
          </w:p>
          <w:p w14:paraId="565DE008" w14:textId="7A72189E" w:rsidR="00FE6BD7" w:rsidRPr="009A1DE7" w:rsidRDefault="00FE6BD7" w:rsidP="00FE6BD7">
            <w:pPr>
              <w:pStyle w:val="TableText"/>
              <w:numPr>
                <w:ilvl w:val="0"/>
                <w:numId w:val="2"/>
              </w:numPr>
              <w:ind w:left="232" w:hanging="180"/>
            </w:pPr>
            <w:r w:rsidRPr="009A1DE7">
              <w:rPr>
                <w:u w:val="single"/>
              </w:rPr>
              <w:t>Family File</w:t>
            </w:r>
            <w:r w:rsidRPr="009A1DE7">
              <w:t xml:space="preserve">: Assign </w:t>
            </w:r>
            <w:r>
              <w:t xml:space="preserve">the </w:t>
            </w:r>
            <w:r w:rsidRPr="009A1DE7">
              <w:t>correct billing type</w:t>
            </w:r>
            <w:r>
              <w:t>.</w:t>
            </w:r>
          </w:p>
        </w:tc>
        <w:tc>
          <w:tcPr>
            <w:tcW w:w="719" w:type="pct"/>
            <w:vMerge w:val="restart"/>
          </w:tcPr>
          <w:p w14:paraId="6A686600" w14:textId="0C5EC06E" w:rsidR="00FE6BD7" w:rsidRPr="00EF587A" w:rsidRDefault="00F37181" w:rsidP="00C81021">
            <w:pPr>
              <w:pStyle w:val="TableText"/>
            </w:pPr>
            <w:r w:rsidRPr="009A1DE7">
              <w:t>If accurate data is not in place, it will adversely affect both production and collection numbers.</w:t>
            </w:r>
            <w:r>
              <w:t xml:space="preserve"> </w:t>
            </w:r>
            <w:r w:rsidRPr="009A1DE7">
              <w:t xml:space="preserve">The Provider delivering the patient care is the true source accountable for the patient clinical record.  Additionally, </w:t>
            </w:r>
            <w:r>
              <w:t xml:space="preserve">submitting </w:t>
            </w:r>
            <w:r w:rsidRPr="009A1DE7">
              <w:t xml:space="preserve">insurance claims </w:t>
            </w:r>
            <w:r>
              <w:t>with incorrect information leads</w:t>
            </w:r>
            <w:r w:rsidRPr="009A1DE7">
              <w:t xml:space="preserve"> to processing delays, resubmission</w:t>
            </w:r>
            <w:r>
              <w:t>s</w:t>
            </w:r>
            <w:r w:rsidRPr="009A1DE7">
              <w:t>, and claim payment delays.</w:t>
            </w:r>
          </w:p>
        </w:tc>
        <w:tc>
          <w:tcPr>
            <w:tcW w:w="532" w:type="pct"/>
            <w:vMerge w:val="restart"/>
          </w:tcPr>
          <w:p w14:paraId="1AD29017" w14:textId="77777777" w:rsidR="00F37181" w:rsidRPr="009A1DE7" w:rsidRDefault="00F37181" w:rsidP="00F37181">
            <w:pPr>
              <w:pStyle w:val="TableText"/>
              <w:numPr>
                <w:ilvl w:val="0"/>
                <w:numId w:val="1"/>
              </w:numPr>
              <w:spacing w:after="0"/>
              <w:ind w:left="187" w:hanging="187"/>
            </w:pPr>
            <w:r w:rsidRPr="009A1DE7">
              <w:t>Schedule Optimization</w:t>
            </w:r>
          </w:p>
          <w:p w14:paraId="1AEE783B" w14:textId="77777777" w:rsidR="00F37181" w:rsidRPr="009A1DE7" w:rsidRDefault="00F37181" w:rsidP="00F37181">
            <w:pPr>
              <w:pStyle w:val="TableText"/>
              <w:numPr>
                <w:ilvl w:val="0"/>
                <w:numId w:val="1"/>
              </w:numPr>
              <w:spacing w:after="0"/>
              <w:ind w:left="187" w:hanging="187"/>
            </w:pPr>
            <w:r w:rsidRPr="009A1DE7">
              <w:t>Patient Records</w:t>
            </w:r>
          </w:p>
          <w:p w14:paraId="498739E9" w14:textId="77777777" w:rsidR="00F37181" w:rsidRPr="009A1DE7" w:rsidRDefault="00F37181" w:rsidP="00F37181">
            <w:pPr>
              <w:pStyle w:val="TableText"/>
              <w:numPr>
                <w:ilvl w:val="0"/>
                <w:numId w:val="1"/>
              </w:numPr>
              <w:spacing w:after="0"/>
              <w:ind w:left="187" w:hanging="187"/>
            </w:pPr>
            <w:r w:rsidRPr="009A1DE7">
              <w:t>Clinical Records</w:t>
            </w:r>
          </w:p>
          <w:p w14:paraId="63C58E9D" w14:textId="77777777" w:rsidR="00F37181" w:rsidRPr="009A1DE7" w:rsidRDefault="00F37181" w:rsidP="00F37181">
            <w:pPr>
              <w:pStyle w:val="TableText"/>
              <w:numPr>
                <w:ilvl w:val="0"/>
                <w:numId w:val="1"/>
              </w:numPr>
              <w:spacing w:after="0"/>
              <w:ind w:left="187" w:hanging="187"/>
            </w:pPr>
            <w:r w:rsidRPr="009A1DE7">
              <w:t>Revenue Cycle</w:t>
            </w:r>
          </w:p>
          <w:p w14:paraId="04C36054" w14:textId="2CFCF740" w:rsidR="00FE6BD7" w:rsidRPr="00EF587A" w:rsidRDefault="00F37181" w:rsidP="00F37181">
            <w:pPr>
              <w:pStyle w:val="TableText"/>
              <w:numPr>
                <w:ilvl w:val="0"/>
                <w:numId w:val="1"/>
              </w:numPr>
              <w:spacing w:after="0"/>
              <w:ind w:left="187" w:hanging="187"/>
            </w:pPr>
            <w:r w:rsidRPr="009A1DE7">
              <w:t>Reports Reference*</w:t>
            </w:r>
          </w:p>
        </w:tc>
        <w:tc>
          <w:tcPr>
            <w:tcW w:w="345" w:type="pct"/>
            <w:shd w:val="clear" w:color="auto" w:fill="F2F2F2" w:themeFill="background1" w:themeFillShade="F2"/>
          </w:tcPr>
          <w:p w14:paraId="565328DE" w14:textId="77777777" w:rsidR="00FE6BD7" w:rsidRPr="00EE4BD6" w:rsidRDefault="00FE6BD7" w:rsidP="00C81021">
            <w:pPr>
              <w:pStyle w:val="TableText"/>
            </w:pPr>
            <w:r w:rsidRPr="001F26DF">
              <w:t>Date Reviewed</w:t>
            </w:r>
            <w:r>
              <w:t>:</w:t>
            </w:r>
          </w:p>
        </w:tc>
        <w:tc>
          <w:tcPr>
            <w:tcW w:w="436" w:type="pct"/>
            <w:shd w:val="clear" w:color="auto" w:fill="F2F2F2" w:themeFill="background1" w:themeFillShade="F2"/>
          </w:tcPr>
          <w:p w14:paraId="4F53A8E2" w14:textId="77777777" w:rsidR="00FE6BD7" w:rsidRPr="00EE4BD6" w:rsidRDefault="00FE6BD7" w:rsidP="00C81021">
            <w:pPr>
              <w:pStyle w:val="TableText"/>
            </w:pPr>
          </w:p>
        </w:tc>
      </w:tr>
      <w:tr w:rsidR="00FE6BD7" w:rsidRPr="00EE4BD6" w14:paraId="1E274450" w14:textId="77777777" w:rsidTr="001337C7">
        <w:trPr>
          <w:cantSplit/>
          <w:trHeight w:val="654"/>
        </w:trPr>
        <w:tc>
          <w:tcPr>
            <w:tcW w:w="436" w:type="pct"/>
            <w:vMerge/>
          </w:tcPr>
          <w:p w14:paraId="517CCA85" w14:textId="77777777" w:rsidR="00FE6BD7" w:rsidRPr="00EF587A" w:rsidRDefault="00FE6BD7" w:rsidP="00C81021">
            <w:pPr>
              <w:pStyle w:val="TableText"/>
            </w:pPr>
          </w:p>
        </w:tc>
        <w:tc>
          <w:tcPr>
            <w:tcW w:w="469" w:type="pct"/>
            <w:vMerge/>
          </w:tcPr>
          <w:p w14:paraId="3B722A88" w14:textId="77777777" w:rsidR="00FE6BD7" w:rsidRPr="009A1DE7" w:rsidRDefault="00FE6BD7" w:rsidP="00C81021">
            <w:pPr>
              <w:pStyle w:val="TableText"/>
              <w:numPr>
                <w:ilvl w:val="0"/>
                <w:numId w:val="3"/>
              </w:numPr>
              <w:ind w:left="226" w:hanging="180"/>
            </w:pPr>
          </w:p>
        </w:tc>
        <w:tc>
          <w:tcPr>
            <w:tcW w:w="438" w:type="pct"/>
            <w:vMerge/>
          </w:tcPr>
          <w:p w14:paraId="25D6718F" w14:textId="77777777" w:rsidR="00FE6BD7" w:rsidRPr="009A1DE7" w:rsidRDefault="00FE6BD7" w:rsidP="00C81021">
            <w:pPr>
              <w:pStyle w:val="TableText"/>
            </w:pPr>
          </w:p>
        </w:tc>
        <w:tc>
          <w:tcPr>
            <w:tcW w:w="688" w:type="pct"/>
            <w:vMerge/>
          </w:tcPr>
          <w:p w14:paraId="2ECF3FBC" w14:textId="77777777" w:rsidR="00FE6BD7" w:rsidRPr="009A1DE7" w:rsidRDefault="00FE6BD7" w:rsidP="00C81021">
            <w:pPr>
              <w:pStyle w:val="TableText"/>
            </w:pPr>
          </w:p>
        </w:tc>
        <w:tc>
          <w:tcPr>
            <w:tcW w:w="937" w:type="pct"/>
            <w:vMerge/>
          </w:tcPr>
          <w:p w14:paraId="5FCCDF65" w14:textId="77777777" w:rsidR="00FE6BD7" w:rsidRPr="009A1DE7" w:rsidRDefault="00FE6BD7" w:rsidP="00C81021">
            <w:pPr>
              <w:pStyle w:val="TableText"/>
            </w:pPr>
          </w:p>
        </w:tc>
        <w:tc>
          <w:tcPr>
            <w:tcW w:w="719" w:type="pct"/>
            <w:vMerge/>
          </w:tcPr>
          <w:p w14:paraId="51A30633" w14:textId="77777777" w:rsidR="00FE6BD7" w:rsidRPr="009A1DE7" w:rsidRDefault="00FE6BD7" w:rsidP="00C81021">
            <w:pPr>
              <w:pStyle w:val="TableText"/>
            </w:pPr>
          </w:p>
        </w:tc>
        <w:tc>
          <w:tcPr>
            <w:tcW w:w="532" w:type="pct"/>
            <w:vMerge/>
          </w:tcPr>
          <w:p w14:paraId="7631AA91"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A6966EC"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689E5B73" w14:textId="77777777" w:rsidR="00FE6BD7" w:rsidRPr="00EE4BD6" w:rsidRDefault="00FE6BD7" w:rsidP="00C81021">
            <w:pPr>
              <w:pStyle w:val="TableText"/>
            </w:pPr>
          </w:p>
        </w:tc>
      </w:tr>
      <w:tr w:rsidR="00FE6BD7" w:rsidRPr="00EE4BD6" w14:paraId="581B5B3D" w14:textId="77777777" w:rsidTr="001337C7">
        <w:trPr>
          <w:cantSplit/>
          <w:trHeight w:val="654"/>
        </w:trPr>
        <w:tc>
          <w:tcPr>
            <w:tcW w:w="436" w:type="pct"/>
            <w:vMerge/>
          </w:tcPr>
          <w:p w14:paraId="63747C5D" w14:textId="77777777" w:rsidR="00FE6BD7" w:rsidRPr="00EF587A" w:rsidRDefault="00FE6BD7" w:rsidP="00C81021">
            <w:pPr>
              <w:pStyle w:val="TableText"/>
            </w:pPr>
          </w:p>
        </w:tc>
        <w:tc>
          <w:tcPr>
            <w:tcW w:w="469" w:type="pct"/>
            <w:vMerge/>
          </w:tcPr>
          <w:p w14:paraId="06D3EAAF" w14:textId="77777777" w:rsidR="00FE6BD7" w:rsidRPr="009A1DE7" w:rsidRDefault="00FE6BD7" w:rsidP="00C81021">
            <w:pPr>
              <w:pStyle w:val="TableText"/>
              <w:numPr>
                <w:ilvl w:val="0"/>
                <w:numId w:val="3"/>
              </w:numPr>
              <w:ind w:left="226" w:hanging="180"/>
            </w:pPr>
          </w:p>
        </w:tc>
        <w:tc>
          <w:tcPr>
            <w:tcW w:w="438" w:type="pct"/>
            <w:vMerge/>
          </w:tcPr>
          <w:p w14:paraId="0ADEE876" w14:textId="77777777" w:rsidR="00FE6BD7" w:rsidRPr="009A1DE7" w:rsidRDefault="00FE6BD7" w:rsidP="00C81021">
            <w:pPr>
              <w:pStyle w:val="TableText"/>
            </w:pPr>
          </w:p>
        </w:tc>
        <w:tc>
          <w:tcPr>
            <w:tcW w:w="688" w:type="pct"/>
            <w:vMerge/>
          </w:tcPr>
          <w:p w14:paraId="2488A2C7" w14:textId="77777777" w:rsidR="00FE6BD7" w:rsidRPr="009A1DE7" w:rsidRDefault="00FE6BD7" w:rsidP="00C81021">
            <w:pPr>
              <w:pStyle w:val="TableText"/>
            </w:pPr>
          </w:p>
        </w:tc>
        <w:tc>
          <w:tcPr>
            <w:tcW w:w="937" w:type="pct"/>
            <w:vMerge/>
          </w:tcPr>
          <w:p w14:paraId="28D970B4" w14:textId="77777777" w:rsidR="00FE6BD7" w:rsidRPr="009A1DE7" w:rsidRDefault="00FE6BD7" w:rsidP="00C81021">
            <w:pPr>
              <w:pStyle w:val="TableText"/>
            </w:pPr>
          </w:p>
        </w:tc>
        <w:tc>
          <w:tcPr>
            <w:tcW w:w="719" w:type="pct"/>
            <w:vMerge/>
          </w:tcPr>
          <w:p w14:paraId="38C57D03" w14:textId="77777777" w:rsidR="00FE6BD7" w:rsidRPr="009A1DE7" w:rsidRDefault="00FE6BD7" w:rsidP="00C81021">
            <w:pPr>
              <w:pStyle w:val="TableText"/>
            </w:pPr>
          </w:p>
        </w:tc>
        <w:tc>
          <w:tcPr>
            <w:tcW w:w="532" w:type="pct"/>
            <w:vMerge/>
          </w:tcPr>
          <w:p w14:paraId="0B59AAD8"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9FBD047"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1C71E2ED" w14:textId="77777777" w:rsidR="00FE6BD7" w:rsidRPr="00EE4BD6" w:rsidRDefault="00FE6BD7" w:rsidP="00C81021">
            <w:pPr>
              <w:pStyle w:val="TableText"/>
            </w:pPr>
          </w:p>
        </w:tc>
      </w:tr>
      <w:tr w:rsidR="00FE6BD7" w:rsidRPr="00EE4BD6" w14:paraId="0B0FB6DC" w14:textId="77777777" w:rsidTr="001337C7">
        <w:trPr>
          <w:cantSplit/>
          <w:trHeight w:val="654"/>
        </w:trPr>
        <w:tc>
          <w:tcPr>
            <w:tcW w:w="436" w:type="pct"/>
            <w:vMerge/>
          </w:tcPr>
          <w:p w14:paraId="2C881565" w14:textId="77777777" w:rsidR="00FE6BD7" w:rsidRPr="00EF587A" w:rsidRDefault="00FE6BD7" w:rsidP="00C81021">
            <w:pPr>
              <w:pStyle w:val="TableText"/>
            </w:pPr>
          </w:p>
        </w:tc>
        <w:tc>
          <w:tcPr>
            <w:tcW w:w="469" w:type="pct"/>
            <w:vMerge/>
          </w:tcPr>
          <w:p w14:paraId="7BA97C2F" w14:textId="77777777" w:rsidR="00FE6BD7" w:rsidRPr="009A1DE7" w:rsidRDefault="00FE6BD7" w:rsidP="00C81021">
            <w:pPr>
              <w:pStyle w:val="TableText"/>
              <w:numPr>
                <w:ilvl w:val="0"/>
                <w:numId w:val="3"/>
              </w:numPr>
              <w:ind w:left="226" w:hanging="180"/>
            </w:pPr>
          </w:p>
        </w:tc>
        <w:tc>
          <w:tcPr>
            <w:tcW w:w="438" w:type="pct"/>
            <w:vMerge/>
          </w:tcPr>
          <w:p w14:paraId="300E15A1" w14:textId="77777777" w:rsidR="00FE6BD7" w:rsidRPr="009A1DE7" w:rsidRDefault="00FE6BD7" w:rsidP="00C81021">
            <w:pPr>
              <w:pStyle w:val="TableText"/>
            </w:pPr>
          </w:p>
        </w:tc>
        <w:tc>
          <w:tcPr>
            <w:tcW w:w="688" w:type="pct"/>
            <w:vMerge/>
          </w:tcPr>
          <w:p w14:paraId="27609363" w14:textId="77777777" w:rsidR="00FE6BD7" w:rsidRPr="009A1DE7" w:rsidRDefault="00FE6BD7" w:rsidP="00C81021">
            <w:pPr>
              <w:pStyle w:val="TableText"/>
            </w:pPr>
          </w:p>
        </w:tc>
        <w:tc>
          <w:tcPr>
            <w:tcW w:w="937" w:type="pct"/>
            <w:vMerge/>
          </w:tcPr>
          <w:p w14:paraId="3F0304E5" w14:textId="77777777" w:rsidR="00FE6BD7" w:rsidRPr="009A1DE7" w:rsidRDefault="00FE6BD7" w:rsidP="00C81021">
            <w:pPr>
              <w:pStyle w:val="TableText"/>
            </w:pPr>
          </w:p>
        </w:tc>
        <w:tc>
          <w:tcPr>
            <w:tcW w:w="719" w:type="pct"/>
            <w:vMerge/>
          </w:tcPr>
          <w:p w14:paraId="71DFAD6A" w14:textId="77777777" w:rsidR="00FE6BD7" w:rsidRPr="009A1DE7" w:rsidRDefault="00FE6BD7" w:rsidP="00C81021">
            <w:pPr>
              <w:pStyle w:val="TableText"/>
            </w:pPr>
          </w:p>
        </w:tc>
        <w:tc>
          <w:tcPr>
            <w:tcW w:w="532" w:type="pct"/>
            <w:vMerge/>
          </w:tcPr>
          <w:p w14:paraId="2D0CAEC0"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A98BD50"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30A37D6E" w14:textId="77777777" w:rsidR="00FE6BD7" w:rsidRPr="00EE4BD6" w:rsidRDefault="00FE6BD7" w:rsidP="00C81021">
            <w:pPr>
              <w:pStyle w:val="TableText"/>
            </w:pPr>
          </w:p>
        </w:tc>
      </w:tr>
      <w:tr w:rsidR="00FE6BD7" w:rsidRPr="00EF587A" w14:paraId="3CB9F631" w14:textId="77777777" w:rsidTr="001337C7">
        <w:trPr>
          <w:cantSplit/>
          <w:trHeight w:val="655"/>
        </w:trPr>
        <w:tc>
          <w:tcPr>
            <w:tcW w:w="436" w:type="pct"/>
            <w:vMerge/>
          </w:tcPr>
          <w:p w14:paraId="74E6DDDA" w14:textId="77777777" w:rsidR="00FE6BD7" w:rsidRPr="00EF587A" w:rsidRDefault="00FE6BD7" w:rsidP="00C81021">
            <w:pPr>
              <w:pStyle w:val="TableText"/>
            </w:pPr>
          </w:p>
        </w:tc>
        <w:tc>
          <w:tcPr>
            <w:tcW w:w="469" w:type="pct"/>
            <w:vMerge/>
          </w:tcPr>
          <w:p w14:paraId="57D9DC6B" w14:textId="77777777" w:rsidR="00FE6BD7" w:rsidRPr="00EF587A" w:rsidRDefault="00FE6BD7" w:rsidP="00C81021">
            <w:pPr>
              <w:pStyle w:val="TableText"/>
            </w:pPr>
          </w:p>
        </w:tc>
        <w:tc>
          <w:tcPr>
            <w:tcW w:w="438" w:type="pct"/>
            <w:vMerge/>
          </w:tcPr>
          <w:p w14:paraId="5BE9E82F" w14:textId="77777777" w:rsidR="00FE6BD7" w:rsidRPr="00EF587A" w:rsidRDefault="00FE6BD7" w:rsidP="00C81021">
            <w:pPr>
              <w:pStyle w:val="TableText"/>
            </w:pPr>
          </w:p>
        </w:tc>
        <w:tc>
          <w:tcPr>
            <w:tcW w:w="688" w:type="pct"/>
            <w:vMerge/>
          </w:tcPr>
          <w:p w14:paraId="377D41D2" w14:textId="77777777" w:rsidR="00FE6BD7" w:rsidRPr="00EF587A" w:rsidRDefault="00FE6BD7" w:rsidP="00C81021">
            <w:pPr>
              <w:pStyle w:val="TableText"/>
            </w:pPr>
          </w:p>
        </w:tc>
        <w:tc>
          <w:tcPr>
            <w:tcW w:w="937" w:type="pct"/>
            <w:vMerge/>
          </w:tcPr>
          <w:p w14:paraId="5B52DA99" w14:textId="77777777" w:rsidR="00FE6BD7" w:rsidRPr="00EF587A" w:rsidRDefault="00FE6BD7" w:rsidP="00C81021">
            <w:pPr>
              <w:pStyle w:val="TableText"/>
            </w:pPr>
          </w:p>
        </w:tc>
        <w:tc>
          <w:tcPr>
            <w:tcW w:w="719" w:type="pct"/>
            <w:vMerge/>
          </w:tcPr>
          <w:p w14:paraId="1498FA19" w14:textId="77777777" w:rsidR="00FE6BD7" w:rsidRPr="00EF587A" w:rsidRDefault="00FE6BD7" w:rsidP="00C81021">
            <w:pPr>
              <w:pStyle w:val="TableText"/>
            </w:pPr>
          </w:p>
        </w:tc>
        <w:tc>
          <w:tcPr>
            <w:tcW w:w="532" w:type="pct"/>
            <w:vMerge/>
          </w:tcPr>
          <w:p w14:paraId="4BBF54BE" w14:textId="77777777" w:rsidR="00FE6BD7" w:rsidRPr="00EF587A" w:rsidRDefault="00FE6BD7" w:rsidP="00C81021">
            <w:pPr>
              <w:pStyle w:val="TableText"/>
            </w:pPr>
          </w:p>
        </w:tc>
        <w:tc>
          <w:tcPr>
            <w:tcW w:w="345" w:type="pct"/>
            <w:shd w:val="clear" w:color="auto" w:fill="F2F2F2" w:themeFill="background1" w:themeFillShade="F2"/>
          </w:tcPr>
          <w:p w14:paraId="0622D7B1"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01B94C8A" w14:textId="77777777" w:rsidR="00FE6BD7" w:rsidRPr="00EF587A" w:rsidRDefault="00FE6BD7" w:rsidP="00C81021">
            <w:pPr>
              <w:pStyle w:val="TableText"/>
            </w:pPr>
          </w:p>
        </w:tc>
      </w:tr>
      <w:tr w:rsidR="00FE6BD7" w:rsidRPr="00EE4BD6" w14:paraId="568841CE" w14:textId="77777777" w:rsidTr="001337C7">
        <w:trPr>
          <w:cantSplit/>
        </w:trPr>
        <w:tc>
          <w:tcPr>
            <w:tcW w:w="5000" w:type="pct"/>
            <w:gridSpan w:val="9"/>
            <w:shd w:val="clear" w:color="auto" w:fill="E2EFD9" w:themeFill="accent6" w:themeFillTint="33"/>
          </w:tcPr>
          <w:p w14:paraId="52E5D77A" w14:textId="77777777" w:rsidR="00FE6BD7" w:rsidRPr="004A5961" w:rsidRDefault="00FE6BD7" w:rsidP="00EF587A">
            <w:pPr>
              <w:pStyle w:val="TableText"/>
              <w:rPr>
                <w:sz w:val="8"/>
                <w:szCs w:val="8"/>
              </w:rPr>
            </w:pPr>
          </w:p>
        </w:tc>
      </w:tr>
      <w:tr w:rsidR="00F37181" w:rsidRPr="00EE4BD6" w14:paraId="3F126311" w14:textId="77777777" w:rsidTr="001337C7">
        <w:trPr>
          <w:cantSplit/>
          <w:trHeight w:val="478"/>
        </w:trPr>
        <w:tc>
          <w:tcPr>
            <w:tcW w:w="436" w:type="pct"/>
            <w:vMerge w:val="restart"/>
            <w:vAlign w:val="center"/>
          </w:tcPr>
          <w:p w14:paraId="647D23C9" w14:textId="4FAF1350" w:rsidR="00F37181" w:rsidRPr="00F77313" w:rsidRDefault="00F37181" w:rsidP="00F37181">
            <w:pPr>
              <w:pStyle w:val="TableText"/>
              <w:jc w:val="center"/>
              <w:rPr>
                <w:b/>
                <w:bCs/>
              </w:rPr>
            </w:pPr>
            <w:r w:rsidRPr="00F37181">
              <w:rPr>
                <w:b/>
                <w:bCs/>
              </w:rPr>
              <w:t xml:space="preserve">Daily Appointment List </w:t>
            </w:r>
            <w:r>
              <w:rPr>
                <w:b/>
                <w:bCs/>
              </w:rPr>
              <w:br/>
            </w:r>
            <w:r w:rsidRPr="00F37181">
              <w:rPr>
                <w:b/>
                <w:bCs/>
              </w:rPr>
              <w:t>-or- Appointment Book View Printout</w:t>
            </w:r>
          </w:p>
        </w:tc>
        <w:tc>
          <w:tcPr>
            <w:tcW w:w="469" w:type="pct"/>
            <w:vMerge w:val="restart"/>
          </w:tcPr>
          <w:p w14:paraId="57DA36A8" w14:textId="77777777" w:rsidR="00F37181" w:rsidRPr="009A1DE7" w:rsidRDefault="00F37181" w:rsidP="00F37181">
            <w:pPr>
              <w:pStyle w:val="TableText"/>
              <w:keepNext/>
              <w:keepLines/>
              <w:numPr>
                <w:ilvl w:val="0"/>
                <w:numId w:val="3"/>
              </w:numPr>
              <w:ind w:left="226" w:hanging="180"/>
            </w:pPr>
            <w:r>
              <w:t>Appointment Date</w:t>
            </w:r>
            <w:r w:rsidRPr="009A1DE7">
              <w:t>: T</w:t>
            </w:r>
            <w:r>
              <w:t>omorrow</w:t>
            </w:r>
          </w:p>
          <w:p w14:paraId="696FAC70" w14:textId="77777777" w:rsidR="00F37181" w:rsidRDefault="00F37181" w:rsidP="00F37181">
            <w:pPr>
              <w:pStyle w:val="TableText"/>
              <w:keepNext/>
              <w:keepLines/>
              <w:numPr>
                <w:ilvl w:val="0"/>
                <w:numId w:val="3"/>
              </w:numPr>
              <w:ind w:left="226" w:hanging="180"/>
            </w:pPr>
            <w:r w:rsidRPr="009A1DE7">
              <w:t xml:space="preserve">All parameters for </w:t>
            </w:r>
            <w:r>
              <w:t>Provider</w:t>
            </w:r>
            <w:r w:rsidRPr="009A1DE7">
              <w:t xml:space="preserve">, </w:t>
            </w:r>
            <w:r>
              <w:t>Operatory</w:t>
            </w:r>
            <w:r w:rsidRPr="009A1DE7">
              <w:t>, and Patient</w:t>
            </w:r>
          </w:p>
          <w:p w14:paraId="2FD2C79D" w14:textId="7C37239E" w:rsidR="00F37181" w:rsidRPr="009A1DE7" w:rsidRDefault="00F37181" w:rsidP="00F37181">
            <w:pPr>
              <w:pStyle w:val="TableText"/>
              <w:numPr>
                <w:ilvl w:val="0"/>
                <w:numId w:val="3"/>
              </w:numPr>
              <w:ind w:left="226" w:hanging="180"/>
            </w:pPr>
            <w:r>
              <w:t>Select Report Type (as preferred)</w:t>
            </w:r>
          </w:p>
        </w:tc>
        <w:tc>
          <w:tcPr>
            <w:tcW w:w="438" w:type="pct"/>
            <w:vMerge w:val="restart"/>
          </w:tcPr>
          <w:p w14:paraId="44409399" w14:textId="6A5E69EB" w:rsidR="00F37181" w:rsidRPr="009A1DE7" w:rsidRDefault="00F37181" w:rsidP="00F37181">
            <w:pPr>
              <w:pStyle w:val="TableText"/>
            </w:pPr>
            <w:r>
              <w:t>Provider</w:t>
            </w:r>
          </w:p>
        </w:tc>
        <w:tc>
          <w:tcPr>
            <w:tcW w:w="688" w:type="pct"/>
            <w:vMerge w:val="restart"/>
          </w:tcPr>
          <w:p w14:paraId="7C6B2BF2" w14:textId="43125096" w:rsidR="00F37181" w:rsidRPr="009A1DE7" w:rsidRDefault="00F37181" w:rsidP="00F37181">
            <w:pPr>
              <w:pStyle w:val="TableText"/>
            </w:pPr>
            <w:r>
              <w:t>Provider reviews tomorrow's schedule to ensure their availability for appointments scheduled and identify patient treatment needs and challenges.</w:t>
            </w:r>
          </w:p>
        </w:tc>
        <w:tc>
          <w:tcPr>
            <w:tcW w:w="937" w:type="pct"/>
            <w:vMerge w:val="restart"/>
          </w:tcPr>
          <w:p w14:paraId="30AA59C5" w14:textId="77777777" w:rsidR="00F37181" w:rsidRPr="009A1DE7" w:rsidRDefault="00F37181" w:rsidP="00F37181">
            <w:pPr>
              <w:pStyle w:val="TableText"/>
              <w:keepNext/>
              <w:keepLines/>
            </w:pPr>
            <w:r w:rsidRPr="00694A4B">
              <w:t>Patients have been confirmed and emergencies have been allotted a time slot in the appointment schedule</w:t>
            </w:r>
            <w:r w:rsidRPr="009A1DE7">
              <w:t>.</w:t>
            </w:r>
          </w:p>
          <w:p w14:paraId="124294CA" w14:textId="77777777" w:rsidR="00F37181" w:rsidRPr="009A1DE7" w:rsidRDefault="00F37181" w:rsidP="00F37181">
            <w:pPr>
              <w:pStyle w:val="TableText"/>
              <w:keepNext/>
              <w:keepLines/>
              <w:numPr>
                <w:ilvl w:val="0"/>
                <w:numId w:val="2"/>
              </w:numPr>
              <w:ind w:left="232" w:hanging="180"/>
            </w:pPr>
            <w:r w:rsidRPr="009A1DE7">
              <w:rPr>
                <w:u w:val="single"/>
              </w:rPr>
              <w:t>Appointment Book</w:t>
            </w:r>
            <w:r w:rsidRPr="009A1DE7">
              <w:t xml:space="preserve">: </w:t>
            </w:r>
            <w:r w:rsidRPr="00694A4B">
              <w:t>Attach correct procedures, provider</w:t>
            </w:r>
            <w:r>
              <w:t>,</w:t>
            </w:r>
            <w:r w:rsidRPr="00694A4B">
              <w:t xml:space="preserve"> and time length to appointments</w:t>
            </w:r>
            <w:r>
              <w:t xml:space="preserve">. </w:t>
            </w:r>
            <w:r w:rsidRPr="00694A4B">
              <w:t>Document additional information when needed for specific appointment types</w:t>
            </w:r>
            <w:r>
              <w:t xml:space="preserve">. </w:t>
            </w:r>
            <w:r w:rsidRPr="00694A4B">
              <w:t xml:space="preserve">Lab </w:t>
            </w:r>
            <w:r>
              <w:t>c</w:t>
            </w:r>
            <w:r w:rsidRPr="00694A4B">
              <w:t>ase follow-up</w:t>
            </w:r>
            <w:r>
              <w:t>s.</w:t>
            </w:r>
          </w:p>
          <w:p w14:paraId="3681DB2D" w14:textId="1F52C208" w:rsidR="00F37181" w:rsidRPr="009A1DE7" w:rsidRDefault="00F37181" w:rsidP="00F37181">
            <w:pPr>
              <w:pStyle w:val="TableText"/>
              <w:numPr>
                <w:ilvl w:val="0"/>
                <w:numId w:val="2"/>
              </w:numPr>
              <w:ind w:left="232" w:hanging="180"/>
            </w:pPr>
            <w:r w:rsidRPr="009A1DE7">
              <w:rPr>
                <w:u w:val="single"/>
              </w:rPr>
              <w:t>Family Fil</w:t>
            </w:r>
            <w:r>
              <w:rPr>
                <w:u w:val="single"/>
              </w:rPr>
              <w:t>e / Patient Records</w:t>
            </w:r>
            <w:r w:rsidRPr="009A1DE7">
              <w:t xml:space="preserve">: </w:t>
            </w:r>
            <w:r w:rsidRPr="00694A4B">
              <w:t>Identify and record needed patient form updates</w:t>
            </w:r>
            <w:r>
              <w:t>.</w:t>
            </w:r>
          </w:p>
        </w:tc>
        <w:tc>
          <w:tcPr>
            <w:tcW w:w="719" w:type="pct"/>
            <w:vMerge w:val="restart"/>
          </w:tcPr>
          <w:p w14:paraId="2EC2155B" w14:textId="56F0E132" w:rsidR="00F37181" w:rsidRPr="00EF587A" w:rsidRDefault="00AC006A" w:rsidP="00F37181">
            <w:pPr>
              <w:pStyle w:val="TableText"/>
            </w:pPr>
            <w:r w:rsidRPr="00694A4B">
              <w:t xml:space="preserve">Without this review of tomorrow's schedule, Providers and Staff may be ill-prepared to work through challenges with the schedule </w:t>
            </w:r>
            <w:r>
              <w:t xml:space="preserve">that can easily be avoided </w:t>
            </w:r>
            <w:r w:rsidRPr="00694A4B">
              <w:t>(</w:t>
            </w:r>
            <w:r>
              <w:t>such as</w:t>
            </w:r>
            <w:r w:rsidRPr="00694A4B">
              <w:t xml:space="preserve"> appointments that are too short to provide </w:t>
            </w:r>
            <w:r>
              <w:t xml:space="preserve">the </w:t>
            </w:r>
            <w:r w:rsidRPr="00694A4B">
              <w:t>needed care</w:t>
            </w:r>
            <w:r>
              <w:t xml:space="preserve"> and</w:t>
            </w:r>
            <w:r w:rsidRPr="00694A4B">
              <w:t xml:space="preserve"> </w:t>
            </w:r>
            <w:r>
              <w:t xml:space="preserve">a </w:t>
            </w:r>
            <w:r w:rsidRPr="00694A4B">
              <w:t xml:space="preserve">provider </w:t>
            </w:r>
            <w:r>
              <w:t xml:space="preserve">being </w:t>
            </w:r>
            <w:r w:rsidRPr="00694A4B">
              <w:t>out of the office for part of the day).</w:t>
            </w:r>
          </w:p>
        </w:tc>
        <w:tc>
          <w:tcPr>
            <w:tcW w:w="532" w:type="pct"/>
            <w:vMerge w:val="restart"/>
          </w:tcPr>
          <w:p w14:paraId="040ACD65" w14:textId="77777777" w:rsidR="00AC006A" w:rsidRPr="009A1DE7" w:rsidRDefault="00AC006A" w:rsidP="00AC006A">
            <w:pPr>
              <w:pStyle w:val="TableText"/>
              <w:numPr>
                <w:ilvl w:val="0"/>
                <w:numId w:val="1"/>
              </w:numPr>
              <w:spacing w:after="0"/>
              <w:ind w:left="187" w:hanging="187"/>
            </w:pPr>
            <w:r w:rsidRPr="009A1DE7">
              <w:t>Schedule Optimization</w:t>
            </w:r>
          </w:p>
          <w:p w14:paraId="2D7644AE" w14:textId="77777777" w:rsidR="00AC006A" w:rsidRPr="009A1DE7" w:rsidRDefault="00AC006A" w:rsidP="00AC006A">
            <w:pPr>
              <w:pStyle w:val="TableText"/>
              <w:numPr>
                <w:ilvl w:val="0"/>
                <w:numId w:val="1"/>
              </w:numPr>
              <w:spacing w:after="0"/>
              <w:ind w:left="187" w:hanging="187"/>
            </w:pPr>
            <w:r w:rsidRPr="009A1DE7">
              <w:t>Patient Records</w:t>
            </w:r>
          </w:p>
          <w:p w14:paraId="66BA0CE3" w14:textId="2D358866" w:rsidR="00F37181" w:rsidRPr="00EF587A" w:rsidRDefault="00AC006A" w:rsidP="00AC006A">
            <w:pPr>
              <w:pStyle w:val="TableText"/>
              <w:numPr>
                <w:ilvl w:val="0"/>
                <w:numId w:val="1"/>
              </w:numPr>
              <w:spacing w:after="0"/>
              <w:ind w:left="187" w:hanging="187"/>
            </w:pPr>
            <w:r w:rsidRPr="009A1DE7">
              <w:t>Clinical Records</w:t>
            </w:r>
          </w:p>
        </w:tc>
        <w:tc>
          <w:tcPr>
            <w:tcW w:w="345" w:type="pct"/>
            <w:shd w:val="clear" w:color="auto" w:fill="F2F2F2" w:themeFill="background1" w:themeFillShade="F2"/>
          </w:tcPr>
          <w:p w14:paraId="0A8D4F96" w14:textId="77777777" w:rsidR="00F37181" w:rsidRPr="00EE4BD6" w:rsidRDefault="00F37181" w:rsidP="00F37181">
            <w:pPr>
              <w:pStyle w:val="TableText"/>
            </w:pPr>
            <w:r w:rsidRPr="001F26DF">
              <w:t>Date Reviewed</w:t>
            </w:r>
            <w:r>
              <w:t>:</w:t>
            </w:r>
          </w:p>
        </w:tc>
        <w:tc>
          <w:tcPr>
            <w:tcW w:w="436" w:type="pct"/>
            <w:shd w:val="clear" w:color="auto" w:fill="F2F2F2" w:themeFill="background1" w:themeFillShade="F2"/>
          </w:tcPr>
          <w:p w14:paraId="6A32EF47" w14:textId="77777777" w:rsidR="00F37181" w:rsidRPr="00EE4BD6" w:rsidRDefault="00F37181" w:rsidP="00F37181">
            <w:pPr>
              <w:pStyle w:val="TableText"/>
            </w:pPr>
          </w:p>
        </w:tc>
      </w:tr>
      <w:tr w:rsidR="00FE6BD7" w:rsidRPr="00EE4BD6" w14:paraId="53C47E93" w14:textId="77777777" w:rsidTr="001337C7">
        <w:trPr>
          <w:cantSplit/>
          <w:trHeight w:val="479"/>
        </w:trPr>
        <w:tc>
          <w:tcPr>
            <w:tcW w:w="436" w:type="pct"/>
            <w:vMerge/>
          </w:tcPr>
          <w:p w14:paraId="3F6F48B6" w14:textId="77777777" w:rsidR="00FE6BD7" w:rsidRPr="00EF587A" w:rsidRDefault="00FE6BD7" w:rsidP="00C81021">
            <w:pPr>
              <w:pStyle w:val="TableText"/>
            </w:pPr>
          </w:p>
        </w:tc>
        <w:tc>
          <w:tcPr>
            <w:tcW w:w="469" w:type="pct"/>
            <w:vMerge/>
          </w:tcPr>
          <w:p w14:paraId="2B45372D" w14:textId="77777777" w:rsidR="00FE6BD7" w:rsidRPr="009A1DE7" w:rsidRDefault="00FE6BD7" w:rsidP="00C81021">
            <w:pPr>
              <w:pStyle w:val="TableText"/>
              <w:numPr>
                <w:ilvl w:val="0"/>
                <w:numId w:val="3"/>
              </w:numPr>
              <w:ind w:left="226" w:hanging="180"/>
            </w:pPr>
          </w:p>
        </w:tc>
        <w:tc>
          <w:tcPr>
            <w:tcW w:w="438" w:type="pct"/>
            <w:vMerge/>
          </w:tcPr>
          <w:p w14:paraId="196270A6" w14:textId="77777777" w:rsidR="00FE6BD7" w:rsidRPr="009A1DE7" w:rsidRDefault="00FE6BD7" w:rsidP="00C81021">
            <w:pPr>
              <w:pStyle w:val="TableText"/>
            </w:pPr>
          </w:p>
        </w:tc>
        <w:tc>
          <w:tcPr>
            <w:tcW w:w="688" w:type="pct"/>
            <w:vMerge/>
          </w:tcPr>
          <w:p w14:paraId="708845BA" w14:textId="77777777" w:rsidR="00FE6BD7" w:rsidRPr="009A1DE7" w:rsidRDefault="00FE6BD7" w:rsidP="00C81021">
            <w:pPr>
              <w:pStyle w:val="TableText"/>
            </w:pPr>
          </w:p>
        </w:tc>
        <w:tc>
          <w:tcPr>
            <w:tcW w:w="937" w:type="pct"/>
            <w:vMerge/>
          </w:tcPr>
          <w:p w14:paraId="36E7DDF7" w14:textId="77777777" w:rsidR="00FE6BD7" w:rsidRPr="009A1DE7" w:rsidRDefault="00FE6BD7" w:rsidP="00C81021">
            <w:pPr>
              <w:pStyle w:val="TableText"/>
            </w:pPr>
          </w:p>
        </w:tc>
        <w:tc>
          <w:tcPr>
            <w:tcW w:w="719" w:type="pct"/>
            <w:vMerge/>
          </w:tcPr>
          <w:p w14:paraId="783B2E0F" w14:textId="77777777" w:rsidR="00FE6BD7" w:rsidRPr="009A1DE7" w:rsidRDefault="00FE6BD7" w:rsidP="00C81021">
            <w:pPr>
              <w:pStyle w:val="TableText"/>
            </w:pPr>
          </w:p>
        </w:tc>
        <w:tc>
          <w:tcPr>
            <w:tcW w:w="532" w:type="pct"/>
            <w:vMerge/>
          </w:tcPr>
          <w:p w14:paraId="1162F3C8"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1C2EFCBA"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51A22078" w14:textId="77777777" w:rsidR="00FE6BD7" w:rsidRPr="00EE4BD6" w:rsidRDefault="00FE6BD7" w:rsidP="00C81021">
            <w:pPr>
              <w:pStyle w:val="TableText"/>
            </w:pPr>
          </w:p>
        </w:tc>
      </w:tr>
      <w:tr w:rsidR="00FE6BD7" w:rsidRPr="00EE4BD6" w14:paraId="6B39BD6B" w14:textId="77777777" w:rsidTr="001337C7">
        <w:trPr>
          <w:cantSplit/>
          <w:trHeight w:val="478"/>
        </w:trPr>
        <w:tc>
          <w:tcPr>
            <w:tcW w:w="436" w:type="pct"/>
            <w:vMerge/>
          </w:tcPr>
          <w:p w14:paraId="3438A538" w14:textId="77777777" w:rsidR="00FE6BD7" w:rsidRPr="00EF587A" w:rsidRDefault="00FE6BD7" w:rsidP="00C81021">
            <w:pPr>
              <w:pStyle w:val="TableText"/>
            </w:pPr>
          </w:p>
        </w:tc>
        <w:tc>
          <w:tcPr>
            <w:tcW w:w="469" w:type="pct"/>
            <w:vMerge/>
          </w:tcPr>
          <w:p w14:paraId="7C272AAF" w14:textId="77777777" w:rsidR="00FE6BD7" w:rsidRPr="009A1DE7" w:rsidRDefault="00FE6BD7" w:rsidP="00C81021">
            <w:pPr>
              <w:pStyle w:val="TableText"/>
              <w:numPr>
                <w:ilvl w:val="0"/>
                <w:numId w:val="3"/>
              </w:numPr>
              <w:ind w:left="226" w:hanging="180"/>
            </w:pPr>
          </w:p>
        </w:tc>
        <w:tc>
          <w:tcPr>
            <w:tcW w:w="438" w:type="pct"/>
            <w:vMerge/>
          </w:tcPr>
          <w:p w14:paraId="059D7782" w14:textId="77777777" w:rsidR="00FE6BD7" w:rsidRPr="009A1DE7" w:rsidRDefault="00FE6BD7" w:rsidP="00C81021">
            <w:pPr>
              <w:pStyle w:val="TableText"/>
            </w:pPr>
          </w:p>
        </w:tc>
        <w:tc>
          <w:tcPr>
            <w:tcW w:w="688" w:type="pct"/>
            <w:vMerge/>
          </w:tcPr>
          <w:p w14:paraId="04FE7A7D" w14:textId="77777777" w:rsidR="00FE6BD7" w:rsidRPr="009A1DE7" w:rsidRDefault="00FE6BD7" w:rsidP="00C81021">
            <w:pPr>
              <w:pStyle w:val="TableText"/>
            </w:pPr>
          </w:p>
        </w:tc>
        <w:tc>
          <w:tcPr>
            <w:tcW w:w="937" w:type="pct"/>
            <w:vMerge/>
          </w:tcPr>
          <w:p w14:paraId="31ADD318" w14:textId="77777777" w:rsidR="00FE6BD7" w:rsidRPr="009A1DE7" w:rsidRDefault="00FE6BD7" w:rsidP="00C81021">
            <w:pPr>
              <w:pStyle w:val="TableText"/>
            </w:pPr>
          </w:p>
        </w:tc>
        <w:tc>
          <w:tcPr>
            <w:tcW w:w="719" w:type="pct"/>
            <w:vMerge/>
          </w:tcPr>
          <w:p w14:paraId="748816B5" w14:textId="77777777" w:rsidR="00FE6BD7" w:rsidRPr="009A1DE7" w:rsidRDefault="00FE6BD7" w:rsidP="00C81021">
            <w:pPr>
              <w:pStyle w:val="TableText"/>
            </w:pPr>
          </w:p>
        </w:tc>
        <w:tc>
          <w:tcPr>
            <w:tcW w:w="532" w:type="pct"/>
            <w:vMerge/>
          </w:tcPr>
          <w:p w14:paraId="23DC198A"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DCC794E"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38568BB0" w14:textId="77777777" w:rsidR="00FE6BD7" w:rsidRPr="00EE4BD6" w:rsidRDefault="00FE6BD7" w:rsidP="00C81021">
            <w:pPr>
              <w:pStyle w:val="TableText"/>
            </w:pPr>
          </w:p>
        </w:tc>
      </w:tr>
      <w:tr w:rsidR="00FE6BD7" w:rsidRPr="00EE4BD6" w14:paraId="4DF934A3" w14:textId="77777777" w:rsidTr="001337C7">
        <w:trPr>
          <w:cantSplit/>
          <w:trHeight w:val="479"/>
        </w:trPr>
        <w:tc>
          <w:tcPr>
            <w:tcW w:w="436" w:type="pct"/>
            <w:vMerge/>
          </w:tcPr>
          <w:p w14:paraId="2124B3F3" w14:textId="77777777" w:rsidR="00FE6BD7" w:rsidRPr="00EF587A" w:rsidRDefault="00FE6BD7" w:rsidP="00C81021">
            <w:pPr>
              <w:pStyle w:val="TableText"/>
            </w:pPr>
          </w:p>
        </w:tc>
        <w:tc>
          <w:tcPr>
            <w:tcW w:w="469" w:type="pct"/>
            <w:vMerge/>
          </w:tcPr>
          <w:p w14:paraId="18183158" w14:textId="77777777" w:rsidR="00FE6BD7" w:rsidRPr="009A1DE7" w:rsidRDefault="00FE6BD7" w:rsidP="00C81021">
            <w:pPr>
              <w:pStyle w:val="TableText"/>
              <w:numPr>
                <w:ilvl w:val="0"/>
                <w:numId w:val="3"/>
              </w:numPr>
              <w:ind w:left="226" w:hanging="180"/>
            </w:pPr>
          </w:p>
        </w:tc>
        <w:tc>
          <w:tcPr>
            <w:tcW w:w="438" w:type="pct"/>
            <w:vMerge/>
          </w:tcPr>
          <w:p w14:paraId="7329BC0E" w14:textId="77777777" w:rsidR="00FE6BD7" w:rsidRPr="009A1DE7" w:rsidRDefault="00FE6BD7" w:rsidP="00C81021">
            <w:pPr>
              <w:pStyle w:val="TableText"/>
            </w:pPr>
          </w:p>
        </w:tc>
        <w:tc>
          <w:tcPr>
            <w:tcW w:w="688" w:type="pct"/>
            <w:vMerge/>
          </w:tcPr>
          <w:p w14:paraId="2320630B" w14:textId="77777777" w:rsidR="00FE6BD7" w:rsidRPr="009A1DE7" w:rsidRDefault="00FE6BD7" w:rsidP="00C81021">
            <w:pPr>
              <w:pStyle w:val="TableText"/>
            </w:pPr>
          </w:p>
        </w:tc>
        <w:tc>
          <w:tcPr>
            <w:tcW w:w="937" w:type="pct"/>
            <w:vMerge/>
          </w:tcPr>
          <w:p w14:paraId="2C845D83" w14:textId="77777777" w:rsidR="00FE6BD7" w:rsidRPr="009A1DE7" w:rsidRDefault="00FE6BD7" w:rsidP="00C81021">
            <w:pPr>
              <w:pStyle w:val="TableText"/>
            </w:pPr>
          </w:p>
        </w:tc>
        <w:tc>
          <w:tcPr>
            <w:tcW w:w="719" w:type="pct"/>
            <w:vMerge/>
          </w:tcPr>
          <w:p w14:paraId="6D042D20" w14:textId="77777777" w:rsidR="00FE6BD7" w:rsidRPr="009A1DE7" w:rsidRDefault="00FE6BD7" w:rsidP="00C81021">
            <w:pPr>
              <w:pStyle w:val="TableText"/>
            </w:pPr>
          </w:p>
        </w:tc>
        <w:tc>
          <w:tcPr>
            <w:tcW w:w="532" w:type="pct"/>
            <w:vMerge/>
          </w:tcPr>
          <w:p w14:paraId="544409DA"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13AD952"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59AFF28F" w14:textId="77777777" w:rsidR="00FE6BD7" w:rsidRPr="00EE4BD6" w:rsidRDefault="00FE6BD7" w:rsidP="00C81021">
            <w:pPr>
              <w:pStyle w:val="TableText"/>
            </w:pPr>
          </w:p>
        </w:tc>
      </w:tr>
      <w:tr w:rsidR="00FE6BD7" w:rsidRPr="00EF587A" w14:paraId="6FCF1825" w14:textId="77777777" w:rsidTr="001337C7">
        <w:trPr>
          <w:cantSplit/>
          <w:trHeight w:val="479"/>
        </w:trPr>
        <w:tc>
          <w:tcPr>
            <w:tcW w:w="436" w:type="pct"/>
            <w:vMerge/>
          </w:tcPr>
          <w:p w14:paraId="6C651F23" w14:textId="77777777" w:rsidR="00FE6BD7" w:rsidRPr="00EF587A" w:rsidRDefault="00FE6BD7" w:rsidP="00C81021">
            <w:pPr>
              <w:pStyle w:val="TableText"/>
            </w:pPr>
          </w:p>
        </w:tc>
        <w:tc>
          <w:tcPr>
            <w:tcW w:w="469" w:type="pct"/>
            <w:vMerge/>
          </w:tcPr>
          <w:p w14:paraId="7E687E51" w14:textId="77777777" w:rsidR="00FE6BD7" w:rsidRPr="00EF587A" w:rsidRDefault="00FE6BD7" w:rsidP="00C81021">
            <w:pPr>
              <w:pStyle w:val="TableText"/>
            </w:pPr>
          </w:p>
        </w:tc>
        <w:tc>
          <w:tcPr>
            <w:tcW w:w="438" w:type="pct"/>
            <w:vMerge/>
          </w:tcPr>
          <w:p w14:paraId="09C2EC54" w14:textId="77777777" w:rsidR="00FE6BD7" w:rsidRPr="00EF587A" w:rsidRDefault="00FE6BD7" w:rsidP="00C81021">
            <w:pPr>
              <w:pStyle w:val="TableText"/>
            </w:pPr>
          </w:p>
        </w:tc>
        <w:tc>
          <w:tcPr>
            <w:tcW w:w="688" w:type="pct"/>
            <w:vMerge/>
          </w:tcPr>
          <w:p w14:paraId="15F11295" w14:textId="77777777" w:rsidR="00FE6BD7" w:rsidRPr="00EF587A" w:rsidRDefault="00FE6BD7" w:rsidP="00C81021">
            <w:pPr>
              <w:pStyle w:val="TableText"/>
            </w:pPr>
          </w:p>
        </w:tc>
        <w:tc>
          <w:tcPr>
            <w:tcW w:w="937" w:type="pct"/>
            <w:vMerge/>
          </w:tcPr>
          <w:p w14:paraId="5C629D38" w14:textId="77777777" w:rsidR="00FE6BD7" w:rsidRPr="00EF587A" w:rsidRDefault="00FE6BD7" w:rsidP="00C81021">
            <w:pPr>
              <w:pStyle w:val="TableText"/>
            </w:pPr>
          </w:p>
        </w:tc>
        <w:tc>
          <w:tcPr>
            <w:tcW w:w="719" w:type="pct"/>
            <w:vMerge/>
          </w:tcPr>
          <w:p w14:paraId="4E3644EF" w14:textId="77777777" w:rsidR="00FE6BD7" w:rsidRPr="00EF587A" w:rsidRDefault="00FE6BD7" w:rsidP="00C81021">
            <w:pPr>
              <w:pStyle w:val="TableText"/>
            </w:pPr>
          </w:p>
        </w:tc>
        <w:tc>
          <w:tcPr>
            <w:tcW w:w="532" w:type="pct"/>
            <w:vMerge/>
          </w:tcPr>
          <w:p w14:paraId="12FF6BA1" w14:textId="77777777" w:rsidR="00FE6BD7" w:rsidRPr="00EF587A" w:rsidRDefault="00FE6BD7" w:rsidP="00C81021">
            <w:pPr>
              <w:pStyle w:val="TableText"/>
            </w:pPr>
          </w:p>
        </w:tc>
        <w:tc>
          <w:tcPr>
            <w:tcW w:w="345" w:type="pct"/>
            <w:shd w:val="clear" w:color="auto" w:fill="F2F2F2" w:themeFill="background1" w:themeFillShade="F2"/>
          </w:tcPr>
          <w:p w14:paraId="6BD0BB0E"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41A4F16F" w14:textId="77777777" w:rsidR="00FE6BD7" w:rsidRPr="00EF587A" w:rsidRDefault="00FE6BD7" w:rsidP="00C81021">
            <w:pPr>
              <w:pStyle w:val="TableText"/>
            </w:pPr>
          </w:p>
        </w:tc>
      </w:tr>
      <w:tr w:rsidR="00FE6BD7" w:rsidRPr="00EE4BD6" w14:paraId="5115F92E" w14:textId="77777777" w:rsidTr="001337C7">
        <w:trPr>
          <w:cantSplit/>
        </w:trPr>
        <w:tc>
          <w:tcPr>
            <w:tcW w:w="5000" w:type="pct"/>
            <w:gridSpan w:val="9"/>
            <w:shd w:val="clear" w:color="auto" w:fill="E2EFD9" w:themeFill="accent6" w:themeFillTint="33"/>
          </w:tcPr>
          <w:p w14:paraId="52A2F821" w14:textId="77777777" w:rsidR="00FE6BD7" w:rsidRPr="004A5961" w:rsidRDefault="00FE6BD7" w:rsidP="00EF587A">
            <w:pPr>
              <w:pStyle w:val="TableText"/>
              <w:rPr>
                <w:sz w:val="8"/>
                <w:szCs w:val="8"/>
              </w:rPr>
            </w:pPr>
          </w:p>
        </w:tc>
      </w:tr>
      <w:tr w:rsidR="00AC006A" w:rsidRPr="00EE4BD6" w14:paraId="1DC03CE4" w14:textId="77777777" w:rsidTr="001337C7">
        <w:trPr>
          <w:cantSplit/>
          <w:trHeight w:val="549"/>
        </w:trPr>
        <w:tc>
          <w:tcPr>
            <w:tcW w:w="436" w:type="pct"/>
            <w:vMerge w:val="restart"/>
            <w:vAlign w:val="center"/>
          </w:tcPr>
          <w:p w14:paraId="66E0976A" w14:textId="003FBF31" w:rsidR="00AC006A" w:rsidRPr="00F77313" w:rsidRDefault="00AC006A" w:rsidP="00304C5D">
            <w:pPr>
              <w:pStyle w:val="TableText"/>
              <w:pageBreakBefore/>
              <w:jc w:val="center"/>
              <w:rPr>
                <w:b/>
                <w:bCs/>
              </w:rPr>
            </w:pPr>
            <w:r w:rsidRPr="00AC006A">
              <w:rPr>
                <w:b/>
                <w:bCs/>
              </w:rPr>
              <w:lastRenderedPageBreak/>
              <w:t>Insurance Eligibility Report</w:t>
            </w:r>
          </w:p>
        </w:tc>
        <w:tc>
          <w:tcPr>
            <w:tcW w:w="469" w:type="pct"/>
            <w:vMerge w:val="restart"/>
          </w:tcPr>
          <w:p w14:paraId="79E5B764" w14:textId="77777777" w:rsidR="00AC006A" w:rsidRPr="00AC006A" w:rsidRDefault="00AC006A" w:rsidP="00AC006A">
            <w:pPr>
              <w:pStyle w:val="TableText"/>
            </w:pPr>
            <w:r w:rsidRPr="00AC006A">
              <w:t>All parameters for Provider, Employer, Patient, and Insurance</w:t>
            </w:r>
          </w:p>
          <w:p w14:paraId="511DACA0" w14:textId="7CB967F1" w:rsidR="00AC006A" w:rsidRPr="00AC006A" w:rsidRDefault="00AC006A" w:rsidP="00AC006A">
            <w:pPr>
              <w:pStyle w:val="TableText"/>
            </w:pPr>
            <w:r w:rsidRPr="00AC006A">
              <w:t>Date Range: Tomorrow (and the next day)</w:t>
            </w:r>
          </w:p>
        </w:tc>
        <w:tc>
          <w:tcPr>
            <w:tcW w:w="438" w:type="pct"/>
            <w:vMerge w:val="restart"/>
          </w:tcPr>
          <w:p w14:paraId="7A745E46" w14:textId="6FD5890D" w:rsidR="00AC006A" w:rsidRPr="00AC006A" w:rsidRDefault="00AC006A" w:rsidP="00AC006A">
            <w:pPr>
              <w:pStyle w:val="TableText"/>
            </w:pPr>
            <w:r w:rsidRPr="00AC006A">
              <w:t>Billing or Front Desk Staff</w:t>
            </w:r>
          </w:p>
        </w:tc>
        <w:tc>
          <w:tcPr>
            <w:tcW w:w="688" w:type="pct"/>
            <w:vMerge w:val="restart"/>
          </w:tcPr>
          <w:p w14:paraId="5D518FB3" w14:textId="6DF7A557" w:rsidR="00AC006A" w:rsidRPr="00AC006A" w:rsidRDefault="00AC006A" w:rsidP="00AC006A">
            <w:pPr>
              <w:pStyle w:val="TableText"/>
            </w:pPr>
            <w:r w:rsidRPr="00AC006A">
              <w:t>Review patient insurance eligibility and coverage for the date of scheduled treatment.</w:t>
            </w:r>
          </w:p>
        </w:tc>
        <w:tc>
          <w:tcPr>
            <w:tcW w:w="937" w:type="pct"/>
            <w:vMerge w:val="restart"/>
          </w:tcPr>
          <w:p w14:paraId="508EF0EB" w14:textId="77777777" w:rsidR="00AC006A" w:rsidRPr="00AC006A" w:rsidRDefault="00AC006A" w:rsidP="00AC006A">
            <w:pPr>
              <w:pStyle w:val="TableText"/>
            </w:pPr>
            <w:r w:rsidRPr="00AC006A">
              <w:t xml:space="preserve">An insurance plan has been attached to the patient along with dates of eligibility. This will result in an "E" indicator on the patient's scheduled appointment. </w:t>
            </w:r>
          </w:p>
          <w:p w14:paraId="16BD3A05" w14:textId="77777777" w:rsidR="00AC006A" w:rsidRPr="00AC006A" w:rsidRDefault="00AC006A" w:rsidP="00AC006A">
            <w:pPr>
              <w:pStyle w:val="TableText"/>
              <w:ind w:left="220"/>
            </w:pPr>
            <w:r w:rsidRPr="00AC006A">
              <w:t>Color code for eligibility Indicator on appointments:</w:t>
            </w:r>
          </w:p>
          <w:p w14:paraId="746792B4" w14:textId="77777777" w:rsidR="00AC006A" w:rsidRPr="00AC006A" w:rsidRDefault="00AC006A" w:rsidP="00AC006A">
            <w:pPr>
              <w:pStyle w:val="TableText"/>
              <w:ind w:left="400"/>
            </w:pPr>
            <w:r w:rsidRPr="00AC006A">
              <w:t>Yellow = Not Checked</w:t>
            </w:r>
          </w:p>
          <w:p w14:paraId="4473E8C5" w14:textId="77777777" w:rsidR="00AC006A" w:rsidRPr="00AC006A" w:rsidRDefault="00AC006A" w:rsidP="00AC006A">
            <w:pPr>
              <w:pStyle w:val="TableText"/>
              <w:ind w:left="400"/>
            </w:pPr>
            <w:r w:rsidRPr="00AC006A">
              <w:t>Green = Eligible</w:t>
            </w:r>
          </w:p>
          <w:p w14:paraId="2DB59E44" w14:textId="77777777" w:rsidR="00AC006A" w:rsidRPr="00AC006A" w:rsidRDefault="00AC006A" w:rsidP="00AC006A">
            <w:pPr>
              <w:pStyle w:val="TableText"/>
              <w:ind w:left="400"/>
            </w:pPr>
            <w:r w:rsidRPr="00AC006A">
              <w:t>Red = Not Eligible</w:t>
            </w:r>
          </w:p>
          <w:p w14:paraId="1D02B200" w14:textId="2B85623B" w:rsidR="00AC006A" w:rsidRPr="00AC006A" w:rsidRDefault="00AC006A" w:rsidP="00AC006A">
            <w:pPr>
              <w:pStyle w:val="TableText"/>
              <w:numPr>
                <w:ilvl w:val="0"/>
                <w:numId w:val="1"/>
              </w:numPr>
              <w:ind w:left="245" w:hanging="187"/>
            </w:pPr>
            <w:r w:rsidRPr="00AC006A">
              <w:rPr>
                <w:u w:val="single"/>
              </w:rPr>
              <w:t>Family File</w:t>
            </w:r>
            <w:r w:rsidRPr="00AC006A">
              <w:t>: Attach insurance plan to patient record. Verify insurance eligibility. Enter eligibility dates and coverage detail.</w:t>
            </w:r>
          </w:p>
        </w:tc>
        <w:tc>
          <w:tcPr>
            <w:tcW w:w="719" w:type="pct"/>
            <w:vMerge w:val="restart"/>
          </w:tcPr>
          <w:p w14:paraId="0B737A07" w14:textId="750F3652" w:rsidR="00AC006A" w:rsidRPr="00EF587A" w:rsidRDefault="00AC006A" w:rsidP="00AC006A">
            <w:pPr>
              <w:pStyle w:val="TableText"/>
            </w:pPr>
            <w:r w:rsidRPr="00D506A7">
              <w:t>If the insurance information for the scheduled patient is not verified, the coverage</w:t>
            </w:r>
            <w:r>
              <w:t xml:space="preserve"> or </w:t>
            </w:r>
            <w:r w:rsidRPr="00D506A7">
              <w:t xml:space="preserve">payment for services may be </w:t>
            </w:r>
            <w:r>
              <w:t>jeopardized</w:t>
            </w:r>
            <w:r w:rsidRPr="00D506A7">
              <w:t>. Any treatment rendered and accounts receivable increase without verification of insurance benefits will require further billing review for additional action.</w:t>
            </w:r>
          </w:p>
        </w:tc>
        <w:tc>
          <w:tcPr>
            <w:tcW w:w="532" w:type="pct"/>
            <w:vMerge w:val="restart"/>
          </w:tcPr>
          <w:p w14:paraId="735E55F2" w14:textId="77777777" w:rsidR="00AC006A" w:rsidRPr="009A1DE7" w:rsidRDefault="00AC006A" w:rsidP="00AC006A">
            <w:pPr>
              <w:pStyle w:val="TableText"/>
              <w:numPr>
                <w:ilvl w:val="0"/>
                <w:numId w:val="1"/>
              </w:numPr>
              <w:spacing w:after="0"/>
              <w:ind w:left="187" w:hanging="187"/>
            </w:pPr>
            <w:r w:rsidRPr="009A1DE7">
              <w:t>Patient Records</w:t>
            </w:r>
          </w:p>
          <w:p w14:paraId="681D11B8" w14:textId="05141755" w:rsidR="00AC006A" w:rsidRPr="00EF587A" w:rsidRDefault="00AC006A" w:rsidP="00AC006A">
            <w:pPr>
              <w:pStyle w:val="TableText"/>
              <w:numPr>
                <w:ilvl w:val="0"/>
                <w:numId w:val="1"/>
              </w:numPr>
              <w:spacing w:after="0"/>
              <w:ind w:left="187" w:hanging="187"/>
            </w:pPr>
            <w:r>
              <w:t>Revenue Cycle</w:t>
            </w:r>
          </w:p>
        </w:tc>
        <w:tc>
          <w:tcPr>
            <w:tcW w:w="345" w:type="pct"/>
            <w:shd w:val="clear" w:color="auto" w:fill="F2F2F2" w:themeFill="background1" w:themeFillShade="F2"/>
          </w:tcPr>
          <w:p w14:paraId="3E3D9C02" w14:textId="77777777" w:rsidR="00AC006A" w:rsidRPr="00EE4BD6" w:rsidRDefault="00AC006A" w:rsidP="00AC006A">
            <w:pPr>
              <w:pStyle w:val="TableText"/>
            </w:pPr>
            <w:r w:rsidRPr="001F26DF">
              <w:t>Date Reviewed</w:t>
            </w:r>
            <w:r>
              <w:t>:</w:t>
            </w:r>
          </w:p>
        </w:tc>
        <w:tc>
          <w:tcPr>
            <w:tcW w:w="436" w:type="pct"/>
            <w:shd w:val="clear" w:color="auto" w:fill="F2F2F2" w:themeFill="background1" w:themeFillShade="F2"/>
          </w:tcPr>
          <w:p w14:paraId="5C96BC3C" w14:textId="77777777" w:rsidR="00AC006A" w:rsidRPr="00EE4BD6" w:rsidRDefault="00AC006A" w:rsidP="00AC006A">
            <w:pPr>
              <w:pStyle w:val="TableText"/>
            </w:pPr>
          </w:p>
        </w:tc>
      </w:tr>
      <w:tr w:rsidR="00FE6BD7" w:rsidRPr="00EE4BD6" w14:paraId="45160DB2" w14:textId="77777777" w:rsidTr="001337C7">
        <w:trPr>
          <w:cantSplit/>
          <w:trHeight w:val="549"/>
        </w:trPr>
        <w:tc>
          <w:tcPr>
            <w:tcW w:w="436" w:type="pct"/>
            <w:vMerge/>
          </w:tcPr>
          <w:p w14:paraId="72ECAA4D" w14:textId="77777777" w:rsidR="00FE6BD7" w:rsidRPr="00EF587A" w:rsidRDefault="00FE6BD7" w:rsidP="00C81021">
            <w:pPr>
              <w:pStyle w:val="TableText"/>
            </w:pPr>
          </w:p>
        </w:tc>
        <w:tc>
          <w:tcPr>
            <w:tcW w:w="469" w:type="pct"/>
            <w:vMerge/>
          </w:tcPr>
          <w:p w14:paraId="7C4E4401" w14:textId="77777777" w:rsidR="00FE6BD7" w:rsidRPr="009A1DE7" w:rsidRDefault="00FE6BD7" w:rsidP="00C81021">
            <w:pPr>
              <w:pStyle w:val="TableText"/>
              <w:numPr>
                <w:ilvl w:val="0"/>
                <w:numId w:val="3"/>
              </w:numPr>
              <w:ind w:left="226" w:hanging="180"/>
            </w:pPr>
          </w:p>
        </w:tc>
        <w:tc>
          <w:tcPr>
            <w:tcW w:w="438" w:type="pct"/>
            <w:vMerge/>
          </w:tcPr>
          <w:p w14:paraId="6193DA44" w14:textId="77777777" w:rsidR="00FE6BD7" w:rsidRPr="009A1DE7" w:rsidRDefault="00FE6BD7" w:rsidP="00C81021">
            <w:pPr>
              <w:pStyle w:val="TableText"/>
            </w:pPr>
          </w:p>
        </w:tc>
        <w:tc>
          <w:tcPr>
            <w:tcW w:w="688" w:type="pct"/>
            <w:vMerge/>
          </w:tcPr>
          <w:p w14:paraId="00293EF2" w14:textId="77777777" w:rsidR="00FE6BD7" w:rsidRPr="009A1DE7" w:rsidRDefault="00FE6BD7" w:rsidP="00C81021">
            <w:pPr>
              <w:pStyle w:val="TableText"/>
            </w:pPr>
          </w:p>
        </w:tc>
        <w:tc>
          <w:tcPr>
            <w:tcW w:w="937" w:type="pct"/>
            <w:vMerge/>
          </w:tcPr>
          <w:p w14:paraId="49606E07" w14:textId="77777777" w:rsidR="00FE6BD7" w:rsidRPr="009A1DE7" w:rsidRDefault="00FE6BD7" w:rsidP="00C81021">
            <w:pPr>
              <w:pStyle w:val="TableText"/>
            </w:pPr>
          </w:p>
        </w:tc>
        <w:tc>
          <w:tcPr>
            <w:tcW w:w="719" w:type="pct"/>
            <w:vMerge/>
          </w:tcPr>
          <w:p w14:paraId="1369F184" w14:textId="77777777" w:rsidR="00FE6BD7" w:rsidRPr="009A1DE7" w:rsidRDefault="00FE6BD7" w:rsidP="00C81021">
            <w:pPr>
              <w:pStyle w:val="TableText"/>
            </w:pPr>
          </w:p>
        </w:tc>
        <w:tc>
          <w:tcPr>
            <w:tcW w:w="532" w:type="pct"/>
            <w:vMerge/>
          </w:tcPr>
          <w:p w14:paraId="62631730"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E7D7C29"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7F10DDB3" w14:textId="77777777" w:rsidR="00FE6BD7" w:rsidRPr="00EE4BD6" w:rsidRDefault="00FE6BD7" w:rsidP="00C81021">
            <w:pPr>
              <w:pStyle w:val="TableText"/>
            </w:pPr>
          </w:p>
        </w:tc>
      </w:tr>
      <w:tr w:rsidR="00FE6BD7" w:rsidRPr="00EE4BD6" w14:paraId="1F47BF23" w14:textId="77777777" w:rsidTr="001337C7">
        <w:trPr>
          <w:cantSplit/>
          <w:trHeight w:val="550"/>
        </w:trPr>
        <w:tc>
          <w:tcPr>
            <w:tcW w:w="436" w:type="pct"/>
            <w:vMerge/>
          </w:tcPr>
          <w:p w14:paraId="7A182E44" w14:textId="77777777" w:rsidR="00FE6BD7" w:rsidRPr="00EF587A" w:rsidRDefault="00FE6BD7" w:rsidP="00C81021">
            <w:pPr>
              <w:pStyle w:val="TableText"/>
            </w:pPr>
          </w:p>
        </w:tc>
        <w:tc>
          <w:tcPr>
            <w:tcW w:w="469" w:type="pct"/>
            <w:vMerge/>
          </w:tcPr>
          <w:p w14:paraId="0CB3E749" w14:textId="77777777" w:rsidR="00FE6BD7" w:rsidRPr="009A1DE7" w:rsidRDefault="00FE6BD7" w:rsidP="00C81021">
            <w:pPr>
              <w:pStyle w:val="TableText"/>
              <w:numPr>
                <w:ilvl w:val="0"/>
                <w:numId w:val="3"/>
              </w:numPr>
              <w:ind w:left="226" w:hanging="180"/>
            </w:pPr>
          </w:p>
        </w:tc>
        <w:tc>
          <w:tcPr>
            <w:tcW w:w="438" w:type="pct"/>
            <w:vMerge/>
          </w:tcPr>
          <w:p w14:paraId="6CBC834E" w14:textId="77777777" w:rsidR="00FE6BD7" w:rsidRPr="009A1DE7" w:rsidRDefault="00FE6BD7" w:rsidP="00C81021">
            <w:pPr>
              <w:pStyle w:val="TableText"/>
            </w:pPr>
          </w:p>
        </w:tc>
        <w:tc>
          <w:tcPr>
            <w:tcW w:w="688" w:type="pct"/>
            <w:vMerge/>
          </w:tcPr>
          <w:p w14:paraId="1706327C" w14:textId="77777777" w:rsidR="00FE6BD7" w:rsidRPr="009A1DE7" w:rsidRDefault="00FE6BD7" w:rsidP="00C81021">
            <w:pPr>
              <w:pStyle w:val="TableText"/>
            </w:pPr>
          </w:p>
        </w:tc>
        <w:tc>
          <w:tcPr>
            <w:tcW w:w="937" w:type="pct"/>
            <w:vMerge/>
          </w:tcPr>
          <w:p w14:paraId="63CB8F4B" w14:textId="77777777" w:rsidR="00FE6BD7" w:rsidRPr="009A1DE7" w:rsidRDefault="00FE6BD7" w:rsidP="00C81021">
            <w:pPr>
              <w:pStyle w:val="TableText"/>
            </w:pPr>
          </w:p>
        </w:tc>
        <w:tc>
          <w:tcPr>
            <w:tcW w:w="719" w:type="pct"/>
            <w:vMerge/>
          </w:tcPr>
          <w:p w14:paraId="13451EB2" w14:textId="77777777" w:rsidR="00FE6BD7" w:rsidRPr="009A1DE7" w:rsidRDefault="00FE6BD7" w:rsidP="00C81021">
            <w:pPr>
              <w:pStyle w:val="TableText"/>
            </w:pPr>
          </w:p>
        </w:tc>
        <w:tc>
          <w:tcPr>
            <w:tcW w:w="532" w:type="pct"/>
            <w:vMerge/>
          </w:tcPr>
          <w:p w14:paraId="5DB73C19"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9897614"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0983C5CB" w14:textId="77777777" w:rsidR="00FE6BD7" w:rsidRPr="00EE4BD6" w:rsidRDefault="00FE6BD7" w:rsidP="00C81021">
            <w:pPr>
              <w:pStyle w:val="TableText"/>
            </w:pPr>
          </w:p>
        </w:tc>
      </w:tr>
      <w:tr w:rsidR="00FE6BD7" w:rsidRPr="00EE4BD6" w14:paraId="2E7DC366" w14:textId="77777777" w:rsidTr="001337C7">
        <w:trPr>
          <w:cantSplit/>
          <w:trHeight w:val="549"/>
        </w:trPr>
        <w:tc>
          <w:tcPr>
            <w:tcW w:w="436" w:type="pct"/>
            <w:vMerge/>
          </w:tcPr>
          <w:p w14:paraId="1E7C52A5" w14:textId="77777777" w:rsidR="00FE6BD7" w:rsidRPr="00EF587A" w:rsidRDefault="00FE6BD7" w:rsidP="00C81021">
            <w:pPr>
              <w:pStyle w:val="TableText"/>
            </w:pPr>
          </w:p>
        </w:tc>
        <w:tc>
          <w:tcPr>
            <w:tcW w:w="469" w:type="pct"/>
            <w:vMerge/>
          </w:tcPr>
          <w:p w14:paraId="227B4EDF" w14:textId="77777777" w:rsidR="00FE6BD7" w:rsidRPr="009A1DE7" w:rsidRDefault="00FE6BD7" w:rsidP="00C81021">
            <w:pPr>
              <w:pStyle w:val="TableText"/>
              <w:numPr>
                <w:ilvl w:val="0"/>
                <w:numId w:val="3"/>
              </w:numPr>
              <w:ind w:left="226" w:hanging="180"/>
            </w:pPr>
          </w:p>
        </w:tc>
        <w:tc>
          <w:tcPr>
            <w:tcW w:w="438" w:type="pct"/>
            <w:vMerge/>
          </w:tcPr>
          <w:p w14:paraId="6F8D8D10" w14:textId="77777777" w:rsidR="00FE6BD7" w:rsidRPr="009A1DE7" w:rsidRDefault="00FE6BD7" w:rsidP="00C81021">
            <w:pPr>
              <w:pStyle w:val="TableText"/>
            </w:pPr>
          </w:p>
        </w:tc>
        <w:tc>
          <w:tcPr>
            <w:tcW w:w="688" w:type="pct"/>
            <w:vMerge/>
          </w:tcPr>
          <w:p w14:paraId="246986AA" w14:textId="77777777" w:rsidR="00FE6BD7" w:rsidRPr="009A1DE7" w:rsidRDefault="00FE6BD7" w:rsidP="00C81021">
            <w:pPr>
              <w:pStyle w:val="TableText"/>
            </w:pPr>
          </w:p>
        </w:tc>
        <w:tc>
          <w:tcPr>
            <w:tcW w:w="937" w:type="pct"/>
            <w:vMerge/>
          </w:tcPr>
          <w:p w14:paraId="7F5FF84D" w14:textId="77777777" w:rsidR="00FE6BD7" w:rsidRPr="009A1DE7" w:rsidRDefault="00FE6BD7" w:rsidP="00C81021">
            <w:pPr>
              <w:pStyle w:val="TableText"/>
            </w:pPr>
          </w:p>
        </w:tc>
        <w:tc>
          <w:tcPr>
            <w:tcW w:w="719" w:type="pct"/>
            <w:vMerge/>
          </w:tcPr>
          <w:p w14:paraId="1FC5AC4B" w14:textId="77777777" w:rsidR="00FE6BD7" w:rsidRPr="009A1DE7" w:rsidRDefault="00FE6BD7" w:rsidP="00C81021">
            <w:pPr>
              <w:pStyle w:val="TableText"/>
            </w:pPr>
          </w:p>
        </w:tc>
        <w:tc>
          <w:tcPr>
            <w:tcW w:w="532" w:type="pct"/>
            <w:vMerge/>
          </w:tcPr>
          <w:p w14:paraId="7D6F78B5"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876B230"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3C9EADC9" w14:textId="77777777" w:rsidR="00FE6BD7" w:rsidRPr="00EE4BD6" w:rsidRDefault="00FE6BD7" w:rsidP="00C81021">
            <w:pPr>
              <w:pStyle w:val="TableText"/>
            </w:pPr>
          </w:p>
        </w:tc>
      </w:tr>
      <w:tr w:rsidR="00FE6BD7" w:rsidRPr="00EF587A" w14:paraId="123F5AB6" w14:textId="77777777" w:rsidTr="001337C7">
        <w:trPr>
          <w:cantSplit/>
          <w:trHeight w:val="550"/>
        </w:trPr>
        <w:tc>
          <w:tcPr>
            <w:tcW w:w="436" w:type="pct"/>
            <w:vMerge/>
          </w:tcPr>
          <w:p w14:paraId="29BDEF8E" w14:textId="77777777" w:rsidR="00FE6BD7" w:rsidRPr="00EF587A" w:rsidRDefault="00FE6BD7" w:rsidP="00C81021">
            <w:pPr>
              <w:pStyle w:val="TableText"/>
            </w:pPr>
          </w:p>
        </w:tc>
        <w:tc>
          <w:tcPr>
            <w:tcW w:w="469" w:type="pct"/>
            <w:vMerge/>
          </w:tcPr>
          <w:p w14:paraId="769BE9B5" w14:textId="77777777" w:rsidR="00FE6BD7" w:rsidRPr="00EF587A" w:rsidRDefault="00FE6BD7" w:rsidP="00C81021">
            <w:pPr>
              <w:pStyle w:val="TableText"/>
            </w:pPr>
          </w:p>
        </w:tc>
        <w:tc>
          <w:tcPr>
            <w:tcW w:w="438" w:type="pct"/>
            <w:vMerge/>
          </w:tcPr>
          <w:p w14:paraId="5661BDC3" w14:textId="77777777" w:rsidR="00FE6BD7" w:rsidRPr="00EF587A" w:rsidRDefault="00FE6BD7" w:rsidP="00C81021">
            <w:pPr>
              <w:pStyle w:val="TableText"/>
            </w:pPr>
          </w:p>
        </w:tc>
        <w:tc>
          <w:tcPr>
            <w:tcW w:w="688" w:type="pct"/>
            <w:vMerge/>
          </w:tcPr>
          <w:p w14:paraId="7EB9C92A" w14:textId="77777777" w:rsidR="00FE6BD7" w:rsidRPr="00EF587A" w:rsidRDefault="00FE6BD7" w:rsidP="00C81021">
            <w:pPr>
              <w:pStyle w:val="TableText"/>
            </w:pPr>
          </w:p>
        </w:tc>
        <w:tc>
          <w:tcPr>
            <w:tcW w:w="937" w:type="pct"/>
            <w:vMerge/>
          </w:tcPr>
          <w:p w14:paraId="38673C9B" w14:textId="77777777" w:rsidR="00FE6BD7" w:rsidRPr="00EF587A" w:rsidRDefault="00FE6BD7" w:rsidP="00C81021">
            <w:pPr>
              <w:pStyle w:val="TableText"/>
            </w:pPr>
          </w:p>
        </w:tc>
        <w:tc>
          <w:tcPr>
            <w:tcW w:w="719" w:type="pct"/>
            <w:vMerge/>
          </w:tcPr>
          <w:p w14:paraId="6B8CD2F5" w14:textId="77777777" w:rsidR="00FE6BD7" w:rsidRPr="00EF587A" w:rsidRDefault="00FE6BD7" w:rsidP="00C81021">
            <w:pPr>
              <w:pStyle w:val="TableText"/>
            </w:pPr>
          </w:p>
        </w:tc>
        <w:tc>
          <w:tcPr>
            <w:tcW w:w="532" w:type="pct"/>
            <w:vMerge/>
          </w:tcPr>
          <w:p w14:paraId="1485FA3E" w14:textId="77777777" w:rsidR="00FE6BD7" w:rsidRPr="00EF587A" w:rsidRDefault="00FE6BD7" w:rsidP="00C81021">
            <w:pPr>
              <w:pStyle w:val="TableText"/>
            </w:pPr>
          </w:p>
        </w:tc>
        <w:tc>
          <w:tcPr>
            <w:tcW w:w="345" w:type="pct"/>
            <w:shd w:val="clear" w:color="auto" w:fill="F2F2F2" w:themeFill="background1" w:themeFillShade="F2"/>
          </w:tcPr>
          <w:p w14:paraId="72DDCC1A"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41EBE866" w14:textId="77777777" w:rsidR="00FE6BD7" w:rsidRPr="00EF587A" w:rsidRDefault="00FE6BD7" w:rsidP="00C81021">
            <w:pPr>
              <w:pStyle w:val="TableText"/>
            </w:pPr>
          </w:p>
        </w:tc>
      </w:tr>
      <w:tr w:rsidR="00FE6BD7" w:rsidRPr="00EE4BD6" w14:paraId="1652A457" w14:textId="77777777" w:rsidTr="001337C7">
        <w:trPr>
          <w:cantSplit/>
        </w:trPr>
        <w:tc>
          <w:tcPr>
            <w:tcW w:w="5000" w:type="pct"/>
            <w:gridSpan w:val="9"/>
            <w:shd w:val="clear" w:color="auto" w:fill="E2EFD9" w:themeFill="accent6" w:themeFillTint="33"/>
          </w:tcPr>
          <w:p w14:paraId="521F5026" w14:textId="77777777" w:rsidR="00FE6BD7" w:rsidRPr="004A5961" w:rsidRDefault="00FE6BD7" w:rsidP="00EF587A">
            <w:pPr>
              <w:pStyle w:val="TableText"/>
              <w:rPr>
                <w:sz w:val="8"/>
                <w:szCs w:val="8"/>
              </w:rPr>
            </w:pPr>
          </w:p>
        </w:tc>
      </w:tr>
      <w:tr w:rsidR="00AC006A" w:rsidRPr="00EE4BD6" w14:paraId="5F812896" w14:textId="77777777" w:rsidTr="001337C7">
        <w:trPr>
          <w:cantSplit/>
          <w:trHeight w:val="654"/>
        </w:trPr>
        <w:tc>
          <w:tcPr>
            <w:tcW w:w="436" w:type="pct"/>
            <w:vMerge w:val="restart"/>
            <w:vAlign w:val="center"/>
          </w:tcPr>
          <w:p w14:paraId="0AEFA339" w14:textId="524EBEFB" w:rsidR="00AC006A" w:rsidRPr="00F77313" w:rsidRDefault="00AC006A" w:rsidP="00AC006A">
            <w:pPr>
              <w:pStyle w:val="TableText"/>
              <w:jc w:val="center"/>
              <w:rPr>
                <w:b/>
                <w:bCs/>
              </w:rPr>
            </w:pPr>
            <w:r w:rsidRPr="00AC006A">
              <w:rPr>
                <w:b/>
                <w:bCs/>
              </w:rPr>
              <w:t xml:space="preserve">Scheduling Assistant </w:t>
            </w:r>
            <w:r>
              <w:rPr>
                <w:b/>
                <w:bCs/>
              </w:rPr>
              <w:br/>
            </w:r>
            <w:r w:rsidRPr="00AC006A">
              <w:rPr>
                <w:b/>
                <w:bCs/>
              </w:rPr>
              <w:t>(v. 8.0.9 and later)</w:t>
            </w:r>
          </w:p>
        </w:tc>
        <w:tc>
          <w:tcPr>
            <w:tcW w:w="469" w:type="pct"/>
            <w:vMerge w:val="restart"/>
          </w:tcPr>
          <w:p w14:paraId="52C97CEF" w14:textId="77777777" w:rsidR="00AC006A" w:rsidRDefault="00AC006A" w:rsidP="00AC006A">
            <w:pPr>
              <w:pStyle w:val="TableText"/>
              <w:keepNext/>
              <w:keepLines/>
              <w:numPr>
                <w:ilvl w:val="0"/>
                <w:numId w:val="3"/>
              </w:numPr>
              <w:ind w:left="226" w:hanging="180"/>
            </w:pPr>
            <w:r w:rsidRPr="00D160F4">
              <w:t>Select Appointment List: Continuing Care, Unscheduled Appointments, ASAP, Unscheduled Treatment</w:t>
            </w:r>
            <w:r>
              <w:t>,</w:t>
            </w:r>
            <w:r w:rsidRPr="00D160F4">
              <w:t xml:space="preserve"> or Unscheduled Treatment</w:t>
            </w:r>
            <w:r>
              <w:t xml:space="preserve"> </w:t>
            </w:r>
            <w:r w:rsidRPr="00D160F4">
              <w:t>Requests</w:t>
            </w:r>
          </w:p>
          <w:p w14:paraId="16CAAE80" w14:textId="77777777" w:rsidR="00AC006A" w:rsidRDefault="00AC006A" w:rsidP="00AC006A">
            <w:pPr>
              <w:pStyle w:val="TableText"/>
              <w:keepNext/>
              <w:keepLines/>
              <w:numPr>
                <w:ilvl w:val="0"/>
                <w:numId w:val="3"/>
              </w:numPr>
              <w:ind w:left="226" w:hanging="180"/>
            </w:pPr>
            <w:r w:rsidRPr="00D160F4">
              <w:t xml:space="preserve">Select list </w:t>
            </w:r>
            <w:proofErr w:type="gramStart"/>
            <w:r w:rsidRPr="00D160F4">
              <w:t>filters</w:t>
            </w:r>
            <w:proofErr w:type="gramEnd"/>
          </w:p>
          <w:p w14:paraId="2655673F" w14:textId="78951786" w:rsidR="00AC006A" w:rsidRPr="009A1DE7" w:rsidRDefault="00AC006A" w:rsidP="00AC006A">
            <w:pPr>
              <w:pStyle w:val="TableText"/>
              <w:numPr>
                <w:ilvl w:val="0"/>
                <w:numId w:val="3"/>
              </w:numPr>
              <w:ind w:left="226" w:hanging="180"/>
            </w:pPr>
            <w:r w:rsidRPr="00D160F4">
              <w:t>Clinic and Provider (as needed)</w:t>
            </w:r>
          </w:p>
        </w:tc>
        <w:tc>
          <w:tcPr>
            <w:tcW w:w="438" w:type="pct"/>
            <w:vMerge w:val="restart"/>
          </w:tcPr>
          <w:p w14:paraId="3566B5CD" w14:textId="0AB46446" w:rsidR="00AC006A" w:rsidRPr="009A1DE7" w:rsidRDefault="00AC006A" w:rsidP="00AC006A">
            <w:pPr>
              <w:pStyle w:val="TableText"/>
            </w:pPr>
            <w:r>
              <w:t>Front Desk Staff</w:t>
            </w:r>
          </w:p>
        </w:tc>
        <w:tc>
          <w:tcPr>
            <w:tcW w:w="688" w:type="pct"/>
            <w:vMerge w:val="restart"/>
          </w:tcPr>
          <w:p w14:paraId="4059521D" w14:textId="457776D2" w:rsidR="00AC006A" w:rsidRPr="009A1DE7" w:rsidRDefault="00AC006A" w:rsidP="00AC006A">
            <w:pPr>
              <w:pStyle w:val="TableText"/>
            </w:pPr>
            <w:r w:rsidRPr="00D160F4">
              <w:t>Compare scheduling lists with appointment opportunities to ensure timely patient care.</w:t>
            </w:r>
          </w:p>
        </w:tc>
        <w:tc>
          <w:tcPr>
            <w:tcW w:w="937" w:type="pct"/>
            <w:vMerge w:val="restart"/>
          </w:tcPr>
          <w:p w14:paraId="13162245" w14:textId="77777777" w:rsidR="00AC006A" w:rsidRDefault="00AC006A" w:rsidP="00AC006A">
            <w:pPr>
              <w:pStyle w:val="TableText"/>
              <w:keepNext/>
              <w:keepLines/>
            </w:pPr>
            <w:r w:rsidRPr="00D160F4">
              <w:t xml:space="preserve">Continuing </w:t>
            </w:r>
            <w:r>
              <w:t>c</w:t>
            </w:r>
            <w:r w:rsidRPr="00D160F4">
              <w:t xml:space="preserve">are </w:t>
            </w:r>
            <w:r>
              <w:t xml:space="preserve">is </w:t>
            </w:r>
            <w:r w:rsidRPr="00D160F4">
              <w:t xml:space="preserve">attached to </w:t>
            </w:r>
            <w:r>
              <w:t xml:space="preserve">a </w:t>
            </w:r>
            <w:r w:rsidRPr="00D160F4">
              <w:t>patient</w:t>
            </w:r>
            <w:r>
              <w:t xml:space="preserve"> record</w:t>
            </w:r>
            <w:r w:rsidRPr="00D160F4">
              <w:t xml:space="preserve">. Proper appointment break/wait/will call workflow. ASAP appointment status assigned to appointment. Treatment </w:t>
            </w:r>
            <w:r>
              <w:t>p</w:t>
            </w:r>
            <w:r w:rsidRPr="00D160F4">
              <w:t xml:space="preserve">lans and </w:t>
            </w:r>
            <w:r>
              <w:t>t</w:t>
            </w:r>
            <w:r w:rsidRPr="00D160F4">
              <w:t xml:space="preserve">reatment </w:t>
            </w:r>
            <w:r>
              <w:t>r</w:t>
            </w:r>
            <w:r w:rsidRPr="00D160F4">
              <w:t>equests attached to patient record.</w:t>
            </w:r>
          </w:p>
          <w:p w14:paraId="532D6B96" w14:textId="77777777" w:rsidR="00AC006A" w:rsidRDefault="00AC006A" w:rsidP="00AC006A">
            <w:pPr>
              <w:pStyle w:val="TableText"/>
              <w:keepNext/>
              <w:keepLines/>
              <w:numPr>
                <w:ilvl w:val="0"/>
                <w:numId w:val="2"/>
              </w:numPr>
              <w:ind w:left="232" w:hanging="180"/>
            </w:pPr>
            <w:r w:rsidRPr="00D160F4">
              <w:rPr>
                <w:u w:val="single"/>
              </w:rPr>
              <w:t>Appointment Book</w:t>
            </w:r>
            <w:r>
              <w:t xml:space="preserve">: </w:t>
            </w:r>
            <w:r w:rsidRPr="00D160F4">
              <w:t>Create appointment and assign ASAP</w:t>
            </w:r>
            <w:r>
              <w:t xml:space="preserve"> status. A</w:t>
            </w:r>
            <w:r w:rsidRPr="00D160F4">
              <w:t xml:space="preserve">ttach </w:t>
            </w:r>
            <w:r>
              <w:t>c</w:t>
            </w:r>
            <w:r w:rsidRPr="00D160F4">
              <w:t xml:space="preserve">ontinuing </w:t>
            </w:r>
            <w:r>
              <w:t>c</w:t>
            </w:r>
            <w:r w:rsidRPr="00D160F4">
              <w:t>are to appointments</w:t>
            </w:r>
            <w:r>
              <w:t>. For cancellations, b</w:t>
            </w:r>
            <w:r w:rsidRPr="00D160F4">
              <w:t xml:space="preserve">reak </w:t>
            </w:r>
            <w:r>
              <w:t xml:space="preserve">the appointments, </w:t>
            </w:r>
            <w:r w:rsidRPr="00D160F4">
              <w:t xml:space="preserve">and </w:t>
            </w:r>
            <w:r>
              <w:t xml:space="preserve">mark them as </w:t>
            </w:r>
            <w:r w:rsidRPr="00D160F4">
              <w:t>Wait/Will Call</w:t>
            </w:r>
            <w:r>
              <w:t>.</w:t>
            </w:r>
          </w:p>
          <w:p w14:paraId="10852E04" w14:textId="77777777" w:rsidR="00AC006A" w:rsidRPr="00D160F4" w:rsidRDefault="00AC006A" w:rsidP="00AC006A">
            <w:pPr>
              <w:pStyle w:val="TableText"/>
              <w:keepNext/>
              <w:keepLines/>
              <w:numPr>
                <w:ilvl w:val="0"/>
                <w:numId w:val="2"/>
              </w:numPr>
              <w:ind w:left="232" w:hanging="180"/>
            </w:pPr>
            <w:r w:rsidRPr="00D160F4">
              <w:rPr>
                <w:u w:val="single"/>
              </w:rPr>
              <w:t>Family File</w:t>
            </w:r>
            <w:r>
              <w:t xml:space="preserve">: </w:t>
            </w:r>
            <w:r w:rsidRPr="00D160F4">
              <w:t>Assign app</w:t>
            </w:r>
            <w:r>
              <w:t>licable</w:t>
            </w:r>
            <w:r w:rsidRPr="00D160F4">
              <w:t xml:space="preserve"> </w:t>
            </w:r>
            <w:r>
              <w:t>c</w:t>
            </w:r>
            <w:r w:rsidRPr="00D160F4">
              <w:t xml:space="preserve">ontinuing </w:t>
            </w:r>
            <w:r>
              <w:t>c</w:t>
            </w:r>
            <w:r w:rsidRPr="00D160F4">
              <w:t>are types and intervals</w:t>
            </w:r>
            <w:r>
              <w:t>.</w:t>
            </w:r>
          </w:p>
          <w:p w14:paraId="6042FEBB" w14:textId="77777777" w:rsidR="00AC006A" w:rsidRPr="009A1DE7" w:rsidRDefault="00AC006A" w:rsidP="00AC006A">
            <w:pPr>
              <w:pStyle w:val="TableText"/>
              <w:keepNext/>
              <w:keepLines/>
              <w:numPr>
                <w:ilvl w:val="0"/>
                <w:numId w:val="2"/>
              </w:numPr>
              <w:ind w:left="232" w:hanging="180"/>
            </w:pPr>
            <w:r w:rsidRPr="009A1DE7">
              <w:rPr>
                <w:u w:val="single"/>
              </w:rPr>
              <w:t>Chart</w:t>
            </w:r>
            <w:r w:rsidRPr="009A1DE7">
              <w:t xml:space="preserve">: </w:t>
            </w:r>
            <w:r w:rsidRPr="00D160F4">
              <w:t>Enter treatment plan</w:t>
            </w:r>
            <w:r>
              <w:t>.</w:t>
            </w:r>
          </w:p>
          <w:p w14:paraId="3DAFF7CE" w14:textId="05333D61" w:rsidR="00AC006A" w:rsidRPr="009A1DE7" w:rsidRDefault="00AC006A" w:rsidP="00AC006A">
            <w:pPr>
              <w:pStyle w:val="TableText"/>
              <w:numPr>
                <w:ilvl w:val="0"/>
                <w:numId w:val="2"/>
              </w:numPr>
              <w:ind w:left="232" w:hanging="180"/>
            </w:pPr>
            <w:r>
              <w:rPr>
                <w:u w:val="single"/>
              </w:rPr>
              <w:t>More Information</w:t>
            </w:r>
            <w:r w:rsidRPr="009A1DE7">
              <w:t xml:space="preserve">: </w:t>
            </w:r>
            <w:r w:rsidRPr="00D160F4">
              <w:t>Enter treatment request</w:t>
            </w:r>
            <w:r>
              <w:t>.</w:t>
            </w:r>
          </w:p>
        </w:tc>
        <w:tc>
          <w:tcPr>
            <w:tcW w:w="719" w:type="pct"/>
            <w:vMerge w:val="restart"/>
          </w:tcPr>
          <w:p w14:paraId="22C26870" w14:textId="5EC85856" w:rsidR="00AC006A" w:rsidRPr="00EF587A" w:rsidRDefault="00AC006A" w:rsidP="00AC006A">
            <w:pPr>
              <w:pStyle w:val="TableText"/>
            </w:pPr>
            <w:r w:rsidRPr="00D160F4">
              <w:t xml:space="preserve">Patient care opportunities are not optimized if those in need of appointments before provider availability occurs are not monitored. </w:t>
            </w:r>
            <w:r>
              <w:t>Open times</w:t>
            </w:r>
            <w:r w:rsidRPr="00D160F4">
              <w:t xml:space="preserve"> in the clinic's schedule</w:t>
            </w:r>
            <w:r>
              <w:t xml:space="preserve"> due to c</w:t>
            </w:r>
            <w:r w:rsidRPr="00D160F4">
              <w:t>ancellations will not be as easily filled if the scheduling lists are not used.</w:t>
            </w:r>
          </w:p>
        </w:tc>
        <w:tc>
          <w:tcPr>
            <w:tcW w:w="532" w:type="pct"/>
            <w:vMerge w:val="restart"/>
          </w:tcPr>
          <w:p w14:paraId="6056E0BF" w14:textId="77777777" w:rsidR="00AC006A" w:rsidRDefault="00AC006A" w:rsidP="00AC006A">
            <w:pPr>
              <w:pStyle w:val="TableText"/>
              <w:numPr>
                <w:ilvl w:val="0"/>
                <w:numId w:val="1"/>
              </w:numPr>
              <w:spacing w:after="0"/>
              <w:ind w:left="187" w:hanging="187"/>
            </w:pPr>
            <w:r>
              <w:t>Schedule Optimization</w:t>
            </w:r>
          </w:p>
          <w:p w14:paraId="7FF8E6B6" w14:textId="77777777" w:rsidR="00AC006A" w:rsidRPr="009A1DE7" w:rsidRDefault="00AC006A" w:rsidP="00AC006A">
            <w:pPr>
              <w:pStyle w:val="TableText"/>
              <w:numPr>
                <w:ilvl w:val="0"/>
                <w:numId w:val="1"/>
              </w:numPr>
              <w:spacing w:after="0"/>
              <w:ind w:left="187" w:hanging="187"/>
            </w:pPr>
            <w:r w:rsidRPr="009A1DE7">
              <w:t>Patient Records</w:t>
            </w:r>
          </w:p>
          <w:p w14:paraId="172D58EC" w14:textId="0AB7C078" w:rsidR="00AC006A" w:rsidRPr="00EF587A" w:rsidRDefault="00AC006A" w:rsidP="00AC006A">
            <w:pPr>
              <w:pStyle w:val="TableText"/>
              <w:numPr>
                <w:ilvl w:val="0"/>
                <w:numId w:val="1"/>
              </w:numPr>
              <w:spacing w:after="0"/>
              <w:ind w:left="187" w:hanging="187"/>
            </w:pPr>
            <w:r>
              <w:t>Clinical Records</w:t>
            </w:r>
          </w:p>
        </w:tc>
        <w:tc>
          <w:tcPr>
            <w:tcW w:w="345" w:type="pct"/>
            <w:shd w:val="clear" w:color="auto" w:fill="F2F2F2" w:themeFill="background1" w:themeFillShade="F2"/>
          </w:tcPr>
          <w:p w14:paraId="41B90D1B" w14:textId="77777777" w:rsidR="00AC006A" w:rsidRPr="00EE4BD6" w:rsidRDefault="00AC006A" w:rsidP="00AC006A">
            <w:pPr>
              <w:pStyle w:val="TableText"/>
            </w:pPr>
            <w:r w:rsidRPr="001F26DF">
              <w:t>Date Reviewed</w:t>
            </w:r>
            <w:r>
              <w:t>:</w:t>
            </w:r>
          </w:p>
        </w:tc>
        <w:tc>
          <w:tcPr>
            <w:tcW w:w="436" w:type="pct"/>
            <w:shd w:val="clear" w:color="auto" w:fill="F2F2F2" w:themeFill="background1" w:themeFillShade="F2"/>
          </w:tcPr>
          <w:p w14:paraId="7338A790" w14:textId="77777777" w:rsidR="00AC006A" w:rsidRPr="00EE4BD6" w:rsidRDefault="00AC006A" w:rsidP="00AC006A">
            <w:pPr>
              <w:pStyle w:val="TableText"/>
            </w:pPr>
          </w:p>
        </w:tc>
      </w:tr>
      <w:tr w:rsidR="00FE6BD7" w:rsidRPr="00EE4BD6" w14:paraId="12CC0C94" w14:textId="77777777" w:rsidTr="001337C7">
        <w:trPr>
          <w:cantSplit/>
          <w:trHeight w:val="654"/>
        </w:trPr>
        <w:tc>
          <w:tcPr>
            <w:tcW w:w="436" w:type="pct"/>
            <w:vMerge/>
          </w:tcPr>
          <w:p w14:paraId="78FEE445" w14:textId="77777777" w:rsidR="00FE6BD7" w:rsidRPr="00EF587A" w:rsidRDefault="00FE6BD7" w:rsidP="00C81021">
            <w:pPr>
              <w:pStyle w:val="TableText"/>
            </w:pPr>
          </w:p>
        </w:tc>
        <w:tc>
          <w:tcPr>
            <w:tcW w:w="469" w:type="pct"/>
            <w:vMerge/>
          </w:tcPr>
          <w:p w14:paraId="65882CD7" w14:textId="77777777" w:rsidR="00FE6BD7" w:rsidRPr="009A1DE7" w:rsidRDefault="00FE6BD7" w:rsidP="00C81021">
            <w:pPr>
              <w:pStyle w:val="TableText"/>
              <w:numPr>
                <w:ilvl w:val="0"/>
                <w:numId w:val="3"/>
              </w:numPr>
              <w:ind w:left="226" w:hanging="180"/>
            </w:pPr>
          </w:p>
        </w:tc>
        <w:tc>
          <w:tcPr>
            <w:tcW w:w="438" w:type="pct"/>
            <w:vMerge/>
          </w:tcPr>
          <w:p w14:paraId="342D2506" w14:textId="77777777" w:rsidR="00FE6BD7" w:rsidRPr="009A1DE7" w:rsidRDefault="00FE6BD7" w:rsidP="00C81021">
            <w:pPr>
              <w:pStyle w:val="TableText"/>
            </w:pPr>
          </w:p>
        </w:tc>
        <w:tc>
          <w:tcPr>
            <w:tcW w:w="688" w:type="pct"/>
            <w:vMerge/>
          </w:tcPr>
          <w:p w14:paraId="42F226C1" w14:textId="77777777" w:rsidR="00FE6BD7" w:rsidRPr="009A1DE7" w:rsidRDefault="00FE6BD7" w:rsidP="00C81021">
            <w:pPr>
              <w:pStyle w:val="TableText"/>
            </w:pPr>
          </w:p>
        </w:tc>
        <w:tc>
          <w:tcPr>
            <w:tcW w:w="937" w:type="pct"/>
            <w:vMerge/>
          </w:tcPr>
          <w:p w14:paraId="5EC59034" w14:textId="77777777" w:rsidR="00FE6BD7" w:rsidRPr="009A1DE7" w:rsidRDefault="00FE6BD7" w:rsidP="00C81021">
            <w:pPr>
              <w:pStyle w:val="TableText"/>
            </w:pPr>
          </w:p>
        </w:tc>
        <w:tc>
          <w:tcPr>
            <w:tcW w:w="719" w:type="pct"/>
            <w:vMerge/>
          </w:tcPr>
          <w:p w14:paraId="5C3A0FC7" w14:textId="77777777" w:rsidR="00FE6BD7" w:rsidRPr="009A1DE7" w:rsidRDefault="00FE6BD7" w:rsidP="00C81021">
            <w:pPr>
              <w:pStyle w:val="TableText"/>
            </w:pPr>
          </w:p>
        </w:tc>
        <w:tc>
          <w:tcPr>
            <w:tcW w:w="532" w:type="pct"/>
            <w:vMerge/>
          </w:tcPr>
          <w:p w14:paraId="3A7C2CEB"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8D4153A"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0B3F3474" w14:textId="77777777" w:rsidR="00FE6BD7" w:rsidRPr="00EE4BD6" w:rsidRDefault="00FE6BD7" w:rsidP="00C81021">
            <w:pPr>
              <w:pStyle w:val="TableText"/>
            </w:pPr>
          </w:p>
        </w:tc>
      </w:tr>
      <w:tr w:rsidR="00FE6BD7" w:rsidRPr="00EE4BD6" w14:paraId="5947A041" w14:textId="77777777" w:rsidTr="001337C7">
        <w:trPr>
          <w:cantSplit/>
          <w:trHeight w:val="654"/>
        </w:trPr>
        <w:tc>
          <w:tcPr>
            <w:tcW w:w="436" w:type="pct"/>
            <w:vMerge/>
          </w:tcPr>
          <w:p w14:paraId="390B335A" w14:textId="77777777" w:rsidR="00FE6BD7" w:rsidRPr="00EF587A" w:rsidRDefault="00FE6BD7" w:rsidP="00C81021">
            <w:pPr>
              <w:pStyle w:val="TableText"/>
            </w:pPr>
          </w:p>
        </w:tc>
        <w:tc>
          <w:tcPr>
            <w:tcW w:w="469" w:type="pct"/>
            <w:vMerge/>
          </w:tcPr>
          <w:p w14:paraId="7DBDD643" w14:textId="77777777" w:rsidR="00FE6BD7" w:rsidRPr="009A1DE7" w:rsidRDefault="00FE6BD7" w:rsidP="00C81021">
            <w:pPr>
              <w:pStyle w:val="TableText"/>
              <w:numPr>
                <w:ilvl w:val="0"/>
                <w:numId w:val="3"/>
              </w:numPr>
              <w:ind w:left="226" w:hanging="180"/>
            </w:pPr>
          </w:p>
        </w:tc>
        <w:tc>
          <w:tcPr>
            <w:tcW w:w="438" w:type="pct"/>
            <w:vMerge/>
          </w:tcPr>
          <w:p w14:paraId="76D1CEFC" w14:textId="77777777" w:rsidR="00FE6BD7" w:rsidRPr="009A1DE7" w:rsidRDefault="00FE6BD7" w:rsidP="00C81021">
            <w:pPr>
              <w:pStyle w:val="TableText"/>
            </w:pPr>
          </w:p>
        </w:tc>
        <w:tc>
          <w:tcPr>
            <w:tcW w:w="688" w:type="pct"/>
            <w:vMerge/>
          </w:tcPr>
          <w:p w14:paraId="69FE831E" w14:textId="77777777" w:rsidR="00FE6BD7" w:rsidRPr="009A1DE7" w:rsidRDefault="00FE6BD7" w:rsidP="00C81021">
            <w:pPr>
              <w:pStyle w:val="TableText"/>
            </w:pPr>
          </w:p>
        </w:tc>
        <w:tc>
          <w:tcPr>
            <w:tcW w:w="937" w:type="pct"/>
            <w:vMerge/>
          </w:tcPr>
          <w:p w14:paraId="63F9138D" w14:textId="77777777" w:rsidR="00FE6BD7" w:rsidRPr="009A1DE7" w:rsidRDefault="00FE6BD7" w:rsidP="00C81021">
            <w:pPr>
              <w:pStyle w:val="TableText"/>
            </w:pPr>
          </w:p>
        </w:tc>
        <w:tc>
          <w:tcPr>
            <w:tcW w:w="719" w:type="pct"/>
            <w:vMerge/>
          </w:tcPr>
          <w:p w14:paraId="656FF983" w14:textId="77777777" w:rsidR="00FE6BD7" w:rsidRPr="009A1DE7" w:rsidRDefault="00FE6BD7" w:rsidP="00C81021">
            <w:pPr>
              <w:pStyle w:val="TableText"/>
            </w:pPr>
          </w:p>
        </w:tc>
        <w:tc>
          <w:tcPr>
            <w:tcW w:w="532" w:type="pct"/>
            <w:vMerge/>
          </w:tcPr>
          <w:p w14:paraId="13C40902"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29A5336"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55773561" w14:textId="77777777" w:rsidR="00FE6BD7" w:rsidRPr="00EE4BD6" w:rsidRDefault="00FE6BD7" w:rsidP="00C81021">
            <w:pPr>
              <w:pStyle w:val="TableText"/>
            </w:pPr>
          </w:p>
        </w:tc>
      </w:tr>
      <w:tr w:rsidR="00FE6BD7" w:rsidRPr="00EE4BD6" w14:paraId="6B0AAF18" w14:textId="77777777" w:rsidTr="001337C7">
        <w:trPr>
          <w:cantSplit/>
          <w:trHeight w:val="654"/>
        </w:trPr>
        <w:tc>
          <w:tcPr>
            <w:tcW w:w="436" w:type="pct"/>
            <w:vMerge/>
          </w:tcPr>
          <w:p w14:paraId="2BDBCB89" w14:textId="77777777" w:rsidR="00FE6BD7" w:rsidRPr="00EF587A" w:rsidRDefault="00FE6BD7" w:rsidP="00C81021">
            <w:pPr>
              <w:pStyle w:val="TableText"/>
            </w:pPr>
          </w:p>
        </w:tc>
        <w:tc>
          <w:tcPr>
            <w:tcW w:w="469" w:type="pct"/>
            <w:vMerge/>
          </w:tcPr>
          <w:p w14:paraId="2A1C0C28" w14:textId="77777777" w:rsidR="00FE6BD7" w:rsidRPr="009A1DE7" w:rsidRDefault="00FE6BD7" w:rsidP="00C81021">
            <w:pPr>
              <w:pStyle w:val="TableText"/>
              <w:numPr>
                <w:ilvl w:val="0"/>
                <w:numId w:val="3"/>
              </w:numPr>
              <w:ind w:left="226" w:hanging="180"/>
            </w:pPr>
          </w:p>
        </w:tc>
        <w:tc>
          <w:tcPr>
            <w:tcW w:w="438" w:type="pct"/>
            <w:vMerge/>
          </w:tcPr>
          <w:p w14:paraId="110B15A7" w14:textId="77777777" w:rsidR="00FE6BD7" w:rsidRPr="009A1DE7" w:rsidRDefault="00FE6BD7" w:rsidP="00C81021">
            <w:pPr>
              <w:pStyle w:val="TableText"/>
            </w:pPr>
          </w:p>
        </w:tc>
        <w:tc>
          <w:tcPr>
            <w:tcW w:w="688" w:type="pct"/>
            <w:vMerge/>
          </w:tcPr>
          <w:p w14:paraId="714A6734" w14:textId="77777777" w:rsidR="00FE6BD7" w:rsidRPr="009A1DE7" w:rsidRDefault="00FE6BD7" w:rsidP="00C81021">
            <w:pPr>
              <w:pStyle w:val="TableText"/>
            </w:pPr>
          </w:p>
        </w:tc>
        <w:tc>
          <w:tcPr>
            <w:tcW w:w="937" w:type="pct"/>
            <w:vMerge/>
          </w:tcPr>
          <w:p w14:paraId="4E66374B" w14:textId="77777777" w:rsidR="00FE6BD7" w:rsidRPr="009A1DE7" w:rsidRDefault="00FE6BD7" w:rsidP="00C81021">
            <w:pPr>
              <w:pStyle w:val="TableText"/>
            </w:pPr>
          </w:p>
        </w:tc>
        <w:tc>
          <w:tcPr>
            <w:tcW w:w="719" w:type="pct"/>
            <w:vMerge/>
          </w:tcPr>
          <w:p w14:paraId="42640665" w14:textId="77777777" w:rsidR="00FE6BD7" w:rsidRPr="009A1DE7" w:rsidRDefault="00FE6BD7" w:rsidP="00C81021">
            <w:pPr>
              <w:pStyle w:val="TableText"/>
            </w:pPr>
          </w:p>
        </w:tc>
        <w:tc>
          <w:tcPr>
            <w:tcW w:w="532" w:type="pct"/>
            <w:vMerge/>
          </w:tcPr>
          <w:p w14:paraId="12563BD8"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11427735"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3DE3E666" w14:textId="77777777" w:rsidR="00FE6BD7" w:rsidRPr="00EE4BD6" w:rsidRDefault="00FE6BD7" w:rsidP="00C81021">
            <w:pPr>
              <w:pStyle w:val="TableText"/>
            </w:pPr>
          </w:p>
        </w:tc>
      </w:tr>
      <w:tr w:rsidR="00FE6BD7" w:rsidRPr="00EF587A" w14:paraId="673446A7" w14:textId="77777777" w:rsidTr="001337C7">
        <w:trPr>
          <w:cantSplit/>
          <w:trHeight w:val="655"/>
        </w:trPr>
        <w:tc>
          <w:tcPr>
            <w:tcW w:w="436" w:type="pct"/>
            <w:vMerge/>
          </w:tcPr>
          <w:p w14:paraId="13EC15F8" w14:textId="77777777" w:rsidR="00FE6BD7" w:rsidRPr="00EF587A" w:rsidRDefault="00FE6BD7" w:rsidP="00C81021">
            <w:pPr>
              <w:pStyle w:val="TableText"/>
            </w:pPr>
          </w:p>
        </w:tc>
        <w:tc>
          <w:tcPr>
            <w:tcW w:w="469" w:type="pct"/>
            <w:vMerge/>
          </w:tcPr>
          <w:p w14:paraId="63139472" w14:textId="77777777" w:rsidR="00FE6BD7" w:rsidRPr="00EF587A" w:rsidRDefault="00FE6BD7" w:rsidP="00C81021">
            <w:pPr>
              <w:pStyle w:val="TableText"/>
            </w:pPr>
          </w:p>
        </w:tc>
        <w:tc>
          <w:tcPr>
            <w:tcW w:w="438" w:type="pct"/>
            <w:vMerge/>
          </w:tcPr>
          <w:p w14:paraId="0132D2F4" w14:textId="77777777" w:rsidR="00FE6BD7" w:rsidRPr="00EF587A" w:rsidRDefault="00FE6BD7" w:rsidP="00C81021">
            <w:pPr>
              <w:pStyle w:val="TableText"/>
            </w:pPr>
          </w:p>
        </w:tc>
        <w:tc>
          <w:tcPr>
            <w:tcW w:w="688" w:type="pct"/>
            <w:vMerge/>
          </w:tcPr>
          <w:p w14:paraId="15D37F95" w14:textId="77777777" w:rsidR="00FE6BD7" w:rsidRPr="00EF587A" w:rsidRDefault="00FE6BD7" w:rsidP="00C81021">
            <w:pPr>
              <w:pStyle w:val="TableText"/>
            </w:pPr>
          </w:p>
        </w:tc>
        <w:tc>
          <w:tcPr>
            <w:tcW w:w="937" w:type="pct"/>
            <w:vMerge/>
          </w:tcPr>
          <w:p w14:paraId="6DD23FA8" w14:textId="77777777" w:rsidR="00FE6BD7" w:rsidRPr="00EF587A" w:rsidRDefault="00FE6BD7" w:rsidP="00C81021">
            <w:pPr>
              <w:pStyle w:val="TableText"/>
            </w:pPr>
          </w:p>
        </w:tc>
        <w:tc>
          <w:tcPr>
            <w:tcW w:w="719" w:type="pct"/>
            <w:vMerge/>
          </w:tcPr>
          <w:p w14:paraId="35E11524" w14:textId="77777777" w:rsidR="00FE6BD7" w:rsidRPr="00EF587A" w:rsidRDefault="00FE6BD7" w:rsidP="00C81021">
            <w:pPr>
              <w:pStyle w:val="TableText"/>
            </w:pPr>
          </w:p>
        </w:tc>
        <w:tc>
          <w:tcPr>
            <w:tcW w:w="532" w:type="pct"/>
            <w:vMerge/>
          </w:tcPr>
          <w:p w14:paraId="16F4E71D" w14:textId="77777777" w:rsidR="00FE6BD7" w:rsidRPr="00EF587A" w:rsidRDefault="00FE6BD7" w:rsidP="00C81021">
            <w:pPr>
              <w:pStyle w:val="TableText"/>
            </w:pPr>
          </w:p>
        </w:tc>
        <w:tc>
          <w:tcPr>
            <w:tcW w:w="345" w:type="pct"/>
            <w:shd w:val="clear" w:color="auto" w:fill="F2F2F2" w:themeFill="background1" w:themeFillShade="F2"/>
          </w:tcPr>
          <w:p w14:paraId="4C52FFA1"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272590E4" w14:textId="77777777" w:rsidR="00FE6BD7" w:rsidRPr="00EF587A" w:rsidRDefault="00FE6BD7" w:rsidP="00C81021">
            <w:pPr>
              <w:pStyle w:val="TableText"/>
            </w:pPr>
          </w:p>
        </w:tc>
      </w:tr>
      <w:tr w:rsidR="00FE6BD7" w:rsidRPr="00EE4BD6" w14:paraId="35CA4525" w14:textId="77777777" w:rsidTr="001337C7">
        <w:trPr>
          <w:cantSplit/>
        </w:trPr>
        <w:tc>
          <w:tcPr>
            <w:tcW w:w="5000" w:type="pct"/>
            <w:gridSpan w:val="9"/>
            <w:shd w:val="clear" w:color="auto" w:fill="E2EFD9" w:themeFill="accent6" w:themeFillTint="33"/>
          </w:tcPr>
          <w:p w14:paraId="463336CE" w14:textId="77777777" w:rsidR="00FE6BD7" w:rsidRPr="004A5961" w:rsidRDefault="00FE6BD7" w:rsidP="00EF587A">
            <w:pPr>
              <w:pStyle w:val="TableText"/>
              <w:rPr>
                <w:sz w:val="8"/>
                <w:szCs w:val="8"/>
              </w:rPr>
            </w:pPr>
          </w:p>
        </w:tc>
      </w:tr>
      <w:tr w:rsidR="00AC006A" w:rsidRPr="00EE4BD6" w14:paraId="48FF6E6F" w14:textId="77777777" w:rsidTr="001337C7">
        <w:trPr>
          <w:cantSplit/>
          <w:trHeight w:val="428"/>
        </w:trPr>
        <w:tc>
          <w:tcPr>
            <w:tcW w:w="436" w:type="pct"/>
            <w:vMerge w:val="restart"/>
            <w:vAlign w:val="center"/>
          </w:tcPr>
          <w:p w14:paraId="6E9E4418" w14:textId="2D98BE24" w:rsidR="00AC006A" w:rsidRPr="00F77313" w:rsidRDefault="00AC006A" w:rsidP="00304C5D">
            <w:pPr>
              <w:pStyle w:val="TableText"/>
              <w:pageBreakBefore/>
              <w:jc w:val="center"/>
              <w:rPr>
                <w:b/>
                <w:bCs/>
              </w:rPr>
            </w:pPr>
            <w:r w:rsidRPr="00AC006A">
              <w:rPr>
                <w:b/>
                <w:bCs/>
              </w:rPr>
              <w:lastRenderedPageBreak/>
              <w:t>Signature Manager</w:t>
            </w:r>
          </w:p>
        </w:tc>
        <w:tc>
          <w:tcPr>
            <w:tcW w:w="469" w:type="pct"/>
            <w:vMerge w:val="restart"/>
          </w:tcPr>
          <w:p w14:paraId="0979B57C" w14:textId="77777777" w:rsidR="00AC006A" w:rsidRDefault="00AC006A" w:rsidP="00AC006A">
            <w:pPr>
              <w:pStyle w:val="TableText"/>
              <w:keepNext/>
              <w:keepLines/>
              <w:numPr>
                <w:ilvl w:val="0"/>
                <w:numId w:val="3"/>
              </w:numPr>
              <w:ind w:left="226" w:hanging="180"/>
            </w:pPr>
            <w:r w:rsidRPr="00D160F4">
              <w:t xml:space="preserve">Date Range: </w:t>
            </w:r>
            <w:r>
              <w:t>T</w:t>
            </w:r>
            <w:r w:rsidRPr="00D160F4">
              <w:t>oday's date</w:t>
            </w:r>
          </w:p>
          <w:p w14:paraId="1D340EEB" w14:textId="77777777" w:rsidR="00AC006A" w:rsidRDefault="00AC006A" w:rsidP="00AC006A">
            <w:pPr>
              <w:pStyle w:val="TableText"/>
              <w:keepNext/>
              <w:keepLines/>
              <w:numPr>
                <w:ilvl w:val="0"/>
                <w:numId w:val="3"/>
              </w:numPr>
              <w:ind w:left="226" w:hanging="180"/>
            </w:pPr>
            <w:r w:rsidRPr="00D160F4">
              <w:t>Select Clinic and Provider</w:t>
            </w:r>
          </w:p>
          <w:p w14:paraId="48A743C8" w14:textId="712D220A" w:rsidR="00AC006A" w:rsidRPr="009A1DE7" w:rsidRDefault="00AC006A" w:rsidP="00AC006A">
            <w:pPr>
              <w:pStyle w:val="TableText"/>
              <w:numPr>
                <w:ilvl w:val="0"/>
                <w:numId w:val="3"/>
              </w:numPr>
              <w:ind w:left="226" w:hanging="180"/>
            </w:pPr>
            <w:r w:rsidRPr="00D160F4">
              <w:t>Status: Unsigned</w:t>
            </w:r>
          </w:p>
        </w:tc>
        <w:tc>
          <w:tcPr>
            <w:tcW w:w="438" w:type="pct"/>
            <w:vMerge w:val="restart"/>
          </w:tcPr>
          <w:p w14:paraId="53E01B42" w14:textId="6B7FBD36" w:rsidR="00AC006A" w:rsidRPr="009A1DE7" w:rsidRDefault="00AC006A" w:rsidP="00AC006A">
            <w:pPr>
              <w:pStyle w:val="TableText"/>
            </w:pPr>
            <w:r>
              <w:t>Dental Chief and Individual Provider</w:t>
            </w:r>
          </w:p>
        </w:tc>
        <w:tc>
          <w:tcPr>
            <w:tcW w:w="688" w:type="pct"/>
            <w:vMerge w:val="restart"/>
          </w:tcPr>
          <w:p w14:paraId="57829761" w14:textId="1E8AA9E5" w:rsidR="00AC006A" w:rsidRPr="009A1DE7" w:rsidRDefault="00AC006A" w:rsidP="00AC006A">
            <w:pPr>
              <w:pStyle w:val="TableText"/>
            </w:pPr>
            <w:r w:rsidRPr="00837A86">
              <w:t xml:space="preserve">Review and approve (sign) all open </w:t>
            </w:r>
            <w:r>
              <w:t>c</w:t>
            </w:r>
            <w:r w:rsidRPr="00837A86">
              <w:t xml:space="preserve">linical </w:t>
            </w:r>
            <w:r>
              <w:t>n</w:t>
            </w:r>
            <w:r w:rsidRPr="00837A86">
              <w:t>otes</w:t>
            </w:r>
            <w:r w:rsidRPr="00D160F4">
              <w:t>.</w:t>
            </w:r>
          </w:p>
        </w:tc>
        <w:tc>
          <w:tcPr>
            <w:tcW w:w="937" w:type="pct"/>
            <w:vMerge w:val="restart"/>
          </w:tcPr>
          <w:p w14:paraId="48A4719C" w14:textId="77777777" w:rsidR="00AC006A" w:rsidRDefault="00AC006A" w:rsidP="00AC006A">
            <w:pPr>
              <w:pStyle w:val="TableText"/>
              <w:keepNext/>
              <w:keepLines/>
            </w:pPr>
            <w:r w:rsidRPr="00837A86">
              <w:t xml:space="preserve">Clinical </w:t>
            </w:r>
            <w:r>
              <w:t>n</w:t>
            </w:r>
            <w:r w:rsidRPr="00837A86">
              <w:t>otes and electronic signatures (approvals) are being used in the EDR</w:t>
            </w:r>
            <w:r w:rsidRPr="00D160F4">
              <w:t>.</w:t>
            </w:r>
          </w:p>
          <w:p w14:paraId="47F64D5D" w14:textId="67A74915" w:rsidR="00AC006A" w:rsidRPr="009A1DE7" w:rsidRDefault="00AC006A" w:rsidP="00AC006A">
            <w:pPr>
              <w:pStyle w:val="TableText"/>
              <w:numPr>
                <w:ilvl w:val="0"/>
                <w:numId w:val="2"/>
              </w:numPr>
              <w:ind w:left="232" w:hanging="180"/>
            </w:pPr>
            <w:r>
              <w:rPr>
                <w:u w:val="single"/>
              </w:rPr>
              <w:t>Clinical Notes</w:t>
            </w:r>
            <w:r>
              <w:t xml:space="preserve">: </w:t>
            </w:r>
            <w:r w:rsidRPr="00837A86">
              <w:t>Review note for completion</w:t>
            </w:r>
            <w:r>
              <w:t xml:space="preserve">. </w:t>
            </w:r>
            <w:r w:rsidRPr="00837A86">
              <w:t>Add</w:t>
            </w:r>
            <w:r>
              <w:t xml:space="preserve"> or </w:t>
            </w:r>
            <w:r w:rsidRPr="00837A86">
              <w:t xml:space="preserve">modify </w:t>
            </w:r>
            <w:r>
              <w:t>c</w:t>
            </w:r>
            <w:r w:rsidRPr="00837A86">
              <w:t xml:space="preserve">linical </w:t>
            </w:r>
            <w:proofErr w:type="gramStart"/>
            <w:r>
              <w:t>n</w:t>
            </w:r>
            <w:r w:rsidRPr="00837A86">
              <w:t>ote</w:t>
            </w:r>
            <w:proofErr w:type="gramEnd"/>
            <w:r w:rsidRPr="00837A86">
              <w:t xml:space="preserve"> as needed</w:t>
            </w:r>
            <w:r>
              <w:t xml:space="preserve">. </w:t>
            </w:r>
            <w:r w:rsidRPr="00837A86">
              <w:t xml:space="preserve">Sign </w:t>
            </w:r>
            <w:r>
              <w:t>c</w:t>
            </w:r>
            <w:r w:rsidRPr="00837A86">
              <w:t xml:space="preserve">linical </w:t>
            </w:r>
            <w:r>
              <w:t>n</w:t>
            </w:r>
            <w:r w:rsidRPr="00837A86">
              <w:t>ote</w:t>
            </w:r>
            <w:r>
              <w:t>.</w:t>
            </w:r>
          </w:p>
        </w:tc>
        <w:tc>
          <w:tcPr>
            <w:tcW w:w="719" w:type="pct"/>
            <w:vMerge w:val="restart"/>
          </w:tcPr>
          <w:p w14:paraId="4F02BC8E" w14:textId="668B8D6A" w:rsidR="00AC006A" w:rsidRPr="00EF587A" w:rsidRDefault="00AC006A" w:rsidP="00AC006A">
            <w:pPr>
              <w:pStyle w:val="TableText"/>
            </w:pPr>
            <w:r w:rsidRPr="00837A86">
              <w:t xml:space="preserve">Not using this fail-safe report leaves unsigned </w:t>
            </w:r>
            <w:r>
              <w:t>c</w:t>
            </w:r>
            <w:r w:rsidRPr="00837A86">
              <w:t xml:space="preserve">linical </w:t>
            </w:r>
            <w:r>
              <w:t>n</w:t>
            </w:r>
            <w:r w:rsidRPr="00837A86">
              <w:t xml:space="preserve">otes open for editing. Identifying those unsigned </w:t>
            </w:r>
            <w:r>
              <w:t>c</w:t>
            </w:r>
            <w:r w:rsidRPr="00837A86">
              <w:t xml:space="preserve">linical </w:t>
            </w:r>
            <w:r>
              <w:t>n</w:t>
            </w:r>
            <w:r w:rsidRPr="00837A86">
              <w:t xml:space="preserve">otes </w:t>
            </w:r>
            <w:r>
              <w:t>with</w:t>
            </w:r>
            <w:r w:rsidRPr="00837A86">
              <w:t xml:space="preserve"> this report </w:t>
            </w:r>
            <w:r>
              <w:t xml:space="preserve">is </w:t>
            </w:r>
            <w:r w:rsidRPr="00837A86">
              <w:t xml:space="preserve">a quick and easy way for Providers to find </w:t>
            </w:r>
            <w:r>
              <w:t>any</w:t>
            </w:r>
            <w:r w:rsidRPr="00837A86">
              <w:t xml:space="preserve"> </w:t>
            </w:r>
            <w:r>
              <w:t>c</w:t>
            </w:r>
            <w:r w:rsidRPr="00837A86">
              <w:t xml:space="preserve">linical </w:t>
            </w:r>
            <w:r>
              <w:t>n</w:t>
            </w:r>
            <w:r w:rsidRPr="00837A86">
              <w:t>otes that need attention and completion.</w:t>
            </w:r>
          </w:p>
        </w:tc>
        <w:tc>
          <w:tcPr>
            <w:tcW w:w="532" w:type="pct"/>
            <w:vMerge w:val="restart"/>
          </w:tcPr>
          <w:p w14:paraId="37087046" w14:textId="59063748" w:rsidR="00AC006A" w:rsidRPr="00EF587A" w:rsidRDefault="00AC006A" w:rsidP="00AC006A">
            <w:pPr>
              <w:pStyle w:val="TableText"/>
              <w:numPr>
                <w:ilvl w:val="0"/>
                <w:numId w:val="1"/>
              </w:numPr>
              <w:spacing w:after="0"/>
              <w:ind w:left="187" w:hanging="187"/>
            </w:pPr>
            <w:r>
              <w:t>Clinical Records</w:t>
            </w:r>
          </w:p>
        </w:tc>
        <w:tc>
          <w:tcPr>
            <w:tcW w:w="345" w:type="pct"/>
            <w:shd w:val="clear" w:color="auto" w:fill="F2F2F2" w:themeFill="background1" w:themeFillShade="F2"/>
          </w:tcPr>
          <w:p w14:paraId="59C7FB5B" w14:textId="77777777" w:rsidR="00AC006A" w:rsidRPr="00EE4BD6" w:rsidRDefault="00AC006A" w:rsidP="00AC006A">
            <w:pPr>
              <w:pStyle w:val="TableText"/>
            </w:pPr>
            <w:r w:rsidRPr="001F26DF">
              <w:t>Date Reviewed</w:t>
            </w:r>
            <w:r>
              <w:t>:</w:t>
            </w:r>
          </w:p>
        </w:tc>
        <w:tc>
          <w:tcPr>
            <w:tcW w:w="436" w:type="pct"/>
            <w:shd w:val="clear" w:color="auto" w:fill="F2F2F2" w:themeFill="background1" w:themeFillShade="F2"/>
          </w:tcPr>
          <w:p w14:paraId="6802A84D" w14:textId="77777777" w:rsidR="00AC006A" w:rsidRPr="00EE4BD6" w:rsidRDefault="00AC006A" w:rsidP="00AC006A">
            <w:pPr>
              <w:pStyle w:val="TableText"/>
            </w:pPr>
          </w:p>
        </w:tc>
      </w:tr>
      <w:tr w:rsidR="00FE6BD7" w:rsidRPr="00EE4BD6" w14:paraId="0EB31ACD" w14:textId="77777777" w:rsidTr="001337C7">
        <w:trPr>
          <w:cantSplit/>
          <w:trHeight w:val="428"/>
        </w:trPr>
        <w:tc>
          <w:tcPr>
            <w:tcW w:w="436" w:type="pct"/>
            <w:vMerge/>
          </w:tcPr>
          <w:p w14:paraId="0A3C77B6" w14:textId="77777777" w:rsidR="00FE6BD7" w:rsidRPr="00EF587A" w:rsidRDefault="00FE6BD7" w:rsidP="00C81021">
            <w:pPr>
              <w:pStyle w:val="TableText"/>
            </w:pPr>
          </w:p>
        </w:tc>
        <w:tc>
          <w:tcPr>
            <w:tcW w:w="469" w:type="pct"/>
            <w:vMerge/>
          </w:tcPr>
          <w:p w14:paraId="4CC93D5C" w14:textId="77777777" w:rsidR="00FE6BD7" w:rsidRPr="009A1DE7" w:rsidRDefault="00FE6BD7" w:rsidP="00C81021">
            <w:pPr>
              <w:pStyle w:val="TableText"/>
              <w:numPr>
                <w:ilvl w:val="0"/>
                <w:numId w:val="3"/>
              </w:numPr>
              <w:ind w:left="226" w:hanging="180"/>
            </w:pPr>
          </w:p>
        </w:tc>
        <w:tc>
          <w:tcPr>
            <w:tcW w:w="438" w:type="pct"/>
            <w:vMerge/>
          </w:tcPr>
          <w:p w14:paraId="5F43CDC2" w14:textId="77777777" w:rsidR="00FE6BD7" w:rsidRPr="009A1DE7" w:rsidRDefault="00FE6BD7" w:rsidP="00C81021">
            <w:pPr>
              <w:pStyle w:val="TableText"/>
            </w:pPr>
          </w:p>
        </w:tc>
        <w:tc>
          <w:tcPr>
            <w:tcW w:w="688" w:type="pct"/>
            <w:vMerge/>
          </w:tcPr>
          <w:p w14:paraId="4739756D" w14:textId="77777777" w:rsidR="00FE6BD7" w:rsidRPr="009A1DE7" w:rsidRDefault="00FE6BD7" w:rsidP="00C81021">
            <w:pPr>
              <w:pStyle w:val="TableText"/>
            </w:pPr>
          </w:p>
        </w:tc>
        <w:tc>
          <w:tcPr>
            <w:tcW w:w="937" w:type="pct"/>
            <w:vMerge/>
          </w:tcPr>
          <w:p w14:paraId="025AAA4C" w14:textId="77777777" w:rsidR="00FE6BD7" w:rsidRPr="009A1DE7" w:rsidRDefault="00FE6BD7" w:rsidP="00C81021">
            <w:pPr>
              <w:pStyle w:val="TableText"/>
            </w:pPr>
          </w:p>
        </w:tc>
        <w:tc>
          <w:tcPr>
            <w:tcW w:w="719" w:type="pct"/>
            <w:vMerge/>
          </w:tcPr>
          <w:p w14:paraId="6B43D4F6" w14:textId="77777777" w:rsidR="00FE6BD7" w:rsidRPr="009A1DE7" w:rsidRDefault="00FE6BD7" w:rsidP="00C81021">
            <w:pPr>
              <w:pStyle w:val="TableText"/>
            </w:pPr>
          </w:p>
        </w:tc>
        <w:tc>
          <w:tcPr>
            <w:tcW w:w="532" w:type="pct"/>
            <w:vMerge/>
          </w:tcPr>
          <w:p w14:paraId="244DD9C8"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9A8942A"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3348E62D" w14:textId="77777777" w:rsidR="00FE6BD7" w:rsidRPr="00EE4BD6" w:rsidRDefault="00FE6BD7" w:rsidP="00C81021">
            <w:pPr>
              <w:pStyle w:val="TableText"/>
            </w:pPr>
          </w:p>
        </w:tc>
      </w:tr>
      <w:tr w:rsidR="00FE6BD7" w:rsidRPr="00EE4BD6" w14:paraId="2760ABBE" w14:textId="77777777" w:rsidTr="001337C7">
        <w:trPr>
          <w:cantSplit/>
          <w:trHeight w:val="428"/>
        </w:trPr>
        <w:tc>
          <w:tcPr>
            <w:tcW w:w="436" w:type="pct"/>
            <w:vMerge/>
          </w:tcPr>
          <w:p w14:paraId="0817E4C5" w14:textId="77777777" w:rsidR="00FE6BD7" w:rsidRPr="00EF587A" w:rsidRDefault="00FE6BD7" w:rsidP="00C81021">
            <w:pPr>
              <w:pStyle w:val="TableText"/>
            </w:pPr>
          </w:p>
        </w:tc>
        <w:tc>
          <w:tcPr>
            <w:tcW w:w="469" w:type="pct"/>
            <w:vMerge/>
          </w:tcPr>
          <w:p w14:paraId="17B0192F" w14:textId="77777777" w:rsidR="00FE6BD7" w:rsidRPr="009A1DE7" w:rsidRDefault="00FE6BD7" w:rsidP="00C81021">
            <w:pPr>
              <w:pStyle w:val="TableText"/>
              <w:numPr>
                <w:ilvl w:val="0"/>
                <w:numId w:val="3"/>
              </w:numPr>
              <w:ind w:left="226" w:hanging="180"/>
            </w:pPr>
          </w:p>
        </w:tc>
        <w:tc>
          <w:tcPr>
            <w:tcW w:w="438" w:type="pct"/>
            <w:vMerge/>
          </w:tcPr>
          <w:p w14:paraId="59C2DBB7" w14:textId="77777777" w:rsidR="00FE6BD7" w:rsidRPr="009A1DE7" w:rsidRDefault="00FE6BD7" w:rsidP="00C81021">
            <w:pPr>
              <w:pStyle w:val="TableText"/>
            </w:pPr>
          </w:p>
        </w:tc>
        <w:tc>
          <w:tcPr>
            <w:tcW w:w="688" w:type="pct"/>
            <w:vMerge/>
          </w:tcPr>
          <w:p w14:paraId="2373EBCD" w14:textId="77777777" w:rsidR="00FE6BD7" w:rsidRPr="009A1DE7" w:rsidRDefault="00FE6BD7" w:rsidP="00C81021">
            <w:pPr>
              <w:pStyle w:val="TableText"/>
            </w:pPr>
          </w:p>
        </w:tc>
        <w:tc>
          <w:tcPr>
            <w:tcW w:w="937" w:type="pct"/>
            <w:vMerge/>
          </w:tcPr>
          <w:p w14:paraId="3129D5AA" w14:textId="77777777" w:rsidR="00FE6BD7" w:rsidRPr="009A1DE7" w:rsidRDefault="00FE6BD7" w:rsidP="00C81021">
            <w:pPr>
              <w:pStyle w:val="TableText"/>
            </w:pPr>
          </w:p>
        </w:tc>
        <w:tc>
          <w:tcPr>
            <w:tcW w:w="719" w:type="pct"/>
            <w:vMerge/>
          </w:tcPr>
          <w:p w14:paraId="2CF6AB75" w14:textId="77777777" w:rsidR="00FE6BD7" w:rsidRPr="009A1DE7" w:rsidRDefault="00FE6BD7" w:rsidP="00C81021">
            <w:pPr>
              <w:pStyle w:val="TableText"/>
            </w:pPr>
          </w:p>
        </w:tc>
        <w:tc>
          <w:tcPr>
            <w:tcW w:w="532" w:type="pct"/>
            <w:vMerge/>
          </w:tcPr>
          <w:p w14:paraId="0E1C7309"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7475D757"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67D311D9" w14:textId="77777777" w:rsidR="00FE6BD7" w:rsidRPr="00EE4BD6" w:rsidRDefault="00FE6BD7" w:rsidP="00C81021">
            <w:pPr>
              <w:pStyle w:val="TableText"/>
            </w:pPr>
          </w:p>
        </w:tc>
      </w:tr>
      <w:tr w:rsidR="00FE6BD7" w:rsidRPr="00EE4BD6" w14:paraId="13C9A704" w14:textId="77777777" w:rsidTr="001337C7">
        <w:trPr>
          <w:cantSplit/>
          <w:trHeight w:val="428"/>
        </w:trPr>
        <w:tc>
          <w:tcPr>
            <w:tcW w:w="436" w:type="pct"/>
            <w:vMerge/>
          </w:tcPr>
          <w:p w14:paraId="42A95FCE" w14:textId="77777777" w:rsidR="00FE6BD7" w:rsidRPr="00EF587A" w:rsidRDefault="00FE6BD7" w:rsidP="00C81021">
            <w:pPr>
              <w:pStyle w:val="TableText"/>
            </w:pPr>
          </w:p>
        </w:tc>
        <w:tc>
          <w:tcPr>
            <w:tcW w:w="469" w:type="pct"/>
            <w:vMerge/>
          </w:tcPr>
          <w:p w14:paraId="76CD3C1F" w14:textId="77777777" w:rsidR="00FE6BD7" w:rsidRPr="009A1DE7" w:rsidRDefault="00FE6BD7" w:rsidP="00C81021">
            <w:pPr>
              <w:pStyle w:val="TableText"/>
              <w:numPr>
                <w:ilvl w:val="0"/>
                <w:numId w:val="3"/>
              </w:numPr>
              <w:ind w:left="226" w:hanging="180"/>
            </w:pPr>
          </w:p>
        </w:tc>
        <w:tc>
          <w:tcPr>
            <w:tcW w:w="438" w:type="pct"/>
            <w:vMerge/>
          </w:tcPr>
          <w:p w14:paraId="3A886CBF" w14:textId="77777777" w:rsidR="00FE6BD7" w:rsidRPr="009A1DE7" w:rsidRDefault="00FE6BD7" w:rsidP="00C81021">
            <w:pPr>
              <w:pStyle w:val="TableText"/>
            </w:pPr>
          </w:p>
        </w:tc>
        <w:tc>
          <w:tcPr>
            <w:tcW w:w="688" w:type="pct"/>
            <w:vMerge/>
          </w:tcPr>
          <w:p w14:paraId="1EC09C0D" w14:textId="77777777" w:rsidR="00FE6BD7" w:rsidRPr="009A1DE7" w:rsidRDefault="00FE6BD7" w:rsidP="00C81021">
            <w:pPr>
              <w:pStyle w:val="TableText"/>
            </w:pPr>
          </w:p>
        </w:tc>
        <w:tc>
          <w:tcPr>
            <w:tcW w:w="937" w:type="pct"/>
            <w:vMerge/>
          </w:tcPr>
          <w:p w14:paraId="5E2F6F32" w14:textId="77777777" w:rsidR="00FE6BD7" w:rsidRPr="009A1DE7" w:rsidRDefault="00FE6BD7" w:rsidP="00C81021">
            <w:pPr>
              <w:pStyle w:val="TableText"/>
            </w:pPr>
          </w:p>
        </w:tc>
        <w:tc>
          <w:tcPr>
            <w:tcW w:w="719" w:type="pct"/>
            <w:vMerge/>
          </w:tcPr>
          <w:p w14:paraId="5CC9AE26" w14:textId="77777777" w:rsidR="00FE6BD7" w:rsidRPr="009A1DE7" w:rsidRDefault="00FE6BD7" w:rsidP="00C81021">
            <w:pPr>
              <w:pStyle w:val="TableText"/>
            </w:pPr>
          </w:p>
        </w:tc>
        <w:tc>
          <w:tcPr>
            <w:tcW w:w="532" w:type="pct"/>
            <w:vMerge/>
          </w:tcPr>
          <w:p w14:paraId="402AD19B"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5B7ED11"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3C0E8323" w14:textId="77777777" w:rsidR="00FE6BD7" w:rsidRPr="00EE4BD6" w:rsidRDefault="00FE6BD7" w:rsidP="00C81021">
            <w:pPr>
              <w:pStyle w:val="TableText"/>
            </w:pPr>
          </w:p>
        </w:tc>
      </w:tr>
      <w:tr w:rsidR="00FE6BD7" w:rsidRPr="00EF587A" w14:paraId="20202204" w14:textId="77777777" w:rsidTr="001337C7">
        <w:trPr>
          <w:cantSplit/>
          <w:trHeight w:val="428"/>
        </w:trPr>
        <w:tc>
          <w:tcPr>
            <w:tcW w:w="436" w:type="pct"/>
            <w:vMerge/>
          </w:tcPr>
          <w:p w14:paraId="3A18FB00" w14:textId="77777777" w:rsidR="00FE6BD7" w:rsidRPr="00EF587A" w:rsidRDefault="00FE6BD7" w:rsidP="00C81021">
            <w:pPr>
              <w:pStyle w:val="TableText"/>
            </w:pPr>
          </w:p>
        </w:tc>
        <w:tc>
          <w:tcPr>
            <w:tcW w:w="469" w:type="pct"/>
            <w:vMerge/>
          </w:tcPr>
          <w:p w14:paraId="6B6211D4" w14:textId="77777777" w:rsidR="00FE6BD7" w:rsidRPr="00EF587A" w:rsidRDefault="00FE6BD7" w:rsidP="00C81021">
            <w:pPr>
              <w:pStyle w:val="TableText"/>
            </w:pPr>
          </w:p>
        </w:tc>
        <w:tc>
          <w:tcPr>
            <w:tcW w:w="438" w:type="pct"/>
            <w:vMerge/>
          </w:tcPr>
          <w:p w14:paraId="2C52E242" w14:textId="77777777" w:rsidR="00FE6BD7" w:rsidRPr="00EF587A" w:rsidRDefault="00FE6BD7" w:rsidP="00C81021">
            <w:pPr>
              <w:pStyle w:val="TableText"/>
            </w:pPr>
          </w:p>
        </w:tc>
        <w:tc>
          <w:tcPr>
            <w:tcW w:w="688" w:type="pct"/>
            <w:vMerge/>
          </w:tcPr>
          <w:p w14:paraId="02BEDBB7" w14:textId="77777777" w:rsidR="00FE6BD7" w:rsidRPr="00EF587A" w:rsidRDefault="00FE6BD7" w:rsidP="00C81021">
            <w:pPr>
              <w:pStyle w:val="TableText"/>
            </w:pPr>
          </w:p>
        </w:tc>
        <w:tc>
          <w:tcPr>
            <w:tcW w:w="937" w:type="pct"/>
            <w:vMerge/>
          </w:tcPr>
          <w:p w14:paraId="6EFFB7DF" w14:textId="77777777" w:rsidR="00FE6BD7" w:rsidRPr="00EF587A" w:rsidRDefault="00FE6BD7" w:rsidP="00C81021">
            <w:pPr>
              <w:pStyle w:val="TableText"/>
            </w:pPr>
          </w:p>
        </w:tc>
        <w:tc>
          <w:tcPr>
            <w:tcW w:w="719" w:type="pct"/>
            <w:vMerge/>
          </w:tcPr>
          <w:p w14:paraId="633DCF49" w14:textId="77777777" w:rsidR="00FE6BD7" w:rsidRPr="00EF587A" w:rsidRDefault="00FE6BD7" w:rsidP="00C81021">
            <w:pPr>
              <w:pStyle w:val="TableText"/>
            </w:pPr>
          </w:p>
        </w:tc>
        <w:tc>
          <w:tcPr>
            <w:tcW w:w="532" w:type="pct"/>
            <w:vMerge/>
          </w:tcPr>
          <w:p w14:paraId="55461C3A" w14:textId="77777777" w:rsidR="00FE6BD7" w:rsidRPr="00EF587A" w:rsidRDefault="00FE6BD7" w:rsidP="00C81021">
            <w:pPr>
              <w:pStyle w:val="TableText"/>
            </w:pPr>
          </w:p>
        </w:tc>
        <w:tc>
          <w:tcPr>
            <w:tcW w:w="345" w:type="pct"/>
            <w:shd w:val="clear" w:color="auto" w:fill="F2F2F2" w:themeFill="background1" w:themeFillShade="F2"/>
          </w:tcPr>
          <w:p w14:paraId="7DB5CECF"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42CBD110" w14:textId="77777777" w:rsidR="00FE6BD7" w:rsidRPr="00EF587A" w:rsidRDefault="00FE6BD7" w:rsidP="00C81021">
            <w:pPr>
              <w:pStyle w:val="TableText"/>
            </w:pPr>
          </w:p>
        </w:tc>
      </w:tr>
      <w:tr w:rsidR="00FE6BD7" w:rsidRPr="00EE4BD6" w14:paraId="3CE070AA" w14:textId="77777777" w:rsidTr="001337C7">
        <w:trPr>
          <w:cantSplit/>
        </w:trPr>
        <w:tc>
          <w:tcPr>
            <w:tcW w:w="5000" w:type="pct"/>
            <w:gridSpan w:val="9"/>
            <w:shd w:val="clear" w:color="auto" w:fill="E2EFD9" w:themeFill="accent6" w:themeFillTint="33"/>
          </w:tcPr>
          <w:p w14:paraId="63974289" w14:textId="77777777" w:rsidR="00FE6BD7" w:rsidRPr="004A5961" w:rsidRDefault="00FE6BD7" w:rsidP="00EF587A">
            <w:pPr>
              <w:pStyle w:val="TableText"/>
              <w:rPr>
                <w:sz w:val="8"/>
                <w:szCs w:val="8"/>
              </w:rPr>
            </w:pPr>
          </w:p>
        </w:tc>
      </w:tr>
      <w:tr w:rsidR="00481A41" w:rsidRPr="00EE4BD6" w14:paraId="095684E4" w14:textId="77777777" w:rsidTr="001337C7">
        <w:trPr>
          <w:cantSplit/>
          <w:trHeight w:val="481"/>
        </w:trPr>
        <w:tc>
          <w:tcPr>
            <w:tcW w:w="436" w:type="pct"/>
            <w:vMerge w:val="restart"/>
            <w:vAlign w:val="center"/>
          </w:tcPr>
          <w:p w14:paraId="53B8D2E5" w14:textId="2FCC5433" w:rsidR="00481A41" w:rsidRPr="00F77313" w:rsidRDefault="00481A41" w:rsidP="00481A41">
            <w:pPr>
              <w:pStyle w:val="TableText"/>
              <w:jc w:val="center"/>
              <w:rPr>
                <w:b/>
                <w:bCs/>
              </w:rPr>
            </w:pPr>
            <w:r w:rsidRPr="00481A41">
              <w:rPr>
                <w:b/>
                <w:bCs/>
              </w:rPr>
              <w:t>Day Sheet – Deposit Slip</w:t>
            </w:r>
          </w:p>
        </w:tc>
        <w:tc>
          <w:tcPr>
            <w:tcW w:w="469" w:type="pct"/>
            <w:vMerge w:val="restart"/>
          </w:tcPr>
          <w:p w14:paraId="5A2174A6" w14:textId="77777777" w:rsidR="00481A41" w:rsidRDefault="00481A41" w:rsidP="00481A41">
            <w:pPr>
              <w:pStyle w:val="TableText"/>
              <w:keepNext/>
              <w:keepLines/>
              <w:numPr>
                <w:ilvl w:val="0"/>
                <w:numId w:val="3"/>
              </w:numPr>
              <w:ind w:left="226" w:hanging="180"/>
            </w:pPr>
            <w:r>
              <w:t>Date Range: T</w:t>
            </w:r>
            <w:r w:rsidRPr="00837A86">
              <w:t>oday, by entry date</w:t>
            </w:r>
          </w:p>
          <w:p w14:paraId="747F7E9E" w14:textId="5084F73E" w:rsidR="00481A41" w:rsidRPr="009A1DE7" w:rsidRDefault="00481A41" w:rsidP="00481A41">
            <w:pPr>
              <w:pStyle w:val="TableText"/>
              <w:numPr>
                <w:ilvl w:val="0"/>
                <w:numId w:val="3"/>
              </w:numPr>
              <w:ind w:left="226" w:hanging="180"/>
            </w:pPr>
            <w:r w:rsidRPr="009A1DE7">
              <w:t xml:space="preserve">All parameters for </w:t>
            </w:r>
            <w:r w:rsidRPr="00837A86">
              <w:t xml:space="preserve">Clinic, Operator, Billing Type, </w:t>
            </w:r>
            <w:r>
              <w:t xml:space="preserve">and </w:t>
            </w:r>
            <w:r w:rsidRPr="00837A86">
              <w:t>Patient Tag</w:t>
            </w:r>
          </w:p>
        </w:tc>
        <w:tc>
          <w:tcPr>
            <w:tcW w:w="438" w:type="pct"/>
            <w:vMerge w:val="restart"/>
          </w:tcPr>
          <w:p w14:paraId="5A297506" w14:textId="180DF7CB" w:rsidR="00481A41" w:rsidRPr="009A1DE7" w:rsidRDefault="00481A41" w:rsidP="00481A41">
            <w:pPr>
              <w:pStyle w:val="TableText"/>
            </w:pPr>
            <w:r>
              <w:t>Billing or Front Desk Staff</w:t>
            </w:r>
          </w:p>
        </w:tc>
        <w:tc>
          <w:tcPr>
            <w:tcW w:w="688" w:type="pct"/>
            <w:vMerge w:val="restart"/>
          </w:tcPr>
          <w:p w14:paraId="037B4A50" w14:textId="6AE7DA4B" w:rsidR="00481A41" w:rsidRPr="009A1DE7" w:rsidRDefault="00481A41" w:rsidP="00481A41">
            <w:pPr>
              <w:pStyle w:val="TableText"/>
            </w:pPr>
            <w:r w:rsidRPr="00837A86">
              <w:t>Review all payment transaction activity to reconcile receipts for the day.</w:t>
            </w:r>
          </w:p>
        </w:tc>
        <w:tc>
          <w:tcPr>
            <w:tcW w:w="937" w:type="pct"/>
            <w:vMerge w:val="restart"/>
          </w:tcPr>
          <w:p w14:paraId="5BAE6E40" w14:textId="77777777" w:rsidR="00481A41" w:rsidRDefault="00481A41" w:rsidP="00481A41">
            <w:pPr>
              <w:pStyle w:val="TableText"/>
            </w:pPr>
            <w:r w:rsidRPr="00837A86">
              <w:t>Prior to running the Day Sheet - Deposit Slip, all payments must be entered into Dentrix Enterprise.</w:t>
            </w:r>
            <w:r>
              <w:t xml:space="preserve"> </w:t>
            </w:r>
          </w:p>
          <w:p w14:paraId="2BDE9E74" w14:textId="4DC86298" w:rsidR="00481A41" w:rsidRPr="009A1DE7" w:rsidRDefault="00481A41" w:rsidP="00481A41">
            <w:pPr>
              <w:pStyle w:val="TableText"/>
              <w:numPr>
                <w:ilvl w:val="0"/>
                <w:numId w:val="2"/>
              </w:numPr>
              <w:ind w:left="232" w:hanging="180"/>
            </w:pPr>
            <w:r>
              <w:rPr>
                <w:u w:val="single"/>
              </w:rPr>
              <w:t>Ledger</w:t>
            </w:r>
            <w:r w:rsidRPr="009A1DE7">
              <w:t xml:space="preserve">: </w:t>
            </w:r>
            <w:r w:rsidRPr="00837A86">
              <w:t>Correct posting errors for payments</w:t>
            </w:r>
            <w:r>
              <w:t xml:space="preserve"> and </w:t>
            </w:r>
            <w:r w:rsidRPr="00837A86">
              <w:t>adjustments</w:t>
            </w:r>
            <w:r>
              <w:t>.</w:t>
            </w:r>
          </w:p>
        </w:tc>
        <w:tc>
          <w:tcPr>
            <w:tcW w:w="719" w:type="pct"/>
            <w:vMerge w:val="restart"/>
          </w:tcPr>
          <w:p w14:paraId="1671953F" w14:textId="5E9C9965" w:rsidR="00481A41" w:rsidRPr="00EF587A" w:rsidRDefault="00481A41" w:rsidP="00481A41">
            <w:pPr>
              <w:pStyle w:val="TableText"/>
            </w:pPr>
            <w:r w:rsidRPr="00481A41">
              <w:t>The Dental Chief (or Management Lead) will not be able to observe the amount and type of payments received by the clinic.</w:t>
            </w:r>
          </w:p>
        </w:tc>
        <w:tc>
          <w:tcPr>
            <w:tcW w:w="532" w:type="pct"/>
            <w:vMerge w:val="restart"/>
          </w:tcPr>
          <w:p w14:paraId="1E7741D8" w14:textId="19EBBDE7" w:rsidR="00481A41" w:rsidRPr="00EF587A" w:rsidRDefault="00481A41" w:rsidP="00481A41">
            <w:pPr>
              <w:pStyle w:val="TableText"/>
              <w:numPr>
                <w:ilvl w:val="0"/>
                <w:numId w:val="1"/>
              </w:numPr>
              <w:spacing w:after="0"/>
              <w:ind w:left="187" w:hanging="187"/>
            </w:pPr>
            <w:r w:rsidRPr="00481A41">
              <w:t>Revenue Cycle</w:t>
            </w:r>
          </w:p>
        </w:tc>
        <w:tc>
          <w:tcPr>
            <w:tcW w:w="345" w:type="pct"/>
            <w:shd w:val="clear" w:color="auto" w:fill="F2F2F2" w:themeFill="background1" w:themeFillShade="F2"/>
          </w:tcPr>
          <w:p w14:paraId="6025B889" w14:textId="77777777" w:rsidR="00481A41" w:rsidRPr="00EE4BD6" w:rsidRDefault="00481A41" w:rsidP="00481A41">
            <w:pPr>
              <w:pStyle w:val="TableText"/>
            </w:pPr>
            <w:r w:rsidRPr="001F26DF">
              <w:t>Date Reviewed</w:t>
            </w:r>
            <w:r>
              <w:t>:</w:t>
            </w:r>
          </w:p>
        </w:tc>
        <w:tc>
          <w:tcPr>
            <w:tcW w:w="436" w:type="pct"/>
            <w:shd w:val="clear" w:color="auto" w:fill="F2F2F2" w:themeFill="background1" w:themeFillShade="F2"/>
          </w:tcPr>
          <w:p w14:paraId="22253B09" w14:textId="77777777" w:rsidR="00481A41" w:rsidRPr="00EE4BD6" w:rsidRDefault="00481A41" w:rsidP="00481A41">
            <w:pPr>
              <w:pStyle w:val="TableText"/>
            </w:pPr>
          </w:p>
        </w:tc>
      </w:tr>
      <w:tr w:rsidR="00FE6BD7" w:rsidRPr="00EE4BD6" w14:paraId="55FF97B5" w14:textId="77777777" w:rsidTr="001337C7">
        <w:trPr>
          <w:cantSplit/>
          <w:trHeight w:val="481"/>
        </w:trPr>
        <w:tc>
          <w:tcPr>
            <w:tcW w:w="436" w:type="pct"/>
            <w:vMerge/>
          </w:tcPr>
          <w:p w14:paraId="5734D048" w14:textId="77777777" w:rsidR="00FE6BD7" w:rsidRPr="00EF587A" w:rsidRDefault="00FE6BD7" w:rsidP="00C81021">
            <w:pPr>
              <w:pStyle w:val="TableText"/>
            </w:pPr>
          </w:p>
        </w:tc>
        <w:tc>
          <w:tcPr>
            <w:tcW w:w="469" w:type="pct"/>
            <w:vMerge/>
          </w:tcPr>
          <w:p w14:paraId="20272F80" w14:textId="77777777" w:rsidR="00FE6BD7" w:rsidRPr="009A1DE7" w:rsidRDefault="00FE6BD7" w:rsidP="00C81021">
            <w:pPr>
              <w:pStyle w:val="TableText"/>
              <w:numPr>
                <w:ilvl w:val="0"/>
                <w:numId w:val="3"/>
              </w:numPr>
              <w:ind w:left="226" w:hanging="180"/>
            </w:pPr>
          </w:p>
        </w:tc>
        <w:tc>
          <w:tcPr>
            <w:tcW w:w="438" w:type="pct"/>
            <w:vMerge/>
          </w:tcPr>
          <w:p w14:paraId="1A561712" w14:textId="77777777" w:rsidR="00FE6BD7" w:rsidRPr="009A1DE7" w:rsidRDefault="00FE6BD7" w:rsidP="00C81021">
            <w:pPr>
              <w:pStyle w:val="TableText"/>
            </w:pPr>
          </w:p>
        </w:tc>
        <w:tc>
          <w:tcPr>
            <w:tcW w:w="688" w:type="pct"/>
            <w:vMerge/>
          </w:tcPr>
          <w:p w14:paraId="73BFD1A5" w14:textId="77777777" w:rsidR="00FE6BD7" w:rsidRPr="009A1DE7" w:rsidRDefault="00FE6BD7" w:rsidP="00C81021">
            <w:pPr>
              <w:pStyle w:val="TableText"/>
            </w:pPr>
          </w:p>
        </w:tc>
        <w:tc>
          <w:tcPr>
            <w:tcW w:w="937" w:type="pct"/>
            <w:vMerge/>
          </w:tcPr>
          <w:p w14:paraId="20DAAB6B" w14:textId="77777777" w:rsidR="00FE6BD7" w:rsidRPr="009A1DE7" w:rsidRDefault="00FE6BD7" w:rsidP="00C81021">
            <w:pPr>
              <w:pStyle w:val="TableText"/>
            </w:pPr>
          </w:p>
        </w:tc>
        <w:tc>
          <w:tcPr>
            <w:tcW w:w="719" w:type="pct"/>
            <w:vMerge/>
          </w:tcPr>
          <w:p w14:paraId="7FEEE0BD" w14:textId="77777777" w:rsidR="00FE6BD7" w:rsidRPr="009A1DE7" w:rsidRDefault="00FE6BD7" w:rsidP="00C81021">
            <w:pPr>
              <w:pStyle w:val="TableText"/>
            </w:pPr>
          </w:p>
        </w:tc>
        <w:tc>
          <w:tcPr>
            <w:tcW w:w="532" w:type="pct"/>
            <w:vMerge/>
          </w:tcPr>
          <w:p w14:paraId="0A30ADB2"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8844309"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550C5AAE" w14:textId="77777777" w:rsidR="00FE6BD7" w:rsidRPr="00EE4BD6" w:rsidRDefault="00FE6BD7" w:rsidP="00C81021">
            <w:pPr>
              <w:pStyle w:val="TableText"/>
            </w:pPr>
          </w:p>
        </w:tc>
      </w:tr>
      <w:tr w:rsidR="00FE6BD7" w:rsidRPr="00EE4BD6" w14:paraId="7F84CB90" w14:textId="77777777" w:rsidTr="001337C7">
        <w:trPr>
          <w:cantSplit/>
          <w:trHeight w:val="481"/>
        </w:trPr>
        <w:tc>
          <w:tcPr>
            <w:tcW w:w="436" w:type="pct"/>
            <w:vMerge/>
          </w:tcPr>
          <w:p w14:paraId="496BD411" w14:textId="77777777" w:rsidR="00FE6BD7" w:rsidRPr="00EF587A" w:rsidRDefault="00FE6BD7" w:rsidP="00C81021">
            <w:pPr>
              <w:pStyle w:val="TableText"/>
            </w:pPr>
          </w:p>
        </w:tc>
        <w:tc>
          <w:tcPr>
            <w:tcW w:w="469" w:type="pct"/>
            <w:vMerge/>
          </w:tcPr>
          <w:p w14:paraId="48B37DCC" w14:textId="77777777" w:rsidR="00FE6BD7" w:rsidRPr="009A1DE7" w:rsidRDefault="00FE6BD7" w:rsidP="00C81021">
            <w:pPr>
              <w:pStyle w:val="TableText"/>
              <w:numPr>
                <w:ilvl w:val="0"/>
                <w:numId w:val="3"/>
              </w:numPr>
              <w:ind w:left="226" w:hanging="180"/>
            </w:pPr>
          </w:p>
        </w:tc>
        <w:tc>
          <w:tcPr>
            <w:tcW w:w="438" w:type="pct"/>
            <w:vMerge/>
          </w:tcPr>
          <w:p w14:paraId="28EDCAFC" w14:textId="77777777" w:rsidR="00FE6BD7" w:rsidRPr="009A1DE7" w:rsidRDefault="00FE6BD7" w:rsidP="00C81021">
            <w:pPr>
              <w:pStyle w:val="TableText"/>
            </w:pPr>
          </w:p>
        </w:tc>
        <w:tc>
          <w:tcPr>
            <w:tcW w:w="688" w:type="pct"/>
            <w:vMerge/>
          </w:tcPr>
          <w:p w14:paraId="4590F126" w14:textId="77777777" w:rsidR="00FE6BD7" w:rsidRPr="009A1DE7" w:rsidRDefault="00FE6BD7" w:rsidP="00C81021">
            <w:pPr>
              <w:pStyle w:val="TableText"/>
            </w:pPr>
          </w:p>
        </w:tc>
        <w:tc>
          <w:tcPr>
            <w:tcW w:w="937" w:type="pct"/>
            <w:vMerge/>
          </w:tcPr>
          <w:p w14:paraId="64802335" w14:textId="77777777" w:rsidR="00FE6BD7" w:rsidRPr="009A1DE7" w:rsidRDefault="00FE6BD7" w:rsidP="00C81021">
            <w:pPr>
              <w:pStyle w:val="TableText"/>
            </w:pPr>
          </w:p>
        </w:tc>
        <w:tc>
          <w:tcPr>
            <w:tcW w:w="719" w:type="pct"/>
            <w:vMerge/>
          </w:tcPr>
          <w:p w14:paraId="22D39161" w14:textId="77777777" w:rsidR="00FE6BD7" w:rsidRPr="009A1DE7" w:rsidRDefault="00FE6BD7" w:rsidP="00C81021">
            <w:pPr>
              <w:pStyle w:val="TableText"/>
            </w:pPr>
          </w:p>
        </w:tc>
        <w:tc>
          <w:tcPr>
            <w:tcW w:w="532" w:type="pct"/>
            <w:vMerge/>
          </w:tcPr>
          <w:p w14:paraId="297D0A03"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CF5CB6A"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3C896F6F" w14:textId="77777777" w:rsidR="00FE6BD7" w:rsidRPr="00EE4BD6" w:rsidRDefault="00FE6BD7" w:rsidP="00C81021">
            <w:pPr>
              <w:pStyle w:val="TableText"/>
            </w:pPr>
          </w:p>
        </w:tc>
      </w:tr>
      <w:tr w:rsidR="00FE6BD7" w:rsidRPr="00EE4BD6" w14:paraId="18CA3C5E" w14:textId="77777777" w:rsidTr="001337C7">
        <w:trPr>
          <w:cantSplit/>
          <w:trHeight w:val="481"/>
        </w:trPr>
        <w:tc>
          <w:tcPr>
            <w:tcW w:w="436" w:type="pct"/>
            <w:vMerge/>
          </w:tcPr>
          <w:p w14:paraId="24825624" w14:textId="77777777" w:rsidR="00FE6BD7" w:rsidRPr="00EF587A" w:rsidRDefault="00FE6BD7" w:rsidP="00C81021">
            <w:pPr>
              <w:pStyle w:val="TableText"/>
            </w:pPr>
          </w:p>
        </w:tc>
        <w:tc>
          <w:tcPr>
            <w:tcW w:w="469" w:type="pct"/>
            <w:vMerge/>
          </w:tcPr>
          <w:p w14:paraId="372F5C40" w14:textId="77777777" w:rsidR="00FE6BD7" w:rsidRPr="009A1DE7" w:rsidRDefault="00FE6BD7" w:rsidP="00C81021">
            <w:pPr>
              <w:pStyle w:val="TableText"/>
              <w:numPr>
                <w:ilvl w:val="0"/>
                <w:numId w:val="3"/>
              </w:numPr>
              <w:ind w:left="226" w:hanging="180"/>
            </w:pPr>
          </w:p>
        </w:tc>
        <w:tc>
          <w:tcPr>
            <w:tcW w:w="438" w:type="pct"/>
            <w:vMerge/>
          </w:tcPr>
          <w:p w14:paraId="2EF2CD6E" w14:textId="77777777" w:rsidR="00FE6BD7" w:rsidRPr="009A1DE7" w:rsidRDefault="00FE6BD7" w:rsidP="00C81021">
            <w:pPr>
              <w:pStyle w:val="TableText"/>
            </w:pPr>
          </w:p>
        </w:tc>
        <w:tc>
          <w:tcPr>
            <w:tcW w:w="688" w:type="pct"/>
            <w:vMerge/>
          </w:tcPr>
          <w:p w14:paraId="33BFC80F" w14:textId="77777777" w:rsidR="00FE6BD7" w:rsidRPr="009A1DE7" w:rsidRDefault="00FE6BD7" w:rsidP="00C81021">
            <w:pPr>
              <w:pStyle w:val="TableText"/>
            </w:pPr>
          </w:p>
        </w:tc>
        <w:tc>
          <w:tcPr>
            <w:tcW w:w="937" w:type="pct"/>
            <w:vMerge/>
          </w:tcPr>
          <w:p w14:paraId="5F6AABC8" w14:textId="77777777" w:rsidR="00FE6BD7" w:rsidRPr="009A1DE7" w:rsidRDefault="00FE6BD7" w:rsidP="00C81021">
            <w:pPr>
              <w:pStyle w:val="TableText"/>
            </w:pPr>
          </w:p>
        </w:tc>
        <w:tc>
          <w:tcPr>
            <w:tcW w:w="719" w:type="pct"/>
            <w:vMerge/>
          </w:tcPr>
          <w:p w14:paraId="1A4D0AAC" w14:textId="77777777" w:rsidR="00FE6BD7" w:rsidRPr="009A1DE7" w:rsidRDefault="00FE6BD7" w:rsidP="00C81021">
            <w:pPr>
              <w:pStyle w:val="TableText"/>
            </w:pPr>
          </w:p>
        </w:tc>
        <w:tc>
          <w:tcPr>
            <w:tcW w:w="532" w:type="pct"/>
            <w:vMerge/>
          </w:tcPr>
          <w:p w14:paraId="189F3B5C"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2FB4E7DA"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4A2F6F36" w14:textId="77777777" w:rsidR="00FE6BD7" w:rsidRPr="00EE4BD6" w:rsidRDefault="00FE6BD7" w:rsidP="00C81021">
            <w:pPr>
              <w:pStyle w:val="TableText"/>
            </w:pPr>
          </w:p>
        </w:tc>
      </w:tr>
      <w:tr w:rsidR="00FE6BD7" w:rsidRPr="00EF587A" w14:paraId="4562E129" w14:textId="77777777" w:rsidTr="001337C7">
        <w:trPr>
          <w:cantSplit/>
          <w:trHeight w:val="481"/>
        </w:trPr>
        <w:tc>
          <w:tcPr>
            <w:tcW w:w="436" w:type="pct"/>
            <w:vMerge/>
          </w:tcPr>
          <w:p w14:paraId="217A9C25" w14:textId="77777777" w:rsidR="00FE6BD7" w:rsidRPr="00EF587A" w:rsidRDefault="00FE6BD7" w:rsidP="00C81021">
            <w:pPr>
              <w:pStyle w:val="TableText"/>
            </w:pPr>
          </w:p>
        </w:tc>
        <w:tc>
          <w:tcPr>
            <w:tcW w:w="469" w:type="pct"/>
            <w:vMerge/>
          </w:tcPr>
          <w:p w14:paraId="77C5018B" w14:textId="77777777" w:rsidR="00FE6BD7" w:rsidRPr="00EF587A" w:rsidRDefault="00FE6BD7" w:rsidP="00C81021">
            <w:pPr>
              <w:pStyle w:val="TableText"/>
            </w:pPr>
          </w:p>
        </w:tc>
        <w:tc>
          <w:tcPr>
            <w:tcW w:w="438" w:type="pct"/>
            <w:vMerge/>
          </w:tcPr>
          <w:p w14:paraId="5BD923FC" w14:textId="77777777" w:rsidR="00FE6BD7" w:rsidRPr="00EF587A" w:rsidRDefault="00FE6BD7" w:rsidP="00C81021">
            <w:pPr>
              <w:pStyle w:val="TableText"/>
            </w:pPr>
          </w:p>
        </w:tc>
        <w:tc>
          <w:tcPr>
            <w:tcW w:w="688" w:type="pct"/>
            <w:vMerge/>
          </w:tcPr>
          <w:p w14:paraId="3446695E" w14:textId="77777777" w:rsidR="00FE6BD7" w:rsidRPr="00EF587A" w:rsidRDefault="00FE6BD7" w:rsidP="00C81021">
            <w:pPr>
              <w:pStyle w:val="TableText"/>
            </w:pPr>
          </w:p>
        </w:tc>
        <w:tc>
          <w:tcPr>
            <w:tcW w:w="937" w:type="pct"/>
            <w:vMerge/>
          </w:tcPr>
          <w:p w14:paraId="0C45076E" w14:textId="77777777" w:rsidR="00FE6BD7" w:rsidRPr="00EF587A" w:rsidRDefault="00FE6BD7" w:rsidP="00C81021">
            <w:pPr>
              <w:pStyle w:val="TableText"/>
            </w:pPr>
          </w:p>
        </w:tc>
        <w:tc>
          <w:tcPr>
            <w:tcW w:w="719" w:type="pct"/>
            <w:vMerge/>
          </w:tcPr>
          <w:p w14:paraId="4F3AB6FD" w14:textId="77777777" w:rsidR="00FE6BD7" w:rsidRPr="00EF587A" w:rsidRDefault="00FE6BD7" w:rsidP="00C81021">
            <w:pPr>
              <w:pStyle w:val="TableText"/>
            </w:pPr>
          </w:p>
        </w:tc>
        <w:tc>
          <w:tcPr>
            <w:tcW w:w="532" w:type="pct"/>
            <w:vMerge/>
          </w:tcPr>
          <w:p w14:paraId="1A8AF250" w14:textId="77777777" w:rsidR="00FE6BD7" w:rsidRPr="00EF587A" w:rsidRDefault="00FE6BD7" w:rsidP="00C81021">
            <w:pPr>
              <w:pStyle w:val="TableText"/>
            </w:pPr>
          </w:p>
        </w:tc>
        <w:tc>
          <w:tcPr>
            <w:tcW w:w="345" w:type="pct"/>
            <w:shd w:val="clear" w:color="auto" w:fill="F2F2F2" w:themeFill="background1" w:themeFillShade="F2"/>
          </w:tcPr>
          <w:p w14:paraId="5F7E97D7"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1693F677" w14:textId="77777777" w:rsidR="00FE6BD7" w:rsidRPr="00EF587A" w:rsidRDefault="00FE6BD7" w:rsidP="00C81021">
            <w:pPr>
              <w:pStyle w:val="TableText"/>
            </w:pPr>
          </w:p>
        </w:tc>
      </w:tr>
      <w:tr w:rsidR="00FE6BD7" w:rsidRPr="00EE4BD6" w14:paraId="453C5AEF" w14:textId="77777777" w:rsidTr="001337C7">
        <w:trPr>
          <w:cantSplit/>
        </w:trPr>
        <w:tc>
          <w:tcPr>
            <w:tcW w:w="5000" w:type="pct"/>
            <w:gridSpan w:val="9"/>
            <w:shd w:val="clear" w:color="auto" w:fill="E2EFD9" w:themeFill="accent6" w:themeFillTint="33"/>
          </w:tcPr>
          <w:p w14:paraId="289708E1" w14:textId="77777777" w:rsidR="00FE6BD7" w:rsidRPr="004A5961" w:rsidRDefault="00FE6BD7" w:rsidP="00EF587A">
            <w:pPr>
              <w:pStyle w:val="TableText"/>
              <w:rPr>
                <w:sz w:val="8"/>
                <w:szCs w:val="8"/>
              </w:rPr>
            </w:pPr>
          </w:p>
        </w:tc>
      </w:tr>
      <w:tr w:rsidR="00481A41" w:rsidRPr="00EE4BD6" w14:paraId="57461172" w14:textId="77777777" w:rsidTr="001337C7">
        <w:trPr>
          <w:cantSplit/>
          <w:trHeight w:val="428"/>
        </w:trPr>
        <w:tc>
          <w:tcPr>
            <w:tcW w:w="436" w:type="pct"/>
            <w:vMerge w:val="restart"/>
            <w:vAlign w:val="center"/>
          </w:tcPr>
          <w:p w14:paraId="00158964" w14:textId="165BE0E4" w:rsidR="00481A41" w:rsidRPr="00F77313" w:rsidRDefault="00481A41" w:rsidP="004A5961">
            <w:pPr>
              <w:pStyle w:val="TableText"/>
              <w:keepNext/>
              <w:keepLines/>
              <w:jc w:val="center"/>
              <w:rPr>
                <w:b/>
                <w:bCs/>
              </w:rPr>
            </w:pPr>
            <w:r w:rsidRPr="00481A41">
              <w:rPr>
                <w:b/>
                <w:bCs/>
              </w:rPr>
              <w:lastRenderedPageBreak/>
              <w:t>Procedures Not Attached to Insurance Report</w:t>
            </w:r>
          </w:p>
        </w:tc>
        <w:tc>
          <w:tcPr>
            <w:tcW w:w="469" w:type="pct"/>
            <w:vMerge w:val="restart"/>
          </w:tcPr>
          <w:p w14:paraId="5BCFF4D1" w14:textId="77777777" w:rsidR="00481A41" w:rsidRDefault="00481A41" w:rsidP="004A5961">
            <w:pPr>
              <w:pStyle w:val="TableText"/>
              <w:keepNext/>
              <w:keepLines/>
              <w:numPr>
                <w:ilvl w:val="0"/>
                <w:numId w:val="3"/>
              </w:numPr>
              <w:ind w:left="226" w:hanging="180"/>
            </w:pPr>
            <w:r>
              <w:t>Date Range: T</w:t>
            </w:r>
            <w:r w:rsidRPr="00837A86">
              <w:t>oday</w:t>
            </w:r>
          </w:p>
          <w:p w14:paraId="554464B1" w14:textId="53EFE9FD" w:rsidR="00481A41" w:rsidRPr="009A1DE7" w:rsidRDefault="00481A41" w:rsidP="004A5961">
            <w:pPr>
              <w:pStyle w:val="TableText"/>
              <w:keepNext/>
              <w:keepLines/>
              <w:numPr>
                <w:ilvl w:val="0"/>
                <w:numId w:val="3"/>
              </w:numPr>
              <w:ind w:left="226" w:hanging="180"/>
            </w:pPr>
            <w:r w:rsidRPr="009A1DE7">
              <w:t xml:space="preserve">All parameters for </w:t>
            </w:r>
            <w:r w:rsidRPr="00837A86">
              <w:t xml:space="preserve">Patient, Clinic, Provider, Billing Type, </w:t>
            </w:r>
            <w:r>
              <w:t xml:space="preserve">and </w:t>
            </w:r>
            <w:r w:rsidRPr="00837A86">
              <w:t>Patient Tag</w:t>
            </w:r>
          </w:p>
        </w:tc>
        <w:tc>
          <w:tcPr>
            <w:tcW w:w="438" w:type="pct"/>
            <w:vMerge w:val="restart"/>
          </w:tcPr>
          <w:p w14:paraId="3BD7D051" w14:textId="35F0769D" w:rsidR="00481A41" w:rsidRPr="009A1DE7" w:rsidRDefault="00481A41" w:rsidP="004A5961">
            <w:pPr>
              <w:pStyle w:val="TableText"/>
              <w:keepNext/>
              <w:keepLines/>
            </w:pPr>
            <w:r>
              <w:t>Billing or Front Desk Staff</w:t>
            </w:r>
          </w:p>
        </w:tc>
        <w:tc>
          <w:tcPr>
            <w:tcW w:w="688" w:type="pct"/>
            <w:vMerge w:val="restart"/>
          </w:tcPr>
          <w:p w14:paraId="615F77C2" w14:textId="6503277F" w:rsidR="00481A41" w:rsidRPr="009A1DE7" w:rsidRDefault="00481A41" w:rsidP="004A5961">
            <w:pPr>
              <w:pStyle w:val="TableText"/>
              <w:keepNext/>
              <w:keepLines/>
            </w:pPr>
            <w:r w:rsidRPr="00837A86">
              <w:t>Ensure that all applicable completed procedures have been attached to insurance claim</w:t>
            </w:r>
            <w:r>
              <w:t>s</w:t>
            </w:r>
            <w:r w:rsidRPr="00837A86">
              <w:t>.</w:t>
            </w:r>
          </w:p>
        </w:tc>
        <w:tc>
          <w:tcPr>
            <w:tcW w:w="937" w:type="pct"/>
            <w:vMerge w:val="restart"/>
          </w:tcPr>
          <w:p w14:paraId="450F1166" w14:textId="77777777" w:rsidR="00481A41" w:rsidRDefault="00481A41" w:rsidP="004A5961">
            <w:pPr>
              <w:pStyle w:val="TableText"/>
              <w:keepNext/>
              <w:keepLines/>
            </w:pPr>
            <w:r w:rsidRPr="00837A86">
              <w:t>Day Sheets have been reviewed and verified for accuracy. Insurance claims are created for today's completed procedures.</w:t>
            </w:r>
            <w:r>
              <w:t xml:space="preserve"> </w:t>
            </w:r>
          </w:p>
          <w:p w14:paraId="2682407E" w14:textId="6E1B3CDC" w:rsidR="00481A41" w:rsidRPr="009A1DE7" w:rsidRDefault="00481A41" w:rsidP="004A5961">
            <w:pPr>
              <w:pStyle w:val="TableText"/>
              <w:keepNext/>
              <w:keepLines/>
              <w:numPr>
                <w:ilvl w:val="0"/>
                <w:numId w:val="2"/>
              </w:numPr>
              <w:ind w:left="232" w:hanging="180"/>
            </w:pPr>
            <w:r>
              <w:rPr>
                <w:u w:val="single"/>
              </w:rPr>
              <w:t>Ledger</w:t>
            </w:r>
            <w:r w:rsidRPr="009A1DE7">
              <w:t xml:space="preserve">: </w:t>
            </w:r>
            <w:r w:rsidRPr="00837A86">
              <w:t>Generate and submit a claim for all billable procedures</w:t>
            </w:r>
            <w:r>
              <w:t>.</w:t>
            </w:r>
            <w:r w:rsidRPr="00837A86">
              <w:t xml:space="preserve"> Mark procedures as "</w:t>
            </w:r>
            <w:r>
              <w:t>D</w:t>
            </w:r>
            <w:r w:rsidRPr="00837A86">
              <w:t xml:space="preserve">o not bill to insurance" as </w:t>
            </w:r>
            <w:r>
              <w:t>needed.</w:t>
            </w:r>
          </w:p>
        </w:tc>
        <w:tc>
          <w:tcPr>
            <w:tcW w:w="719" w:type="pct"/>
            <w:vMerge w:val="restart"/>
          </w:tcPr>
          <w:p w14:paraId="6DF0F4A4" w14:textId="5AF47153" w:rsidR="00481A41" w:rsidRPr="00EF587A" w:rsidRDefault="00481A41" w:rsidP="004A5961">
            <w:pPr>
              <w:pStyle w:val="TableText"/>
              <w:keepNext/>
              <w:keepLines/>
            </w:pPr>
            <w:r w:rsidRPr="00481A41">
              <w:t>If procedures are completed but not attached to a patient's claim for processing, this is revenue that may be lost or delayed. This report identifies procedures that are missing from claims so that you can quickly and easily add those procedures to claims prior to processing them.</w:t>
            </w:r>
          </w:p>
        </w:tc>
        <w:tc>
          <w:tcPr>
            <w:tcW w:w="532" w:type="pct"/>
            <w:vMerge w:val="restart"/>
          </w:tcPr>
          <w:p w14:paraId="4FE633BC" w14:textId="6079985E" w:rsidR="00481A41" w:rsidRPr="00EF587A" w:rsidRDefault="00481A41" w:rsidP="004A5961">
            <w:pPr>
              <w:pStyle w:val="TableText"/>
              <w:keepNext/>
              <w:keepLines/>
              <w:numPr>
                <w:ilvl w:val="0"/>
                <w:numId w:val="1"/>
              </w:numPr>
              <w:spacing w:after="0"/>
              <w:ind w:left="187" w:hanging="187"/>
            </w:pPr>
            <w:r>
              <w:t>Revenue Cycle</w:t>
            </w:r>
          </w:p>
        </w:tc>
        <w:tc>
          <w:tcPr>
            <w:tcW w:w="345" w:type="pct"/>
            <w:shd w:val="clear" w:color="auto" w:fill="F2F2F2" w:themeFill="background1" w:themeFillShade="F2"/>
          </w:tcPr>
          <w:p w14:paraId="4D5B8C63" w14:textId="77777777" w:rsidR="00481A41" w:rsidRPr="00EE4BD6" w:rsidRDefault="00481A41" w:rsidP="004A5961">
            <w:pPr>
              <w:pStyle w:val="TableText"/>
              <w:keepNext/>
              <w:keepLines/>
            </w:pPr>
            <w:r w:rsidRPr="001F26DF">
              <w:t>Date Reviewed</w:t>
            </w:r>
            <w:r>
              <w:t>:</w:t>
            </w:r>
          </w:p>
        </w:tc>
        <w:tc>
          <w:tcPr>
            <w:tcW w:w="436" w:type="pct"/>
            <w:shd w:val="clear" w:color="auto" w:fill="F2F2F2" w:themeFill="background1" w:themeFillShade="F2"/>
          </w:tcPr>
          <w:p w14:paraId="4C258AAE" w14:textId="77777777" w:rsidR="00481A41" w:rsidRPr="00EE4BD6" w:rsidRDefault="00481A41" w:rsidP="004A5961">
            <w:pPr>
              <w:pStyle w:val="TableText"/>
              <w:keepNext/>
              <w:keepLines/>
            </w:pPr>
          </w:p>
        </w:tc>
      </w:tr>
      <w:tr w:rsidR="00FE6BD7" w:rsidRPr="00EE4BD6" w14:paraId="49CBEE5D" w14:textId="77777777" w:rsidTr="001337C7">
        <w:trPr>
          <w:cantSplit/>
          <w:trHeight w:val="428"/>
        </w:trPr>
        <w:tc>
          <w:tcPr>
            <w:tcW w:w="436" w:type="pct"/>
            <w:vMerge/>
          </w:tcPr>
          <w:p w14:paraId="36183342" w14:textId="77777777" w:rsidR="00FE6BD7" w:rsidRPr="00EF587A" w:rsidRDefault="00FE6BD7" w:rsidP="004A5961">
            <w:pPr>
              <w:pStyle w:val="TableText"/>
              <w:keepNext/>
              <w:keepLines/>
            </w:pPr>
          </w:p>
        </w:tc>
        <w:tc>
          <w:tcPr>
            <w:tcW w:w="469" w:type="pct"/>
            <w:vMerge/>
          </w:tcPr>
          <w:p w14:paraId="59733395" w14:textId="77777777" w:rsidR="00FE6BD7" w:rsidRPr="009A1DE7" w:rsidRDefault="00FE6BD7" w:rsidP="004A5961">
            <w:pPr>
              <w:pStyle w:val="TableText"/>
              <w:keepNext/>
              <w:keepLines/>
              <w:numPr>
                <w:ilvl w:val="0"/>
                <w:numId w:val="3"/>
              </w:numPr>
              <w:ind w:left="226" w:hanging="180"/>
            </w:pPr>
          </w:p>
        </w:tc>
        <w:tc>
          <w:tcPr>
            <w:tcW w:w="438" w:type="pct"/>
            <w:vMerge/>
          </w:tcPr>
          <w:p w14:paraId="338EB558" w14:textId="77777777" w:rsidR="00FE6BD7" w:rsidRPr="009A1DE7" w:rsidRDefault="00FE6BD7" w:rsidP="004A5961">
            <w:pPr>
              <w:pStyle w:val="TableText"/>
              <w:keepNext/>
              <w:keepLines/>
            </w:pPr>
          </w:p>
        </w:tc>
        <w:tc>
          <w:tcPr>
            <w:tcW w:w="688" w:type="pct"/>
            <w:vMerge/>
          </w:tcPr>
          <w:p w14:paraId="04CFBF1F" w14:textId="77777777" w:rsidR="00FE6BD7" w:rsidRPr="009A1DE7" w:rsidRDefault="00FE6BD7" w:rsidP="004A5961">
            <w:pPr>
              <w:pStyle w:val="TableText"/>
              <w:keepNext/>
              <w:keepLines/>
            </w:pPr>
          </w:p>
        </w:tc>
        <w:tc>
          <w:tcPr>
            <w:tcW w:w="937" w:type="pct"/>
            <w:vMerge/>
          </w:tcPr>
          <w:p w14:paraId="30E3CD0C" w14:textId="77777777" w:rsidR="00FE6BD7" w:rsidRPr="009A1DE7" w:rsidRDefault="00FE6BD7" w:rsidP="004A5961">
            <w:pPr>
              <w:pStyle w:val="TableText"/>
              <w:keepNext/>
              <w:keepLines/>
            </w:pPr>
          </w:p>
        </w:tc>
        <w:tc>
          <w:tcPr>
            <w:tcW w:w="719" w:type="pct"/>
            <w:vMerge/>
          </w:tcPr>
          <w:p w14:paraId="2E3E1576" w14:textId="77777777" w:rsidR="00FE6BD7" w:rsidRPr="009A1DE7" w:rsidRDefault="00FE6BD7" w:rsidP="004A5961">
            <w:pPr>
              <w:pStyle w:val="TableText"/>
              <w:keepNext/>
              <w:keepLines/>
            </w:pPr>
          </w:p>
        </w:tc>
        <w:tc>
          <w:tcPr>
            <w:tcW w:w="532" w:type="pct"/>
            <w:vMerge/>
          </w:tcPr>
          <w:p w14:paraId="1ECA0A04" w14:textId="77777777" w:rsidR="00FE6BD7" w:rsidRPr="009A1DE7" w:rsidRDefault="00FE6BD7" w:rsidP="004A5961">
            <w:pPr>
              <w:pStyle w:val="TableText"/>
              <w:keepNext/>
              <w:keepLines/>
              <w:numPr>
                <w:ilvl w:val="0"/>
                <w:numId w:val="1"/>
              </w:numPr>
              <w:spacing w:after="0"/>
              <w:ind w:left="187" w:hanging="187"/>
            </w:pPr>
          </w:p>
        </w:tc>
        <w:tc>
          <w:tcPr>
            <w:tcW w:w="345" w:type="pct"/>
            <w:shd w:val="clear" w:color="auto" w:fill="F2F2F2" w:themeFill="background1" w:themeFillShade="F2"/>
          </w:tcPr>
          <w:p w14:paraId="47EEED21" w14:textId="77777777" w:rsidR="00FE6BD7" w:rsidRPr="00EE4BD6" w:rsidRDefault="00FE6BD7" w:rsidP="004A5961">
            <w:pPr>
              <w:pStyle w:val="TableText"/>
              <w:keepNext/>
              <w:keepLines/>
            </w:pPr>
            <w:r w:rsidRPr="009A1DE7">
              <w:t>Assigned Individual</w:t>
            </w:r>
            <w:r>
              <w:t>:</w:t>
            </w:r>
          </w:p>
        </w:tc>
        <w:tc>
          <w:tcPr>
            <w:tcW w:w="436" w:type="pct"/>
            <w:shd w:val="clear" w:color="auto" w:fill="F2F2F2" w:themeFill="background1" w:themeFillShade="F2"/>
          </w:tcPr>
          <w:p w14:paraId="340BF53D" w14:textId="77777777" w:rsidR="00FE6BD7" w:rsidRPr="00EE4BD6" w:rsidRDefault="00FE6BD7" w:rsidP="004A5961">
            <w:pPr>
              <w:pStyle w:val="TableText"/>
              <w:keepNext/>
              <w:keepLines/>
            </w:pPr>
          </w:p>
        </w:tc>
      </w:tr>
      <w:tr w:rsidR="00FE6BD7" w:rsidRPr="00EE4BD6" w14:paraId="007705C2" w14:textId="77777777" w:rsidTr="001337C7">
        <w:trPr>
          <w:cantSplit/>
          <w:trHeight w:val="428"/>
        </w:trPr>
        <w:tc>
          <w:tcPr>
            <w:tcW w:w="436" w:type="pct"/>
            <w:vMerge/>
          </w:tcPr>
          <w:p w14:paraId="2F845162" w14:textId="77777777" w:rsidR="00FE6BD7" w:rsidRPr="00EF587A" w:rsidRDefault="00FE6BD7" w:rsidP="004A5961">
            <w:pPr>
              <w:pStyle w:val="TableText"/>
              <w:keepNext/>
              <w:keepLines/>
            </w:pPr>
          </w:p>
        </w:tc>
        <w:tc>
          <w:tcPr>
            <w:tcW w:w="469" w:type="pct"/>
            <w:vMerge/>
          </w:tcPr>
          <w:p w14:paraId="0232F027" w14:textId="77777777" w:rsidR="00FE6BD7" w:rsidRPr="009A1DE7" w:rsidRDefault="00FE6BD7" w:rsidP="004A5961">
            <w:pPr>
              <w:pStyle w:val="TableText"/>
              <w:keepNext/>
              <w:keepLines/>
              <w:numPr>
                <w:ilvl w:val="0"/>
                <w:numId w:val="3"/>
              </w:numPr>
              <w:ind w:left="226" w:hanging="180"/>
            </w:pPr>
          </w:p>
        </w:tc>
        <w:tc>
          <w:tcPr>
            <w:tcW w:w="438" w:type="pct"/>
            <w:vMerge/>
          </w:tcPr>
          <w:p w14:paraId="7733A995" w14:textId="77777777" w:rsidR="00FE6BD7" w:rsidRPr="009A1DE7" w:rsidRDefault="00FE6BD7" w:rsidP="004A5961">
            <w:pPr>
              <w:pStyle w:val="TableText"/>
              <w:keepNext/>
              <w:keepLines/>
            </w:pPr>
          </w:p>
        </w:tc>
        <w:tc>
          <w:tcPr>
            <w:tcW w:w="688" w:type="pct"/>
            <w:vMerge/>
          </w:tcPr>
          <w:p w14:paraId="13FDB9C9" w14:textId="77777777" w:rsidR="00FE6BD7" w:rsidRPr="009A1DE7" w:rsidRDefault="00FE6BD7" w:rsidP="004A5961">
            <w:pPr>
              <w:pStyle w:val="TableText"/>
              <w:keepNext/>
              <w:keepLines/>
            </w:pPr>
          </w:p>
        </w:tc>
        <w:tc>
          <w:tcPr>
            <w:tcW w:w="937" w:type="pct"/>
            <w:vMerge/>
          </w:tcPr>
          <w:p w14:paraId="07CD19C8" w14:textId="77777777" w:rsidR="00FE6BD7" w:rsidRPr="009A1DE7" w:rsidRDefault="00FE6BD7" w:rsidP="004A5961">
            <w:pPr>
              <w:pStyle w:val="TableText"/>
              <w:keepNext/>
              <w:keepLines/>
            </w:pPr>
          </w:p>
        </w:tc>
        <w:tc>
          <w:tcPr>
            <w:tcW w:w="719" w:type="pct"/>
            <w:vMerge/>
          </w:tcPr>
          <w:p w14:paraId="6262C540" w14:textId="77777777" w:rsidR="00FE6BD7" w:rsidRPr="009A1DE7" w:rsidRDefault="00FE6BD7" w:rsidP="004A5961">
            <w:pPr>
              <w:pStyle w:val="TableText"/>
              <w:keepNext/>
              <w:keepLines/>
            </w:pPr>
          </w:p>
        </w:tc>
        <w:tc>
          <w:tcPr>
            <w:tcW w:w="532" w:type="pct"/>
            <w:vMerge/>
          </w:tcPr>
          <w:p w14:paraId="02361FEA" w14:textId="77777777" w:rsidR="00FE6BD7" w:rsidRPr="009A1DE7" w:rsidRDefault="00FE6BD7" w:rsidP="004A5961">
            <w:pPr>
              <w:pStyle w:val="TableText"/>
              <w:keepNext/>
              <w:keepLines/>
              <w:numPr>
                <w:ilvl w:val="0"/>
                <w:numId w:val="1"/>
              </w:numPr>
              <w:spacing w:after="0"/>
              <w:ind w:left="187" w:hanging="187"/>
            </w:pPr>
          </w:p>
        </w:tc>
        <w:tc>
          <w:tcPr>
            <w:tcW w:w="345" w:type="pct"/>
            <w:shd w:val="clear" w:color="auto" w:fill="F2F2F2" w:themeFill="background1" w:themeFillShade="F2"/>
          </w:tcPr>
          <w:p w14:paraId="71730A8E" w14:textId="77777777" w:rsidR="00FE6BD7" w:rsidRPr="00EE4BD6" w:rsidRDefault="00FE6BD7" w:rsidP="004A5961">
            <w:pPr>
              <w:pStyle w:val="TableText"/>
              <w:keepNext/>
              <w:keepLines/>
            </w:pPr>
            <w:r w:rsidRPr="009A1DE7">
              <w:t>Actions Required</w:t>
            </w:r>
            <w:r>
              <w:t>:</w:t>
            </w:r>
          </w:p>
        </w:tc>
        <w:tc>
          <w:tcPr>
            <w:tcW w:w="436" w:type="pct"/>
            <w:shd w:val="clear" w:color="auto" w:fill="F2F2F2" w:themeFill="background1" w:themeFillShade="F2"/>
          </w:tcPr>
          <w:p w14:paraId="6568CC6B" w14:textId="77777777" w:rsidR="00FE6BD7" w:rsidRPr="00EE4BD6" w:rsidRDefault="00FE6BD7" w:rsidP="004A5961">
            <w:pPr>
              <w:pStyle w:val="TableText"/>
              <w:keepNext/>
              <w:keepLines/>
            </w:pPr>
          </w:p>
        </w:tc>
      </w:tr>
      <w:tr w:rsidR="00FE6BD7" w:rsidRPr="00EE4BD6" w14:paraId="1CE75109" w14:textId="77777777" w:rsidTr="001337C7">
        <w:trPr>
          <w:cantSplit/>
          <w:trHeight w:val="428"/>
        </w:trPr>
        <w:tc>
          <w:tcPr>
            <w:tcW w:w="436" w:type="pct"/>
            <w:vMerge/>
          </w:tcPr>
          <w:p w14:paraId="712491A1" w14:textId="77777777" w:rsidR="00FE6BD7" w:rsidRPr="00EF587A" w:rsidRDefault="00FE6BD7" w:rsidP="004A5961">
            <w:pPr>
              <w:pStyle w:val="TableText"/>
              <w:keepNext/>
              <w:keepLines/>
            </w:pPr>
          </w:p>
        </w:tc>
        <w:tc>
          <w:tcPr>
            <w:tcW w:w="469" w:type="pct"/>
            <w:vMerge/>
          </w:tcPr>
          <w:p w14:paraId="22F3C97F" w14:textId="77777777" w:rsidR="00FE6BD7" w:rsidRPr="009A1DE7" w:rsidRDefault="00FE6BD7" w:rsidP="004A5961">
            <w:pPr>
              <w:pStyle w:val="TableText"/>
              <w:keepNext/>
              <w:keepLines/>
              <w:numPr>
                <w:ilvl w:val="0"/>
                <w:numId w:val="3"/>
              </w:numPr>
              <w:ind w:left="226" w:hanging="180"/>
            </w:pPr>
          </w:p>
        </w:tc>
        <w:tc>
          <w:tcPr>
            <w:tcW w:w="438" w:type="pct"/>
            <w:vMerge/>
          </w:tcPr>
          <w:p w14:paraId="7D85E3D3" w14:textId="77777777" w:rsidR="00FE6BD7" w:rsidRPr="009A1DE7" w:rsidRDefault="00FE6BD7" w:rsidP="004A5961">
            <w:pPr>
              <w:pStyle w:val="TableText"/>
              <w:keepNext/>
              <w:keepLines/>
            </w:pPr>
          </w:p>
        </w:tc>
        <w:tc>
          <w:tcPr>
            <w:tcW w:w="688" w:type="pct"/>
            <w:vMerge/>
          </w:tcPr>
          <w:p w14:paraId="14821BED" w14:textId="77777777" w:rsidR="00FE6BD7" w:rsidRPr="009A1DE7" w:rsidRDefault="00FE6BD7" w:rsidP="004A5961">
            <w:pPr>
              <w:pStyle w:val="TableText"/>
              <w:keepNext/>
              <w:keepLines/>
            </w:pPr>
          </w:p>
        </w:tc>
        <w:tc>
          <w:tcPr>
            <w:tcW w:w="937" w:type="pct"/>
            <w:vMerge/>
          </w:tcPr>
          <w:p w14:paraId="5E7619C1" w14:textId="77777777" w:rsidR="00FE6BD7" w:rsidRPr="009A1DE7" w:rsidRDefault="00FE6BD7" w:rsidP="004A5961">
            <w:pPr>
              <w:pStyle w:val="TableText"/>
              <w:keepNext/>
              <w:keepLines/>
            </w:pPr>
          </w:p>
        </w:tc>
        <w:tc>
          <w:tcPr>
            <w:tcW w:w="719" w:type="pct"/>
            <w:vMerge/>
          </w:tcPr>
          <w:p w14:paraId="73C6E5F7" w14:textId="77777777" w:rsidR="00FE6BD7" w:rsidRPr="009A1DE7" w:rsidRDefault="00FE6BD7" w:rsidP="004A5961">
            <w:pPr>
              <w:pStyle w:val="TableText"/>
              <w:keepNext/>
              <w:keepLines/>
            </w:pPr>
          </w:p>
        </w:tc>
        <w:tc>
          <w:tcPr>
            <w:tcW w:w="532" w:type="pct"/>
            <w:vMerge/>
          </w:tcPr>
          <w:p w14:paraId="3071214E" w14:textId="77777777" w:rsidR="00FE6BD7" w:rsidRPr="009A1DE7" w:rsidRDefault="00FE6BD7" w:rsidP="004A5961">
            <w:pPr>
              <w:pStyle w:val="TableText"/>
              <w:keepNext/>
              <w:keepLines/>
              <w:numPr>
                <w:ilvl w:val="0"/>
                <w:numId w:val="1"/>
              </w:numPr>
              <w:spacing w:after="0"/>
              <w:ind w:left="187" w:hanging="187"/>
            </w:pPr>
          </w:p>
        </w:tc>
        <w:tc>
          <w:tcPr>
            <w:tcW w:w="345" w:type="pct"/>
            <w:shd w:val="clear" w:color="auto" w:fill="F2F2F2" w:themeFill="background1" w:themeFillShade="F2"/>
          </w:tcPr>
          <w:p w14:paraId="7F176873" w14:textId="77777777" w:rsidR="00FE6BD7" w:rsidRPr="00EE4BD6" w:rsidRDefault="00FE6BD7" w:rsidP="004A5961">
            <w:pPr>
              <w:pStyle w:val="TableText"/>
              <w:keepNext/>
              <w:keepLines/>
            </w:pPr>
            <w:r w:rsidRPr="009A1DE7">
              <w:t>Target Date</w:t>
            </w:r>
            <w:r>
              <w:t>:</w:t>
            </w:r>
          </w:p>
        </w:tc>
        <w:tc>
          <w:tcPr>
            <w:tcW w:w="436" w:type="pct"/>
            <w:shd w:val="clear" w:color="auto" w:fill="F2F2F2" w:themeFill="background1" w:themeFillShade="F2"/>
          </w:tcPr>
          <w:p w14:paraId="400F100B" w14:textId="77777777" w:rsidR="00FE6BD7" w:rsidRPr="00EE4BD6" w:rsidRDefault="00FE6BD7" w:rsidP="004A5961">
            <w:pPr>
              <w:pStyle w:val="TableText"/>
              <w:keepNext/>
              <w:keepLines/>
            </w:pPr>
          </w:p>
        </w:tc>
      </w:tr>
      <w:tr w:rsidR="00FE6BD7" w:rsidRPr="00EF587A" w14:paraId="62B528C9" w14:textId="77777777" w:rsidTr="001337C7">
        <w:trPr>
          <w:cantSplit/>
          <w:trHeight w:val="428"/>
        </w:trPr>
        <w:tc>
          <w:tcPr>
            <w:tcW w:w="436" w:type="pct"/>
            <w:vMerge/>
          </w:tcPr>
          <w:p w14:paraId="711C9458" w14:textId="77777777" w:rsidR="00FE6BD7" w:rsidRPr="00EF587A" w:rsidRDefault="00FE6BD7" w:rsidP="00C81021">
            <w:pPr>
              <w:pStyle w:val="TableText"/>
            </w:pPr>
          </w:p>
        </w:tc>
        <w:tc>
          <w:tcPr>
            <w:tcW w:w="469" w:type="pct"/>
            <w:vMerge/>
          </w:tcPr>
          <w:p w14:paraId="7073D825" w14:textId="77777777" w:rsidR="00FE6BD7" w:rsidRPr="00EF587A" w:rsidRDefault="00FE6BD7" w:rsidP="00C81021">
            <w:pPr>
              <w:pStyle w:val="TableText"/>
            </w:pPr>
          </w:p>
        </w:tc>
        <w:tc>
          <w:tcPr>
            <w:tcW w:w="438" w:type="pct"/>
            <w:vMerge/>
          </w:tcPr>
          <w:p w14:paraId="2737FE1A" w14:textId="77777777" w:rsidR="00FE6BD7" w:rsidRPr="00EF587A" w:rsidRDefault="00FE6BD7" w:rsidP="00C81021">
            <w:pPr>
              <w:pStyle w:val="TableText"/>
            </w:pPr>
          </w:p>
        </w:tc>
        <w:tc>
          <w:tcPr>
            <w:tcW w:w="688" w:type="pct"/>
            <w:vMerge/>
          </w:tcPr>
          <w:p w14:paraId="2A1BEC43" w14:textId="77777777" w:rsidR="00FE6BD7" w:rsidRPr="00EF587A" w:rsidRDefault="00FE6BD7" w:rsidP="00C81021">
            <w:pPr>
              <w:pStyle w:val="TableText"/>
            </w:pPr>
          </w:p>
        </w:tc>
        <w:tc>
          <w:tcPr>
            <w:tcW w:w="937" w:type="pct"/>
            <w:vMerge/>
          </w:tcPr>
          <w:p w14:paraId="0C437E64" w14:textId="77777777" w:rsidR="00FE6BD7" w:rsidRPr="00EF587A" w:rsidRDefault="00FE6BD7" w:rsidP="00C81021">
            <w:pPr>
              <w:pStyle w:val="TableText"/>
            </w:pPr>
          </w:p>
        </w:tc>
        <w:tc>
          <w:tcPr>
            <w:tcW w:w="719" w:type="pct"/>
            <w:vMerge/>
          </w:tcPr>
          <w:p w14:paraId="145470B6" w14:textId="77777777" w:rsidR="00FE6BD7" w:rsidRPr="00EF587A" w:rsidRDefault="00FE6BD7" w:rsidP="00C81021">
            <w:pPr>
              <w:pStyle w:val="TableText"/>
            </w:pPr>
          </w:p>
        </w:tc>
        <w:tc>
          <w:tcPr>
            <w:tcW w:w="532" w:type="pct"/>
            <w:vMerge/>
          </w:tcPr>
          <w:p w14:paraId="0674BA4E" w14:textId="77777777" w:rsidR="00FE6BD7" w:rsidRPr="00EF587A" w:rsidRDefault="00FE6BD7" w:rsidP="00C81021">
            <w:pPr>
              <w:pStyle w:val="TableText"/>
            </w:pPr>
          </w:p>
        </w:tc>
        <w:tc>
          <w:tcPr>
            <w:tcW w:w="345" w:type="pct"/>
            <w:shd w:val="clear" w:color="auto" w:fill="F2F2F2" w:themeFill="background1" w:themeFillShade="F2"/>
          </w:tcPr>
          <w:p w14:paraId="471C010D"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18612AD7" w14:textId="77777777" w:rsidR="00FE6BD7" w:rsidRPr="00EF587A" w:rsidRDefault="00FE6BD7" w:rsidP="00C81021">
            <w:pPr>
              <w:pStyle w:val="TableText"/>
            </w:pPr>
          </w:p>
        </w:tc>
      </w:tr>
      <w:tr w:rsidR="00FE6BD7" w:rsidRPr="00EE4BD6" w14:paraId="5E141C24" w14:textId="77777777" w:rsidTr="001337C7">
        <w:trPr>
          <w:cantSplit/>
        </w:trPr>
        <w:tc>
          <w:tcPr>
            <w:tcW w:w="5000" w:type="pct"/>
            <w:gridSpan w:val="9"/>
            <w:shd w:val="clear" w:color="auto" w:fill="E2EFD9" w:themeFill="accent6" w:themeFillTint="33"/>
          </w:tcPr>
          <w:p w14:paraId="07658E63" w14:textId="77777777" w:rsidR="00FE6BD7" w:rsidRPr="00ED339A" w:rsidRDefault="00FE6BD7" w:rsidP="00EF587A">
            <w:pPr>
              <w:pStyle w:val="TableText"/>
              <w:rPr>
                <w:sz w:val="8"/>
                <w:szCs w:val="8"/>
              </w:rPr>
            </w:pPr>
          </w:p>
        </w:tc>
      </w:tr>
      <w:tr w:rsidR="00304C5D" w:rsidRPr="00EE4BD6" w14:paraId="1C77DBB2" w14:textId="77777777" w:rsidTr="001337C7">
        <w:trPr>
          <w:cantSplit/>
          <w:trHeight w:val="428"/>
        </w:trPr>
        <w:tc>
          <w:tcPr>
            <w:tcW w:w="436" w:type="pct"/>
            <w:vMerge w:val="restart"/>
            <w:vAlign w:val="center"/>
          </w:tcPr>
          <w:p w14:paraId="0345D9F0" w14:textId="2ABCCCF9" w:rsidR="00304C5D" w:rsidRPr="00F77313" w:rsidRDefault="00304C5D" w:rsidP="00304C5D">
            <w:pPr>
              <w:pStyle w:val="TableText"/>
              <w:jc w:val="center"/>
              <w:rPr>
                <w:b/>
                <w:bCs/>
              </w:rPr>
            </w:pPr>
            <w:r w:rsidRPr="00304C5D">
              <w:rPr>
                <w:b/>
                <w:bCs/>
              </w:rPr>
              <w:t>Secondary Insurance Claims Not Created Report</w:t>
            </w:r>
          </w:p>
        </w:tc>
        <w:tc>
          <w:tcPr>
            <w:tcW w:w="469" w:type="pct"/>
            <w:vMerge w:val="restart"/>
          </w:tcPr>
          <w:p w14:paraId="79199792" w14:textId="77777777" w:rsidR="00304C5D" w:rsidRDefault="00304C5D" w:rsidP="00304C5D">
            <w:pPr>
              <w:pStyle w:val="TableText"/>
              <w:keepNext/>
              <w:keepLines/>
              <w:numPr>
                <w:ilvl w:val="0"/>
                <w:numId w:val="3"/>
              </w:numPr>
              <w:ind w:left="226" w:hanging="180"/>
            </w:pPr>
            <w:r>
              <w:t>Date Range: T</w:t>
            </w:r>
            <w:r w:rsidRPr="00837A86">
              <w:t>oday</w:t>
            </w:r>
          </w:p>
          <w:p w14:paraId="29C681EA" w14:textId="65D8BEA3" w:rsidR="00304C5D" w:rsidRPr="009A1DE7" w:rsidRDefault="00304C5D" w:rsidP="00304C5D">
            <w:pPr>
              <w:pStyle w:val="TableText"/>
              <w:numPr>
                <w:ilvl w:val="0"/>
                <w:numId w:val="3"/>
              </w:numPr>
              <w:ind w:left="226" w:hanging="180"/>
            </w:pPr>
            <w:r w:rsidRPr="009A1DE7">
              <w:t xml:space="preserve">All parameters for </w:t>
            </w:r>
            <w:r w:rsidRPr="00837A86">
              <w:t xml:space="preserve">Patient, Insurance Carrier, Clinic, Provider, Billing Type, </w:t>
            </w:r>
            <w:r>
              <w:t xml:space="preserve">and </w:t>
            </w:r>
            <w:r w:rsidRPr="00837A86">
              <w:t>Patient Tag</w:t>
            </w:r>
          </w:p>
        </w:tc>
        <w:tc>
          <w:tcPr>
            <w:tcW w:w="438" w:type="pct"/>
            <w:vMerge w:val="restart"/>
          </w:tcPr>
          <w:p w14:paraId="3F72AA8D" w14:textId="47166422" w:rsidR="00304C5D" w:rsidRPr="009A1DE7" w:rsidRDefault="00304C5D" w:rsidP="00304C5D">
            <w:pPr>
              <w:pStyle w:val="TableText"/>
            </w:pPr>
            <w:r>
              <w:t>Billing or Front Desk Staff</w:t>
            </w:r>
          </w:p>
        </w:tc>
        <w:tc>
          <w:tcPr>
            <w:tcW w:w="688" w:type="pct"/>
            <w:vMerge w:val="restart"/>
          </w:tcPr>
          <w:p w14:paraId="2D05CB13" w14:textId="410C3BED" w:rsidR="00304C5D" w:rsidRPr="009A1DE7" w:rsidRDefault="00304C5D" w:rsidP="00304C5D">
            <w:pPr>
              <w:pStyle w:val="TableText"/>
            </w:pPr>
            <w:r>
              <w:t>I</w:t>
            </w:r>
            <w:r w:rsidRPr="00837A86">
              <w:t>dentify and process secondary insurance claims that have not yet been created.</w:t>
            </w:r>
          </w:p>
        </w:tc>
        <w:tc>
          <w:tcPr>
            <w:tcW w:w="937" w:type="pct"/>
            <w:vMerge w:val="restart"/>
          </w:tcPr>
          <w:p w14:paraId="0D63C932" w14:textId="77777777" w:rsidR="00304C5D" w:rsidRDefault="00304C5D" w:rsidP="00304C5D">
            <w:pPr>
              <w:pStyle w:val="TableText"/>
              <w:keepNext/>
              <w:keepLines/>
            </w:pPr>
            <w:r w:rsidRPr="00837A86">
              <w:t xml:space="preserve">Both </w:t>
            </w:r>
            <w:r>
              <w:t>p</w:t>
            </w:r>
            <w:r w:rsidRPr="00837A86">
              <w:t xml:space="preserve">rimary and </w:t>
            </w:r>
            <w:r>
              <w:t>s</w:t>
            </w:r>
            <w:r w:rsidRPr="00837A86">
              <w:t xml:space="preserve">econdary </w:t>
            </w:r>
            <w:r>
              <w:t>i</w:t>
            </w:r>
            <w:r w:rsidRPr="00837A86">
              <w:t xml:space="preserve">nsurance plans have been attached to </w:t>
            </w:r>
            <w:r>
              <w:t xml:space="preserve">a </w:t>
            </w:r>
            <w:r w:rsidRPr="00837A86">
              <w:t>patient in Family File. Primary insurance claims have had posting completed.</w:t>
            </w:r>
            <w:r>
              <w:t xml:space="preserve"> </w:t>
            </w:r>
          </w:p>
          <w:p w14:paraId="524C684D" w14:textId="482A2B53" w:rsidR="00304C5D" w:rsidRPr="009A1DE7" w:rsidRDefault="00304C5D" w:rsidP="00304C5D">
            <w:pPr>
              <w:pStyle w:val="TableText"/>
              <w:numPr>
                <w:ilvl w:val="0"/>
                <w:numId w:val="2"/>
              </w:numPr>
              <w:ind w:left="232" w:hanging="180"/>
            </w:pPr>
            <w:r>
              <w:rPr>
                <w:u w:val="single"/>
              </w:rPr>
              <w:t>Ledger</w:t>
            </w:r>
            <w:r w:rsidRPr="009A1DE7">
              <w:t xml:space="preserve">: </w:t>
            </w:r>
            <w:r w:rsidRPr="00837A86">
              <w:t xml:space="preserve">Confirm the services are ready to be sent to secondary insurance. Update secondary insurance within primary claim. Print </w:t>
            </w:r>
            <w:r>
              <w:t xml:space="preserve">claim, </w:t>
            </w:r>
            <w:r w:rsidRPr="00837A86">
              <w:t>or send claim electronically</w:t>
            </w:r>
            <w:r>
              <w:t>.</w:t>
            </w:r>
          </w:p>
        </w:tc>
        <w:tc>
          <w:tcPr>
            <w:tcW w:w="719" w:type="pct"/>
            <w:vMerge w:val="restart"/>
          </w:tcPr>
          <w:p w14:paraId="584A27FD" w14:textId="3CF11023" w:rsidR="00304C5D" w:rsidRPr="00EF587A" w:rsidRDefault="00304C5D" w:rsidP="00304C5D">
            <w:pPr>
              <w:pStyle w:val="TableText"/>
            </w:pPr>
            <w:r>
              <w:t>This report reveals w</w:t>
            </w:r>
            <w:r w:rsidRPr="006C402E">
              <w:t xml:space="preserve">hen </w:t>
            </w:r>
            <w:r>
              <w:t>a</w:t>
            </w:r>
            <w:r w:rsidRPr="006C402E">
              <w:t xml:space="preserve"> patient's secondary insurance claim has not been created following the posting of </w:t>
            </w:r>
            <w:r>
              <w:t xml:space="preserve">a </w:t>
            </w:r>
            <w:r w:rsidRPr="006C402E">
              <w:t xml:space="preserve">payment or denial from </w:t>
            </w:r>
            <w:r>
              <w:t>their</w:t>
            </w:r>
            <w:r w:rsidRPr="006C402E">
              <w:t xml:space="preserve"> primary insurance. If the clinic does not routinely run this report, secondary insurance claims are not filed, </w:t>
            </w:r>
            <w:r>
              <w:t xml:space="preserve">which </w:t>
            </w:r>
            <w:r w:rsidRPr="006C402E">
              <w:t>effectively lower</w:t>
            </w:r>
            <w:r>
              <w:t>s</w:t>
            </w:r>
            <w:r w:rsidRPr="006C402E">
              <w:t xml:space="preserve"> revenue.</w:t>
            </w:r>
          </w:p>
        </w:tc>
        <w:tc>
          <w:tcPr>
            <w:tcW w:w="532" w:type="pct"/>
            <w:vMerge w:val="restart"/>
          </w:tcPr>
          <w:p w14:paraId="2FED02D5" w14:textId="7853332A" w:rsidR="00304C5D" w:rsidRPr="00EF587A" w:rsidRDefault="00304C5D" w:rsidP="00304C5D">
            <w:pPr>
              <w:pStyle w:val="TableText"/>
              <w:numPr>
                <w:ilvl w:val="0"/>
                <w:numId w:val="1"/>
              </w:numPr>
              <w:spacing w:after="0"/>
              <w:ind w:left="187" w:hanging="187"/>
            </w:pPr>
            <w:r>
              <w:t>Revenue Cycle</w:t>
            </w:r>
          </w:p>
        </w:tc>
        <w:tc>
          <w:tcPr>
            <w:tcW w:w="345" w:type="pct"/>
            <w:shd w:val="clear" w:color="auto" w:fill="F2F2F2" w:themeFill="background1" w:themeFillShade="F2"/>
          </w:tcPr>
          <w:p w14:paraId="32926AC3" w14:textId="77777777" w:rsidR="00304C5D" w:rsidRPr="00EE4BD6" w:rsidRDefault="00304C5D" w:rsidP="00304C5D">
            <w:pPr>
              <w:pStyle w:val="TableText"/>
            </w:pPr>
            <w:r w:rsidRPr="001F26DF">
              <w:t>Date Reviewed</w:t>
            </w:r>
            <w:r>
              <w:t>:</w:t>
            </w:r>
          </w:p>
        </w:tc>
        <w:tc>
          <w:tcPr>
            <w:tcW w:w="436" w:type="pct"/>
            <w:shd w:val="clear" w:color="auto" w:fill="F2F2F2" w:themeFill="background1" w:themeFillShade="F2"/>
          </w:tcPr>
          <w:p w14:paraId="36169C53" w14:textId="77777777" w:rsidR="00304C5D" w:rsidRPr="00EE4BD6" w:rsidRDefault="00304C5D" w:rsidP="00304C5D">
            <w:pPr>
              <w:pStyle w:val="TableText"/>
            </w:pPr>
          </w:p>
        </w:tc>
      </w:tr>
      <w:tr w:rsidR="00FE6BD7" w:rsidRPr="00EE4BD6" w14:paraId="49C040EF" w14:textId="77777777" w:rsidTr="001337C7">
        <w:trPr>
          <w:cantSplit/>
          <w:trHeight w:val="428"/>
        </w:trPr>
        <w:tc>
          <w:tcPr>
            <w:tcW w:w="436" w:type="pct"/>
            <w:vMerge/>
          </w:tcPr>
          <w:p w14:paraId="3D33F057" w14:textId="77777777" w:rsidR="00FE6BD7" w:rsidRPr="00EF587A" w:rsidRDefault="00FE6BD7" w:rsidP="00C81021">
            <w:pPr>
              <w:pStyle w:val="TableText"/>
            </w:pPr>
          </w:p>
        </w:tc>
        <w:tc>
          <w:tcPr>
            <w:tcW w:w="469" w:type="pct"/>
            <w:vMerge/>
          </w:tcPr>
          <w:p w14:paraId="0C9807AF" w14:textId="77777777" w:rsidR="00FE6BD7" w:rsidRPr="009A1DE7" w:rsidRDefault="00FE6BD7" w:rsidP="00C81021">
            <w:pPr>
              <w:pStyle w:val="TableText"/>
              <w:numPr>
                <w:ilvl w:val="0"/>
                <w:numId w:val="3"/>
              </w:numPr>
              <w:ind w:left="226" w:hanging="180"/>
            </w:pPr>
          </w:p>
        </w:tc>
        <w:tc>
          <w:tcPr>
            <w:tcW w:w="438" w:type="pct"/>
            <w:vMerge/>
          </w:tcPr>
          <w:p w14:paraId="3F6B8264" w14:textId="77777777" w:rsidR="00FE6BD7" w:rsidRPr="009A1DE7" w:rsidRDefault="00FE6BD7" w:rsidP="00C81021">
            <w:pPr>
              <w:pStyle w:val="TableText"/>
            </w:pPr>
          </w:p>
        </w:tc>
        <w:tc>
          <w:tcPr>
            <w:tcW w:w="688" w:type="pct"/>
            <w:vMerge/>
          </w:tcPr>
          <w:p w14:paraId="1A760A8D" w14:textId="77777777" w:rsidR="00FE6BD7" w:rsidRPr="009A1DE7" w:rsidRDefault="00FE6BD7" w:rsidP="00C81021">
            <w:pPr>
              <w:pStyle w:val="TableText"/>
            </w:pPr>
          </w:p>
        </w:tc>
        <w:tc>
          <w:tcPr>
            <w:tcW w:w="937" w:type="pct"/>
            <w:vMerge/>
          </w:tcPr>
          <w:p w14:paraId="3D7F7CFE" w14:textId="77777777" w:rsidR="00FE6BD7" w:rsidRPr="009A1DE7" w:rsidRDefault="00FE6BD7" w:rsidP="00C81021">
            <w:pPr>
              <w:pStyle w:val="TableText"/>
            </w:pPr>
          </w:p>
        </w:tc>
        <w:tc>
          <w:tcPr>
            <w:tcW w:w="719" w:type="pct"/>
            <w:vMerge/>
          </w:tcPr>
          <w:p w14:paraId="5EEAF7D6" w14:textId="77777777" w:rsidR="00FE6BD7" w:rsidRPr="009A1DE7" w:rsidRDefault="00FE6BD7" w:rsidP="00C81021">
            <w:pPr>
              <w:pStyle w:val="TableText"/>
            </w:pPr>
          </w:p>
        </w:tc>
        <w:tc>
          <w:tcPr>
            <w:tcW w:w="532" w:type="pct"/>
            <w:vMerge/>
          </w:tcPr>
          <w:p w14:paraId="7732A53B"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CF9B620"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42CCE6D5" w14:textId="77777777" w:rsidR="00FE6BD7" w:rsidRPr="00EE4BD6" w:rsidRDefault="00FE6BD7" w:rsidP="00C81021">
            <w:pPr>
              <w:pStyle w:val="TableText"/>
            </w:pPr>
          </w:p>
        </w:tc>
      </w:tr>
      <w:tr w:rsidR="00FE6BD7" w:rsidRPr="00EE4BD6" w14:paraId="0AE26C3C" w14:textId="77777777" w:rsidTr="001337C7">
        <w:trPr>
          <w:cantSplit/>
          <w:trHeight w:val="428"/>
        </w:trPr>
        <w:tc>
          <w:tcPr>
            <w:tcW w:w="436" w:type="pct"/>
            <w:vMerge/>
          </w:tcPr>
          <w:p w14:paraId="6F87FC92" w14:textId="77777777" w:rsidR="00FE6BD7" w:rsidRPr="00EF587A" w:rsidRDefault="00FE6BD7" w:rsidP="00C81021">
            <w:pPr>
              <w:pStyle w:val="TableText"/>
            </w:pPr>
          </w:p>
        </w:tc>
        <w:tc>
          <w:tcPr>
            <w:tcW w:w="469" w:type="pct"/>
            <w:vMerge/>
          </w:tcPr>
          <w:p w14:paraId="4EF14E85" w14:textId="77777777" w:rsidR="00FE6BD7" w:rsidRPr="009A1DE7" w:rsidRDefault="00FE6BD7" w:rsidP="00C81021">
            <w:pPr>
              <w:pStyle w:val="TableText"/>
              <w:numPr>
                <w:ilvl w:val="0"/>
                <w:numId w:val="3"/>
              </w:numPr>
              <w:ind w:left="226" w:hanging="180"/>
            </w:pPr>
          </w:p>
        </w:tc>
        <w:tc>
          <w:tcPr>
            <w:tcW w:w="438" w:type="pct"/>
            <w:vMerge/>
          </w:tcPr>
          <w:p w14:paraId="1A5E2A4C" w14:textId="77777777" w:rsidR="00FE6BD7" w:rsidRPr="009A1DE7" w:rsidRDefault="00FE6BD7" w:rsidP="00C81021">
            <w:pPr>
              <w:pStyle w:val="TableText"/>
            </w:pPr>
          </w:p>
        </w:tc>
        <w:tc>
          <w:tcPr>
            <w:tcW w:w="688" w:type="pct"/>
            <w:vMerge/>
          </w:tcPr>
          <w:p w14:paraId="29896141" w14:textId="77777777" w:rsidR="00FE6BD7" w:rsidRPr="009A1DE7" w:rsidRDefault="00FE6BD7" w:rsidP="00C81021">
            <w:pPr>
              <w:pStyle w:val="TableText"/>
            </w:pPr>
          </w:p>
        </w:tc>
        <w:tc>
          <w:tcPr>
            <w:tcW w:w="937" w:type="pct"/>
            <w:vMerge/>
          </w:tcPr>
          <w:p w14:paraId="1664C492" w14:textId="77777777" w:rsidR="00FE6BD7" w:rsidRPr="009A1DE7" w:rsidRDefault="00FE6BD7" w:rsidP="00C81021">
            <w:pPr>
              <w:pStyle w:val="TableText"/>
            </w:pPr>
          </w:p>
        </w:tc>
        <w:tc>
          <w:tcPr>
            <w:tcW w:w="719" w:type="pct"/>
            <w:vMerge/>
          </w:tcPr>
          <w:p w14:paraId="32D5D33B" w14:textId="77777777" w:rsidR="00FE6BD7" w:rsidRPr="009A1DE7" w:rsidRDefault="00FE6BD7" w:rsidP="00C81021">
            <w:pPr>
              <w:pStyle w:val="TableText"/>
            </w:pPr>
          </w:p>
        </w:tc>
        <w:tc>
          <w:tcPr>
            <w:tcW w:w="532" w:type="pct"/>
            <w:vMerge/>
          </w:tcPr>
          <w:p w14:paraId="50154F21"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C8996E1"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256E132D" w14:textId="77777777" w:rsidR="00FE6BD7" w:rsidRPr="00EE4BD6" w:rsidRDefault="00FE6BD7" w:rsidP="00C81021">
            <w:pPr>
              <w:pStyle w:val="TableText"/>
            </w:pPr>
          </w:p>
        </w:tc>
      </w:tr>
      <w:tr w:rsidR="00FE6BD7" w:rsidRPr="00EE4BD6" w14:paraId="6419CF1F" w14:textId="77777777" w:rsidTr="001337C7">
        <w:trPr>
          <w:cantSplit/>
          <w:trHeight w:val="428"/>
        </w:trPr>
        <w:tc>
          <w:tcPr>
            <w:tcW w:w="436" w:type="pct"/>
            <w:vMerge/>
          </w:tcPr>
          <w:p w14:paraId="2B5EE6D5" w14:textId="77777777" w:rsidR="00FE6BD7" w:rsidRPr="00EF587A" w:rsidRDefault="00FE6BD7" w:rsidP="00C81021">
            <w:pPr>
              <w:pStyle w:val="TableText"/>
            </w:pPr>
          </w:p>
        </w:tc>
        <w:tc>
          <w:tcPr>
            <w:tcW w:w="469" w:type="pct"/>
            <w:vMerge/>
          </w:tcPr>
          <w:p w14:paraId="72CA3339" w14:textId="77777777" w:rsidR="00FE6BD7" w:rsidRPr="009A1DE7" w:rsidRDefault="00FE6BD7" w:rsidP="00C81021">
            <w:pPr>
              <w:pStyle w:val="TableText"/>
              <w:numPr>
                <w:ilvl w:val="0"/>
                <w:numId w:val="3"/>
              </w:numPr>
              <w:ind w:left="226" w:hanging="180"/>
            </w:pPr>
          </w:p>
        </w:tc>
        <w:tc>
          <w:tcPr>
            <w:tcW w:w="438" w:type="pct"/>
            <w:vMerge/>
          </w:tcPr>
          <w:p w14:paraId="521BF43D" w14:textId="77777777" w:rsidR="00FE6BD7" w:rsidRPr="009A1DE7" w:rsidRDefault="00FE6BD7" w:rsidP="00C81021">
            <w:pPr>
              <w:pStyle w:val="TableText"/>
            </w:pPr>
          </w:p>
        </w:tc>
        <w:tc>
          <w:tcPr>
            <w:tcW w:w="688" w:type="pct"/>
            <w:vMerge/>
          </w:tcPr>
          <w:p w14:paraId="15759C9B" w14:textId="77777777" w:rsidR="00FE6BD7" w:rsidRPr="009A1DE7" w:rsidRDefault="00FE6BD7" w:rsidP="00C81021">
            <w:pPr>
              <w:pStyle w:val="TableText"/>
            </w:pPr>
          </w:p>
        </w:tc>
        <w:tc>
          <w:tcPr>
            <w:tcW w:w="937" w:type="pct"/>
            <w:vMerge/>
          </w:tcPr>
          <w:p w14:paraId="5C05B4FB" w14:textId="77777777" w:rsidR="00FE6BD7" w:rsidRPr="009A1DE7" w:rsidRDefault="00FE6BD7" w:rsidP="00C81021">
            <w:pPr>
              <w:pStyle w:val="TableText"/>
            </w:pPr>
          </w:p>
        </w:tc>
        <w:tc>
          <w:tcPr>
            <w:tcW w:w="719" w:type="pct"/>
            <w:vMerge/>
          </w:tcPr>
          <w:p w14:paraId="61FCF6BF" w14:textId="77777777" w:rsidR="00FE6BD7" w:rsidRPr="009A1DE7" w:rsidRDefault="00FE6BD7" w:rsidP="00C81021">
            <w:pPr>
              <w:pStyle w:val="TableText"/>
            </w:pPr>
          </w:p>
        </w:tc>
        <w:tc>
          <w:tcPr>
            <w:tcW w:w="532" w:type="pct"/>
            <w:vMerge/>
          </w:tcPr>
          <w:p w14:paraId="4092D700"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C4EFE21"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5D781DBD" w14:textId="77777777" w:rsidR="00FE6BD7" w:rsidRPr="00EE4BD6" w:rsidRDefault="00FE6BD7" w:rsidP="00C81021">
            <w:pPr>
              <w:pStyle w:val="TableText"/>
            </w:pPr>
          </w:p>
        </w:tc>
      </w:tr>
      <w:tr w:rsidR="00FE6BD7" w:rsidRPr="00EF587A" w14:paraId="76B106FD" w14:textId="77777777" w:rsidTr="001337C7">
        <w:trPr>
          <w:cantSplit/>
          <w:trHeight w:val="428"/>
        </w:trPr>
        <w:tc>
          <w:tcPr>
            <w:tcW w:w="436" w:type="pct"/>
            <w:vMerge/>
          </w:tcPr>
          <w:p w14:paraId="4D2BD4F1" w14:textId="77777777" w:rsidR="00FE6BD7" w:rsidRPr="00EF587A" w:rsidRDefault="00FE6BD7" w:rsidP="00C81021">
            <w:pPr>
              <w:pStyle w:val="TableText"/>
            </w:pPr>
          </w:p>
        </w:tc>
        <w:tc>
          <w:tcPr>
            <w:tcW w:w="469" w:type="pct"/>
            <w:vMerge/>
          </w:tcPr>
          <w:p w14:paraId="259504FC" w14:textId="77777777" w:rsidR="00FE6BD7" w:rsidRPr="00EF587A" w:rsidRDefault="00FE6BD7" w:rsidP="00C81021">
            <w:pPr>
              <w:pStyle w:val="TableText"/>
            </w:pPr>
          </w:p>
        </w:tc>
        <w:tc>
          <w:tcPr>
            <w:tcW w:w="438" w:type="pct"/>
            <w:vMerge/>
          </w:tcPr>
          <w:p w14:paraId="60ECEC72" w14:textId="77777777" w:rsidR="00FE6BD7" w:rsidRPr="00EF587A" w:rsidRDefault="00FE6BD7" w:rsidP="00C81021">
            <w:pPr>
              <w:pStyle w:val="TableText"/>
            </w:pPr>
          </w:p>
        </w:tc>
        <w:tc>
          <w:tcPr>
            <w:tcW w:w="688" w:type="pct"/>
            <w:vMerge/>
          </w:tcPr>
          <w:p w14:paraId="7C37B464" w14:textId="77777777" w:rsidR="00FE6BD7" w:rsidRPr="00EF587A" w:rsidRDefault="00FE6BD7" w:rsidP="00C81021">
            <w:pPr>
              <w:pStyle w:val="TableText"/>
            </w:pPr>
          </w:p>
        </w:tc>
        <w:tc>
          <w:tcPr>
            <w:tcW w:w="937" w:type="pct"/>
            <w:vMerge/>
          </w:tcPr>
          <w:p w14:paraId="00105E83" w14:textId="77777777" w:rsidR="00FE6BD7" w:rsidRPr="00EF587A" w:rsidRDefault="00FE6BD7" w:rsidP="00C81021">
            <w:pPr>
              <w:pStyle w:val="TableText"/>
            </w:pPr>
          </w:p>
        </w:tc>
        <w:tc>
          <w:tcPr>
            <w:tcW w:w="719" w:type="pct"/>
            <w:vMerge/>
          </w:tcPr>
          <w:p w14:paraId="0F067693" w14:textId="77777777" w:rsidR="00FE6BD7" w:rsidRPr="00EF587A" w:rsidRDefault="00FE6BD7" w:rsidP="00C81021">
            <w:pPr>
              <w:pStyle w:val="TableText"/>
            </w:pPr>
          </w:p>
        </w:tc>
        <w:tc>
          <w:tcPr>
            <w:tcW w:w="532" w:type="pct"/>
            <w:vMerge/>
          </w:tcPr>
          <w:p w14:paraId="05FF949D" w14:textId="77777777" w:rsidR="00FE6BD7" w:rsidRPr="00EF587A" w:rsidRDefault="00FE6BD7" w:rsidP="00C81021">
            <w:pPr>
              <w:pStyle w:val="TableText"/>
            </w:pPr>
          </w:p>
        </w:tc>
        <w:tc>
          <w:tcPr>
            <w:tcW w:w="345" w:type="pct"/>
            <w:shd w:val="clear" w:color="auto" w:fill="F2F2F2" w:themeFill="background1" w:themeFillShade="F2"/>
          </w:tcPr>
          <w:p w14:paraId="38F4F670"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289EFF33" w14:textId="77777777" w:rsidR="00FE6BD7" w:rsidRPr="00EF587A" w:rsidRDefault="00FE6BD7" w:rsidP="00C81021">
            <w:pPr>
              <w:pStyle w:val="TableText"/>
            </w:pPr>
          </w:p>
        </w:tc>
      </w:tr>
      <w:tr w:rsidR="00FE6BD7" w:rsidRPr="00EE4BD6" w14:paraId="4A8CDBC8" w14:textId="77777777" w:rsidTr="001337C7">
        <w:trPr>
          <w:cantSplit/>
        </w:trPr>
        <w:tc>
          <w:tcPr>
            <w:tcW w:w="5000" w:type="pct"/>
            <w:gridSpan w:val="9"/>
            <w:shd w:val="clear" w:color="auto" w:fill="E2EFD9" w:themeFill="accent6" w:themeFillTint="33"/>
          </w:tcPr>
          <w:p w14:paraId="5CEB50EF" w14:textId="77777777" w:rsidR="00FE6BD7" w:rsidRPr="00ED339A" w:rsidRDefault="00FE6BD7" w:rsidP="00EF587A">
            <w:pPr>
              <w:pStyle w:val="TableText"/>
              <w:rPr>
                <w:sz w:val="8"/>
                <w:szCs w:val="8"/>
              </w:rPr>
            </w:pPr>
          </w:p>
        </w:tc>
      </w:tr>
      <w:tr w:rsidR="00304C5D" w:rsidRPr="00EE4BD6" w14:paraId="184A682D" w14:textId="77777777" w:rsidTr="001337C7">
        <w:trPr>
          <w:cantSplit/>
          <w:trHeight w:val="428"/>
        </w:trPr>
        <w:tc>
          <w:tcPr>
            <w:tcW w:w="436" w:type="pct"/>
            <w:vMerge w:val="restart"/>
            <w:vAlign w:val="center"/>
          </w:tcPr>
          <w:p w14:paraId="5BE16989" w14:textId="45109F63" w:rsidR="00304C5D" w:rsidRPr="00F77313" w:rsidRDefault="00304C5D" w:rsidP="00ED339A">
            <w:pPr>
              <w:pStyle w:val="TableText"/>
              <w:keepNext/>
              <w:keepLines/>
              <w:jc w:val="center"/>
              <w:rPr>
                <w:b/>
                <w:bCs/>
              </w:rPr>
            </w:pPr>
            <w:r w:rsidRPr="00304C5D">
              <w:rPr>
                <w:b/>
                <w:bCs/>
              </w:rPr>
              <w:lastRenderedPageBreak/>
              <w:t>Pre-Estimates Not Sent Report</w:t>
            </w:r>
          </w:p>
        </w:tc>
        <w:tc>
          <w:tcPr>
            <w:tcW w:w="469" w:type="pct"/>
            <w:vMerge w:val="restart"/>
          </w:tcPr>
          <w:p w14:paraId="22AE8A25" w14:textId="77777777" w:rsidR="00304C5D" w:rsidRDefault="00304C5D" w:rsidP="00ED339A">
            <w:pPr>
              <w:pStyle w:val="TableText"/>
              <w:keepNext/>
              <w:keepLines/>
              <w:numPr>
                <w:ilvl w:val="0"/>
                <w:numId w:val="3"/>
              </w:numPr>
              <w:ind w:left="226" w:hanging="180"/>
            </w:pPr>
            <w:r>
              <w:t>Date Range: T</w:t>
            </w:r>
            <w:r w:rsidRPr="00837A86">
              <w:t>oday</w:t>
            </w:r>
          </w:p>
          <w:p w14:paraId="719A8DCD" w14:textId="1CF6693D" w:rsidR="00304C5D" w:rsidRPr="009A1DE7" w:rsidRDefault="00304C5D" w:rsidP="00ED339A">
            <w:pPr>
              <w:pStyle w:val="TableText"/>
              <w:keepNext/>
              <w:keepLines/>
              <w:numPr>
                <w:ilvl w:val="0"/>
                <w:numId w:val="3"/>
              </w:numPr>
              <w:ind w:left="226" w:hanging="180"/>
            </w:pPr>
            <w:r w:rsidRPr="009A1DE7">
              <w:t xml:space="preserve">All parameters for </w:t>
            </w:r>
            <w:r w:rsidRPr="00837A86">
              <w:t xml:space="preserve">Patient, Insurance Carrier, Clinic, Provider, Billing Type, </w:t>
            </w:r>
            <w:r>
              <w:t xml:space="preserve">and </w:t>
            </w:r>
            <w:r w:rsidRPr="00837A86">
              <w:t>Patient Tag</w:t>
            </w:r>
          </w:p>
        </w:tc>
        <w:tc>
          <w:tcPr>
            <w:tcW w:w="438" w:type="pct"/>
            <w:vMerge w:val="restart"/>
          </w:tcPr>
          <w:p w14:paraId="513ED3ED" w14:textId="342FFAB0" w:rsidR="00304C5D" w:rsidRPr="009A1DE7" w:rsidRDefault="00304C5D" w:rsidP="00ED339A">
            <w:pPr>
              <w:pStyle w:val="TableText"/>
              <w:keepNext/>
              <w:keepLines/>
            </w:pPr>
            <w:r>
              <w:t>Billing or Front Desk Staff</w:t>
            </w:r>
          </w:p>
        </w:tc>
        <w:tc>
          <w:tcPr>
            <w:tcW w:w="688" w:type="pct"/>
            <w:vMerge w:val="restart"/>
          </w:tcPr>
          <w:p w14:paraId="72551F02" w14:textId="2FB10E40" w:rsidR="00304C5D" w:rsidRPr="009A1DE7" w:rsidRDefault="00304C5D" w:rsidP="00ED339A">
            <w:pPr>
              <w:pStyle w:val="TableText"/>
              <w:keepNext/>
              <w:keepLines/>
            </w:pPr>
            <w:r>
              <w:t>I</w:t>
            </w:r>
            <w:r w:rsidRPr="000F3D09">
              <w:t xml:space="preserve">dentify and process </w:t>
            </w:r>
            <w:r>
              <w:t>p</w:t>
            </w:r>
            <w:r w:rsidRPr="000F3D09">
              <w:t>re-</w:t>
            </w:r>
            <w:r>
              <w:t>t</w:t>
            </w:r>
            <w:r w:rsidRPr="000F3D09">
              <w:t xml:space="preserve">reatment </w:t>
            </w:r>
            <w:r>
              <w:t>i</w:t>
            </w:r>
            <w:r w:rsidRPr="000F3D09">
              <w:t xml:space="preserve">nsurance </w:t>
            </w:r>
            <w:r>
              <w:t>e</w:t>
            </w:r>
            <w:r w:rsidRPr="000F3D09">
              <w:t>stimates that have not been sent.</w:t>
            </w:r>
          </w:p>
        </w:tc>
        <w:tc>
          <w:tcPr>
            <w:tcW w:w="937" w:type="pct"/>
            <w:vMerge w:val="restart"/>
          </w:tcPr>
          <w:p w14:paraId="367C7EB3" w14:textId="77777777" w:rsidR="00304C5D" w:rsidRDefault="00304C5D" w:rsidP="00ED339A">
            <w:pPr>
              <w:pStyle w:val="TableText"/>
              <w:keepNext/>
              <w:keepLines/>
            </w:pPr>
            <w:r w:rsidRPr="000F3D09">
              <w:t>Clinical staff created treatment plan in Chart. F</w:t>
            </w:r>
            <w:r>
              <w:t xml:space="preserve">ront Desk or </w:t>
            </w:r>
            <w:r w:rsidRPr="000F3D09">
              <w:t xml:space="preserve">Billing Staff created a </w:t>
            </w:r>
            <w:r>
              <w:t>p</w:t>
            </w:r>
            <w:r w:rsidRPr="000F3D09">
              <w:t>re-</w:t>
            </w:r>
            <w:r>
              <w:t>t</w:t>
            </w:r>
            <w:r w:rsidRPr="000F3D09">
              <w:t xml:space="preserve">reatment </w:t>
            </w:r>
            <w:r>
              <w:t>e</w:t>
            </w:r>
            <w:r w:rsidRPr="000F3D09">
              <w:t xml:space="preserve">stimate </w:t>
            </w:r>
            <w:r>
              <w:t>in</w:t>
            </w:r>
            <w:r w:rsidRPr="000F3D09">
              <w:t xml:space="preserve"> Ledger.</w:t>
            </w:r>
            <w:r>
              <w:t xml:space="preserve"> </w:t>
            </w:r>
          </w:p>
          <w:p w14:paraId="46938FDB" w14:textId="61155D83" w:rsidR="00304C5D" w:rsidRPr="009A1DE7" w:rsidRDefault="00304C5D" w:rsidP="00ED339A">
            <w:pPr>
              <w:pStyle w:val="TableText"/>
              <w:keepNext/>
              <w:keepLines/>
              <w:numPr>
                <w:ilvl w:val="0"/>
                <w:numId w:val="2"/>
              </w:numPr>
              <w:ind w:left="232" w:hanging="180"/>
            </w:pPr>
            <w:r>
              <w:rPr>
                <w:u w:val="single"/>
              </w:rPr>
              <w:t>Chart</w:t>
            </w:r>
            <w:r>
              <w:t xml:space="preserve">: </w:t>
            </w:r>
            <w:r w:rsidRPr="000F3D09">
              <w:t xml:space="preserve">Confirm the </w:t>
            </w:r>
            <w:r>
              <w:t>t</w:t>
            </w:r>
            <w:r w:rsidRPr="000F3D09">
              <w:t>reatment</w:t>
            </w:r>
            <w:r>
              <w:t>-p</w:t>
            </w:r>
            <w:r w:rsidRPr="000F3D09">
              <w:t xml:space="preserve">lanned procedures on the claim are ready to be sent to insurance. Print </w:t>
            </w:r>
            <w:r>
              <w:t xml:space="preserve">claim, </w:t>
            </w:r>
            <w:r w:rsidRPr="000F3D09">
              <w:t>or send claim electronically</w:t>
            </w:r>
            <w:r>
              <w:t>.</w:t>
            </w:r>
          </w:p>
        </w:tc>
        <w:tc>
          <w:tcPr>
            <w:tcW w:w="719" w:type="pct"/>
            <w:vMerge w:val="restart"/>
          </w:tcPr>
          <w:p w14:paraId="26028F6A" w14:textId="665AA025" w:rsidR="00304C5D" w:rsidRPr="00EF587A" w:rsidRDefault="00304C5D" w:rsidP="00ED339A">
            <w:pPr>
              <w:pStyle w:val="TableText"/>
              <w:keepNext/>
              <w:keepLines/>
            </w:pPr>
            <w:r w:rsidRPr="000F3D09">
              <w:t>If the patient (or the clinic) needs a pre-treatment estimate prior to proceeding with</w:t>
            </w:r>
            <w:r>
              <w:t xml:space="preserve"> recommended</w:t>
            </w:r>
            <w:r w:rsidRPr="000F3D09">
              <w:t xml:space="preserve"> treatment, this report will reveal those insurance estimates that have not yet been sent. If </w:t>
            </w:r>
            <w:r>
              <w:t xml:space="preserve">the report is </w:t>
            </w:r>
            <w:r w:rsidRPr="000F3D09">
              <w:t xml:space="preserve">not generated, all will be awaiting information that has not even left the office </w:t>
            </w:r>
            <w:r>
              <w:t>to be processed by insurance</w:t>
            </w:r>
            <w:r w:rsidRPr="000F3D09">
              <w:t>.</w:t>
            </w:r>
          </w:p>
        </w:tc>
        <w:tc>
          <w:tcPr>
            <w:tcW w:w="532" w:type="pct"/>
            <w:vMerge w:val="restart"/>
          </w:tcPr>
          <w:p w14:paraId="4B449A97" w14:textId="5BB19888" w:rsidR="00304C5D" w:rsidRPr="00EF587A" w:rsidRDefault="00304C5D" w:rsidP="00ED339A">
            <w:pPr>
              <w:pStyle w:val="TableText"/>
              <w:keepNext/>
              <w:keepLines/>
              <w:numPr>
                <w:ilvl w:val="0"/>
                <w:numId w:val="1"/>
              </w:numPr>
              <w:spacing w:after="0"/>
              <w:ind w:left="187" w:hanging="187"/>
            </w:pPr>
            <w:r>
              <w:t>Revenue Cycle</w:t>
            </w:r>
          </w:p>
        </w:tc>
        <w:tc>
          <w:tcPr>
            <w:tcW w:w="345" w:type="pct"/>
            <w:shd w:val="clear" w:color="auto" w:fill="F2F2F2" w:themeFill="background1" w:themeFillShade="F2"/>
          </w:tcPr>
          <w:p w14:paraId="21EB7ED4" w14:textId="77777777" w:rsidR="00304C5D" w:rsidRPr="00EE4BD6" w:rsidRDefault="00304C5D" w:rsidP="00ED339A">
            <w:pPr>
              <w:pStyle w:val="TableText"/>
              <w:keepNext/>
              <w:keepLines/>
            </w:pPr>
            <w:r w:rsidRPr="001F26DF">
              <w:t>Date Reviewed</w:t>
            </w:r>
            <w:r>
              <w:t>:</w:t>
            </w:r>
          </w:p>
        </w:tc>
        <w:tc>
          <w:tcPr>
            <w:tcW w:w="436" w:type="pct"/>
            <w:shd w:val="clear" w:color="auto" w:fill="F2F2F2" w:themeFill="background1" w:themeFillShade="F2"/>
          </w:tcPr>
          <w:p w14:paraId="626D5B0A" w14:textId="77777777" w:rsidR="00304C5D" w:rsidRPr="00EE4BD6" w:rsidRDefault="00304C5D" w:rsidP="00ED339A">
            <w:pPr>
              <w:pStyle w:val="TableText"/>
              <w:keepNext/>
              <w:keepLines/>
            </w:pPr>
          </w:p>
        </w:tc>
      </w:tr>
      <w:tr w:rsidR="00FE6BD7" w:rsidRPr="00EE4BD6" w14:paraId="24820885" w14:textId="77777777" w:rsidTr="001337C7">
        <w:trPr>
          <w:cantSplit/>
          <w:trHeight w:val="428"/>
        </w:trPr>
        <w:tc>
          <w:tcPr>
            <w:tcW w:w="436" w:type="pct"/>
            <w:vMerge/>
          </w:tcPr>
          <w:p w14:paraId="798B3C25" w14:textId="77777777" w:rsidR="00FE6BD7" w:rsidRPr="00EF587A" w:rsidRDefault="00FE6BD7" w:rsidP="00ED339A">
            <w:pPr>
              <w:pStyle w:val="TableText"/>
              <w:keepNext/>
              <w:keepLines/>
            </w:pPr>
          </w:p>
        </w:tc>
        <w:tc>
          <w:tcPr>
            <w:tcW w:w="469" w:type="pct"/>
            <w:vMerge/>
          </w:tcPr>
          <w:p w14:paraId="6D8F4150" w14:textId="77777777" w:rsidR="00FE6BD7" w:rsidRPr="009A1DE7" w:rsidRDefault="00FE6BD7" w:rsidP="00ED339A">
            <w:pPr>
              <w:pStyle w:val="TableText"/>
              <w:keepNext/>
              <w:keepLines/>
              <w:numPr>
                <w:ilvl w:val="0"/>
                <w:numId w:val="3"/>
              </w:numPr>
              <w:ind w:left="226" w:hanging="180"/>
            </w:pPr>
          </w:p>
        </w:tc>
        <w:tc>
          <w:tcPr>
            <w:tcW w:w="438" w:type="pct"/>
            <w:vMerge/>
          </w:tcPr>
          <w:p w14:paraId="2BC98D3B" w14:textId="77777777" w:rsidR="00FE6BD7" w:rsidRPr="009A1DE7" w:rsidRDefault="00FE6BD7" w:rsidP="00ED339A">
            <w:pPr>
              <w:pStyle w:val="TableText"/>
              <w:keepNext/>
              <w:keepLines/>
            </w:pPr>
          </w:p>
        </w:tc>
        <w:tc>
          <w:tcPr>
            <w:tcW w:w="688" w:type="pct"/>
            <w:vMerge/>
          </w:tcPr>
          <w:p w14:paraId="6E3BCAF3" w14:textId="77777777" w:rsidR="00FE6BD7" w:rsidRPr="009A1DE7" w:rsidRDefault="00FE6BD7" w:rsidP="00ED339A">
            <w:pPr>
              <w:pStyle w:val="TableText"/>
              <w:keepNext/>
              <w:keepLines/>
            </w:pPr>
          </w:p>
        </w:tc>
        <w:tc>
          <w:tcPr>
            <w:tcW w:w="937" w:type="pct"/>
            <w:vMerge/>
          </w:tcPr>
          <w:p w14:paraId="06E5C72A" w14:textId="77777777" w:rsidR="00FE6BD7" w:rsidRPr="009A1DE7" w:rsidRDefault="00FE6BD7" w:rsidP="00ED339A">
            <w:pPr>
              <w:pStyle w:val="TableText"/>
              <w:keepNext/>
              <w:keepLines/>
            </w:pPr>
          </w:p>
        </w:tc>
        <w:tc>
          <w:tcPr>
            <w:tcW w:w="719" w:type="pct"/>
            <w:vMerge/>
          </w:tcPr>
          <w:p w14:paraId="3816458A" w14:textId="77777777" w:rsidR="00FE6BD7" w:rsidRPr="009A1DE7" w:rsidRDefault="00FE6BD7" w:rsidP="00ED339A">
            <w:pPr>
              <w:pStyle w:val="TableText"/>
              <w:keepNext/>
              <w:keepLines/>
            </w:pPr>
          </w:p>
        </w:tc>
        <w:tc>
          <w:tcPr>
            <w:tcW w:w="532" w:type="pct"/>
            <w:vMerge/>
          </w:tcPr>
          <w:p w14:paraId="49768A36" w14:textId="77777777" w:rsidR="00FE6BD7" w:rsidRPr="009A1DE7" w:rsidRDefault="00FE6BD7" w:rsidP="00ED339A">
            <w:pPr>
              <w:pStyle w:val="TableText"/>
              <w:keepNext/>
              <w:keepLines/>
              <w:numPr>
                <w:ilvl w:val="0"/>
                <w:numId w:val="1"/>
              </w:numPr>
              <w:spacing w:after="0"/>
              <w:ind w:left="187" w:hanging="187"/>
            </w:pPr>
          </w:p>
        </w:tc>
        <w:tc>
          <w:tcPr>
            <w:tcW w:w="345" w:type="pct"/>
            <w:shd w:val="clear" w:color="auto" w:fill="F2F2F2" w:themeFill="background1" w:themeFillShade="F2"/>
          </w:tcPr>
          <w:p w14:paraId="63A1139B" w14:textId="77777777" w:rsidR="00FE6BD7" w:rsidRPr="00EE4BD6" w:rsidRDefault="00FE6BD7" w:rsidP="00ED339A">
            <w:pPr>
              <w:pStyle w:val="TableText"/>
              <w:keepNext/>
              <w:keepLines/>
            </w:pPr>
            <w:r w:rsidRPr="009A1DE7">
              <w:t>Assigned Individual</w:t>
            </w:r>
            <w:r>
              <w:t>:</w:t>
            </w:r>
          </w:p>
        </w:tc>
        <w:tc>
          <w:tcPr>
            <w:tcW w:w="436" w:type="pct"/>
            <w:shd w:val="clear" w:color="auto" w:fill="F2F2F2" w:themeFill="background1" w:themeFillShade="F2"/>
          </w:tcPr>
          <w:p w14:paraId="357A00EB" w14:textId="77777777" w:rsidR="00FE6BD7" w:rsidRPr="00EE4BD6" w:rsidRDefault="00FE6BD7" w:rsidP="00ED339A">
            <w:pPr>
              <w:pStyle w:val="TableText"/>
              <w:keepNext/>
              <w:keepLines/>
            </w:pPr>
          </w:p>
        </w:tc>
      </w:tr>
      <w:tr w:rsidR="00FE6BD7" w:rsidRPr="00EE4BD6" w14:paraId="5B1E4745" w14:textId="77777777" w:rsidTr="001337C7">
        <w:trPr>
          <w:cantSplit/>
          <w:trHeight w:val="428"/>
        </w:trPr>
        <w:tc>
          <w:tcPr>
            <w:tcW w:w="436" w:type="pct"/>
            <w:vMerge/>
          </w:tcPr>
          <w:p w14:paraId="2B8DA54B" w14:textId="77777777" w:rsidR="00FE6BD7" w:rsidRPr="00EF587A" w:rsidRDefault="00FE6BD7" w:rsidP="00ED339A">
            <w:pPr>
              <w:pStyle w:val="TableText"/>
              <w:keepNext/>
              <w:keepLines/>
            </w:pPr>
          </w:p>
        </w:tc>
        <w:tc>
          <w:tcPr>
            <w:tcW w:w="469" w:type="pct"/>
            <w:vMerge/>
          </w:tcPr>
          <w:p w14:paraId="740AF2F4" w14:textId="77777777" w:rsidR="00FE6BD7" w:rsidRPr="009A1DE7" w:rsidRDefault="00FE6BD7" w:rsidP="00ED339A">
            <w:pPr>
              <w:pStyle w:val="TableText"/>
              <w:keepNext/>
              <w:keepLines/>
              <w:numPr>
                <w:ilvl w:val="0"/>
                <w:numId w:val="3"/>
              </w:numPr>
              <w:ind w:left="226" w:hanging="180"/>
            </w:pPr>
          </w:p>
        </w:tc>
        <w:tc>
          <w:tcPr>
            <w:tcW w:w="438" w:type="pct"/>
            <w:vMerge/>
          </w:tcPr>
          <w:p w14:paraId="63176A22" w14:textId="77777777" w:rsidR="00FE6BD7" w:rsidRPr="009A1DE7" w:rsidRDefault="00FE6BD7" w:rsidP="00ED339A">
            <w:pPr>
              <w:pStyle w:val="TableText"/>
              <w:keepNext/>
              <w:keepLines/>
            </w:pPr>
          </w:p>
        </w:tc>
        <w:tc>
          <w:tcPr>
            <w:tcW w:w="688" w:type="pct"/>
            <w:vMerge/>
          </w:tcPr>
          <w:p w14:paraId="144F7EFC" w14:textId="77777777" w:rsidR="00FE6BD7" w:rsidRPr="009A1DE7" w:rsidRDefault="00FE6BD7" w:rsidP="00ED339A">
            <w:pPr>
              <w:pStyle w:val="TableText"/>
              <w:keepNext/>
              <w:keepLines/>
            </w:pPr>
          </w:p>
        </w:tc>
        <w:tc>
          <w:tcPr>
            <w:tcW w:w="937" w:type="pct"/>
            <w:vMerge/>
          </w:tcPr>
          <w:p w14:paraId="48C73AD9" w14:textId="77777777" w:rsidR="00FE6BD7" w:rsidRPr="009A1DE7" w:rsidRDefault="00FE6BD7" w:rsidP="00ED339A">
            <w:pPr>
              <w:pStyle w:val="TableText"/>
              <w:keepNext/>
              <w:keepLines/>
            </w:pPr>
          </w:p>
        </w:tc>
        <w:tc>
          <w:tcPr>
            <w:tcW w:w="719" w:type="pct"/>
            <w:vMerge/>
          </w:tcPr>
          <w:p w14:paraId="1E29849B" w14:textId="77777777" w:rsidR="00FE6BD7" w:rsidRPr="009A1DE7" w:rsidRDefault="00FE6BD7" w:rsidP="00ED339A">
            <w:pPr>
              <w:pStyle w:val="TableText"/>
              <w:keepNext/>
              <w:keepLines/>
            </w:pPr>
          </w:p>
        </w:tc>
        <w:tc>
          <w:tcPr>
            <w:tcW w:w="532" w:type="pct"/>
            <w:vMerge/>
          </w:tcPr>
          <w:p w14:paraId="39D0E5C2" w14:textId="77777777" w:rsidR="00FE6BD7" w:rsidRPr="009A1DE7" w:rsidRDefault="00FE6BD7" w:rsidP="00ED339A">
            <w:pPr>
              <w:pStyle w:val="TableText"/>
              <w:keepNext/>
              <w:keepLines/>
              <w:numPr>
                <w:ilvl w:val="0"/>
                <w:numId w:val="1"/>
              </w:numPr>
              <w:spacing w:after="0"/>
              <w:ind w:left="187" w:hanging="187"/>
            </w:pPr>
          </w:p>
        </w:tc>
        <w:tc>
          <w:tcPr>
            <w:tcW w:w="345" w:type="pct"/>
            <w:shd w:val="clear" w:color="auto" w:fill="F2F2F2" w:themeFill="background1" w:themeFillShade="F2"/>
          </w:tcPr>
          <w:p w14:paraId="1E0B06D7" w14:textId="77777777" w:rsidR="00FE6BD7" w:rsidRPr="00EE4BD6" w:rsidRDefault="00FE6BD7" w:rsidP="00ED339A">
            <w:pPr>
              <w:pStyle w:val="TableText"/>
              <w:keepNext/>
              <w:keepLines/>
            </w:pPr>
            <w:r w:rsidRPr="009A1DE7">
              <w:t>Actions Required</w:t>
            </w:r>
            <w:r>
              <w:t>:</w:t>
            </w:r>
          </w:p>
        </w:tc>
        <w:tc>
          <w:tcPr>
            <w:tcW w:w="436" w:type="pct"/>
            <w:shd w:val="clear" w:color="auto" w:fill="F2F2F2" w:themeFill="background1" w:themeFillShade="F2"/>
          </w:tcPr>
          <w:p w14:paraId="281224E6" w14:textId="77777777" w:rsidR="00FE6BD7" w:rsidRPr="00EE4BD6" w:rsidRDefault="00FE6BD7" w:rsidP="00ED339A">
            <w:pPr>
              <w:pStyle w:val="TableText"/>
              <w:keepNext/>
              <w:keepLines/>
            </w:pPr>
          </w:p>
        </w:tc>
      </w:tr>
      <w:tr w:rsidR="00FE6BD7" w:rsidRPr="00EE4BD6" w14:paraId="37163EB3" w14:textId="77777777" w:rsidTr="001337C7">
        <w:trPr>
          <w:cantSplit/>
          <w:trHeight w:val="428"/>
        </w:trPr>
        <w:tc>
          <w:tcPr>
            <w:tcW w:w="436" w:type="pct"/>
            <w:vMerge/>
          </w:tcPr>
          <w:p w14:paraId="33A1195A" w14:textId="77777777" w:rsidR="00FE6BD7" w:rsidRPr="00EF587A" w:rsidRDefault="00FE6BD7" w:rsidP="00ED339A">
            <w:pPr>
              <w:pStyle w:val="TableText"/>
              <w:keepNext/>
              <w:keepLines/>
            </w:pPr>
          </w:p>
        </w:tc>
        <w:tc>
          <w:tcPr>
            <w:tcW w:w="469" w:type="pct"/>
            <w:vMerge/>
          </w:tcPr>
          <w:p w14:paraId="46567221" w14:textId="77777777" w:rsidR="00FE6BD7" w:rsidRPr="009A1DE7" w:rsidRDefault="00FE6BD7" w:rsidP="00ED339A">
            <w:pPr>
              <w:pStyle w:val="TableText"/>
              <w:keepNext/>
              <w:keepLines/>
              <w:numPr>
                <w:ilvl w:val="0"/>
                <w:numId w:val="3"/>
              </w:numPr>
              <w:ind w:left="226" w:hanging="180"/>
            </w:pPr>
          </w:p>
        </w:tc>
        <w:tc>
          <w:tcPr>
            <w:tcW w:w="438" w:type="pct"/>
            <w:vMerge/>
          </w:tcPr>
          <w:p w14:paraId="7D652D0F" w14:textId="77777777" w:rsidR="00FE6BD7" w:rsidRPr="009A1DE7" w:rsidRDefault="00FE6BD7" w:rsidP="00ED339A">
            <w:pPr>
              <w:pStyle w:val="TableText"/>
              <w:keepNext/>
              <w:keepLines/>
            </w:pPr>
          </w:p>
        </w:tc>
        <w:tc>
          <w:tcPr>
            <w:tcW w:w="688" w:type="pct"/>
            <w:vMerge/>
          </w:tcPr>
          <w:p w14:paraId="2D7E86D2" w14:textId="77777777" w:rsidR="00FE6BD7" w:rsidRPr="009A1DE7" w:rsidRDefault="00FE6BD7" w:rsidP="00ED339A">
            <w:pPr>
              <w:pStyle w:val="TableText"/>
              <w:keepNext/>
              <w:keepLines/>
            </w:pPr>
          </w:p>
        </w:tc>
        <w:tc>
          <w:tcPr>
            <w:tcW w:w="937" w:type="pct"/>
            <w:vMerge/>
          </w:tcPr>
          <w:p w14:paraId="6A06EF31" w14:textId="77777777" w:rsidR="00FE6BD7" w:rsidRPr="009A1DE7" w:rsidRDefault="00FE6BD7" w:rsidP="00ED339A">
            <w:pPr>
              <w:pStyle w:val="TableText"/>
              <w:keepNext/>
              <w:keepLines/>
            </w:pPr>
          </w:p>
        </w:tc>
        <w:tc>
          <w:tcPr>
            <w:tcW w:w="719" w:type="pct"/>
            <w:vMerge/>
          </w:tcPr>
          <w:p w14:paraId="271320E4" w14:textId="77777777" w:rsidR="00FE6BD7" w:rsidRPr="009A1DE7" w:rsidRDefault="00FE6BD7" w:rsidP="00ED339A">
            <w:pPr>
              <w:pStyle w:val="TableText"/>
              <w:keepNext/>
              <w:keepLines/>
            </w:pPr>
          </w:p>
        </w:tc>
        <w:tc>
          <w:tcPr>
            <w:tcW w:w="532" w:type="pct"/>
            <w:vMerge/>
          </w:tcPr>
          <w:p w14:paraId="23E1887F" w14:textId="77777777" w:rsidR="00FE6BD7" w:rsidRPr="009A1DE7" w:rsidRDefault="00FE6BD7" w:rsidP="00ED339A">
            <w:pPr>
              <w:pStyle w:val="TableText"/>
              <w:keepNext/>
              <w:keepLines/>
              <w:numPr>
                <w:ilvl w:val="0"/>
                <w:numId w:val="1"/>
              </w:numPr>
              <w:spacing w:after="0"/>
              <w:ind w:left="187" w:hanging="187"/>
            </w:pPr>
          </w:p>
        </w:tc>
        <w:tc>
          <w:tcPr>
            <w:tcW w:w="345" w:type="pct"/>
            <w:shd w:val="clear" w:color="auto" w:fill="F2F2F2" w:themeFill="background1" w:themeFillShade="F2"/>
          </w:tcPr>
          <w:p w14:paraId="1E3E366C" w14:textId="77777777" w:rsidR="00FE6BD7" w:rsidRPr="00EE4BD6" w:rsidRDefault="00FE6BD7" w:rsidP="00ED339A">
            <w:pPr>
              <w:pStyle w:val="TableText"/>
              <w:keepNext/>
              <w:keepLines/>
            </w:pPr>
            <w:r w:rsidRPr="009A1DE7">
              <w:t>Target Date</w:t>
            </w:r>
            <w:r>
              <w:t>:</w:t>
            </w:r>
          </w:p>
        </w:tc>
        <w:tc>
          <w:tcPr>
            <w:tcW w:w="436" w:type="pct"/>
            <w:shd w:val="clear" w:color="auto" w:fill="F2F2F2" w:themeFill="background1" w:themeFillShade="F2"/>
          </w:tcPr>
          <w:p w14:paraId="53BA8F3F" w14:textId="77777777" w:rsidR="00FE6BD7" w:rsidRPr="00EE4BD6" w:rsidRDefault="00FE6BD7" w:rsidP="00ED339A">
            <w:pPr>
              <w:pStyle w:val="TableText"/>
              <w:keepNext/>
              <w:keepLines/>
            </w:pPr>
          </w:p>
        </w:tc>
      </w:tr>
      <w:tr w:rsidR="00FE6BD7" w:rsidRPr="00EF587A" w14:paraId="4185090D" w14:textId="77777777" w:rsidTr="001337C7">
        <w:trPr>
          <w:cantSplit/>
          <w:trHeight w:val="428"/>
        </w:trPr>
        <w:tc>
          <w:tcPr>
            <w:tcW w:w="436" w:type="pct"/>
            <w:vMerge/>
          </w:tcPr>
          <w:p w14:paraId="6B70388F" w14:textId="77777777" w:rsidR="00FE6BD7" w:rsidRPr="00EF587A" w:rsidRDefault="00FE6BD7" w:rsidP="00C81021">
            <w:pPr>
              <w:pStyle w:val="TableText"/>
            </w:pPr>
          </w:p>
        </w:tc>
        <w:tc>
          <w:tcPr>
            <w:tcW w:w="469" w:type="pct"/>
            <w:vMerge/>
          </w:tcPr>
          <w:p w14:paraId="4B36B67E" w14:textId="77777777" w:rsidR="00FE6BD7" w:rsidRPr="00EF587A" w:rsidRDefault="00FE6BD7" w:rsidP="00C81021">
            <w:pPr>
              <w:pStyle w:val="TableText"/>
            </w:pPr>
          </w:p>
        </w:tc>
        <w:tc>
          <w:tcPr>
            <w:tcW w:w="438" w:type="pct"/>
            <w:vMerge/>
          </w:tcPr>
          <w:p w14:paraId="0D03D306" w14:textId="77777777" w:rsidR="00FE6BD7" w:rsidRPr="00EF587A" w:rsidRDefault="00FE6BD7" w:rsidP="00C81021">
            <w:pPr>
              <w:pStyle w:val="TableText"/>
            </w:pPr>
          </w:p>
        </w:tc>
        <w:tc>
          <w:tcPr>
            <w:tcW w:w="688" w:type="pct"/>
            <w:vMerge/>
          </w:tcPr>
          <w:p w14:paraId="66C33916" w14:textId="77777777" w:rsidR="00FE6BD7" w:rsidRPr="00EF587A" w:rsidRDefault="00FE6BD7" w:rsidP="00C81021">
            <w:pPr>
              <w:pStyle w:val="TableText"/>
            </w:pPr>
          </w:p>
        </w:tc>
        <w:tc>
          <w:tcPr>
            <w:tcW w:w="937" w:type="pct"/>
            <w:vMerge/>
          </w:tcPr>
          <w:p w14:paraId="6A71EBC3" w14:textId="77777777" w:rsidR="00FE6BD7" w:rsidRPr="00EF587A" w:rsidRDefault="00FE6BD7" w:rsidP="00C81021">
            <w:pPr>
              <w:pStyle w:val="TableText"/>
            </w:pPr>
          </w:p>
        </w:tc>
        <w:tc>
          <w:tcPr>
            <w:tcW w:w="719" w:type="pct"/>
            <w:vMerge/>
          </w:tcPr>
          <w:p w14:paraId="2F6E91D3" w14:textId="77777777" w:rsidR="00FE6BD7" w:rsidRPr="00EF587A" w:rsidRDefault="00FE6BD7" w:rsidP="00C81021">
            <w:pPr>
              <w:pStyle w:val="TableText"/>
            </w:pPr>
          </w:p>
        </w:tc>
        <w:tc>
          <w:tcPr>
            <w:tcW w:w="532" w:type="pct"/>
            <w:vMerge/>
          </w:tcPr>
          <w:p w14:paraId="3FDD1A67" w14:textId="77777777" w:rsidR="00FE6BD7" w:rsidRPr="00EF587A" w:rsidRDefault="00FE6BD7" w:rsidP="00C81021">
            <w:pPr>
              <w:pStyle w:val="TableText"/>
            </w:pPr>
          </w:p>
        </w:tc>
        <w:tc>
          <w:tcPr>
            <w:tcW w:w="345" w:type="pct"/>
            <w:shd w:val="clear" w:color="auto" w:fill="F2F2F2" w:themeFill="background1" w:themeFillShade="F2"/>
          </w:tcPr>
          <w:p w14:paraId="204AB796"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6D71CAFC" w14:textId="77777777" w:rsidR="00FE6BD7" w:rsidRPr="00EF587A" w:rsidRDefault="00FE6BD7" w:rsidP="00C81021">
            <w:pPr>
              <w:pStyle w:val="TableText"/>
            </w:pPr>
          </w:p>
        </w:tc>
      </w:tr>
      <w:tr w:rsidR="00FE6BD7" w:rsidRPr="00EE4BD6" w14:paraId="48A834E7" w14:textId="77777777" w:rsidTr="001337C7">
        <w:trPr>
          <w:cantSplit/>
        </w:trPr>
        <w:tc>
          <w:tcPr>
            <w:tcW w:w="5000" w:type="pct"/>
            <w:gridSpan w:val="9"/>
            <w:shd w:val="clear" w:color="auto" w:fill="E2EFD9" w:themeFill="accent6" w:themeFillTint="33"/>
          </w:tcPr>
          <w:p w14:paraId="41D2A246" w14:textId="77777777" w:rsidR="00FE6BD7" w:rsidRPr="00ED339A" w:rsidRDefault="00FE6BD7" w:rsidP="00EF587A">
            <w:pPr>
              <w:pStyle w:val="TableText"/>
              <w:rPr>
                <w:sz w:val="8"/>
                <w:szCs w:val="8"/>
              </w:rPr>
            </w:pPr>
          </w:p>
        </w:tc>
      </w:tr>
      <w:tr w:rsidR="00304C5D" w:rsidRPr="00EE4BD6" w14:paraId="7058E9C4" w14:textId="77777777" w:rsidTr="001337C7">
        <w:trPr>
          <w:cantSplit/>
          <w:trHeight w:val="428"/>
        </w:trPr>
        <w:tc>
          <w:tcPr>
            <w:tcW w:w="436" w:type="pct"/>
            <w:vMerge w:val="restart"/>
            <w:vAlign w:val="center"/>
          </w:tcPr>
          <w:p w14:paraId="64DAE597" w14:textId="46D0457F" w:rsidR="00304C5D" w:rsidRPr="00F77313" w:rsidRDefault="00304C5D" w:rsidP="00304C5D">
            <w:pPr>
              <w:pStyle w:val="TableText"/>
              <w:jc w:val="center"/>
              <w:rPr>
                <w:b/>
                <w:bCs/>
              </w:rPr>
            </w:pPr>
            <w:r w:rsidRPr="00304C5D">
              <w:rPr>
                <w:b/>
                <w:bCs/>
              </w:rPr>
              <w:t>Suspended Credits Report</w:t>
            </w:r>
          </w:p>
        </w:tc>
        <w:tc>
          <w:tcPr>
            <w:tcW w:w="469" w:type="pct"/>
            <w:vMerge w:val="restart"/>
          </w:tcPr>
          <w:p w14:paraId="3EE92C9B" w14:textId="77777777" w:rsidR="00304C5D" w:rsidRDefault="00304C5D" w:rsidP="00304C5D">
            <w:pPr>
              <w:pStyle w:val="TableText"/>
              <w:keepNext/>
              <w:keepLines/>
              <w:numPr>
                <w:ilvl w:val="0"/>
                <w:numId w:val="3"/>
              </w:numPr>
              <w:ind w:left="226" w:hanging="180"/>
            </w:pPr>
            <w:r>
              <w:t>Date Range: T</w:t>
            </w:r>
            <w:r w:rsidRPr="00837A86">
              <w:t>oday</w:t>
            </w:r>
            <w:r>
              <w:t>, by Entry Date</w:t>
            </w:r>
          </w:p>
          <w:p w14:paraId="3CA6B523" w14:textId="12610031" w:rsidR="00304C5D" w:rsidRPr="009A1DE7" w:rsidRDefault="00304C5D" w:rsidP="00304C5D">
            <w:pPr>
              <w:pStyle w:val="TableText"/>
              <w:numPr>
                <w:ilvl w:val="0"/>
                <w:numId w:val="3"/>
              </w:numPr>
              <w:ind w:left="226" w:hanging="180"/>
            </w:pPr>
            <w:r w:rsidRPr="009A1DE7">
              <w:t xml:space="preserve">All parameters for </w:t>
            </w:r>
            <w:r>
              <w:t>Guarantor</w:t>
            </w:r>
            <w:r w:rsidRPr="00837A86">
              <w:t xml:space="preserve">, Clinic, Provider, Billing Type, </w:t>
            </w:r>
            <w:r>
              <w:t xml:space="preserve">and </w:t>
            </w:r>
            <w:r w:rsidRPr="00837A86">
              <w:t>Patient Tag</w:t>
            </w:r>
          </w:p>
        </w:tc>
        <w:tc>
          <w:tcPr>
            <w:tcW w:w="438" w:type="pct"/>
            <w:vMerge w:val="restart"/>
          </w:tcPr>
          <w:p w14:paraId="627FCD0A" w14:textId="2E510F06" w:rsidR="00304C5D" w:rsidRPr="009A1DE7" w:rsidRDefault="00304C5D" w:rsidP="00304C5D">
            <w:pPr>
              <w:pStyle w:val="TableText"/>
            </w:pPr>
            <w:r>
              <w:t>Billing or Front Desk Staff</w:t>
            </w:r>
          </w:p>
        </w:tc>
        <w:tc>
          <w:tcPr>
            <w:tcW w:w="688" w:type="pct"/>
            <w:vMerge w:val="restart"/>
          </w:tcPr>
          <w:p w14:paraId="5BE9E3DB" w14:textId="76BA2DFF" w:rsidR="00304C5D" w:rsidRPr="009A1DE7" w:rsidRDefault="00304C5D" w:rsidP="00304C5D">
            <w:pPr>
              <w:pStyle w:val="TableText"/>
            </w:pPr>
            <w:r>
              <w:t>R</w:t>
            </w:r>
            <w:r w:rsidRPr="000F3D09">
              <w:t>eview and allocate where possible any credits/payments entered today.</w:t>
            </w:r>
          </w:p>
        </w:tc>
        <w:tc>
          <w:tcPr>
            <w:tcW w:w="937" w:type="pct"/>
            <w:vMerge w:val="restart"/>
          </w:tcPr>
          <w:p w14:paraId="5F838127" w14:textId="77777777" w:rsidR="00304C5D" w:rsidRDefault="00304C5D" w:rsidP="00304C5D">
            <w:pPr>
              <w:pStyle w:val="TableText"/>
              <w:keepNext/>
              <w:keepLines/>
            </w:pPr>
            <w:r w:rsidRPr="000F3D09">
              <w:t>Payments and adjustments must be entered and accurate for the day.</w:t>
            </w:r>
            <w:r>
              <w:t xml:space="preserve"> </w:t>
            </w:r>
          </w:p>
          <w:p w14:paraId="36D71FA0" w14:textId="52FE9633" w:rsidR="00304C5D" w:rsidRPr="009A1DE7" w:rsidRDefault="00304C5D" w:rsidP="00304C5D">
            <w:pPr>
              <w:pStyle w:val="TableText"/>
              <w:numPr>
                <w:ilvl w:val="0"/>
                <w:numId w:val="2"/>
              </w:numPr>
              <w:ind w:left="232" w:hanging="180"/>
            </w:pPr>
            <w:r>
              <w:rPr>
                <w:u w:val="single"/>
              </w:rPr>
              <w:t>Ledger</w:t>
            </w:r>
            <w:r w:rsidRPr="009A1DE7">
              <w:t xml:space="preserve">: </w:t>
            </w:r>
            <w:r w:rsidRPr="000F3D09">
              <w:t>Apply suspended credits</w:t>
            </w:r>
            <w:r>
              <w:t>.</w:t>
            </w:r>
          </w:p>
        </w:tc>
        <w:tc>
          <w:tcPr>
            <w:tcW w:w="719" w:type="pct"/>
            <w:vMerge w:val="restart"/>
          </w:tcPr>
          <w:p w14:paraId="75E51982" w14:textId="0823AA1C" w:rsidR="00304C5D" w:rsidRPr="00EF587A" w:rsidRDefault="00304C5D" w:rsidP="00304C5D">
            <w:pPr>
              <w:pStyle w:val="TableText"/>
            </w:pPr>
            <w:r w:rsidRPr="000F3D09">
              <w:t xml:space="preserve">Leaving credits </w:t>
            </w:r>
            <w:r>
              <w:t>suspended</w:t>
            </w:r>
            <w:r w:rsidRPr="000F3D09">
              <w:t xml:space="preserve"> will have a direct impact on revenue totals </w:t>
            </w:r>
            <w:r>
              <w:t>for p</w:t>
            </w:r>
            <w:r w:rsidRPr="000F3D09">
              <w:t xml:space="preserve">rovider A/R, </w:t>
            </w:r>
            <w:r>
              <w:t>p</w:t>
            </w:r>
            <w:r w:rsidRPr="000F3D09">
              <w:t xml:space="preserve">rovider </w:t>
            </w:r>
            <w:r>
              <w:t>r</w:t>
            </w:r>
            <w:r w:rsidRPr="000F3D09">
              <w:t>evenue, and collections totals for reports filtered by provider.</w:t>
            </w:r>
          </w:p>
        </w:tc>
        <w:tc>
          <w:tcPr>
            <w:tcW w:w="532" w:type="pct"/>
            <w:vMerge w:val="restart"/>
          </w:tcPr>
          <w:p w14:paraId="71108F01" w14:textId="2FD45F44" w:rsidR="00304C5D" w:rsidRPr="00EF587A" w:rsidRDefault="00304C5D" w:rsidP="00304C5D">
            <w:pPr>
              <w:pStyle w:val="TableText"/>
              <w:numPr>
                <w:ilvl w:val="0"/>
                <w:numId w:val="1"/>
              </w:numPr>
              <w:spacing w:after="0"/>
              <w:ind w:left="187" w:hanging="187"/>
            </w:pPr>
            <w:r>
              <w:t>Revenue Cycle</w:t>
            </w:r>
          </w:p>
        </w:tc>
        <w:tc>
          <w:tcPr>
            <w:tcW w:w="345" w:type="pct"/>
            <w:shd w:val="clear" w:color="auto" w:fill="F2F2F2" w:themeFill="background1" w:themeFillShade="F2"/>
          </w:tcPr>
          <w:p w14:paraId="234B0018" w14:textId="77777777" w:rsidR="00304C5D" w:rsidRPr="00EE4BD6" w:rsidRDefault="00304C5D" w:rsidP="00304C5D">
            <w:pPr>
              <w:pStyle w:val="TableText"/>
            </w:pPr>
            <w:r w:rsidRPr="001F26DF">
              <w:t>Date Reviewed</w:t>
            </w:r>
            <w:r>
              <w:t>:</w:t>
            </w:r>
          </w:p>
        </w:tc>
        <w:tc>
          <w:tcPr>
            <w:tcW w:w="436" w:type="pct"/>
            <w:shd w:val="clear" w:color="auto" w:fill="F2F2F2" w:themeFill="background1" w:themeFillShade="F2"/>
          </w:tcPr>
          <w:p w14:paraId="0F4F4D66" w14:textId="77777777" w:rsidR="00304C5D" w:rsidRPr="00EE4BD6" w:rsidRDefault="00304C5D" w:rsidP="00304C5D">
            <w:pPr>
              <w:pStyle w:val="TableText"/>
            </w:pPr>
          </w:p>
        </w:tc>
      </w:tr>
      <w:tr w:rsidR="00FE6BD7" w:rsidRPr="00EE4BD6" w14:paraId="70CF6773" w14:textId="77777777" w:rsidTr="001337C7">
        <w:trPr>
          <w:cantSplit/>
          <w:trHeight w:val="428"/>
        </w:trPr>
        <w:tc>
          <w:tcPr>
            <w:tcW w:w="436" w:type="pct"/>
            <w:vMerge/>
          </w:tcPr>
          <w:p w14:paraId="1E0CE862" w14:textId="77777777" w:rsidR="00FE6BD7" w:rsidRPr="00EF587A" w:rsidRDefault="00FE6BD7" w:rsidP="00C81021">
            <w:pPr>
              <w:pStyle w:val="TableText"/>
            </w:pPr>
          </w:p>
        </w:tc>
        <w:tc>
          <w:tcPr>
            <w:tcW w:w="469" w:type="pct"/>
            <w:vMerge/>
          </w:tcPr>
          <w:p w14:paraId="703BCBE5" w14:textId="77777777" w:rsidR="00FE6BD7" w:rsidRPr="009A1DE7" w:rsidRDefault="00FE6BD7" w:rsidP="00C81021">
            <w:pPr>
              <w:pStyle w:val="TableText"/>
              <w:numPr>
                <w:ilvl w:val="0"/>
                <w:numId w:val="3"/>
              </w:numPr>
              <w:ind w:left="226" w:hanging="180"/>
            </w:pPr>
          </w:p>
        </w:tc>
        <w:tc>
          <w:tcPr>
            <w:tcW w:w="438" w:type="pct"/>
            <w:vMerge/>
          </w:tcPr>
          <w:p w14:paraId="4109F74B" w14:textId="77777777" w:rsidR="00FE6BD7" w:rsidRPr="009A1DE7" w:rsidRDefault="00FE6BD7" w:rsidP="00C81021">
            <w:pPr>
              <w:pStyle w:val="TableText"/>
            </w:pPr>
          </w:p>
        </w:tc>
        <w:tc>
          <w:tcPr>
            <w:tcW w:w="688" w:type="pct"/>
            <w:vMerge/>
          </w:tcPr>
          <w:p w14:paraId="3660CFB0" w14:textId="77777777" w:rsidR="00FE6BD7" w:rsidRPr="009A1DE7" w:rsidRDefault="00FE6BD7" w:rsidP="00C81021">
            <w:pPr>
              <w:pStyle w:val="TableText"/>
            </w:pPr>
          </w:p>
        </w:tc>
        <w:tc>
          <w:tcPr>
            <w:tcW w:w="937" w:type="pct"/>
            <w:vMerge/>
          </w:tcPr>
          <w:p w14:paraId="3B0C6BCE" w14:textId="77777777" w:rsidR="00FE6BD7" w:rsidRPr="009A1DE7" w:rsidRDefault="00FE6BD7" w:rsidP="00C81021">
            <w:pPr>
              <w:pStyle w:val="TableText"/>
            </w:pPr>
          </w:p>
        </w:tc>
        <w:tc>
          <w:tcPr>
            <w:tcW w:w="719" w:type="pct"/>
            <w:vMerge/>
          </w:tcPr>
          <w:p w14:paraId="669081A5" w14:textId="77777777" w:rsidR="00FE6BD7" w:rsidRPr="009A1DE7" w:rsidRDefault="00FE6BD7" w:rsidP="00C81021">
            <w:pPr>
              <w:pStyle w:val="TableText"/>
            </w:pPr>
          </w:p>
        </w:tc>
        <w:tc>
          <w:tcPr>
            <w:tcW w:w="532" w:type="pct"/>
            <w:vMerge/>
          </w:tcPr>
          <w:p w14:paraId="50CA7F8A"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38BC0DB"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23723E5E" w14:textId="77777777" w:rsidR="00FE6BD7" w:rsidRPr="00EE4BD6" w:rsidRDefault="00FE6BD7" w:rsidP="00C81021">
            <w:pPr>
              <w:pStyle w:val="TableText"/>
            </w:pPr>
          </w:p>
        </w:tc>
      </w:tr>
      <w:tr w:rsidR="00FE6BD7" w:rsidRPr="00EE4BD6" w14:paraId="3931E3B9" w14:textId="77777777" w:rsidTr="001337C7">
        <w:trPr>
          <w:cantSplit/>
          <w:trHeight w:val="428"/>
        </w:trPr>
        <w:tc>
          <w:tcPr>
            <w:tcW w:w="436" w:type="pct"/>
            <w:vMerge/>
          </w:tcPr>
          <w:p w14:paraId="5FC095AB" w14:textId="77777777" w:rsidR="00FE6BD7" w:rsidRPr="00EF587A" w:rsidRDefault="00FE6BD7" w:rsidP="00C81021">
            <w:pPr>
              <w:pStyle w:val="TableText"/>
            </w:pPr>
          </w:p>
        </w:tc>
        <w:tc>
          <w:tcPr>
            <w:tcW w:w="469" w:type="pct"/>
            <w:vMerge/>
          </w:tcPr>
          <w:p w14:paraId="7A3ABABA" w14:textId="77777777" w:rsidR="00FE6BD7" w:rsidRPr="009A1DE7" w:rsidRDefault="00FE6BD7" w:rsidP="00C81021">
            <w:pPr>
              <w:pStyle w:val="TableText"/>
              <w:numPr>
                <w:ilvl w:val="0"/>
                <w:numId w:val="3"/>
              </w:numPr>
              <w:ind w:left="226" w:hanging="180"/>
            </w:pPr>
          </w:p>
        </w:tc>
        <w:tc>
          <w:tcPr>
            <w:tcW w:w="438" w:type="pct"/>
            <w:vMerge/>
          </w:tcPr>
          <w:p w14:paraId="3A1A6A35" w14:textId="77777777" w:rsidR="00FE6BD7" w:rsidRPr="009A1DE7" w:rsidRDefault="00FE6BD7" w:rsidP="00C81021">
            <w:pPr>
              <w:pStyle w:val="TableText"/>
            </w:pPr>
          </w:p>
        </w:tc>
        <w:tc>
          <w:tcPr>
            <w:tcW w:w="688" w:type="pct"/>
            <w:vMerge/>
          </w:tcPr>
          <w:p w14:paraId="226937D1" w14:textId="77777777" w:rsidR="00FE6BD7" w:rsidRPr="009A1DE7" w:rsidRDefault="00FE6BD7" w:rsidP="00C81021">
            <w:pPr>
              <w:pStyle w:val="TableText"/>
            </w:pPr>
          </w:p>
        </w:tc>
        <w:tc>
          <w:tcPr>
            <w:tcW w:w="937" w:type="pct"/>
            <w:vMerge/>
          </w:tcPr>
          <w:p w14:paraId="398F081F" w14:textId="77777777" w:rsidR="00FE6BD7" w:rsidRPr="009A1DE7" w:rsidRDefault="00FE6BD7" w:rsidP="00C81021">
            <w:pPr>
              <w:pStyle w:val="TableText"/>
            </w:pPr>
          </w:p>
        </w:tc>
        <w:tc>
          <w:tcPr>
            <w:tcW w:w="719" w:type="pct"/>
            <w:vMerge/>
          </w:tcPr>
          <w:p w14:paraId="3F3753C5" w14:textId="77777777" w:rsidR="00FE6BD7" w:rsidRPr="009A1DE7" w:rsidRDefault="00FE6BD7" w:rsidP="00C81021">
            <w:pPr>
              <w:pStyle w:val="TableText"/>
            </w:pPr>
          </w:p>
        </w:tc>
        <w:tc>
          <w:tcPr>
            <w:tcW w:w="532" w:type="pct"/>
            <w:vMerge/>
          </w:tcPr>
          <w:p w14:paraId="4895837C"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2AE1FA80"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3A53BACB" w14:textId="77777777" w:rsidR="00FE6BD7" w:rsidRPr="00EE4BD6" w:rsidRDefault="00FE6BD7" w:rsidP="00C81021">
            <w:pPr>
              <w:pStyle w:val="TableText"/>
            </w:pPr>
          </w:p>
        </w:tc>
      </w:tr>
      <w:tr w:rsidR="00FE6BD7" w:rsidRPr="00EE4BD6" w14:paraId="2B466C5B" w14:textId="77777777" w:rsidTr="001337C7">
        <w:trPr>
          <w:cantSplit/>
          <w:trHeight w:val="428"/>
        </w:trPr>
        <w:tc>
          <w:tcPr>
            <w:tcW w:w="436" w:type="pct"/>
            <w:vMerge/>
          </w:tcPr>
          <w:p w14:paraId="49FA1237" w14:textId="77777777" w:rsidR="00FE6BD7" w:rsidRPr="00EF587A" w:rsidRDefault="00FE6BD7" w:rsidP="00C81021">
            <w:pPr>
              <w:pStyle w:val="TableText"/>
            </w:pPr>
          </w:p>
        </w:tc>
        <w:tc>
          <w:tcPr>
            <w:tcW w:w="469" w:type="pct"/>
            <w:vMerge/>
          </w:tcPr>
          <w:p w14:paraId="199991F0" w14:textId="77777777" w:rsidR="00FE6BD7" w:rsidRPr="009A1DE7" w:rsidRDefault="00FE6BD7" w:rsidP="00C81021">
            <w:pPr>
              <w:pStyle w:val="TableText"/>
              <w:numPr>
                <w:ilvl w:val="0"/>
                <w:numId w:val="3"/>
              </w:numPr>
              <w:ind w:left="226" w:hanging="180"/>
            </w:pPr>
          </w:p>
        </w:tc>
        <w:tc>
          <w:tcPr>
            <w:tcW w:w="438" w:type="pct"/>
            <w:vMerge/>
          </w:tcPr>
          <w:p w14:paraId="33806261" w14:textId="77777777" w:rsidR="00FE6BD7" w:rsidRPr="009A1DE7" w:rsidRDefault="00FE6BD7" w:rsidP="00C81021">
            <w:pPr>
              <w:pStyle w:val="TableText"/>
            </w:pPr>
          </w:p>
        </w:tc>
        <w:tc>
          <w:tcPr>
            <w:tcW w:w="688" w:type="pct"/>
            <w:vMerge/>
          </w:tcPr>
          <w:p w14:paraId="5F4AF3EF" w14:textId="77777777" w:rsidR="00FE6BD7" w:rsidRPr="009A1DE7" w:rsidRDefault="00FE6BD7" w:rsidP="00C81021">
            <w:pPr>
              <w:pStyle w:val="TableText"/>
            </w:pPr>
          </w:p>
        </w:tc>
        <w:tc>
          <w:tcPr>
            <w:tcW w:w="937" w:type="pct"/>
            <w:vMerge/>
          </w:tcPr>
          <w:p w14:paraId="597D09B7" w14:textId="77777777" w:rsidR="00FE6BD7" w:rsidRPr="009A1DE7" w:rsidRDefault="00FE6BD7" w:rsidP="00C81021">
            <w:pPr>
              <w:pStyle w:val="TableText"/>
            </w:pPr>
          </w:p>
        </w:tc>
        <w:tc>
          <w:tcPr>
            <w:tcW w:w="719" w:type="pct"/>
            <w:vMerge/>
          </w:tcPr>
          <w:p w14:paraId="2CEA8EEB" w14:textId="77777777" w:rsidR="00FE6BD7" w:rsidRPr="009A1DE7" w:rsidRDefault="00FE6BD7" w:rsidP="00C81021">
            <w:pPr>
              <w:pStyle w:val="TableText"/>
            </w:pPr>
          </w:p>
        </w:tc>
        <w:tc>
          <w:tcPr>
            <w:tcW w:w="532" w:type="pct"/>
            <w:vMerge/>
          </w:tcPr>
          <w:p w14:paraId="3D799441"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7C395501"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3E7F0DEF" w14:textId="77777777" w:rsidR="00FE6BD7" w:rsidRPr="00EE4BD6" w:rsidRDefault="00FE6BD7" w:rsidP="00C81021">
            <w:pPr>
              <w:pStyle w:val="TableText"/>
            </w:pPr>
          </w:p>
        </w:tc>
      </w:tr>
      <w:tr w:rsidR="00FE6BD7" w:rsidRPr="00EF587A" w14:paraId="57D50C86" w14:textId="77777777" w:rsidTr="001337C7">
        <w:trPr>
          <w:cantSplit/>
          <w:trHeight w:val="428"/>
        </w:trPr>
        <w:tc>
          <w:tcPr>
            <w:tcW w:w="436" w:type="pct"/>
            <w:vMerge/>
          </w:tcPr>
          <w:p w14:paraId="47B7B36D" w14:textId="77777777" w:rsidR="00FE6BD7" w:rsidRPr="00EF587A" w:rsidRDefault="00FE6BD7" w:rsidP="00C81021">
            <w:pPr>
              <w:pStyle w:val="TableText"/>
            </w:pPr>
          </w:p>
        </w:tc>
        <w:tc>
          <w:tcPr>
            <w:tcW w:w="469" w:type="pct"/>
            <w:vMerge/>
          </w:tcPr>
          <w:p w14:paraId="6D6B4AAA" w14:textId="77777777" w:rsidR="00FE6BD7" w:rsidRPr="00EF587A" w:rsidRDefault="00FE6BD7" w:rsidP="00C81021">
            <w:pPr>
              <w:pStyle w:val="TableText"/>
            </w:pPr>
          </w:p>
        </w:tc>
        <w:tc>
          <w:tcPr>
            <w:tcW w:w="438" w:type="pct"/>
            <w:vMerge/>
          </w:tcPr>
          <w:p w14:paraId="481C5571" w14:textId="77777777" w:rsidR="00FE6BD7" w:rsidRPr="00EF587A" w:rsidRDefault="00FE6BD7" w:rsidP="00C81021">
            <w:pPr>
              <w:pStyle w:val="TableText"/>
            </w:pPr>
          </w:p>
        </w:tc>
        <w:tc>
          <w:tcPr>
            <w:tcW w:w="688" w:type="pct"/>
            <w:vMerge/>
          </w:tcPr>
          <w:p w14:paraId="0206A94B" w14:textId="77777777" w:rsidR="00FE6BD7" w:rsidRPr="00EF587A" w:rsidRDefault="00FE6BD7" w:rsidP="00C81021">
            <w:pPr>
              <w:pStyle w:val="TableText"/>
            </w:pPr>
          </w:p>
        </w:tc>
        <w:tc>
          <w:tcPr>
            <w:tcW w:w="937" w:type="pct"/>
            <w:vMerge/>
          </w:tcPr>
          <w:p w14:paraId="54996289" w14:textId="77777777" w:rsidR="00FE6BD7" w:rsidRPr="00EF587A" w:rsidRDefault="00FE6BD7" w:rsidP="00C81021">
            <w:pPr>
              <w:pStyle w:val="TableText"/>
            </w:pPr>
          </w:p>
        </w:tc>
        <w:tc>
          <w:tcPr>
            <w:tcW w:w="719" w:type="pct"/>
            <w:vMerge/>
          </w:tcPr>
          <w:p w14:paraId="1B65F5C5" w14:textId="77777777" w:rsidR="00FE6BD7" w:rsidRPr="00EF587A" w:rsidRDefault="00FE6BD7" w:rsidP="00C81021">
            <w:pPr>
              <w:pStyle w:val="TableText"/>
            </w:pPr>
          </w:p>
        </w:tc>
        <w:tc>
          <w:tcPr>
            <w:tcW w:w="532" w:type="pct"/>
            <w:vMerge/>
          </w:tcPr>
          <w:p w14:paraId="3192426F" w14:textId="77777777" w:rsidR="00FE6BD7" w:rsidRPr="00EF587A" w:rsidRDefault="00FE6BD7" w:rsidP="00C81021">
            <w:pPr>
              <w:pStyle w:val="TableText"/>
            </w:pPr>
          </w:p>
        </w:tc>
        <w:tc>
          <w:tcPr>
            <w:tcW w:w="345" w:type="pct"/>
            <w:shd w:val="clear" w:color="auto" w:fill="F2F2F2" w:themeFill="background1" w:themeFillShade="F2"/>
          </w:tcPr>
          <w:p w14:paraId="530B7B2F"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7A819243" w14:textId="77777777" w:rsidR="00FE6BD7" w:rsidRPr="00EF587A" w:rsidRDefault="00FE6BD7" w:rsidP="00C81021">
            <w:pPr>
              <w:pStyle w:val="TableText"/>
            </w:pPr>
          </w:p>
        </w:tc>
      </w:tr>
    </w:tbl>
    <w:p w14:paraId="3E0EC071" w14:textId="77777777" w:rsidR="00C83A5B" w:rsidRDefault="00C83A5B"/>
    <w:p w14:paraId="49801DDF" w14:textId="01F6D643" w:rsidR="00FF7D88" w:rsidRDefault="00FF7D88" w:rsidP="002B12FB">
      <w:pPr>
        <w:sectPr w:rsidR="00FF7D88" w:rsidSect="00AC2560">
          <w:headerReference w:type="even" r:id="rId24"/>
          <w:headerReference w:type="default" r:id="rId25"/>
          <w:footerReference w:type="even" r:id="rId26"/>
          <w:footerReference w:type="default" r:id="rId27"/>
          <w:pgSz w:w="15840" w:h="12240" w:orient="landscape"/>
          <w:pgMar w:top="1440" w:right="1440" w:bottom="1440" w:left="1440" w:header="360" w:footer="360" w:gutter="0"/>
          <w:cols w:space="720"/>
          <w:docGrid w:linePitch="299"/>
        </w:sectPr>
      </w:pPr>
    </w:p>
    <w:p w14:paraId="178AE501" w14:textId="56009C67" w:rsidR="00FC1A9D" w:rsidRPr="00684112" w:rsidRDefault="00F514DD" w:rsidP="00FF7D88">
      <w:pPr>
        <w:pStyle w:val="Heading1"/>
      </w:pPr>
      <w:bookmarkStart w:id="15" w:name="_bookmark2"/>
      <w:bookmarkStart w:id="16" w:name="_Toc135416588"/>
      <w:bookmarkStart w:id="17" w:name="_Toc135416653"/>
      <w:bookmarkStart w:id="18" w:name="_Toc146183248"/>
      <w:bookmarkEnd w:id="15"/>
      <w:r>
        <w:lastRenderedPageBreak/>
        <w:t>Weekly Clinic Closeout Dutie</w:t>
      </w:r>
      <w:r w:rsidR="00FC1A9D" w:rsidRPr="00684112">
        <w:t>s</w:t>
      </w:r>
      <w:bookmarkEnd w:id="16"/>
      <w:bookmarkEnd w:id="17"/>
      <w:bookmarkEnd w:id="18"/>
    </w:p>
    <w:p w14:paraId="29432A64" w14:textId="159E7821" w:rsidR="00C2272C" w:rsidRDefault="000F3D09" w:rsidP="000F3D09">
      <w:pPr>
        <w:pStyle w:val="BodyText"/>
        <w:spacing w:after="240"/>
      </w:pPr>
      <w:bookmarkStart w:id="19" w:name="_bookmark3"/>
      <w:bookmarkStart w:id="20" w:name="_bookmark4"/>
      <w:bookmarkEnd w:id="19"/>
      <w:bookmarkEnd w:id="20"/>
      <w:r w:rsidRPr="000F3D09">
        <w:t xml:space="preserve">The Weekly </w:t>
      </w:r>
      <w:r w:rsidR="00C2272C" w:rsidRPr="00912847">
        <w:t xml:space="preserve">Clinic Closeout Duties </w:t>
      </w:r>
      <w:r w:rsidR="00C2272C">
        <w:t>checklist</w:t>
      </w:r>
      <w:r w:rsidR="00C2272C" w:rsidRPr="00912847">
        <w:t xml:space="preserve"> </w:t>
      </w:r>
      <w:r w:rsidR="00C2272C">
        <w:t xml:space="preserve">is </w:t>
      </w:r>
      <w:r w:rsidR="00C2272C" w:rsidRPr="00912847">
        <w:t>a comprehensive list of</w:t>
      </w:r>
      <w:r w:rsidRPr="000F3D09">
        <w:t xml:space="preserve"> checks and balances to ensure the accuracy of this week's entries recorded within Dentrix Enterprise, allow </w:t>
      </w:r>
      <w:r w:rsidR="00C2272C">
        <w:t xml:space="preserve">the </w:t>
      </w:r>
      <w:r w:rsidRPr="000F3D09">
        <w:t>tracking and review</w:t>
      </w:r>
      <w:r w:rsidR="00F976D7">
        <w:t>ing</w:t>
      </w:r>
      <w:r w:rsidRPr="000F3D09">
        <w:t xml:space="preserve"> of internal key performance indicators and verify the completion of this week's insurance revenue processes, where applicable. </w:t>
      </w:r>
      <w:r w:rsidR="00F976D7">
        <w:t>Each table of the checklist provides details for performing a task. To complete the task’s objective, use the</w:t>
      </w:r>
      <w:r w:rsidR="00F976D7" w:rsidRPr="00912847">
        <w:t xml:space="preserve"> suggested report filters</w:t>
      </w:r>
      <w:r w:rsidR="00F976D7">
        <w:t xml:space="preserve">, </w:t>
      </w:r>
      <w:r w:rsidR="00F976D7" w:rsidRPr="00912847">
        <w:t>review</w:t>
      </w:r>
      <w:r w:rsidR="00F976D7">
        <w:t xml:space="preserve"> the report</w:t>
      </w:r>
      <w:r w:rsidR="00F976D7" w:rsidRPr="00912847">
        <w:t xml:space="preserve">, </w:t>
      </w:r>
      <w:r w:rsidR="00F976D7">
        <w:t>be aware of any</w:t>
      </w:r>
      <w:r w:rsidR="00F976D7" w:rsidRPr="00912847">
        <w:t xml:space="preserve"> dependencies</w:t>
      </w:r>
      <w:r w:rsidR="00F976D7">
        <w:t>, and take actions or make</w:t>
      </w:r>
      <w:r w:rsidR="00F976D7" w:rsidRPr="00912847">
        <w:t xml:space="preserve"> corrections if</w:t>
      </w:r>
      <w:r w:rsidR="00F976D7">
        <w:t xml:space="preserve"> </w:t>
      </w:r>
      <w:r w:rsidR="00F976D7" w:rsidRPr="00912847">
        <w:t xml:space="preserve">the report does not yield the expected result. </w:t>
      </w:r>
      <w:r w:rsidR="00F976D7">
        <w:t>To record the task’s completion,</w:t>
      </w:r>
      <w:r w:rsidR="00F976D7" w:rsidRPr="00912847">
        <w:t xml:space="preserve"> enter the review date, your name, recommended actions, target date</w:t>
      </w:r>
      <w:r w:rsidR="00F976D7">
        <w:t>,</w:t>
      </w:r>
      <w:r w:rsidR="00F976D7" w:rsidRPr="00912847">
        <w:t xml:space="preserve"> and completion date.</w:t>
      </w:r>
    </w:p>
    <w:tbl>
      <w:tblPr>
        <w:tblStyle w:val="TableGrid"/>
        <w:tblW w:w="14400" w:type="dxa"/>
        <w:tblInd w:w="-7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1255"/>
        <w:gridCol w:w="1351"/>
        <w:gridCol w:w="1261"/>
        <w:gridCol w:w="1981"/>
        <w:gridCol w:w="2699"/>
        <w:gridCol w:w="2071"/>
        <w:gridCol w:w="1532"/>
        <w:gridCol w:w="994"/>
        <w:gridCol w:w="1256"/>
      </w:tblGrid>
      <w:tr w:rsidR="00FE6BD7" w:rsidRPr="00EE4BD6" w14:paraId="3619D115" w14:textId="77777777" w:rsidTr="00F97A1E">
        <w:trPr>
          <w:cantSplit/>
          <w:tblHeader/>
        </w:trPr>
        <w:tc>
          <w:tcPr>
            <w:tcW w:w="436" w:type="pct"/>
            <w:vAlign w:val="center"/>
          </w:tcPr>
          <w:p w14:paraId="2952C75F" w14:textId="77777777" w:rsidR="00FE6BD7" w:rsidRPr="00912847" w:rsidRDefault="00FE6BD7" w:rsidP="00C81021">
            <w:pPr>
              <w:pStyle w:val="TableText"/>
              <w:jc w:val="center"/>
              <w:rPr>
                <w:b/>
                <w:bCs/>
              </w:rPr>
            </w:pPr>
            <w:r w:rsidRPr="00435784">
              <w:rPr>
                <w:b/>
                <w:bCs/>
              </w:rPr>
              <w:t>Checklist Task / Report</w:t>
            </w:r>
          </w:p>
        </w:tc>
        <w:tc>
          <w:tcPr>
            <w:tcW w:w="469" w:type="pct"/>
            <w:vAlign w:val="center"/>
          </w:tcPr>
          <w:p w14:paraId="67B74301" w14:textId="77777777" w:rsidR="00FE6BD7" w:rsidRPr="00912847" w:rsidRDefault="00FE6BD7" w:rsidP="00C81021">
            <w:pPr>
              <w:pStyle w:val="TableText"/>
              <w:jc w:val="center"/>
              <w:rPr>
                <w:b/>
                <w:bCs/>
              </w:rPr>
            </w:pPr>
            <w:r w:rsidRPr="00912847">
              <w:rPr>
                <w:b/>
                <w:bCs/>
              </w:rPr>
              <w:t>Suggested Report Filters</w:t>
            </w:r>
          </w:p>
        </w:tc>
        <w:tc>
          <w:tcPr>
            <w:tcW w:w="438" w:type="pct"/>
            <w:vAlign w:val="center"/>
          </w:tcPr>
          <w:p w14:paraId="7C925FBE" w14:textId="77777777" w:rsidR="00FE6BD7" w:rsidRPr="00912847" w:rsidRDefault="00FE6BD7" w:rsidP="00C81021">
            <w:pPr>
              <w:pStyle w:val="TableText"/>
              <w:jc w:val="center"/>
              <w:rPr>
                <w:b/>
                <w:bCs/>
              </w:rPr>
            </w:pPr>
            <w:r w:rsidRPr="00912847">
              <w:rPr>
                <w:b/>
                <w:bCs/>
              </w:rPr>
              <w:t>Intent / Responsibility</w:t>
            </w:r>
          </w:p>
        </w:tc>
        <w:tc>
          <w:tcPr>
            <w:tcW w:w="688" w:type="pct"/>
            <w:vAlign w:val="center"/>
          </w:tcPr>
          <w:p w14:paraId="166FE8D2" w14:textId="77777777" w:rsidR="00FE6BD7" w:rsidRPr="00912847" w:rsidRDefault="00FE6BD7" w:rsidP="00C81021">
            <w:pPr>
              <w:pStyle w:val="TableText"/>
              <w:jc w:val="center"/>
              <w:rPr>
                <w:b/>
                <w:bCs/>
              </w:rPr>
            </w:pPr>
            <w:r w:rsidRPr="00912847">
              <w:rPr>
                <w:b/>
                <w:bCs/>
              </w:rPr>
              <w:t>Objective</w:t>
            </w:r>
          </w:p>
        </w:tc>
        <w:tc>
          <w:tcPr>
            <w:tcW w:w="937" w:type="pct"/>
            <w:vAlign w:val="center"/>
          </w:tcPr>
          <w:p w14:paraId="5E43903C" w14:textId="77777777" w:rsidR="00FE6BD7" w:rsidRPr="00912847" w:rsidRDefault="00FE6BD7" w:rsidP="00C81021">
            <w:pPr>
              <w:pStyle w:val="TableText"/>
              <w:jc w:val="center"/>
              <w:rPr>
                <w:b/>
                <w:bCs/>
              </w:rPr>
            </w:pPr>
            <w:r w:rsidRPr="00912847">
              <w:rPr>
                <w:b/>
                <w:bCs/>
              </w:rPr>
              <w:t>Dependencies and Possible Actions or Corrections Needed to Meet Objective</w:t>
            </w:r>
          </w:p>
        </w:tc>
        <w:tc>
          <w:tcPr>
            <w:tcW w:w="719" w:type="pct"/>
            <w:vAlign w:val="center"/>
          </w:tcPr>
          <w:p w14:paraId="610146BB" w14:textId="77777777" w:rsidR="00FE6BD7" w:rsidRPr="009A1DE7" w:rsidRDefault="00FE6BD7" w:rsidP="00C81021">
            <w:pPr>
              <w:pStyle w:val="TableText"/>
              <w:jc w:val="center"/>
            </w:pPr>
            <w:r w:rsidRPr="00912847">
              <w:rPr>
                <w:b/>
                <w:bCs/>
              </w:rPr>
              <w:t>Warning</w:t>
            </w:r>
          </w:p>
          <w:p w14:paraId="09035438" w14:textId="77777777" w:rsidR="00FE6BD7" w:rsidRPr="009A1DE7" w:rsidRDefault="00FE6BD7" w:rsidP="00C81021">
            <w:pPr>
              <w:pStyle w:val="TableText"/>
              <w:jc w:val="center"/>
            </w:pPr>
            <w:r w:rsidRPr="009A1DE7">
              <w:rPr>
                <w:i/>
                <w:iCs/>
              </w:rPr>
              <w:t>Not following the recommendations may yield the</w:t>
            </w:r>
            <w:r>
              <w:rPr>
                <w:i/>
                <w:iCs/>
              </w:rPr>
              <w:t>se</w:t>
            </w:r>
            <w:r w:rsidRPr="009A1DE7">
              <w:rPr>
                <w:i/>
                <w:iCs/>
              </w:rPr>
              <w:t xml:space="preserve"> unintended results.</w:t>
            </w:r>
          </w:p>
        </w:tc>
        <w:tc>
          <w:tcPr>
            <w:tcW w:w="532" w:type="pct"/>
            <w:vAlign w:val="center"/>
          </w:tcPr>
          <w:p w14:paraId="5FC2AB7A" w14:textId="77777777" w:rsidR="00FE6BD7" w:rsidRPr="009A1DE7" w:rsidRDefault="00FE6BD7" w:rsidP="00C81021">
            <w:pPr>
              <w:pStyle w:val="TableText"/>
              <w:jc w:val="center"/>
            </w:pPr>
            <w:r w:rsidRPr="00912847">
              <w:rPr>
                <w:b/>
                <w:bCs/>
              </w:rPr>
              <w:t>References</w:t>
            </w:r>
          </w:p>
          <w:p w14:paraId="4A395DEE" w14:textId="77777777" w:rsidR="00FE6BD7" w:rsidRPr="009A1DE7" w:rsidRDefault="00FE6BD7" w:rsidP="00C81021">
            <w:pPr>
              <w:pStyle w:val="TableText"/>
              <w:jc w:val="center"/>
            </w:pPr>
            <w:r w:rsidRPr="009A1DE7">
              <w:rPr>
                <w:i/>
                <w:iCs/>
              </w:rPr>
              <w:t>An asterisk (*) denotes an external resource.</w:t>
            </w:r>
          </w:p>
        </w:tc>
        <w:tc>
          <w:tcPr>
            <w:tcW w:w="781" w:type="pct"/>
            <w:gridSpan w:val="2"/>
            <w:shd w:val="clear" w:color="auto" w:fill="F2F2F2" w:themeFill="background1" w:themeFillShade="F2"/>
            <w:vAlign w:val="center"/>
          </w:tcPr>
          <w:p w14:paraId="15D561E8" w14:textId="77777777" w:rsidR="00FE6BD7" w:rsidRPr="00EF587A" w:rsidRDefault="00FE6BD7" w:rsidP="00C81021">
            <w:pPr>
              <w:pStyle w:val="TableText"/>
              <w:jc w:val="center"/>
              <w:rPr>
                <w:b/>
                <w:bCs/>
              </w:rPr>
            </w:pPr>
            <w:r w:rsidRPr="00EF587A">
              <w:rPr>
                <w:b/>
                <w:bCs/>
              </w:rPr>
              <w:t>Completion</w:t>
            </w:r>
          </w:p>
        </w:tc>
      </w:tr>
      <w:tr w:rsidR="006E5910" w:rsidRPr="00EE4BD6" w14:paraId="1F300374" w14:textId="77777777" w:rsidTr="00F97A1E">
        <w:trPr>
          <w:cantSplit/>
          <w:trHeight w:val="428"/>
        </w:trPr>
        <w:tc>
          <w:tcPr>
            <w:tcW w:w="436" w:type="pct"/>
            <w:vMerge w:val="restart"/>
            <w:vAlign w:val="center"/>
          </w:tcPr>
          <w:p w14:paraId="1776D744" w14:textId="77F25AF7" w:rsidR="006E5910" w:rsidRPr="00F77313" w:rsidRDefault="006E5910" w:rsidP="006E5910">
            <w:pPr>
              <w:pStyle w:val="TableText"/>
              <w:jc w:val="center"/>
              <w:rPr>
                <w:b/>
                <w:bCs/>
              </w:rPr>
            </w:pPr>
            <w:r w:rsidRPr="006E5910">
              <w:rPr>
                <w:b/>
                <w:bCs/>
              </w:rPr>
              <w:t>Oral Health Status Report</w:t>
            </w:r>
          </w:p>
        </w:tc>
        <w:tc>
          <w:tcPr>
            <w:tcW w:w="469" w:type="pct"/>
            <w:vMerge w:val="restart"/>
          </w:tcPr>
          <w:p w14:paraId="452D0DDD" w14:textId="3FC3D649" w:rsidR="006E5910" w:rsidRPr="009A1DE7" w:rsidRDefault="006E5910" w:rsidP="006E5910">
            <w:pPr>
              <w:pStyle w:val="TableText"/>
              <w:numPr>
                <w:ilvl w:val="0"/>
                <w:numId w:val="3"/>
              </w:numPr>
              <w:ind w:left="226" w:hanging="180"/>
            </w:pPr>
            <w:r>
              <w:t>Date Range: Last week’s range</w:t>
            </w:r>
          </w:p>
        </w:tc>
        <w:tc>
          <w:tcPr>
            <w:tcW w:w="438" w:type="pct"/>
            <w:vMerge w:val="restart"/>
          </w:tcPr>
          <w:p w14:paraId="6C79C008" w14:textId="570095C5" w:rsidR="006E5910" w:rsidRPr="009A1DE7" w:rsidRDefault="006E5910" w:rsidP="006E5910">
            <w:pPr>
              <w:pStyle w:val="TableText"/>
            </w:pPr>
            <w:r>
              <w:t>Dental Chief / CAC</w:t>
            </w:r>
          </w:p>
        </w:tc>
        <w:tc>
          <w:tcPr>
            <w:tcW w:w="688" w:type="pct"/>
            <w:vMerge w:val="restart"/>
          </w:tcPr>
          <w:p w14:paraId="15C8F090" w14:textId="4C7E9768" w:rsidR="006E5910" w:rsidRPr="009A1DE7" w:rsidRDefault="006E5910" w:rsidP="006E5910">
            <w:pPr>
              <w:pStyle w:val="TableText"/>
            </w:pPr>
            <w:r>
              <w:t>Identify high-risk dental patients for contact and follow up.</w:t>
            </w:r>
          </w:p>
        </w:tc>
        <w:tc>
          <w:tcPr>
            <w:tcW w:w="937" w:type="pct"/>
            <w:vMerge w:val="restart"/>
          </w:tcPr>
          <w:p w14:paraId="2F835FC0" w14:textId="77777777" w:rsidR="006E5910" w:rsidRDefault="006E5910" w:rsidP="006E5910">
            <w:pPr>
              <w:pStyle w:val="TableText"/>
              <w:keepNext/>
              <w:keepLines/>
              <w:numPr>
                <w:ilvl w:val="0"/>
                <w:numId w:val="2"/>
              </w:numPr>
              <w:ind w:left="232" w:hanging="180"/>
            </w:pPr>
            <w:r>
              <w:t>OHS tool is routinely used in order to populate OHS Report data.</w:t>
            </w:r>
          </w:p>
          <w:p w14:paraId="5DFD22F6" w14:textId="77777777" w:rsidR="006E5910" w:rsidRDefault="006E5910" w:rsidP="006E5910">
            <w:pPr>
              <w:pStyle w:val="TableText"/>
              <w:keepNext/>
              <w:keepLines/>
              <w:numPr>
                <w:ilvl w:val="0"/>
                <w:numId w:val="2"/>
              </w:numPr>
              <w:ind w:left="232" w:hanging="180"/>
            </w:pPr>
            <w:r>
              <w:t>Conduct chart audits for non-compliance.</w:t>
            </w:r>
          </w:p>
          <w:p w14:paraId="58C18F51" w14:textId="53332BE1" w:rsidR="006E5910" w:rsidRPr="009A1DE7" w:rsidRDefault="006E5910" w:rsidP="006E5910">
            <w:pPr>
              <w:pStyle w:val="TableText"/>
              <w:numPr>
                <w:ilvl w:val="0"/>
                <w:numId w:val="2"/>
              </w:numPr>
              <w:ind w:left="232" w:hanging="180"/>
            </w:pPr>
            <w:r>
              <w:t>Re-educate on process for completion of OHS metrics.</w:t>
            </w:r>
          </w:p>
        </w:tc>
        <w:tc>
          <w:tcPr>
            <w:tcW w:w="719" w:type="pct"/>
            <w:vMerge w:val="restart"/>
          </w:tcPr>
          <w:p w14:paraId="14A3E973" w14:textId="1C6C81E6" w:rsidR="006E5910" w:rsidRPr="00EF587A" w:rsidRDefault="006E5910" w:rsidP="006E5910">
            <w:pPr>
              <w:pStyle w:val="TableText"/>
            </w:pPr>
            <w:r>
              <w:t>If</w:t>
            </w:r>
            <w:r w:rsidRPr="003F4C43">
              <w:t xml:space="preserve"> the OHS </w:t>
            </w:r>
            <w:r>
              <w:t>metrics</w:t>
            </w:r>
            <w:r w:rsidRPr="003F4C43">
              <w:t xml:space="preserve"> </w:t>
            </w:r>
            <w:r>
              <w:t xml:space="preserve">are not completed </w:t>
            </w:r>
            <w:r w:rsidRPr="003F4C43">
              <w:t>at patient visits</w:t>
            </w:r>
            <w:r>
              <w:t xml:space="preserve">, and </w:t>
            </w:r>
            <w:r w:rsidRPr="003F4C43">
              <w:t>subsequent reports</w:t>
            </w:r>
            <w:r>
              <w:t xml:space="preserve"> are not run</w:t>
            </w:r>
            <w:r w:rsidRPr="003F4C43">
              <w:t>,</w:t>
            </w:r>
            <w:r>
              <w:t xml:space="preserve"> you cannot effectively identify and follow up</w:t>
            </w:r>
            <w:r w:rsidRPr="003F4C43">
              <w:t xml:space="preserve"> </w:t>
            </w:r>
            <w:r>
              <w:t>with</w:t>
            </w:r>
            <w:r w:rsidRPr="003F4C43">
              <w:t xml:space="preserve"> high</w:t>
            </w:r>
            <w:r>
              <w:t>-</w:t>
            </w:r>
            <w:r w:rsidRPr="003F4C43">
              <w:t>risk patients.</w:t>
            </w:r>
          </w:p>
        </w:tc>
        <w:tc>
          <w:tcPr>
            <w:tcW w:w="532" w:type="pct"/>
            <w:vMerge w:val="restart"/>
          </w:tcPr>
          <w:p w14:paraId="6B094CF4" w14:textId="77777777" w:rsidR="006E5910" w:rsidRPr="009A1DE7" w:rsidRDefault="006E5910" w:rsidP="006E5910">
            <w:pPr>
              <w:pStyle w:val="TableText"/>
              <w:numPr>
                <w:ilvl w:val="0"/>
                <w:numId w:val="1"/>
              </w:numPr>
              <w:spacing w:after="0"/>
              <w:ind w:left="187" w:hanging="187"/>
            </w:pPr>
            <w:r w:rsidRPr="009A1DE7">
              <w:t>Clinical Records</w:t>
            </w:r>
          </w:p>
          <w:p w14:paraId="5EDA1BAF" w14:textId="77777777" w:rsidR="006E5910" w:rsidRPr="009A1DE7" w:rsidRDefault="006E5910" w:rsidP="006E5910">
            <w:pPr>
              <w:pStyle w:val="TableText"/>
              <w:numPr>
                <w:ilvl w:val="0"/>
                <w:numId w:val="1"/>
              </w:numPr>
              <w:spacing w:after="0"/>
              <w:ind w:left="187" w:hanging="187"/>
            </w:pPr>
            <w:r w:rsidRPr="009A1DE7">
              <w:t>Patient Records</w:t>
            </w:r>
          </w:p>
          <w:p w14:paraId="6F3F9E24" w14:textId="7064E9E7" w:rsidR="006E5910" w:rsidRPr="00EF587A" w:rsidRDefault="006E5910" w:rsidP="006E5910">
            <w:pPr>
              <w:pStyle w:val="TableText"/>
              <w:numPr>
                <w:ilvl w:val="0"/>
                <w:numId w:val="1"/>
              </w:numPr>
              <w:spacing w:after="0"/>
              <w:ind w:left="187" w:hanging="187"/>
            </w:pPr>
            <w:r w:rsidRPr="009A1DE7">
              <w:t>Reports Reference*</w:t>
            </w:r>
          </w:p>
        </w:tc>
        <w:tc>
          <w:tcPr>
            <w:tcW w:w="345" w:type="pct"/>
            <w:shd w:val="clear" w:color="auto" w:fill="F2F2F2" w:themeFill="background1" w:themeFillShade="F2"/>
          </w:tcPr>
          <w:p w14:paraId="76A2C236" w14:textId="77777777" w:rsidR="006E5910" w:rsidRPr="00EE4BD6" w:rsidRDefault="006E5910" w:rsidP="006E5910">
            <w:pPr>
              <w:pStyle w:val="TableText"/>
            </w:pPr>
            <w:r w:rsidRPr="001F26DF">
              <w:t>Date Reviewed</w:t>
            </w:r>
            <w:r>
              <w:t>:</w:t>
            </w:r>
          </w:p>
        </w:tc>
        <w:tc>
          <w:tcPr>
            <w:tcW w:w="436" w:type="pct"/>
            <w:shd w:val="clear" w:color="auto" w:fill="F2F2F2" w:themeFill="background1" w:themeFillShade="F2"/>
          </w:tcPr>
          <w:p w14:paraId="5D018AA0" w14:textId="77777777" w:rsidR="006E5910" w:rsidRPr="00EE4BD6" w:rsidRDefault="006E5910" w:rsidP="006E5910">
            <w:pPr>
              <w:pStyle w:val="TableText"/>
            </w:pPr>
          </w:p>
        </w:tc>
      </w:tr>
      <w:tr w:rsidR="00FE6BD7" w:rsidRPr="00EE4BD6" w14:paraId="66CCE5FD" w14:textId="77777777" w:rsidTr="00F97A1E">
        <w:trPr>
          <w:cantSplit/>
          <w:trHeight w:val="428"/>
        </w:trPr>
        <w:tc>
          <w:tcPr>
            <w:tcW w:w="436" w:type="pct"/>
            <w:vMerge/>
          </w:tcPr>
          <w:p w14:paraId="10013F20" w14:textId="77777777" w:rsidR="00FE6BD7" w:rsidRPr="00EF587A" w:rsidRDefault="00FE6BD7" w:rsidP="00C81021">
            <w:pPr>
              <w:pStyle w:val="TableText"/>
            </w:pPr>
          </w:p>
        </w:tc>
        <w:tc>
          <w:tcPr>
            <w:tcW w:w="469" w:type="pct"/>
            <w:vMerge/>
          </w:tcPr>
          <w:p w14:paraId="1ADF7B21" w14:textId="77777777" w:rsidR="00FE6BD7" w:rsidRPr="009A1DE7" w:rsidRDefault="00FE6BD7" w:rsidP="00C81021">
            <w:pPr>
              <w:pStyle w:val="TableText"/>
              <w:numPr>
                <w:ilvl w:val="0"/>
                <w:numId w:val="3"/>
              </w:numPr>
              <w:ind w:left="226" w:hanging="180"/>
            </w:pPr>
          </w:p>
        </w:tc>
        <w:tc>
          <w:tcPr>
            <w:tcW w:w="438" w:type="pct"/>
            <w:vMerge/>
          </w:tcPr>
          <w:p w14:paraId="0A8365ED" w14:textId="77777777" w:rsidR="00FE6BD7" w:rsidRPr="009A1DE7" w:rsidRDefault="00FE6BD7" w:rsidP="00C81021">
            <w:pPr>
              <w:pStyle w:val="TableText"/>
            </w:pPr>
          </w:p>
        </w:tc>
        <w:tc>
          <w:tcPr>
            <w:tcW w:w="688" w:type="pct"/>
            <w:vMerge/>
          </w:tcPr>
          <w:p w14:paraId="6DE9ECC4" w14:textId="77777777" w:rsidR="00FE6BD7" w:rsidRPr="009A1DE7" w:rsidRDefault="00FE6BD7" w:rsidP="00C81021">
            <w:pPr>
              <w:pStyle w:val="TableText"/>
            </w:pPr>
          </w:p>
        </w:tc>
        <w:tc>
          <w:tcPr>
            <w:tcW w:w="937" w:type="pct"/>
            <w:vMerge/>
          </w:tcPr>
          <w:p w14:paraId="422D19D5" w14:textId="77777777" w:rsidR="00FE6BD7" w:rsidRPr="009A1DE7" w:rsidRDefault="00FE6BD7" w:rsidP="00C81021">
            <w:pPr>
              <w:pStyle w:val="TableText"/>
            </w:pPr>
          </w:p>
        </w:tc>
        <w:tc>
          <w:tcPr>
            <w:tcW w:w="719" w:type="pct"/>
            <w:vMerge/>
          </w:tcPr>
          <w:p w14:paraId="5744D951" w14:textId="77777777" w:rsidR="00FE6BD7" w:rsidRPr="009A1DE7" w:rsidRDefault="00FE6BD7" w:rsidP="00C81021">
            <w:pPr>
              <w:pStyle w:val="TableText"/>
            </w:pPr>
          </w:p>
        </w:tc>
        <w:tc>
          <w:tcPr>
            <w:tcW w:w="532" w:type="pct"/>
            <w:vMerge/>
          </w:tcPr>
          <w:p w14:paraId="0751E992"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C7A4427"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29957C43" w14:textId="77777777" w:rsidR="00FE6BD7" w:rsidRPr="00EE4BD6" w:rsidRDefault="00FE6BD7" w:rsidP="00C81021">
            <w:pPr>
              <w:pStyle w:val="TableText"/>
            </w:pPr>
          </w:p>
        </w:tc>
      </w:tr>
      <w:tr w:rsidR="00FE6BD7" w:rsidRPr="00EE4BD6" w14:paraId="6D8599E0" w14:textId="77777777" w:rsidTr="00F97A1E">
        <w:trPr>
          <w:cantSplit/>
          <w:trHeight w:val="428"/>
        </w:trPr>
        <w:tc>
          <w:tcPr>
            <w:tcW w:w="436" w:type="pct"/>
            <w:vMerge/>
          </w:tcPr>
          <w:p w14:paraId="5D9FF7F8" w14:textId="77777777" w:rsidR="00FE6BD7" w:rsidRPr="00EF587A" w:rsidRDefault="00FE6BD7" w:rsidP="00C81021">
            <w:pPr>
              <w:pStyle w:val="TableText"/>
            </w:pPr>
          </w:p>
        </w:tc>
        <w:tc>
          <w:tcPr>
            <w:tcW w:w="469" w:type="pct"/>
            <w:vMerge/>
          </w:tcPr>
          <w:p w14:paraId="5CF8D5DC" w14:textId="77777777" w:rsidR="00FE6BD7" w:rsidRPr="009A1DE7" w:rsidRDefault="00FE6BD7" w:rsidP="00C81021">
            <w:pPr>
              <w:pStyle w:val="TableText"/>
              <w:numPr>
                <w:ilvl w:val="0"/>
                <w:numId w:val="3"/>
              </w:numPr>
              <w:ind w:left="226" w:hanging="180"/>
            </w:pPr>
          </w:p>
        </w:tc>
        <w:tc>
          <w:tcPr>
            <w:tcW w:w="438" w:type="pct"/>
            <w:vMerge/>
          </w:tcPr>
          <w:p w14:paraId="513140EC" w14:textId="77777777" w:rsidR="00FE6BD7" w:rsidRPr="009A1DE7" w:rsidRDefault="00FE6BD7" w:rsidP="00C81021">
            <w:pPr>
              <w:pStyle w:val="TableText"/>
            </w:pPr>
          </w:p>
        </w:tc>
        <w:tc>
          <w:tcPr>
            <w:tcW w:w="688" w:type="pct"/>
            <w:vMerge/>
          </w:tcPr>
          <w:p w14:paraId="69947C11" w14:textId="77777777" w:rsidR="00FE6BD7" w:rsidRPr="009A1DE7" w:rsidRDefault="00FE6BD7" w:rsidP="00C81021">
            <w:pPr>
              <w:pStyle w:val="TableText"/>
            </w:pPr>
          </w:p>
        </w:tc>
        <w:tc>
          <w:tcPr>
            <w:tcW w:w="937" w:type="pct"/>
            <w:vMerge/>
          </w:tcPr>
          <w:p w14:paraId="00688C52" w14:textId="77777777" w:rsidR="00FE6BD7" w:rsidRPr="009A1DE7" w:rsidRDefault="00FE6BD7" w:rsidP="00C81021">
            <w:pPr>
              <w:pStyle w:val="TableText"/>
            </w:pPr>
          </w:p>
        </w:tc>
        <w:tc>
          <w:tcPr>
            <w:tcW w:w="719" w:type="pct"/>
            <w:vMerge/>
          </w:tcPr>
          <w:p w14:paraId="45DBC7BB" w14:textId="77777777" w:rsidR="00FE6BD7" w:rsidRPr="009A1DE7" w:rsidRDefault="00FE6BD7" w:rsidP="00C81021">
            <w:pPr>
              <w:pStyle w:val="TableText"/>
            </w:pPr>
          </w:p>
        </w:tc>
        <w:tc>
          <w:tcPr>
            <w:tcW w:w="532" w:type="pct"/>
            <w:vMerge/>
          </w:tcPr>
          <w:p w14:paraId="1B8A35A4"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20389B3D"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36A831A7" w14:textId="77777777" w:rsidR="00FE6BD7" w:rsidRPr="00EE4BD6" w:rsidRDefault="00FE6BD7" w:rsidP="00C81021">
            <w:pPr>
              <w:pStyle w:val="TableText"/>
            </w:pPr>
          </w:p>
        </w:tc>
      </w:tr>
      <w:tr w:rsidR="00FE6BD7" w:rsidRPr="00EE4BD6" w14:paraId="00CCC38D" w14:textId="77777777" w:rsidTr="00F97A1E">
        <w:trPr>
          <w:cantSplit/>
          <w:trHeight w:val="428"/>
        </w:trPr>
        <w:tc>
          <w:tcPr>
            <w:tcW w:w="436" w:type="pct"/>
            <w:vMerge/>
          </w:tcPr>
          <w:p w14:paraId="396D07C8" w14:textId="77777777" w:rsidR="00FE6BD7" w:rsidRPr="00EF587A" w:rsidRDefault="00FE6BD7" w:rsidP="00C81021">
            <w:pPr>
              <w:pStyle w:val="TableText"/>
            </w:pPr>
          </w:p>
        </w:tc>
        <w:tc>
          <w:tcPr>
            <w:tcW w:w="469" w:type="pct"/>
            <w:vMerge/>
          </w:tcPr>
          <w:p w14:paraId="26D06298" w14:textId="77777777" w:rsidR="00FE6BD7" w:rsidRPr="009A1DE7" w:rsidRDefault="00FE6BD7" w:rsidP="00C81021">
            <w:pPr>
              <w:pStyle w:val="TableText"/>
              <w:numPr>
                <w:ilvl w:val="0"/>
                <w:numId w:val="3"/>
              </w:numPr>
              <w:ind w:left="226" w:hanging="180"/>
            </w:pPr>
          </w:p>
        </w:tc>
        <w:tc>
          <w:tcPr>
            <w:tcW w:w="438" w:type="pct"/>
            <w:vMerge/>
          </w:tcPr>
          <w:p w14:paraId="23631A04" w14:textId="77777777" w:rsidR="00FE6BD7" w:rsidRPr="009A1DE7" w:rsidRDefault="00FE6BD7" w:rsidP="00C81021">
            <w:pPr>
              <w:pStyle w:val="TableText"/>
            </w:pPr>
          </w:p>
        </w:tc>
        <w:tc>
          <w:tcPr>
            <w:tcW w:w="688" w:type="pct"/>
            <w:vMerge/>
          </w:tcPr>
          <w:p w14:paraId="2BE9D928" w14:textId="77777777" w:rsidR="00FE6BD7" w:rsidRPr="009A1DE7" w:rsidRDefault="00FE6BD7" w:rsidP="00C81021">
            <w:pPr>
              <w:pStyle w:val="TableText"/>
            </w:pPr>
          </w:p>
        </w:tc>
        <w:tc>
          <w:tcPr>
            <w:tcW w:w="937" w:type="pct"/>
            <w:vMerge/>
          </w:tcPr>
          <w:p w14:paraId="453C94DE" w14:textId="77777777" w:rsidR="00FE6BD7" w:rsidRPr="009A1DE7" w:rsidRDefault="00FE6BD7" w:rsidP="00C81021">
            <w:pPr>
              <w:pStyle w:val="TableText"/>
            </w:pPr>
          </w:p>
        </w:tc>
        <w:tc>
          <w:tcPr>
            <w:tcW w:w="719" w:type="pct"/>
            <w:vMerge/>
          </w:tcPr>
          <w:p w14:paraId="4027F179" w14:textId="77777777" w:rsidR="00FE6BD7" w:rsidRPr="009A1DE7" w:rsidRDefault="00FE6BD7" w:rsidP="00C81021">
            <w:pPr>
              <w:pStyle w:val="TableText"/>
            </w:pPr>
          </w:p>
        </w:tc>
        <w:tc>
          <w:tcPr>
            <w:tcW w:w="532" w:type="pct"/>
            <w:vMerge/>
          </w:tcPr>
          <w:p w14:paraId="57678D37"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AA16427"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5C8BF898" w14:textId="77777777" w:rsidR="00FE6BD7" w:rsidRPr="00EE4BD6" w:rsidRDefault="00FE6BD7" w:rsidP="00C81021">
            <w:pPr>
              <w:pStyle w:val="TableText"/>
            </w:pPr>
          </w:p>
        </w:tc>
      </w:tr>
      <w:tr w:rsidR="00FE6BD7" w:rsidRPr="00EE4BD6" w14:paraId="58E5DEF9" w14:textId="77777777" w:rsidTr="00F97A1E">
        <w:trPr>
          <w:cantSplit/>
          <w:trHeight w:val="428"/>
        </w:trPr>
        <w:tc>
          <w:tcPr>
            <w:tcW w:w="436" w:type="pct"/>
            <w:vMerge/>
          </w:tcPr>
          <w:p w14:paraId="4A76B404" w14:textId="77777777" w:rsidR="00FE6BD7" w:rsidRPr="00EF587A" w:rsidRDefault="00FE6BD7" w:rsidP="00C81021">
            <w:pPr>
              <w:pStyle w:val="TableText"/>
            </w:pPr>
          </w:p>
        </w:tc>
        <w:tc>
          <w:tcPr>
            <w:tcW w:w="469" w:type="pct"/>
            <w:vMerge/>
          </w:tcPr>
          <w:p w14:paraId="46E4D558" w14:textId="77777777" w:rsidR="00FE6BD7" w:rsidRPr="00EF587A" w:rsidRDefault="00FE6BD7" w:rsidP="00C81021">
            <w:pPr>
              <w:pStyle w:val="TableText"/>
            </w:pPr>
          </w:p>
        </w:tc>
        <w:tc>
          <w:tcPr>
            <w:tcW w:w="438" w:type="pct"/>
            <w:vMerge/>
          </w:tcPr>
          <w:p w14:paraId="53D978BE" w14:textId="77777777" w:rsidR="00FE6BD7" w:rsidRPr="00EF587A" w:rsidRDefault="00FE6BD7" w:rsidP="00C81021">
            <w:pPr>
              <w:pStyle w:val="TableText"/>
            </w:pPr>
          </w:p>
        </w:tc>
        <w:tc>
          <w:tcPr>
            <w:tcW w:w="688" w:type="pct"/>
            <w:vMerge/>
          </w:tcPr>
          <w:p w14:paraId="58FA00D1" w14:textId="77777777" w:rsidR="00FE6BD7" w:rsidRPr="00EF587A" w:rsidRDefault="00FE6BD7" w:rsidP="00C81021">
            <w:pPr>
              <w:pStyle w:val="TableText"/>
            </w:pPr>
          </w:p>
        </w:tc>
        <w:tc>
          <w:tcPr>
            <w:tcW w:w="937" w:type="pct"/>
            <w:vMerge/>
          </w:tcPr>
          <w:p w14:paraId="09FE2C11" w14:textId="77777777" w:rsidR="00FE6BD7" w:rsidRPr="00EF587A" w:rsidRDefault="00FE6BD7" w:rsidP="00C81021">
            <w:pPr>
              <w:pStyle w:val="TableText"/>
            </w:pPr>
          </w:p>
        </w:tc>
        <w:tc>
          <w:tcPr>
            <w:tcW w:w="719" w:type="pct"/>
            <w:vMerge/>
          </w:tcPr>
          <w:p w14:paraId="76ED4F5B" w14:textId="77777777" w:rsidR="00FE6BD7" w:rsidRPr="00EF587A" w:rsidRDefault="00FE6BD7" w:rsidP="00C81021">
            <w:pPr>
              <w:pStyle w:val="TableText"/>
            </w:pPr>
          </w:p>
        </w:tc>
        <w:tc>
          <w:tcPr>
            <w:tcW w:w="532" w:type="pct"/>
            <w:vMerge/>
          </w:tcPr>
          <w:p w14:paraId="090A4555" w14:textId="77777777" w:rsidR="00FE6BD7" w:rsidRPr="00EF587A" w:rsidRDefault="00FE6BD7" w:rsidP="00C81021">
            <w:pPr>
              <w:pStyle w:val="TableText"/>
            </w:pPr>
          </w:p>
        </w:tc>
        <w:tc>
          <w:tcPr>
            <w:tcW w:w="345" w:type="pct"/>
            <w:shd w:val="clear" w:color="auto" w:fill="F2F2F2" w:themeFill="background1" w:themeFillShade="F2"/>
          </w:tcPr>
          <w:p w14:paraId="6A127750"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6178230F" w14:textId="77777777" w:rsidR="00FE6BD7" w:rsidRPr="00EF587A" w:rsidRDefault="00FE6BD7" w:rsidP="00C81021">
            <w:pPr>
              <w:pStyle w:val="TableText"/>
            </w:pPr>
          </w:p>
        </w:tc>
      </w:tr>
      <w:tr w:rsidR="00FE6BD7" w:rsidRPr="00EE4BD6" w14:paraId="142ACB8C" w14:textId="77777777" w:rsidTr="00F97A1E">
        <w:trPr>
          <w:cantSplit/>
        </w:trPr>
        <w:tc>
          <w:tcPr>
            <w:tcW w:w="5000" w:type="pct"/>
            <w:gridSpan w:val="9"/>
            <w:shd w:val="clear" w:color="auto" w:fill="FBE4D5" w:themeFill="accent2" w:themeFillTint="33"/>
          </w:tcPr>
          <w:p w14:paraId="05A7DF36" w14:textId="77777777" w:rsidR="00FE6BD7" w:rsidRPr="00ED339A" w:rsidRDefault="00FE6BD7" w:rsidP="00C81021">
            <w:pPr>
              <w:pStyle w:val="TableText"/>
              <w:rPr>
                <w:sz w:val="8"/>
                <w:szCs w:val="8"/>
              </w:rPr>
            </w:pPr>
          </w:p>
        </w:tc>
      </w:tr>
      <w:tr w:rsidR="00D86EA6" w:rsidRPr="00EE4BD6" w14:paraId="1540C879" w14:textId="77777777" w:rsidTr="00F97A1E">
        <w:trPr>
          <w:cantSplit/>
          <w:trHeight w:val="428"/>
        </w:trPr>
        <w:tc>
          <w:tcPr>
            <w:tcW w:w="436" w:type="pct"/>
            <w:vMerge w:val="restart"/>
            <w:vAlign w:val="center"/>
          </w:tcPr>
          <w:p w14:paraId="48CF84CA" w14:textId="18046CDC" w:rsidR="00D86EA6" w:rsidRPr="00F77313" w:rsidRDefault="00D86EA6" w:rsidP="00D86EA6">
            <w:pPr>
              <w:pStyle w:val="TableText"/>
              <w:jc w:val="center"/>
              <w:rPr>
                <w:b/>
                <w:bCs/>
              </w:rPr>
            </w:pPr>
            <w:r w:rsidRPr="00D86EA6">
              <w:rPr>
                <w:b/>
                <w:bCs/>
              </w:rPr>
              <w:t>Signature Manager</w:t>
            </w:r>
          </w:p>
        </w:tc>
        <w:tc>
          <w:tcPr>
            <w:tcW w:w="469" w:type="pct"/>
            <w:vMerge w:val="restart"/>
          </w:tcPr>
          <w:p w14:paraId="0A7954FE" w14:textId="77777777" w:rsidR="00D86EA6" w:rsidRDefault="00D86EA6" w:rsidP="00D86EA6">
            <w:pPr>
              <w:pStyle w:val="TableText"/>
              <w:keepNext/>
              <w:keepLines/>
              <w:numPr>
                <w:ilvl w:val="0"/>
                <w:numId w:val="3"/>
              </w:numPr>
              <w:ind w:left="226" w:hanging="180"/>
            </w:pPr>
            <w:r>
              <w:t>Date Range: Last week’s date to current</w:t>
            </w:r>
          </w:p>
          <w:p w14:paraId="5C26056F" w14:textId="6BBE4B45" w:rsidR="00D86EA6" w:rsidRPr="009A1DE7" w:rsidRDefault="00D86EA6" w:rsidP="00D86EA6">
            <w:pPr>
              <w:pStyle w:val="TableText"/>
              <w:numPr>
                <w:ilvl w:val="0"/>
                <w:numId w:val="3"/>
              </w:numPr>
              <w:ind w:left="226" w:hanging="180"/>
            </w:pPr>
            <w:r>
              <w:t>Providers and Clinics as needed</w:t>
            </w:r>
          </w:p>
        </w:tc>
        <w:tc>
          <w:tcPr>
            <w:tcW w:w="438" w:type="pct"/>
            <w:vMerge w:val="restart"/>
          </w:tcPr>
          <w:p w14:paraId="39AB5B2D" w14:textId="7E5A7C57" w:rsidR="00D86EA6" w:rsidRPr="009A1DE7" w:rsidRDefault="00D86EA6" w:rsidP="00D86EA6">
            <w:pPr>
              <w:pStyle w:val="TableText"/>
            </w:pPr>
            <w:r w:rsidRPr="00445990">
              <w:t>Dental Chief</w:t>
            </w:r>
            <w:r>
              <w:t xml:space="preserve"> </w:t>
            </w:r>
            <w:r w:rsidRPr="00445990">
              <w:t>/</w:t>
            </w:r>
            <w:r>
              <w:t xml:space="preserve"> </w:t>
            </w:r>
            <w:r w:rsidRPr="00445990">
              <w:t>Individual Provider</w:t>
            </w:r>
          </w:p>
        </w:tc>
        <w:tc>
          <w:tcPr>
            <w:tcW w:w="688" w:type="pct"/>
            <w:vMerge w:val="restart"/>
          </w:tcPr>
          <w:p w14:paraId="7DD59DBE" w14:textId="7061138F" w:rsidR="00D86EA6" w:rsidRPr="009A1DE7" w:rsidRDefault="00D86EA6" w:rsidP="00D86EA6">
            <w:pPr>
              <w:pStyle w:val="TableText"/>
            </w:pPr>
            <w:r w:rsidRPr="00837A86">
              <w:t xml:space="preserve">Review and approve (sign) all open </w:t>
            </w:r>
            <w:r>
              <w:t>c</w:t>
            </w:r>
            <w:r w:rsidRPr="00837A86">
              <w:t xml:space="preserve">linical </w:t>
            </w:r>
            <w:r>
              <w:t>n</w:t>
            </w:r>
            <w:r w:rsidRPr="00837A86">
              <w:t>otes</w:t>
            </w:r>
            <w:r w:rsidRPr="00D160F4">
              <w:t>.</w:t>
            </w:r>
          </w:p>
        </w:tc>
        <w:tc>
          <w:tcPr>
            <w:tcW w:w="937" w:type="pct"/>
            <w:vMerge w:val="restart"/>
          </w:tcPr>
          <w:p w14:paraId="57383BD3" w14:textId="77777777" w:rsidR="00D86EA6" w:rsidRDefault="00D86EA6" w:rsidP="00D86EA6">
            <w:pPr>
              <w:pStyle w:val="TableText"/>
            </w:pPr>
            <w:r w:rsidRPr="00445990">
              <w:t xml:space="preserve">Clinical </w:t>
            </w:r>
            <w:r>
              <w:t>n</w:t>
            </w:r>
            <w:r w:rsidRPr="00445990">
              <w:t>otes and electronic signatures (approvals) are being used in the EDR.</w:t>
            </w:r>
          </w:p>
          <w:p w14:paraId="07117E68" w14:textId="235BF6A1" w:rsidR="00D86EA6" w:rsidRPr="009A1DE7" w:rsidRDefault="00D86EA6" w:rsidP="00D86EA6">
            <w:pPr>
              <w:pStyle w:val="TableText"/>
              <w:numPr>
                <w:ilvl w:val="0"/>
                <w:numId w:val="2"/>
              </w:numPr>
              <w:ind w:left="232" w:hanging="180"/>
            </w:pPr>
            <w:r w:rsidRPr="002D6363">
              <w:rPr>
                <w:u w:val="single"/>
              </w:rPr>
              <w:t>Clinical Notes</w:t>
            </w:r>
            <w:r>
              <w:t>:</w:t>
            </w:r>
            <w:r w:rsidRPr="002D6363">
              <w:t xml:space="preserve"> </w:t>
            </w:r>
            <w:r w:rsidRPr="00445990">
              <w:t xml:space="preserve">Review </w:t>
            </w:r>
            <w:r>
              <w:t>c</w:t>
            </w:r>
            <w:r w:rsidRPr="00445990">
              <w:t xml:space="preserve">linical </w:t>
            </w:r>
            <w:r>
              <w:t>n</w:t>
            </w:r>
            <w:r w:rsidRPr="00445990">
              <w:t>ote for completion</w:t>
            </w:r>
            <w:r>
              <w:t xml:space="preserve">. </w:t>
            </w:r>
            <w:r w:rsidRPr="00445990">
              <w:t>Add</w:t>
            </w:r>
            <w:r>
              <w:t xml:space="preserve"> or </w:t>
            </w:r>
            <w:r w:rsidRPr="00445990">
              <w:t xml:space="preserve">modify </w:t>
            </w:r>
            <w:r>
              <w:t>c</w:t>
            </w:r>
            <w:r w:rsidRPr="00445990">
              <w:t xml:space="preserve">linical </w:t>
            </w:r>
            <w:proofErr w:type="gramStart"/>
            <w:r>
              <w:t>n</w:t>
            </w:r>
            <w:r w:rsidRPr="00445990">
              <w:t>ote</w:t>
            </w:r>
            <w:proofErr w:type="gramEnd"/>
            <w:r w:rsidRPr="00445990">
              <w:t xml:space="preserve"> as needed</w:t>
            </w:r>
            <w:r>
              <w:t xml:space="preserve">. </w:t>
            </w:r>
            <w:r w:rsidRPr="00445990">
              <w:t xml:space="preserve">Sign </w:t>
            </w:r>
            <w:r>
              <w:t>c</w:t>
            </w:r>
            <w:r w:rsidRPr="00445990">
              <w:t xml:space="preserve">linical </w:t>
            </w:r>
            <w:r>
              <w:t>n</w:t>
            </w:r>
            <w:r w:rsidRPr="00445990">
              <w:t>ote</w:t>
            </w:r>
            <w:r>
              <w:t>.</w:t>
            </w:r>
          </w:p>
        </w:tc>
        <w:tc>
          <w:tcPr>
            <w:tcW w:w="719" w:type="pct"/>
            <w:vMerge w:val="restart"/>
          </w:tcPr>
          <w:p w14:paraId="3229EF1A" w14:textId="77777777" w:rsidR="00D86EA6" w:rsidRDefault="00D86EA6" w:rsidP="00D86EA6">
            <w:pPr>
              <w:pStyle w:val="TableText"/>
            </w:pPr>
            <w:r w:rsidRPr="00837A86">
              <w:t xml:space="preserve">Not using this fail-safe report leaves unsigned </w:t>
            </w:r>
            <w:r>
              <w:t>c</w:t>
            </w:r>
            <w:r w:rsidRPr="00837A86">
              <w:t xml:space="preserve">linical </w:t>
            </w:r>
            <w:r>
              <w:t>n</w:t>
            </w:r>
            <w:r w:rsidRPr="00837A86">
              <w:t xml:space="preserve">otes open for editing. Identifying those unsigned </w:t>
            </w:r>
            <w:r>
              <w:t>c</w:t>
            </w:r>
            <w:r w:rsidRPr="00837A86">
              <w:t xml:space="preserve">linical </w:t>
            </w:r>
            <w:r>
              <w:t>n</w:t>
            </w:r>
            <w:r w:rsidRPr="00837A86">
              <w:t xml:space="preserve">otes </w:t>
            </w:r>
            <w:r>
              <w:t>with</w:t>
            </w:r>
            <w:r w:rsidRPr="00837A86">
              <w:t xml:space="preserve"> this report </w:t>
            </w:r>
            <w:r>
              <w:t xml:space="preserve">is </w:t>
            </w:r>
            <w:r w:rsidRPr="00837A86">
              <w:t xml:space="preserve">a quick and easy way for Providers to find </w:t>
            </w:r>
            <w:r>
              <w:t>any</w:t>
            </w:r>
            <w:r w:rsidRPr="00837A86">
              <w:t xml:space="preserve"> </w:t>
            </w:r>
            <w:r>
              <w:t>c</w:t>
            </w:r>
            <w:r w:rsidRPr="00837A86">
              <w:t xml:space="preserve">linical </w:t>
            </w:r>
            <w:r>
              <w:t>n</w:t>
            </w:r>
            <w:r w:rsidRPr="00837A86">
              <w:t>otes that need attention and completion.</w:t>
            </w:r>
          </w:p>
          <w:p w14:paraId="452B2356" w14:textId="0DC697C2" w:rsidR="00D86EA6" w:rsidRPr="00EF587A" w:rsidRDefault="00D86EA6" w:rsidP="00D86EA6">
            <w:pPr>
              <w:pStyle w:val="TableText"/>
            </w:pPr>
            <w:r>
              <w:t>Note: You cannot launch the OHS tool from this module.</w:t>
            </w:r>
          </w:p>
        </w:tc>
        <w:tc>
          <w:tcPr>
            <w:tcW w:w="532" w:type="pct"/>
            <w:vMerge w:val="restart"/>
          </w:tcPr>
          <w:p w14:paraId="22F785FE" w14:textId="4CCBB94D" w:rsidR="00D86EA6" w:rsidRPr="00EF587A" w:rsidRDefault="00D86EA6" w:rsidP="00D86EA6">
            <w:pPr>
              <w:pStyle w:val="TableText"/>
              <w:numPr>
                <w:ilvl w:val="0"/>
                <w:numId w:val="1"/>
              </w:numPr>
              <w:spacing w:after="0"/>
              <w:ind w:left="187" w:hanging="187"/>
            </w:pPr>
            <w:r w:rsidRPr="009A1DE7">
              <w:t>Clinical Records</w:t>
            </w:r>
          </w:p>
        </w:tc>
        <w:tc>
          <w:tcPr>
            <w:tcW w:w="345" w:type="pct"/>
            <w:shd w:val="clear" w:color="auto" w:fill="F2F2F2" w:themeFill="background1" w:themeFillShade="F2"/>
          </w:tcPr>
          <w:p w14:paraId="0CDC1C65" w14:textId="77777777" w:rsidR="00D86EA6" w:rsidRPr="00EE4BD6" w:rsidRDefault="00D86EA6" w:rsidP="00D86EA6">
            <w:pPr>
              <w:pStyle w:val="TableText"/>
            </w:pPr>
            <w:r w:rsidRPr="001F26DF">
              <w:t>Date Reviewed</w:t>
            </w:r>
            <w:r>
              <w:t>:</w:t>
            </w:r>
          </w:p>
        </w:tc>
        <w:tc>
          <w:tcPr>
            <w:tcW w:w="436" w:type="pct"/>
            <w:shd w:val="clear" w:color="auto" w:fill="F2F2F2" w:themeFill="background1" w:themeFillShade="F2"/>
          </w:tcPr>
          <w:p w14:paraId="733A0E3A" w14:textId="77777777" w:rsidR="00D86EA6" w:rsidRPr="00EE4BD6" w:rsidRDefault="00D86EA6" w:rsidP="00D86EA6">
            <w:pPr>
              <w:pStyle w:val="TableText"/>
            </w:pPr>
          </w:p>
        </w:tc>
      </w:tr>
      <w:tr w:rsidR="00FE6BD7" w:rsidRPr="00EE4BD6" w14:paraId="1A1D2EF8" w14:textId="77777777" w:rsidTr="00F97A1E">
        <w:trPr>
          <w:cantSplit/>
          <w:trHeight w:val="428"/>
        </w:trPr>
        <w:tc>
          <w:tcPr>
            <w:tcW w:w="436" w:type="pct"/>
            <w:vMerge/>
          </w:tcPr>
          <w:p w14:paraId="7157981B" w14:textId="77777777" w:rsidR="00FE6BD7" w:rsidRPr="00EF587A" w:rsidRDefault="00FE6BD7" w:rsidP="00C81021">
            <w:pPr>
              <w:pStyle w:val="TableText"/>
            </w:pPr>
          </w:p>
        </w:tc>
        <w:tc>
          <w:tcPr>
            <w:tcW w:w="469" w:type="pct"/>
            <w:vMerge/>
          </w:tcPr>
          <w:p w14:paraId="48732EF5" w14:textId="77777777" w:rsidR="00FE6BD7" w:rsidRPr="009A1DE7" w:rsidRDefault="00FE6BD7" w:rsidP="00C81021">
            <w:pPr>
              <w:pStyle w:val="TableText"/>
              <w:numPr>
                <w:ilvl w:val="0"/>
                <w:numId w:val="3"/>
              </w:numPr>
              <w:ind w:left="226" w:hanging="180"/>
            </w:pPr>
          </w:p>
        </w:tc>
        <w:tc>
          <w:tcPr>
            <w:tcW w:w="438" w:type="pct"/>
            <w:vMerge/>
          </w:tcPr>
          <w:p w14:paraId="05DD3D42" w14:textId="77777777" w:rsidR="00FE6BD7" w:rsidRPr="009A1DE7" w:rsidRDefault="00FE6BD7" w:rsidP="00C81021">
            <w:pPr>
              <w:pStyle w:val="TableText"/>
            </w:pPr>
          </w:p>
        </w:tc>
        <w:tc>
          <w:tcPr>
            <w:tcW w:w="688" w:type="pct"/>
            <w:vMerge/>
          </w:tcPr>
          <w:p w14:paraId="1383AEB3" w14:textId="77777777" w:rsidR="00FE6BD7" w:rsidRPr="009A1DE7" w:rsidRDefault="00FE6BD7" w:rsidP="00C81021">
            <w:pPr>
              <w:pStyle w:val="TableText"/>
            </w:pPr>
          </w:p>
        </w:tc>
        <w:tc>
          <w:tcPr>
            <w:tcW w:w="937" w:type="pct"/>
            <w:vMerge/>
          </w:tcPr>
          <w:p w14:paraId="3DD1B277" w14:textId="77777777" w:rsidR="00FE6BD7" w:rsidRPr="009A1DE7" w:rsidRDefault="00FE6BD7" w:rsidP="00C81021">
            <w:pPr>
              <w:pStyle w:val="TableText"/>
            </w:pPr>
          </w:p>
        </w:tc>
        <w:tc>
          <w:tcPr>
            <w:tcW w:w="719" w:type="pct"/>
            <w:vMerge/>
          </w:tcPr>
          <w:p w14:paraId="30B843DE" w14:textId="77777777" w:rsidR="00FE6BD7" w:rsidRPr="009A1DE7" w:rsidRDefault="00FE6BD7" w:rsidP="00C81021">
            <w:pPr>
              <w:pStyle w:val="TableText"/>
            </w:pPr>
          </w:p>
        </w:tc>
        <w:tc>
          <w:tcPr>
            <w:tcW w:w="532" w:type="pct"/>
            <w:vMerge/>
          </w:tcPr>
          <w:p w14:paraId="28105DD0"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16EBB6F4"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6BD65F91" w14:textId="77777777" w:rsidR="00FE6BD7" w:rsidRPr="00EE4BD6" w:rsidRDefault="00FE6BD7" w:rsidP="00C81021">
            <w:pPr>
              <w:pStyle w:val="TableText"/>
            </w:pPr>
          </w:p>
        </w:tc>
      </w:tr>
      <w:tr w:rsidR="00FE6BD7" w:rsidRPr="00EE4BD6" w14:paraId="062B68C0" w14:textId="77777777" w:rsidTr="00F97A1E">
        <w:trPr>
          <w:cantSplit/>
          <w:trHeight w:val="428"/>
        </w:trPr>
        <w:tc>
          <w:tcPr>
            <w:tcW w:w="436" w:type="pct"/>
            <w:vMerge/>
          </w:tcPr>
          <w:p w14:paraId="6C9FAC25" w14:textId="77777777" w:rsidR="00FE6BD7" w:rsidRPr="00EF587A" w:rsidRDefault="00FE6BD7" w:rsidP="00C81021">
            <w:pPr>
              <w:pStyle w:val="TableText"/>
            </w:pPr>
          </w:p>
        </w:tc>
        <w:tc>
          <w:tcPr>
            <w:tcW w:w="469" w:type="pct"/>
            <w:vMerge/>
          </w:tcPr>
          <w:p w14:paraId="449BEF4B" w14:textId="77777777" w:rsidR="00FE6BD7" w:rsidRPr="009A1DE7" w:rsidRDefault="00FE6BD7" w:rsidP="00C81021">
            <w:pPr>
              <w:pStyle w:val="TableText"/>
              <w:numPr>
                <w:ilvl w:val="0"/>
                <w:numId w:val="3"/>
              </w:numPr>
              <w:ind w:left="226" w:hanging="180"/>
            </w:pPr>
          </w:p>
        </w:tc>
        <w:tc>
          <w:tcPr>
            <w:tcW w:w="438" w:type="pct"/>
            <w:vMerge/>
          </w:tcPr>
          <w:p w14:paraId="2D37E0CC" w14:textId="77777777" w:rsidR="00FE6BD7" w:rsidRPr="009A1DE7" w:rsidRDefault="00FE6BD7" w:rsidP="00C81021">
            <w:pPr>
              <w:pStyle w:val="TableText"/>
            </w:pPr>
          </w:p>
        </w:tc>
        <w:tc>
          <w:tcPr>
            <w:tcW w:w="688" w:type="pct"/>
            <w:vMerge/>
          </w:tcPr>
          <w:p w14:paraId="53B7AFB3" w14:textId="77777777" w:rsidR="00FE6BD7" w:rsidRPr="009A1DE7" w:rsidRDefault="00FE6BD7" w:rsidP="00C81021">
            <w:pPr>
              <w:pStyle w:val="TableText"/>
            </w:pPr>
          </w:p>
        </w:tc>
        <w:tc>
          <w:tcPr>
            <w:tcW w:w="937" w:type="pct"/>
            <w:vMerge/>
          </w:tcPr>
          <w:p w14:paraId="48DC4BB4" w14:textId="77777777" w:rsidR="00FE6BD7" w:rsidRPr="009A1DE7" w:rsidRDefault="00FE6BD7" w:rsidP="00C81021">
            <w:pPr>
              <w:pStyle w:val="TableText"/>
            </w:pPr>
          </w:p>
        </w:tc>
        <w:tc>
          <w:tcPr>
            <w:tcW w:w="719" w:type="pct"/>
            <w:vMerge/>
          </w:tcPr>
          <w:p w14:paraId="465124E3" w14:textId="77777777" w:rsidR="00FE6BD7" w:rsidRPr="009A1DE7" w:rsidRDefault="00FE6BD7" w:rsidP="00C81021">
            <w:pPr>
              <w:pStyle w:val="TableText"/>
            </w:pPr>
          </w:p>
        </w:tc>
        <w:tc>
          <w:tcPr>
            <w:tcW w:w="532" w:type="pct"/>
            <w:vMerge/>
          </w:tcPr>
          <w:p w14:paraId="3200F2E8"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9736AF9"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0BDBB13F" w14:textId="77777777" w:rsidR="00FE6BD7" w:rsidRPr="00EE4BD6" w:rsidRDefault="00FE6BD7" w:rsidP="00C81021">
            <w:pPr>
              <w:pStyle w:val="TableText"/>
            </w:pPr>
          </w:p>
        </w:tc>
      </w:tr>
      <w:tr w:rsidR="00FE6BD7" w:rsidRPr="00EE4BD6" w14:paraId="4F371546" w14:textId="77777777" w:rsidTr="00F97A1E">
        <w:trPr>
          <w:cantSplit/>
          <w:trHeight w:val="428"/>
        </w:trPr>
        <w:tc>
          <w:tcPr>
            <w:tcW w:w="436" w:type="pct"/>
            <w:vMerge/>
          </w:tcPr>
          <w:p w14:paraId="4A5E3D54" w14:textId="77777777" w:rsidR="00FE6BD7" w:rsidRPr="00EF587A" w:rsidRDefault="00FE6BD7" w:rsidP="00C81021">
            <w:pPr>
              <w:pStyle w:val="TableText"/>
            </w:pPr>
          </w:p>
        </w:tc>
        <w:tc>
          <w:tcPr>
            <w:tcW w:w="469" w:type="pct"/>
            <w:vMerge/>
          </w:tcPr>
          <w:p w14:paraId="1C63A678" w14:textId="77777777" w:rsidR="00FE6BD7" w:rsidRPr="009A1DE7" w:rsidRDefault="00FE6BD7" w:rsidP="00C81021">
            <w:pPr>
              <w:pStyle w:val="TableText"/>
              <w:numPr>
                <w:ilvl w:val="0"/>
                <w:numId w:val="3"/>
              </w:numPr>
              <w:ind w:left="226" w:hanging="180"/>
            </w:pPr>
          </w:p>
        </w:tc>
        <w:tc>
          <w:tcPr>
            <w:tcW w:w="438" w:type="pct"/>
            <w:vMerge/>
          </w:tcPr>
          <w:p w14:paraId="35F61319" w14:textId="77777777" w:rsidR="00FE6BD7" w:rsidRPr="009A1DE7" w:rsidRDefault="00FE6BD7" w:rsidP="00C81021">
            <w:pPr>
              <w:pStyle w:val="TableText"/>
            </w:pPr>
          </w:p>
        </w:tc>
        <w:tc>
          <w:tcPr>
            <w:tcW w:w="688" w:type="pct"/>
            <w:vMerge/>
          </w:tcPr>
          <w:p w14:paraId="3C478731" w14:textId="77777777" w:rsidR="00FE6BD7" w:rsidRPr="009A1DE7" w:rsidRDefault="00FE6BD7" w:rsidP="00C81021">
            <w:pPr>
              <w:pStyle w:val="TableText"/>
            </w:pPr>
          </w:p>
        </w:tc>
        <w:tc>
          <w:tcPr>
            <w:tcW w:w="937" w:type="pct"/>
            <w:vMerge/>
          </w:tcPr>
          <w:p w14:paraId="1F1A25DD" w14:textId="77777777" w:rsidR="00FE6BD7" w:rsidRPr="009A1DE7" w:rsidRDefault="00FE6BD7" w:rsidP="00C81021">
            <w:pPr>
              <w:pStyle w:val="TableText"/>
            </w:pPr>
          </w:p>
        </w:tc>
        <w:tc>
          <w:tcPr>
            <w:tcW w:w="719" w:type="pct"/>
            <w:vMerge/>
          </w:tcPr>
          <w:p w14:paraId="492B5891" w14:textId="77777777" w:rsidR="00FE6BD7" w:rsidRPr="009A1DE7" w:rsidRDefault="00FE6BD7" w:rsidP="00C81021">
            <w:pPr>
              <w:pStyle w:val="TableText"/>
            </w:pPr>
          </w:p>
        </w:tc>
        <w:tc>
          <w:tcPr>
            <w:tcW w:w="532" w:type="pct"/>
            <w:vMerge/>
          </w:tcPr>
          <w:p w14:paraId="1EF17EE1"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19D4D2A"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7AA60C69" w14:textId="77777777" w:rsidR="00FE6BD7" w:rsidRPr="00EE4BD6" w:rsidRDefault="00FE6BD7" w:rsidP="00C81021">
            <w:pPr>
              <w:pStyle w:val="TableText"/>
            </w:pPr>
          </w:p>
        </w:tc>
      </w:tr>
      <w:tr w:rsidR="00FE6BD7" w:rsidRPr="00EF587A" w14:paraId="04CAF479" w14:textId="77777777" w:rsidTr="00F97A1E">
        <w:trPr>
          <w:cantSplit/>
          <w:trHeight w:val="428"/>
        </w:trPr>
        <w:tc>
          <w:tcPr>
            <w:tcW w:w="436" w:type="pct"/>
            <w:vMerge/>
          </w:tcPr>
          <w:p w14:paraId="0F380576" w14:textId="77777777" w:rsidR="00FE6BD7" w:rsidRPr="00EF587A" w:rsidRDefault="00FE6BD7" w:rsidP="00C81021">
            <w:pPr>
              <w:pStyle w:val="TableText"/>
            </w:pPr>
          </w:p>
        </w:tc>
        <w:tc>
          <w:tcPr>
            <w:tcW w:w="469" w:type="pct"/>
            <w:vMerge/>
          </w:tcPr>
          <w:p w14:paraId="733629F9" w14:textId="77777777" w:rsidR="00FE6BD7" w:rsidRPr="00EF587A" w:rsidRDefault="00FE6BD7" w:rsidP="00C81021">
            <w:pPr>
              <w:pStyle w:val="TableText"/>
            </w:pPr>
          </w:p>
        </w:tc>
        <w:tc>
          <w:tcPr>
            <w:tcW w:w="438" w:type="pct"/>
            <w:vMerge/>
          </w:tcPr>
          <w:p w14:paraId="7FF538CE" w14:textId="77777777" w:rsidR="00FE6BD7" w:rsidRPr="00EF587A" w:rsidRDefault="00FE6BD7" w:rsidP="00C81021">
            <w:pPr>
              <w:pStyle w:val="TableText"/>
            </w:pPr>
          </w:p>
        </w:tc>
        <w:tc>
          <w:tcPr>
            <w:tcW w:w="688" w:type="pct"/>
            <w:vMerge/>
          </w:tcPr>
          <w:p w14:paraId="7D9120B5" w14:textId="77777777" w:rsidR="00FE6BD7" w:rsidRPr="00EF587A" w:rsidRDefault="00FE6BD7" w:rsidP="00C81021">
            <w:pPr>
              <w:pStyle w:val="TableText"/>
            </w:pPr>
          </w:p>
        </w:tc>
        <w:tc>
          <w:tcPr>
            <w:tcW w:w="937" w:type="pct"/>
            <w:vMerge/>
          </w:tcPr>
          <w:p w14:paraId="43A0B2EB" w14:textId="77777777" w:rsidR="00FE6BD7" w:rsidRPr="00EF587A" w:rsidRDefault="00FE6BD7" w:rsidP="00C81021">
            <w:pPr>
              <w:pStyle w:val="TableText"/>
            </w:pPr>
          </w:p>
        </w:tc>
        <w:tc>
          <w:tcPr>
            <w:tcW w:w="719" w:type="pct"/>
            <w:vMerge/>
          </w:tcPr>
          <w:p w14:paraId="06FCC242" w14:textId="77777777" w:rsidR="00FE6BD7" w:rsidRPr="00EF587A" w:rsidRDefault="00FE6BD7" w:rsidP="00C81021">
            <w:pPr>
              <w:pStyle w:val="TableText"/>
            </w:pPr>
          </w:p>
        </w:tc>
        <w:tc>
          <w:tcPr>
            <w:tcW w:w="532" w:type="pct"/>
            <w:vMerge/>
          </w:tcPr>
          <w:p w14:paraId="29B50C22" w14:textId="77777777" w:rsidR="00FE6BD7" w:rsidRPr="00EF587A" w:rsidRDefault="00FE6BD7" w:rsidP="00C81021">
            <w:pPr>
              <w:pStyle w:val="TableText"/>
            </w:pPr>
          </w:p>
        </w:tc>
        <w:tc>
          <w:tcPr>
            <w:tcW w:w="345" w:type="pct"/>
            <w:shd w:val="clear" w:color="auto" w:fill="F2F2F2" w:themeFill="background1" w:themeFillShade="F2"/>
          </w:tcPr>
          <w:p w14:paraId="219F49FF"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76E686B6" w14:textId="77777777" w:rsidR="00FE6BD7" w:rsidRPr="00EF587A" w:rsidRDefault="00FE6BD7" w:rsidP="00C81021">
            <w:pPr>
              <w:pStyle w:val="TableText"/>
            </w:pPr>
          </w:p>
        </w:tc>
      </w:tr>
      <w:tr w:rsidR="00FE6BD7" w:rsidRPr="00EE4BD6" w14:paraId="2F4C9EE9" w14:textId="77777777" w:rsidTr="00F97A1E">
        <w:trPr>
          <w:cantSplit/>
        </w:trPr>
        <w:tc>
          <w:tcPr>
            <w:tcW w:w="5000" w:type="pct"/>
            <w:gridSpan w:val="9"/>
            <w:shd w:val="clear" w:color="auto" w:fill="FBE4D5" w:themeFill="accent2" w:themeFillTint="33"/>
          </w:tcPr>
          <w:p w14:paraId="79117F46" w14:textId="77777777" w:rsidR="00FE6BD7" w:rsidRPr="00ED339A" w:rsidRDefault="00FE6BD7" w:rsidP="00C81021">
            <w:pPr>
              <w:pStyle w:val="TableText"/>
              <w:rPr>
                <w:sz w:val="8"/>
                <w:szCs w:val="8"/>
              </w:rPr>
            </w:pPr>
          </w:p>
        </w:tc>
      </w:tr>
      <w:tr w:rsidR="00D86EA6" w:rsidRPr="00EE4BD6" w14:paraId="281DF424" w14:textId="77777777" w:rsidTr="00F97A1E">
        <w:trPr>
          <w:cantSplit/>
          <w:trHeight w:val="428"/>
        </w:trPr>
        <w:tc>
          <w:tcPr>
            <w:tcW w:w="436" w:type="pct"/>
            <w:vMerge w:val="restart"/>
            <w:vAlign w:val="center"/>
          </w:tcPr>
          <w:p w14:paraId="29791B80" w14:textId="614B7DC1" w:rsidR="00D86EA6" w:rsidRPr="00F77313" w:rsidRDefault="00D86EA6" w:rsidP="00D86EA6">
            <w:pPr>
              <w:pStyle w:val="TableText"/>
              <w:jc w:val="center"/>
              <w:rPr>
                <w:b/>
                <w:bCs/>
              </w:rPr>
            </w:pPr>
            <w:r w:rsidRPr="00D86EA6">
              <w:rPr>
                <w:b/>
                <w:bCs/>
              </w:rPr>
              <w:lastRenderedPageBreak/>
              <w:t>Referral Recap Report</w:t>
            </w:r>
          </w:p>
        </w:tc>
        <w:tc>
          <w:tcPr>
            <w:tcW w:w="469" w:type="pct"/>
            <w:vMerge w:val="restart"/>
          </w:tcPr>
          <w:p w14:paraId="2620C296" w14:textId="159CE7A2" w:rsidR="00D86EA6" w:rsidRPr="009A1DE7" w:rsidRDefault="00D86EA6" w:rsidP="00D86EA6">
            <w:pPr>
              <w:pStyle w:val="TableText"/>
              <w:numPr>
                <w:ilvl w:val="0"/>
                <w:numId w:val="3"/>
              </w:numPr>
              <w:ind w:left="226" w:hanging="180"/>
            </w:pPr>
            <w:r>
              <w:t xml:space="preserve">Date Range: </w:t>
            </w:r>
            <w:r w:rsidRPr="00E714AF">
              <w:t>Last week’s range</w:t>
            </w:r>
          </w:p>
        </w:tc>
        <w:tc>
          <w:tcPr>
            <w:tcW w:w="438" w:type="pct"/>
            <w:vMerge w:val="restart"/>
          </w:tcPr>
          <w:p w14:paraId="3F6EEB8C" w14:textId="77777777" w:rsidR="00D86EA6" w:rsidRDefault="00D86EA6" w:rsidP="00D86EA6">
            <w:pPr>
              <w:pStyle w:val="TableText"/>
              <w:keepNext/>
              <w:keepLines/>
            </w:pPr>
            <w:r>
              <w:t>Dental Chief</w:t>
            </w:r>
          </w:p>
          <w:p w14:paraId="51D5BA1A" w14:textId="1D4F2E75" w:rsidR="00D86EA6" w:rsidRPr="009A1DE7" w:rsidRDefault="00D86EA6" w:rsidP="00D86EA6">
            <w:pPr>
              <w:pStyle w:val="TableText"/>
            </w:pPr>
            <w:r>
              <w:t>Front Desk / Scheduler</w:t>
            </w:r>
          </w:p>
        </w:tc>
        <w:tc>
          <w:tcPr>
            <w:tcW w:w="688" w:type="pct"/>
            <w:vMerge w:val="restart"/>
          </w:tcPr>
          <w:p w14:paraId="0F514779" w14:textId="01B5F4C2" w:rsidR="00D86EA6" w:rsidRPr="009A1DE7" w:rsidRDefault="00D86EA6" w:rsidP="00D86EA6">
            <w:pPr>
              <w:pStyle w:val="TableText"/>
            </w:pPr>
            <w:r>
              <w:t>C</w:t>
            </w:r>
            <w:r w:rsidRPr="00E714AF">
              <w:t>ommunicate the status of a patients care with referring doctor. Lists both completed and outstanding treatment plan that was referred into the practice for a given patient.</w:t>
            </w:r>
          </w:p>
        </w:tc>
        <w:tc>
          <w:tcPr>
            <w:tcW w:w="937" w:type="pct"/>
            <w:vMerge w:val="restart"/>
          </w:tcPr>
          <w:p w14:paraId="3C7B5712" w14:textId="77777777" w:rsidR="00D86EA6" w:rsidRDefault="00D86EA6" w:rsidP="00D86EA6">
            <w:pPr>
              <w:pStyle w:val="TableText"/>
            </w:pPr>
            <w:r>
              <w:t>T</w:t>
            </w:r>
            <w:r w:rsidRPr="00E714AF">
              <w:t>reatment</w:t>
            </w:r>
            <w:r>
              <w:t xml:space="preserve"> referred</w:t>
            </w:r>
            <w:r w:rsidRPr="00E714AF">
              <w:t xml:space="preserve"> by a doctor into the clinic must be recorded as such in </w:t>
            </w:r>
            <w:proofErr w:type="gramStart"/>
            <w:r w:rsidRPr="00E714AF">
              <w:t>Chart</w:t>
            </w:r>
            <w:proofErr w:type="gramEnd"/>
            <w:r w:rsidRPr="00E714AF">
              <w:t>.</w:t>
            </w:r>
          </w:p>
          <w:p w14:paraId="3C2FA022" w14:textId="62C827E7" w:rsidR="00D86EA6" w:rsidRPr="009A1DE7" w:rsidRDefault="00D86EA6" w:rsidP="00D86EA6">
            <w:pPr>
              <w:pStyle w:val="TableText"/>
              <w:numPr>
                <w:ilvl w:val="0"/>
                <w:numId w:val="2"/>
              </w:numPr>
              <w:ind w:left="232" w:hanging="180"/>
            </w:pPr>
            <w:r w:rsidRPr="002D6363">
              <w:rPr>
                <w:u w:val="single"/>
              </w:rPr>
              <w:t>Chart</w:t>
            </w:r>
            <w:r w:rsidRPr="00E714AF">
              <w:t>:  Document the patient</w:t>
            </w:r>
            <w:r>
              <w:t>’</w:t>
            </w:r>
            <w:r w:rsidRPr="00E714AF">
              <w:t xml:space="preserve">s Referred By </w:t>
            </w:r>
            <w:r>
              <w:t xml:space="preserve">referral </w:t>
            </w:r>
            <w:r w:rsidRPr="00E714AF">
              <w:t>per treatment</w:t>
            </w:r>
            <w:r>
              <w:t>-</w:t>
            </w:r>
            <w:r w:rsidRPr="00E714AF">
              <w:t>planned procedure.</w:t>
            </w:r>
          </w:p>
        </w:tc>
        <w:tc>
          <w:tcPr>
            <w:tcW w:w="719" w:type="pct"/>
            <w:vMerge w:val="restart"/>
          </w:tcPr>
          <w:p w14:paraId="0A1F1484" w14:textId="7953F658" w:rsidR="00D86EA6" w:rsidRPr="00EF587A" w:rsidRDefault="00D86EA6" w:rsidP="00D86EA6">
            <w:pPr>
              <w:pStyle w:val="TableText"/>
            </w:pPr>
            <w:r w:rsidRPr="002D6363">
              <w:t>Not communicating the patient's treatment status could leave the patient in a compromised status.</w:t>
            </w:r>
          </w:p>
        </w:tc>
        <w:tc>
          <w:tcPr>
            <w:tcW w:w="532" w:type="pct"/>
            <w:vMerge w:val="restart"/>
          </w:tcPr>
          <w:p w14:paraId="391F63D4" w14:textId="77777777" w:rsidR="00D86EA6" w:rsidRDefault="00D86EA6" w:rsidP="00D86EA6">
            <w:pPr>
              <w:pStyle w:val="TableText"/>
              <w:numPr>
                <w:ilvl w:val="0"/>
                <w:numId w:val="1"/>
              </w:numPr>
              <w:ind w:left="187" w:hanging="187"/>
            </w:pPr>
            <w:r>
              <w:t>Database Design</w:t>
            </w:r>
          </w:p>
          <w:p w14:paraId="0445940F" w14:textId="77777777" w:rsidR="00D86EA6" w:rsidRDefault="00D86EA6" w:rsidP="00D86EA6">
            <w:pPr>
              <w:pStyle w:val="TableText"/>
              <w:numPr>
                <w:ilvl w:val="0"/>
                <w:numId w:val="1"/>
              </w:numPr>
              <w:ind w:left="187" w:hanging="187"/>
            </w:pPr>
            <w:r>
              <w:t xml:space="preserve">Schedule Optimization </w:t>
            </w:r>
          </w:p>
          <w:p w14:paraId="7C4DC755" w14:textId="77777777" w:rsidR="00D86EA6" w:rsidRDefault="00D86EA6" w:rsidP="00D86EA6">
            <w:pPr>
              <w:pStyle w:val="TableText"/>
              <w:numPr>
                <w:ilvl w:val="0"/>
                <w:numId w:val="1"/>
              </w:numPr>
              <w:ind w:left="187" w:hanging="187"/>
            </w:pPr>
            <w:r>
              <w:t xml:space="preserve">Patient Records </w:t>
            </w:r>
          </w:p>
          <w:p w14:paraId="4EE4F772" w14:textId="77777777" w:rsidR="00D86EA6" w:rsidRDefault="00D86EA6" w:rsidP="00D86EA6">
            <w:pPr>
              <w:pStyle w:val="TableText"/>
              <w:numPr>
                <w:ilvl w:val="0"/>
                <w:numId w:val="1"/>
              </w:numPr>
              <w:ind w:left="187" w:hanging="187"/>
            </w:pPr>
            <w:r>
              <w:t xml:space="preserve">Clinical Records </w:t>
            </w:r>
          </w:p>
          <w:p w14:paraId="40F5BC16" w14:textId="77777777" w:rsidR="00D86EA6" w:rsidRDefault="00D86EA6" w:rsidP="00D86EA6">
            <w:pPr>
              <w:pStyle w:val="TableText"/>
              <w:numPr>
                <w:ilvl w:val="0"/>
                <w:numId w:val="1"/>
              </w:numPr>
              <w:ind w:left="187" w:hanging="187"/>
            </w:pPr>
            <w:r>
              <w:t xml:space="preserve">Revenue Cycle </w:t>
            </w:r>
          </w:p>
          <w:p w14:paraId="6562CF76" w14:textId="2E3D7282" w:rsidR="00D86EA6" w:rsidRPr="00EF587A" w:rsidRDefault="00D86EA6" w:rsidP="00D86EA6">
            <w:pPr>
              <w:pStyle w:val="TableText"/>
              <w:numPr>
                <w:ilvl w:val="0"/>
                <w:numId w:val="1"/>
              </w:numPr>
              <w:spacing w:after="0"/>
              <w:ind w:left="187" w:hanging="187"/>
            </w:pPr>
            <w:r>
              <w:t>Reports Reference*</w:t>
            </w:r>
          </w:p>
        </w:tc>
        <w:tc>
          <w:tcPr>
            <w:tcW w:w="345" w:type="pct"/>
            <w:shd w:val="clear" w:color="auto" w:fill="F2F2F2" w:themeFill="background1" w:themeFillShade="F2"/>
          </w:tcPr>
          <w:p w14:paraId="1ABDD4F6" w14:textId="77777777" w:rsidR="00D86EA6" w:rsidRPr="00EE4BD6" w:rsidRDefault="00D86EA6" w:rsidP="00D86EA6">
            <w:pPr>
              <w:pStyle w:val="TableText"/>
            </w:pPr>
            <w:r w:rsidRPr="001F26DF">
              <w:t>Date Reviewed</w:t>
            </w:r>
            <w:r>
              <w:t>:</w:t>
            </w:r>
          </w:p>
        </w:tc>
        <w:tc>
          <w:tcPr>
            <w:tcW w:w="436" w:type="pct"/>
            <w:shd w:val="clear" w:color="auto" w:fill="F2F2F2" w:themeFill="background1" w:themeFillShade="F2"/>
          </w:tcPr>
          <w:p w14:paraId="7F9F94D7" w14:textId="77777777" w:rsidR="00D86EA6" w:rsidRPr="00EE4BD6" w:rsidRDefault="00D86EA6" w:rsidP="00D86EA6">
            <w:pPr>
              <w:pStyle w:val="TableText"/>
            </w:pPr>
          </w:p>
        </w:tc>
      </w:tr>
      <w:tr w:rsidR="00FE6BD7" w:rsidRPr="00EE4BD6" w14:paraId="26317799" w14:textId="77777777" w:rsidTr="00F97A1E">
        <w:trPr>
          <w:cantSplit/>
          <w:trHeight w:val="428"/>
        </w:trPr>
        <w:tc>
          <w:tcPr>
            <w:tcW w:w="436" w:type="pct"/>
            <w:vMerge/>
          </w:tcPr>
          <w:p w14:paraId="202BE29F" w14:textId="77777777" w:rsidR="00FE6BD7" w:rsidRPr="00EF587A" w:rsidRDefault="00FE6BD7" w:rsidP="00C81021">
            <w:pPr>
              <w:pStyle w:val="TableText"/>
            </w:pPr>
          </w:p>
        </w:tc>
        <w:tc>
          <w:tcPr>
            <w:tcW w:w="469" w:type="pct"/>
            <w:vMerge/>
          </w:tcPr>
          <w:p w14:paraId="4EA1A38F" w14:textId="77777777" w:rsidR="00FE6BD7" w:rsidRPr="009A1DE7" w:rsidRDefault="00FE6BD7" w:rsidP="00C81021">
            <w:pPr>
              <w:pStyle w:val="TableText"/>
              <w:numPr>
                <w:ilvl w:val="0"/>
                <w:numId w:val="3"/>
              </w:numPr>
              <w:ind w:left="226" w:hanging="180"/>
            </w:pPr>
          </w:p>
        </w:tc>
        <w:tc>
          <w:tcPr>
            <w:tcW w:w="438" w:type="pct"/>
            <w:vMerge/>
          </w:tcPr>
          <w:p w14:paraId="2A0C8ED3" w14:textId="77777777" w:rsidR="00FE6BD7" w:rsidRPr="009A1DE7" w:rsidRDefault="00FE6BD7" w:rsidP="00C81021">
            <w:pPr>
              <w:pStyle w:val="TableText"/>
            </w:pPr>
          </w:p>
        </w:tc>
        <w:tc>
          <w:tcPr>
            <w:tcW w:w="688" w:type="pct"/>
            <w:vMerge/>
          </w:tcPr>
          <w:p w14:paraId="3ED00161" w14:textId="77777777" w:rsidR="00FE6BD7" w:rsidRPr="009A1DE7" w:rsidRDefault="00FE6BD7" w:rsidP="00C81021">
            <w:pPr>
              <w:pStyle w:val="TableText"/>
            </w:pPr>
          </w:p>
        </w:tc>
        <w:tc>
          <w:tcPr>
            <w:tcW w:w="937" w:type="pct"/>
            <w:vMerge/>
          </w:tcPr>
          <w:p w14:paraId="4CD1C014" w14:textId="77777777" w:rsidR="00FE6BD7" w:rsidRPr="009A1DE7" w:rsidRDefault="00FE6BD7" w:rsidP="00C81021">
            <w:pPr>
              <w:pStyle w:val="TableText"/>
            </w:pPr>
          </w:p>
        </w:tc>
        <w:tc>
          <w:tcPr>
            <w:tcW w:w="719" w:type="pct"/>
            <w:vMerge/>
          </w:tcPr>
          <w:p w14:paraId="25C290F0" w14:textId="77777777" w:rsidR="00FE6BD7" w:rsidRPr="009A1DE7" w:rsidRDefault="00FE6BD7" w:rsidP="00C81021">
            <w:pPr>
              <w:pStyle w:val="TableText"/>
            </w:pPr>
          </w:p>
        </w:tc>
        <w:tc>
          <w:tcPr>
            <w:tcW w:w="532" w:type="pct"/>
            <w:vMerge/>
          </w:tcPr>
          <w:p w14:paraId="343F2094"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74D19BFD"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285A2B07" w14:textId="77777777" w:rsidR="00FE6BD7" w:rsidRPr="00EE4BD6" w:rsidRDefault="00FE6BD7" w:rsidP="00C81021">
            <w:pPr>
              <w:pStyle w:val="TableText"/>
            </w:pPr>
          </w:p>
        </w:tc>
      </w:tr>
      <w:tr w:rsidR="00FE6BD7" w:rsidRPr="00EE4BD6" w14:paraId="643D4FE2" w14:textId="77777777" w:rsidTr="00F97A1E">
        <w:trPr>
          <w:cantSplit/>
          <w:trHeight w:val="428"/>
        </w:trPr>
        <w:tc>
          <w:tcPr>
            <w:tcW w:w="436" w:type="pct"/>
            <w:vMerge/>
          </w:tcPr>
          <w:p w14:paraId="52C5EA12" w14:textId="77777777" w:rsidR="00FE6BD7" w:rsidRPr="00EF587A" w:rsidRDefault="00FE6BD7" w:rsidP="00C81021">
            <w:pPr>
              <w:pStyle w:val="TableText"/>
            </w:pPr>
          </w:p>
        </w:tc>
        <w:tc>
          <w:tcPr>
            <w:tcW w:w="469" w:type="pct"/>
            <w:vMerge/>
          </w:tcPr>
          <w:p w14:paraId="0DB184F1" w14:textId="77777777" w:rsidR="00FE6BD7" w:rsidRPr="009A1DE7" w:rsidRDefault="00FE6BD7" w:rsidP="00C81021">
            <w:pPr>
              <w:pStyle w:val="TableText"/>
              <w:numPr>
                <w:ilvl w:val="0"/>
                <w:numId w:val="3"/>
              </w:numPr>
              <w:ind w:left="226" w:hanging="180"/>
            </w:pPr>
          </w:p>
        </w:tc>
        <w:tc>
          <w:tcPr>
            <w:tcW w:w="438" w:type="pct"/>
            <w:vMerge/>
          </w:tcPr>
          <w:p w14:paraId="6E45C134" w14:textId="77777777" w:rsidR="00FE6BD7" w:rsidRPr="009A1DE7" w:rsidRDefault="00FE6BD7" w:rsidP="00C81021">
            <w:pPr>
              <w:pStyle w:val="TableText"/>
            </w:pPr>
          </w:p>
        </w:tc>
        <w:tc>
          <w:tcPr>
            <w:tcW w:w="688" w:type="pct"/>
            <w:vMerge/>
          </w:tcPr>
          <w:p w14:paraId="0511D5D0" w14:textId="77777777" w:rsidR="00FE6BD7" w:rsidRPr="009A1DE7" w:rsidRDefault="00FE6BD7" w:rsidP="00C81021">
            <w:pPr>
              <w:pStyle w:val="TableText"/>
            </w:pPr>
          </w:p>
        </w:tc>
        <w:tc>
          <w:tcPr>
            <w:tcW w:w="937" w:type="pct"/>
            <w:vMerge/>
          </w:tcPr>
          <w:p w14:paraId="18445206" w14:textId="77777777" w:rsidR="00FE6BD7" w:rsidRPr="009A1DE7" w:rsidRDefault="00FE6BD7" w:rsidP="00C81021">
            <w:pPr>
              <w:pStyle w:val="TableText"/>
            </w:pPr>
          </w:p>
        </w:tc>
        <w:tc>
          <w:tcPr>
            <w:tcW w:w="719" w:type="pct"/>
            <w:vMerge/>
          </w:tcPr>
          <w:p w14:paraId="100B7245" w14:textId="77777777" w:rsidR="00FE6BD7" w:rsidRPr="009A1DE7" w:rsidRDefault="00FE6BD7" w:rsidP="00C81021">
            <w:pPr>
              <w:pStyle w:val="TableText"/>
            </w:pPr>
          </w:p>
        </w:tc>
        <w:tc>
          <w:tcPr>
            <w:tcW w:w="532" w:type="pct"/>
            <w:vMerge/>
          </w:tcPr>
          <w:p w14:paraId="222B7C7D"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79537C75"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12DA856D" w14:textId="77777777" w:rsidR="00FE6BD7" w:rsidRPr="00EE4BD6" w:rsidRDefault="00FE6BD7" w:rsidP="00C81021">
            <w:pPr>
              <w:pStyle w:val="TableText"/>
            </w:pPr>
          </w:p>
        </w:tc>
      </w:tr>
      <w:tr w:rsidR="00FE6BD7" w:rsidRPr="00EE4BD6" w14:paraId="734DFCCB" w14:textId="77777777" w:rsidTr="00F97A1E">
        <w:trPr>
          <w:cantSplit/>
          <w:trHeight w:val="428"/>
        </w:trPr>
        <w:tc>
          <w:tcPr>
            <w:tcW w:w="436" w:type="pct"/>
            <w:vMerge/>
          </w:tcPr>
          <w:p w14:paraId="1F2E6E2A" w14:textId="77777777" w:rsidR="00FE6BD7" w:rsidRPr="00EF587A" w:rsidRDefault="00FE6BD7" w:rsidP="00C81021">
            <w:pPr>
              <w:pStyle w:val="TableText"/>
            </w:pPr>
          </w:p>
        </w:tc>
        <w:tc>
          <w:tcPr>
            <w:tcW w:w="469" w:type="pct"/>
            <w:vMerge/>
          </w:tcPr>
          <w:p w14:paraId="53450BA9" w14:textId="77777777" w:rsidR="00FE6BD7" w:rsidRPr="009A1DE7" w:rsidRDefault="00FE6BD7" w:rsidP="00C81021">
            <w:pPr>
              <w:pStyle w:val="TableText"/>
              <w:numPr>
                <w:ilvl w:val="0"/>
                <w:numId w:val="3"/>
              </w:numPr>
              <w:ind w:left="226" w:hanging="180"/>
            </w:pPr>
          </w:p>
        </w:tc>
        <w:tc>
          <w:tcPr>
            <w:tcW w:w="438" w:type="pct"/>
            <w:vMerge/>
          </w:tcPr>
          <w:p w14:paraId="1ADD3A66" w14:textId="77777777" w:rsidR="00FE6BD7" w:rsidRPr="009A1DE7" w:rsidRDefault="00FE6BD7" w:rsidP="00C81021">
            <w:pPr>
              <w:pStyle w:val="TableText"/>
            </w:pPr>
          </w:p>
        </w:tc>
        <w:tc>
          <w:tcPr>
            <w:tcW w:w="688" w:type="pct"/>
            <w:vMerge/>
          </w:tcPr>
          <w:p w14:paraId="34161307" w14:textId="77777777" w:rsidR="00FE6BD7" w:rsidRPr="009A1DE7" w:rsidRDefault="00FE6BD7" w:rsidP="00C81021">
            <w:pPr>
              <w:pStyle w:val="TableText"/>
            </w:pPr>
          </w:p>
        </w:tc>
        <w:tc>
          <w:tcPr>
            <w:tcW w:w="937" w:type="pct"/>
            <w:vMerge/>
          </w:tcPr>
          <w:p w14:paraId="4DE4C151" w14:textId="77777777" w:rsidR="00FE6BD7" w:rsidRPr="009A1DE7" w:rsidRDefault="00FE6BD7" w:rsidP="00C81021">
            <w:pPr>
              <w:pStyle w:val="TableText"/>
            </w:pPr>
          </w:p>
        </w:tc>
        <w:tc>
          <w:tcPr>
            <w:tcW w:w="719" w:type="pct"/>
            <w:vMerge/>
          </w:tcPr>
          <w:p w14:paraId="5BD92F18" w14:textId="77777777" w:rsidR="00FE6BD7" w:rsidRPr="009A1DE7" w:rsidRDefault="00FE6BD7" w:rsidP="00C81021">
            <w:pPr>
              <w:pStyle w:val="TableText"/>
            </w:pPr>
          </w:p>
        </w:tc>
        <w:tc>
          <w:tcPr>
            <w:tcW w:w="532" w:type="pct"/>
            <w:vMerge/>
          </w:tcPr>
          <w:p w14:paraId="35F0906C"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8E15DDE"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28DAF74D" w14:textId="77777777" w:rsidR="00FE6BD7" w:rsidRPr="00EE4BD6" w:rsidRDefault="00FE6BD7" w:rsidP="00C81021">
            <w:pPr>
              <w:pStyle w:val="TableText"/>
            </w:pPr>
          </w:p>
        </w:tc>
      </w:tr>
      <w:tr w:rsidR="00FE6BD7" w:rsidRPr="00EF587A" w14:paraId="0DC98803" w14:textId="77777777" w:rsidTr="00F97A1E">
        <w:trPr>
          <w:cantSplit/>
          <w:trHeight w:val="428"/>
        </w:trPr>
        <w:tc>
          <w:tcPr>
            <w:tcW w:w="436" w:type="pct"/>
            <w:vMerge/>
          </w:tcPr>
          <w:p w14:paraId="11E7DDF4" w14:textId="77777777" w:rsidR="00FE6BD7" w:rsidRPr="00EF587A" w:rsidRDefault="00FE6BD7" w:rsidP="00C81021">
            <w:pPr>
              <w:pStyle w:val="TableText"/>
            </w:pPr>
          </w:p>
        </w:tc>
        <w:tc>
          <w:tcPr>
            <w:tcW w:w="469" w:type="pct"/>
            <w:vMerge/>
          </w:tcPr>
          <w:p w14:paraId="073A83D4" w14:textId="77777777" w:rsidR="00FE6BD7" w:rsidRPr="00EF587A" w:rsidRDefault="00FE6BD7" w:rsidP="00C81021">
            <w:pPr>
              <w:pStyle w:val="TableText"/>
            </w:pPr>
          </w:p>
        </w:tc>
        <w:tc>
          <w:tcPr>
            <w:tcW w:w="438" w:type="pct"/>
            <w:vMerge/>
          </w:tcPr>
          <w:p w14:paraId="6AE0199B" w14:textId="77777777" w:rsidR="00FE6BD7" w:rsidRPr="00EF587A" w:rsidRDefault="00FE6BD7" w:rsidP="00C81021">
            <w:pPr>
              <w:pStyle w:val="TableText"/>
            </w:pPr>
          </w:p>
        </w:tc>
        <w:tc>
          <w:tcPr>
            <w:tcW w:w="688" w:type="pct"/>
            <w:vMerge/>
          </w:tcPr>
          <w:p w14:paraId="324334FD" w14:textId="77777777" w:rsidR="00FE6BD7" w:rsidRPr="00EF587A" w:rsidRDefault="00FE6BD7" w:rsidP="00C81021">
            <w:pPr>
              <w:pStyle w:val="TableText"/>
            </w:pPr>
          </w:p>
        </w:tc>
        <w:tc>
          <w:tcPr>
            <w:tcW w:w="937" w:type="pct"/>
            <w:vMerge/>
          </w:tcPr>
          <w:p w14:paraId="5754941E" w14:textId="77777777" w:rsidR="00FE6BD7" w:rsidRPr="00EF587A" w:rsidRDefault="00FE6BD7" w:rsidP="00C81021">
            <w:pPr>
              <w:pStyle w:val="TableText"/>
            </w:pPr>
          </w:p>
        </w:tc>
        <w:tc>
          <w:tcPr>
            <w:tcW w:w="719" w:type="pct"/>
            <w:vMerge/>
          </w:tcPr>
          <w:p w14:paraId="62C3244E" w14:textId="77777777" w:rsidR="00FE6BD7" w:rsidRPr="00EF587A" w:rsidRDefault="00FE6BD7" w:rsidP="00C81021">
            <w:pPr>
              <w:pStyle w:val="TableText"/>
            </w:pPr>
          </w:p>
        </w:tc>
        <w:tc>
          <w:tcPr>
            <w:tcW w:w="532" w:type="pct"/>
            <w:vMerge/>
          </w:tcPr>
          <w:p w14:paraId="7354A344" w14:textId="77777777" w:rsidR="00FE6BD7" w:rsidRPr="00EF587A" w:rsidRDefault="00FE6BD7" w:rsidP="00C81021">
            <w:pPr>
              <w:pStyle w:val="TableText"/>
            </w:pPr>
          </w:p>
        </w:tc>
        <w:tc>
          <w:tcPr>
            <w:tcW w:w="345" w:type="pct"/>
            <w:shd w:val="clear" w:color="auto" w:fill="F2F2F2" w:themeFill="background1" w:themeFillShade="F2"/>
          </w:tcPr>
          <w:p w14:paraId="11086D3B"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0B5317ED" w14:textId="77777777" w:rsidR="00FE6BD7" w:rsidRPr="00EF587A" w:rsidRDefault="00FE6BD7" w:rsidP="00C81021">
            <w:pPr>
              <w:pStyle w:val="TableText"/>
            </w:pPr>
          </w:p>
        </w:tc>
      </w:tr>
      <w:tr w:rsidR="00FE6BD7" w:rsidRPr="00EE4BD6" w14:paraId="7833D6B5" w14:textId="77777777" w:rsidTr="00F97A1E">
        <w:trPr>
          <w:cantSplit/>
        </w:trPr>
        <w:tc>
          <w:tcPr>
            <w:tcW w:w="5000" w:type="pct"/>
            <w:gridSpan w:val="9"/>
            <w:shd w:val="clear" w:color="auto" w:fill="FBE4D5" w:themeFill="accent2" w:themeFillTint="33"/>
          </w:tcPr>
          <w:p w14:paraId="07739550" w14:textId="77777777" w:rsidR="00FE6BD7" w:rsidRPr="00ED339A" w:rsidRDefault="00FE6BD7" w:rsidP="00C81021">
            <w:pPr>
              <w:pStyle w:val="TableText"/>
              <w:rPr>
                <w:sz w:val="8"/>
                <w:szCs w:val="8"/>
              </w:rPr>
            </w:pPr>
          </w:p>
        </w:tc>
      </w:tr>
      <w:tr w:rsidR="00D86EA6" w:rsidRPr="00EE4BD6" w14:paraId="5DFDCA95" w14:textId="77777777" w:rsidTr="00F97A1E">
        <w:trPr>
          <w:cantSplit/>
          <w:trHeight w:val="428"/>
        </w:trPr>
        <w:tc>
          <w:tcPr>
            <w:tcW w:w="436" w:type="pct"/>
            <w:vMerge w:val="restart"/>
            <w:vAlign w:val="center"/>
          </w:tcPr>
          <w:p w14:paraId="77C0C3E1" w14:textId="421848FB" w:rsidR="00D86EA6" w:rsidRPr="00F77313" w:rsidRDefault="00D86EA6" w:rsidP="00D86EA6">
            <w:pPr>
              <w:pStyle w:val="TableText"/>
              <w:jc w:val="center"/>
              <w:rPr>
                <w:b/>
                <w:bCs/>
              </w:rPr>
            </w:pPr>
            <w:r w:rsidRPr="00D86EA6">
              <w:rPr>
                <w:b/>
                <w:bCs/>
              </w:rPr>
              <w:t>Treatment Plan Approval Report</w:t>
            </w:r>
          </w:p>
        </w:tc>
        <w:tc>
          <w:tcPr>
            <w:tcW w:w="469" w:type="pct"/>
            <w:vMerge w:val="restart"/>
          </w:tcPr>
          <w:p w14:paraId="39277EC2" w14:textId="171276BF" w:rsidR="00D86EA6" w:rsidRPr="009A1DE7" w:rsidRDefault="00D86EA6" w:rsidP="00D86EA6">
            <w:pPr>
              <w:pStyle w:val="TableText"/>
              <w:numPr>
                <w:ilvl w:val="0"/>
                <w:numId w:val="3"/>
              </w:numPr>
              <w:ind w:left="226" w:hanging="180"/>
            </w:pPr>
            <w:r>
              <w:t xml:space="preserve">Date Range: </w:t>
            </w:r>
            <w:r w:rsidRPr="00335DF1">
              <w:t>Last week’s range</w:t>
            </w:r>
          </w:p>
        </w:tc>
        <w:tc>
          <w:tcPr>
            <w:tcW w:w="438" w:type="pct"/>
            <w:vMerge w:val="restart"/>
          </w:tcPr>
          <w:p w14:paraId="3B36A13C" w14:textId="3A62392E" w:rsidR="00D86EA6" w:rsidRPr="009A1DE7" w:rsidRDefault="00D86EA6" w:rsidP="00D86EA6">
            <w:pPr>
              <w:pStyle w:val="TableText"/>
            </w:pPr>
            <w:r>
              <w:t>Front Desk / Scheduler, Clinical Manager, CAC, or Dental Chief</w:t>
            </w:r>
          </w:p>
        </w:tc>
        <w:tc>
          <w:tcPr>
            <w:tcW w:w="688" w:type="pct"/>
            <w:vMerge w:val="restart"/>
          </w:tcPr>
          <w:p w14:paraId="39D43C96" w14:textId="6538719A" w:rsidR="00D86EA6" w:rsidRPr="009A1DE7" w:rsidRDefault="00D86EA6" w:rsidP="00D86EA6">
            <w:pPr>
              <w:pStyle w:val="TableText"/>
            </w:pPr>
            <w:r w:rsidRPr="00335DF1">
              <w:t xml:space="preserve">Since the Treatment Plan Approval Report lists Pre-Treatment Estimates for both </w:t>
            </w:r>
            <w:r>
              <w:t>p</w:t>
            </w:r>
            <w:r w:rsidRPr="00335DF1">
              <w:t xml:space="preserve">rimary and </w:t>
            </w:r>
            <w:r>
              <w:t>s</w:t>
            </w:r>
            <w:r w:rsidRPr="00335DF1">
              <w:t xml:space="preserve">econdary insurance, along with </w:t>
            </w:r>
            <w:r>
              <w:t>e</w:t>
            </w:r>
            <w:r w:rsidRPr="00335DF1">
              <w:t xml:space="preserve">ligibility </w:t>
            </w:r>
            <w:r>
              <w:t>d</w:t>
            </w:r>
            <w:r w:rsidRPr="00335DF1">
              <w:t xml:space="preserve">ates and </w:t>
            </w:r>
            <w:r>
              <w:t>b</w:t>
            </w:r>
            <w:r w:rsidRPr="00335DF1">
              <w:t xml:space="preserve">enefits </w:t>
            </w:r>
            <w:r>
              <w:t>r</w:t>
            </w:r>
            <w:r w:rsidRPr="00335DF1">
              <w:t xml:space="preserve">emaining, this report is another tool </w:t>
            </w:r>
            <w:r>
              <w:t xml:space="preserve">to use when contacting </w:t>
            </w:r>
            <w:r w:rsidRPr="00335DF1">
              <w:t>patients with unscheduled treatment</w:t>
            </w:r>
            <w:r>
              <w:t>-</w:t>
            </w:r>
            <w:r w:rsidRPr="00335DF1">
              <w:t>plan</w:t>
            </w:r>
            <w:r>
              <w:t xml:space="preserve">ned </w:t>
            </w:r>
            <w:r w:rsidRPr="00335DF1">
              <w:t>procedures.</w:t>
            </w:r>
          </w:p>
        </w:tc>
        <w:tc>
          <w:tcPr>
            <w:tcW w:w="937" w:type="pct"/>
            <w:vMerge w:val="restart"/>
          </w:tcPr>
          <w:p w14:paraId="416AFD42" w14:textId="77777777" w:rsidR="00D86EA6" w:rsidRDefault="00D86EA6" w:rsidP="00D86EA6">
            <w:pPr>
              <w:pStyle w:val="TableText"/>
            </w:pPr>
            <w:r>
              <w:t>Primary and secondary (if applicable) i</w:t>
            </w:r>
            <w:r w:rsidRPr="00335DF1">
              <w:t xml:space="preserve">nsurance </w:t>
            </w:r>
            <w:r>
              <w:t>p</w:t>
            </w:r>
            <w:r w:rsidRPr="00335DF1">
              <w:t>re-</w:t>
            </w:r>
            <w:r>
              <w:t>t</w:t>
            </w:r>
            <w:r w:rsidRPr="00335DF1">
              <w:t xml:space="preserve">reatment </w:t>
            </w:r>
            <w:r>
              <w:t>estimates</w:t>
            </w:r>
            <w:r w:rsidRPr="00335DF1">
              <w:t xml:space="preserve"> w</w:t>
            </w:r>
            <w:r>
              <w:t>ere</w:t>
            </w:r>
            <w:r w:rsidRPr="00335DF1">
              <w:t xml:space="preserve"> submitted and received. In Treatment Planner, the case for the submitted treatment has been marked </w:t>
            </w:r>
            <w:r>
              <w:t>as</w:t>
            </w:r>
            <w:r w:rsidRPr="00335DF1">
              <w:t xml:space="preserve"> either Accepted or Rejected.</w:t>
            </w:r>
          </w:p>
          <w:p w14:paraId="1E250C67" w14:textId="40829E6D" w:rsidR="00D86EA6" w:rsidRPr="009A1DE7" w:rsidRDefault="00D86EA6" w:rsidP="00D86EA6">
            <w:pPr>
              <w:pStyle w:val="TableText"/>
              <w:numPr>
                <w:ilvl w:val="0"/>
                <w:numId w:val="2"/>
              </w:numPr>
              <w:ind w:left="232" w:hanging="180"/>
            </w:pPr>
            <w:r w:rsidRPr="00335DF1">
              <w:rPr>
                <w:u w:val="single"/>
              </w:rPr>
              <w:t>Ledger</w:t>
            </w:r>
            <w:r w:rsidRPr="00335DF1">
              <w:t>: Treatment</w:t>
            </w:r>
            <w:r>
              <w:t>-p</w:t>
            </w:r>
            <w:r w:rsidRPr="00335DF1">
              <w:t xml:space="preserve">lanned </w:t>
            </w:r>
            <w:r>
              <w:t>p</w:t>
            </w:r>
            <w:r w:rsidRPr="00335DF1">
              <w:t xml:space="preserve">rocedures sent to </w:t>
            </w:r>
            <w:r>
              <w:t>i</w:t>
            </w:r>
            <w:r w:rsidRPr="00335DF1">
              <w:t>nsurance for pre-approval. Document the notification from insurance as accepted or rejected.</w:t>
            </w:r>
          </w:p>
        </w:tc>
        <w:tc>
          <w:tcPr>
            <w:tcW w:w="719" w:type="pct"/>
            <w:vMerge w:val="restart"/>
          </w:tcPr>
          <w:p w14:paraId="0E5990F4" w14:textId="03EDAF0D" w:rsidR="00D86EA6" w:rsidRPr="00EF587A" w:rsidRDefault="00D86EA6" w:rsidP="00D86EA6">
            <w:pPr>
              <w:pStyle w:val="TableText"/>
            </w:pPr>
            <w:r w:rsidRPr="00335DF1">
              <w:t xml:space="preserve">If this report is not used, </w:t>
            </w:r>
            <w:r>
              <w:t>insurance-</w:t>
            </w:r>
            <w:r w:rsidRPr="00335DF1">
              <w:t>approved</w:t>
            </w:r>
            <w:r>
              <w:t xml:space="preserve"> estimates for</w:t>
            </w:r>
            <w:r w:rsidRPr="00335DF1">
              <w:t xml:space="preserve"> accepted treatment may remain unscheduled</w:t>
            </w:r>
            <w:r>
              <w:t>,</w:t>
            </w:r>
            <w:r w:rsidRPr="00335DF1">
              <w:t xml:space="preserve"> the time invested in recording the </w:t>
            </w:r>
            <w:r>
              <w:t>information</w:t>
            </w:r>
            <w:r w:rsidRPr="00335DF1">
              <w:t xml:space="preserve"> in EDR</w:t>
            </w:r>
            <w:r>
              <w:t xml:space="preserve"> will have been wasted, and a p</w:t>
            </w:r>
            <w:r w:rsidRPr="00335DF1">
              <w:t>atient's oral care may be compromised.</w:t>
            </w:r>
          </w:p>
        </w:tc>
        <w:tc>
          <w:tcPr>
            <w:tcW w:w="532" w:type="pct"/>
            <w:vMerge w:val="restart"/>
          </w:tcPr>
          <w:p w14:paraId="34493300" w14:textId="77777777" w:rsidR="00D86EA6" w:rsidRDefault="00D86EA6" w:rsidP="00D86EA6">
            <w:pPr>
              <w:pStyle w:val="TableText"/>
              <w:numPr>
                <w:ilvl w:val="0"/>
                <w:numId w:val="1"/>
              </w:numPr>
              <w:ind w:left="187" w:hanging="187"/>
            </w:pPr>
            <w:r>
              <w:t>Schedule Optimization</w:t>
            </w:r>
          </w:p>
          <w:p w14:paraId="773668EE" w14:textId="77777777" w:rsidR="00D86EA6" w:rsidRDefault="00D86EA6" w:rsidP="00D86EA6">
            <w:pPr>
              <w:pStyle w:val="TableText"/>
              <w:numPr>
                <w:ilvl w:val="0"/>
                <w:numId w:val="1"/>
              </w:numPr>
              <w:ind w:left="187" w:hanging="187"/>
            </w:pPr>
            <w:r>
              <w:t>Patient Records</w:t>
            </w:r>
          </w:p>
          <w:p w14:paraId="7D645BCF" w14:textId="77777777" w:rsidR="00D86EA6" w:rsidRDefault="00D86EA6" w:rsidP="00D86EA6">
            <w:pPr>
              <w:pStyle w:val="TableText"/>
              <w:numPr>
                <w:ilvl w:val="0"/>
                <w:numId w:val="1"/>
              </w:numPr>
              <w:ind w:left="187" w:hanging="187"/>
            </w:pPr>
            <w:r>
              <w:t>Clinical Records</w:t>
            </w:r>
          </w:p>
          <w:p w14:paraId="0E22FD07" w14:textId="77777777" w:rsidR="00D86EA6" w:rsidRDefault="00D86EA6" w:rsidP="00D86EA6">
            <w:pPr>
              <w:pStyle w:val="TableText"/>
              <w:numPr>
                <w:ilvl w:val="0"/>
                <w:numId w:val="1"/>
              </w:numPr>
              <w:ind w:left="187" w:hanging="187"/>
            </w:pPr>
            <w:r>
              <w:t>Revenue Cycle</w:t>
            </w:r>
          </w:p>
          <w:p w14:paraId="1D1AA9B3" w14:textId="6F51AD83" w:rsidR="00D86EA6" w:rsidRPr="00EF587A" w:rsidRDefault="00D86EA6" w:rsidP="00D86EA6">
            <w:pPr>
              <w:pStyle w:val="TableText"/>
              <w:numPr>
                <w:ilvl w:val="0"/>
                <w:numId w:val="1"/>
              </w:numPr>
              <w:spacing w:after="0"/>
              <w:ind w:left="187" w:hanging="187"/>
            </w:pPr>
            <w:r>
              <w:t>Reports Reference*</w:t>
            </w:r>
          </w:p>
        </w:tc>
        <w:tc>
          <w:tcPr>
            <w:tcW w:w="345" w:type="pct"/>
            <w:shd w:val="clear" w:color="auto" w:fill="F2F2F2" w:themeFill="background1" w:themeFillShade="F2"/>
          </w:tcPr>
          <w:p w14:paraId="22ECEF54" w14:textId="77777777" w:rsidR="00D86EA6" w:rsidRPr="00EE4BD6" w:rsidRDefault="00D86EA6" w:rsidP="00D86EA6">
            <w:pPr>
              <w:pStyle w:val="TableText"/>
            </w:pPr>
            <w:r w:rsidRPr="001F26DF">
              <w:t>Date Reviewed</w:t>
            </w:r>
            <w:r>
              <w:t>:</w:t>
            </w:r>
          </w:p>
        </w:tc>
        <w:tc>
          <w:tcPr>
            <w:tcW w:w="436" w:type="pct"/>
            <w:shd w:val="clear" w:color="auto" w:fill="F2F2F2" w:themeFill="background1" w:themeFillShade="F2"/>
          </w:tcPr>
          <w:p w14:paraId="76A61EF0" w14:textId="77777777" w:rsidR="00D86EA6" w:rsidRPr="00EE4BD6" w:rsidRDefault="00D86EA6" w:rsidP="00D86EA6">
            <w:pPr>
              <w:pStyle w:val="TableText"/>
            </w:pPr>
          </w:p>
        </w:tc>
      </w:tr>
      <w:tr w:rsidR="00FE6BD7" w:rsidRPr="00EE4BD6" w14:paraId="09DC9FF9" w14:textId="77777777" w:rsidTr="00F97A1E">
        <w:trPr>
          <w:cantSplit/>
          <w:trHeight w:val="428"/>
        </w:trPr>
        <w:tc>
          <w:tcPr>
            <w:tcW w:w="436" w:type="pct"/>
            <w:vMerge/>
          </w:tcPr>
          <w:p w14:paraId="6C519775" w14:textId="77777777" w:rsidR="00FE6BD7" w:rsidRPr="00EF587A" w:rsidRDefault="00FE6BD7" w:rsidP="00C81021">
            <w:pPr>
              <w:pStyle w:val="TableText"/>
            </w:pPr>
          </w:p>
        </w:tc>
        <w:tc>
          <w:tcPr>
            <w:tcW w:w="469" w:type="pct"/>
            <w:vMerge/>
          </w:tcPr>
          <w:p w14:paraId="112C61D6" w14:textId="77777777" w:rsidR="00FE6BD7" w:rsidRPr="009A1DE7" w:rsidRDefault="00FE6BD7" w:rsidP="00C81021">
            <w:pPr>
              <w:pStyle w:val="TableText"/>
              <w:numPr>
                <w:ilvl w:val="0"/>
                <w:numId w:val="3"/>
              </w:numPr>
              <w:ind w:left="226" w:hanging="180"/>
            </w:pPr>
          </w:p>
        </w:tc>
        <w:tc>
          <w:tcPr>
            <w:tcW w:w="438" w:type="pct"/>
            <w:vMerge/>
          </w:tcPr>
          <w:p w14:paraId="6EB20BCE" w14:textId="77777777" w:rsidR="00FE6BD7" w:rsidRPr="009A1DE7" w:rsidRDefault="00FE6BD7" w:rsidP="00C81021">
            <w:pPr>
              <w:pStyle w:val="TableText"/>
            </w:pPr>
          </w:p>
        </w:tc>
        <w:tc>
          <w:tcPr>
            <w:tcW w:w="688" w:type="pct"/>
            <w:vMerge/>
          </w:tcPr>
          <w:p w14:paraId="3F7BDF76" w14:textId="77777777" w:rsidR="00FE6BD7" w:rsidRPr="009A1DE7" w:rsidRDefault="00FE6BD7" w:rsidP="00C81021">
            <w:pPr>
              <w:pStyle w:val="TableText"/>
            </w:pPr>
          </w:p>
        </w:tc>
        <w:tc>
          <w:tcPr>
            <w:tcW w:w="937" w:type="pct"/>
            <w:vMerge/>
          </w:tcPr>
          <w:p w14:paraId="0E389500" w14:textId="77777777" w:rsidR="00FE6BD7" w:rsidRPr="009A1DE7" w:rsidRDefault="00FE6BD7" w:rsidP="00C81021">
            <w:pPr>
              <w:pStyle w:val="TableText"/>
            </w:pPr>
          </w:p>
        </w:tc>
        <w:tc>
          <w:tcPr>
            <w:tcW w:w="719" w:type="pct"/>
            <w:vMerge/>
          </w:tcPr>
          <w:p w14:paraId="2BB8E064" w14:textId="77777777" w:rsidR="00FE6BD7" w:rsidRPr="009A1DE7" w:rsidRDefault="00FE6BD7" w:rsidP="00C81021">
            <w:pPr>
              <w:pStyle w:val="TableText"/>
            </w:pPr>
          </w:p>
        </w:tc>
        <w:tc>
          <w:tcPr>
            <w:tcW w:w="532" w:type="pct"/>
            <w:vMerge/>
          </w:tcPr>
          <w:p w14:paraId="6E85296D"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5933748"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7BBC8238" w14:textId="77777777" w:rsidR="00FE6BD7" w:rsidRPr="00EE4BD6" w:rsidRDefault="00FE6BD7" w:rsidP="00C81021">
            <w:pPr>
              <w:pStyle w:val="TableText"/>
            </w:pPr>
          </w:p>
        </w:tc>
      </w:tr>
      <w:tr w:rsidR="00FE6BD7" w:rsidRPr="00EE4BD6" w14:paraId="5065C42C" w14:textId="77777777" w:rsidTr="00F97A1E">
        <w:trPr>
          <w:cantSplit/>
          <w:trHeight w:val="428"/>
        </w:trPr>
        <w:tc>
          <w:tcPr>
            <w:tcW w:w="436" w:type="pct"/>
            <w:vMerge/>
          </w:tcPr>
          <w:p w14:paraId="6FF1D039" w14:textId="77777777" w:rsidR="00FE6BD7" w:rsidRPr="00EF587A" w:rsidRDefault="00FE6BD7" w:rsidP="00C81021">
            <w:pPr>
              <w:pStyle w:val="TableText"/>
            </w:pPr>
          </w:p>
        </w:tc>
        <w:tc>
          <w:tcPr>
            <w:tcW w:w="469" w:type="pct"/>
            <w:vMerge/>
          </w:tcPr>
          <w:p w14:paraId="2ACE0076" w14:textId="77777777" w:rsidR="00FE6BD7" w:rsidRPr="009A1DE7" w:rsidRDefault="00FE6BD7" w:rsidP="00C81021">
            <w:pPr>
              <w:pStyle w:val="TableText"/>
              <w:numPr>
                <w:ilvl w:val="0"/>
                <w:numId w:val="3"/>
              </w:numPr>
              <w:ind w:left="226" w:hanging="180"/>
            </w:pPr>
          </w:p>
        </w:tc>
        <w:tc>
          <w:tcPr>
            <w:tcW w:w="438" w:type="pct"/>
            <w:vMerge/>
          </w:tcPr>
          <w:p w14:paraId="3BF47C1E" w14:textId="77777777" w:rsidR="00FE6BD7" w:rsidRPr="009A1DE7" w:rsidRDefault="00FE6BD7" w:rsidP="00C81021">
            <w:pPr>
              <w:pStyle w:val="TableText"/>
            </w:pPr>
          </w:p>
        </w:tc>
        <w:tc>
          <w:tcPr>
            <w:tcW w:w="688" w:type="pct"/>
            <w:vMerge/>
          </w:tcPr>
          <w:p w14:paraId="2D4A6F27" w14:textId="77777777" w:rsidR="00FE6BD7" w:rsidRPr="009A1DE7" w:rsidRDefault="00FE6BD7" w:rsidP="00C81021">
            <w:pPr>
              <w:pStyle w:val="TableText"/>
            </w:pPr>
          </w:p>
        </w:tc>
        <w:tc>
          <w:tcPr>
            <w:tcW w:w="937" w:type="pct"/>
            <w:vMerge/>
          </w:tcPr>
          <w:p w14:paraId="1B97065C" w14:textId="77777777" w:rsidR="00FE6BD7" w:rsidRPr="009A1DE7" w:rsidRDefault="00FE6BD7" w:rsidP="00C81021">
            <w:pPr>
              <w:pStyle w:val="TableText"/>
            </w:pPr>
          </w:p>
        </w:tc>
        <w:tc>
          <w:tcPr>
            <w:tcW w:w="719" w:type="pct"/>
            <w:vMerge/>
          </w:tcPr>
          <w:p w14:paraId="0BDBAD13" w14:textId="77777777" w:rsidR="00FE6BD7" w:rsidRPr="009A1DE7" w:rsidRDefault="00FE6BD7" w:rsidP="00C81021">
            <w:pPr>
              <w:pStyle w:val="TableText"/>
            </w:pPr>
          </w:p>
        </w:tc>
        <w:tc>
          <w:tcPr>
            <w:tcW w:w="532" w:type="pct"/>
            <w:vMerge/>
          </w:tcPr>
          <w:p w14:paraId="058B677B"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00D884A"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323257F9" w14:textId="77777777" w:rsidR="00FE6BD7" w:rsidRPr="00EE4BD6" w:rsidRDefault="00FE6BD7" w:rsidP="00C81021">
            <w:pPr>
              <w:pStyle w:val="TableText"/>
            </w:pPr>
          </w:p>
        </w:tc>
      </w:tr>
      <w:tr w:rsidR="00FE6BD7" w:rsidRPr="00EE4BD6" w14:paraId="33E57DC3" w14:textId="77777777" w:rsidTr="00F97A1E">
        <w:trPr>
          <w:cantSplit/>
          <w:trHeight w:val="428"/>
        </w:trPr>
        <w:tc>
          <w:tcPr>
            <w:tcW w:w="436" w:type="pct"/>
            <w:vMerge/>
          </w:tcPr>
          <w:p w14:paraId="6B23A838" w14:textId="77777777" w:rsidR="00FE6BD7" w:rsidRPr="00EF587A" w:rsidRDefault="00FE6BD7" w:rsidP="00C81021">
            <w:pPr>
              <w:pStyle w:val="TableText"/>
            </w:pPr>
          </w:p>
        </w:tc>
        <w:tc>
          <w:tcPr>
            <w:tcW w:w="469" w:type="pct"/>
            <w:vMerge/>
          </w:tcPr>
          <w:p w14:paraId="51F95D2F" w14:textId="77777777" w:rsidR="00FE6BD7" w:rsidRPr="009A1DE7" w:rsidRDefault="00FE6BD7" w:rsidP="00C81021">
            <w:pPr>
              <w:pStyle w:val="TableText"/>
              <w:numPr>
                <w:ilvl w:val="0"/>
                <w:numId w:val="3"/>
              </w:numPr>
              <w:ind w:left="226" w:hanging="180"/>
            </w:pPr>
          </w:p>
        </w:tc>
        <w:tc>
          <w:tcPr>
            <w:tcW w:w="438" w:type="pct"/>
            <w:vMerge/>
          </w:tcPr>
          <w:p w14:paraId="6678C331" w14:textId="77777777" w:rsidR="00FE6BD7" w:rsidRPr="009A1DE7" w:rsidRDefault="00FE6BD7" w:rsidP="00C81021">
            <w:pPr>
              <w:pStyle w:val="TableText"/>
            </w:pPr>
          </w:p>
        </w:tc>
        <w:tc>
          <w:tcPr>
            <w:tcW w:w="688" w:type="pct"/>
            <w:vMerge/>
          </w:tcPr>
          <w:p w14:paraId="41E516F4" w14:textId="77777777" w:rsidR="00FE6BD7" w:rsidRPr="009A1DE7" w:rsidRDefault="00FE6BD7" w:rsidP="00C81021">
            <w:pPr>
              <w:pStyle w:val="TableText"/>
            </w:pPr>
          </w:p>
        </w:tc>
        <w:tc>
          <w:tcPr>
            <w:tcW w:w="937" w:type="pct"/>
            <w:vMerge/>
          </w:tcPr>
          <w:p w14:paraId="0CAE548D" w14:textId="77777777" w:rsidR="00FE6BD7" w:rsidRPr="009A1DE7" w:rsidRDefault="00FE6BD7" w:rsidP="00C81021">
            <w:pPr>
              <w:pStyle w:val="TableText"/>
            </w:pPr>
          </w:p>
        </w:tc>
        <w:tc>
          <w:tcPr>
            <w:tcW w:w="719" w:type="pct"/>
            <w:vMerge/>
          </w:tcPr>
          <w:p w14:paraId="16EE6AC2" w14:textId="77777777" w:rsidR="00FE6BD7" w:rsidRPr="009A1DE7" w:rsidRDefault="00FE6BD7" w:rsidP="00C81021">
            <w:pPr>
              <w:pStyle w:val="TableText"/>
            </w:pPr>
          </w:p>
        </w:tc>
        <w:tc>
          <w:tcPr>
            <w:tcW w:w="532" w:type="pct"/>
            <w:vMerge/>
          </w:tcPr>
          <w:p w14:paraId="53825D88"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B4B0811"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18814FF7" w14:textId="77777777" w:rsidR="00FE6BD7" w:rsidRPr="00EE4BD6" w:rsidRDefault="00FE6BD7" w:rsidP="00C81021">
            <w:pPr>
              <w:pStyle w:val="TableText"/>
            </w:pPr>
          </w:p>
        </w:tc>
      </w:tr>
      <w:tr w:rsidR="00FE6BD7" w:rsidRPr="00EF587A" w14:paraId="535DE82D" w14:textId="77777777" w:rsidTr="00F97A1E">
        <w:trPr>
          <w:cantSplit/>
          <w:trHeight w:val="428"/>
        </w:trPr>
        <w:tc>
          <w:tcPr>
            <w:tcW w:w="436" w:type="pct"/>
            <w:vMerge/>
          </w:tcPr>
          <w:p w14:paraId="0616832D" w14:textId="77777777" w:rsidR="00FE6BD7" w:rsidRPr="00EF587A" w:rsidRDefault="00FE6BD7" w:rsidP="00C81021">
            <w:pPr>
              <w:pStyle w:val="TableText"/>
            </w:pPr>
          </w:p>
        </w:tc>
        <w:tc>
          <w:tcPr>
            <w:tcW w:w="469" w:type="pct"/>
            <w:vMerge/>
          </w:tcPr>
          <w:p w14:paraId="28B306F4" w14:textId="77777777" w:rsidR="00FE6BD7" w:rsidRPr="00EF587A" w:rsidRDefault="00FE6BD7" w:rsidP="00C81021">
            <w:pPr>
              <w:pStyle w:val="TableText"/>
            </w:pPr>
          </w:p>
        </w:tc>
        <w:tc>
          <w:tcPr>
            <w:tcW w:w="438" w:type="pct"/>
            <w:vMerge/>
          </w:tcPr>
          <w:p w14:paraId="771E7B8E" w14:textId="77777777" w:rsidR="00FE6BD7" w:rsidRPr="00EF587A" w:rsidRDefault="00FE6BD7" w:rsidP="00C81021">
            <w:pPr>
              <w:pStyle w:val="TableText"/>
            </w:pPr>
          </w:p>
        </w:tc>
        <w:tc>
          <w:tcPr>
            <w:tcW w:w="688" w:type="pct"/>
            <w:vMerge/>
          </w:tcPr>
          <w:p w14:paraId="6776EA46" w14:textId="77777777" w:rsidR="00FE6BD7" w:rsidRPr="00EF587A" w:rsidRDefault="00FE6BD7" w:rsidP="00C81021">
            <w:pPr>
              <w:pStyle w:val="TableText"/>
            </w:pPr>
          </w:p>
        </w:tc>
        <w:tc>
          <w:tcPr>
            <w:tcW w:w="937" w:type="pct"/>
            <w:vMerge/>
          </w:tcPr>
          <w:p w14:paraId="58066AA7" w14:textId="77777777" w:rsidR="00FE6BD7" w:rsidRPr="00EF587A" w:rsidRDefault="00FE6BD7" w:rsidP="00C81021">
            <w:pPr>
              <w:pStyle w:val="TableText"/>
            </w:pPr>
          </w:p>
        </w:tc>
        <w:tc>
          <w:tcPr>
            <w:tcW w:w="719" w:type="pct"/>
            <w:vMerge/>
          </w:tcPr>
          <w:p w14:paraId="09365FBD" w14:textId="77777777" w:rsidR="00FE6BD7" w:rsidRPr="00EF587A" w:rsidRDefault="00FE6BD7" w:rsidP="00C81021">
            <w:pPr>
              <w:pStyle w:val="TableText"/>
            </w:pPr>
          </w:p>
        </w:tc>
        <w:tc>
          <w:tcPr>
            <w:tcW w:w="532" w:type="pct"/>
            <w:vMerge/>
          </w:tcPr>
          <w:p w14:paraId="06038BB0" w14:textId="77777777" w:rsidR="00FE6BD7" w:rsidRPr="00EF587A" w:rsidRDefault="00FE6BD7" w:rsidP="00C81021">
            <w:pPr>
              <w:pStyle w:val="TableText"/>
            </w:pPr>
          </w:p>
        </w:tc>
        <w:tc>
          <w:tcPr>
            <w:tcW w:w="345" w:type="pct"/>
            <w:shd w:val="clear" w:color="auto" w:fill="F2F2F2" w:themeFill="background1" w:themeFillShade="F2"/>
          </w:tcPr>
          <w:p w14:paraId="511290FD"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505120A3" w14:textId="77777777" w:rsidR="00FE6BD7" w:rsidRPr="00EF587A" w:rsidRDefault="00FE6BD7" w:rsidP="00C81021">
            <w:pPr>
              <w:pStyle w:val="TableText"/>
            </w:pPr>
          </w:p>
        </w:tc>
      </w:tr>
      <w:tr w:rsidR="00FE6BD7" w:rsidRPr="00EE4BD6" w14:paraId="3DB6813A" w14:textId="77777777" w:rsidTr="00F97A1E">
        <w:trPr>
          <w:cantSplit/>
        </w:trPr>
        <w:tc>
          <w:tcPr>
            <w:tcW w:w="5000" w:type="pct"/>
            <w:gridSpan w:val="9"/>
            <w:shd w:val="clear" w:color="auto" w:fill="FBE4D5" w:themeFill="accent2" w:themeFillTint="33"/>
          </w:tcPr>
          <w:p w14:paraId="54A0F3D1" w14:textId="77777777" w:rsidR="00FE6BD7" w:rsidRPr="00ED339A" w:rsidRDefault="00FE6BD7" w:rsidP="00C81021">
            <w:pPr>
              <w:pStyle w:val="TableText"/>
              <w:rPr>
                <w:sz w:val="8"/>
                <w:szCs w:val="8"/>
              </w:rPr>
            </w:pPr>
          </w:p>
        </w:tc>
      </w:tr>
      <w:tr w:rsidR="00D86EA6" w:rsidRPr="00EE4BD6" w14:paraId="297E836A" w14:textId="77777777" w:rsidTr="00F97A1E">
        <w:trPr>
          <w:cantSplit/>
          <w:trHeight w:val="584"/>
        </w:trPr>
        <w:tc>
          <w:tcPr>
            <w:tcW w:w="436" w:type="pct"/>
            <w:vMerge w:val="restart"/>
            <w:vAlign w:val="center"/>
          </w:tcPr>
          <w:p w14:paraId="1D8861EB" w14:textId="216BA752" w:rsidR="00D86EA6" w:rsidRPr="00F77313" w:rsidRDefault="00D86EA6" w:rsidP="00D86EA6">
            <w:pPr>
              <w:pStyle w:val="TableText"/>
              <w:pageBreakBefore/>
              <w:jc w:val="center"/>
              <w:rPr>
                <w:b/>
                <w:bCs/>
              </w:rPr>
            </w:pPr>
            <w:r w:rsidRPr="00D86EA6">
              <w:rPr>
                <w:b/>
                <w:bCs/>
              </w:rPr>
              <w:lastRenderedPageBreak/>
              <w:t>Treatment Plan Approval Status Report</w:t>
            </w:r>
          </w:p>
        </w:tc>
        <w:tc>
          <w:tcPr>
            <w:tcW w:w="469" w:type="pct"/>
            <w:vMerge w:val="restart"/>
          </w:tcPr>
          <w:p w14:paraId="142131AA" w14:textId="15212CF3" w:rsidR="00D86EA6" w:rsidRPr="009A1DE7" w:rsidRDefault="00D86EA6" w:rsidP="00D86EA6">
            <w:pPr>
              <w:pStyle w:val="TableText"/>
              <w:numPr>
                <w:ilvl w:val="0"/>
                <w:numId w:val="3"/>
              </w:numPr>
              <w:ind w:left="226" w:hanging="180"/>
            </w:pPr>
            <w:r>
              <w:t xml:space="preserve">Date Range: </w:t>
            </w:r>
            <w:r w:rsidRPr="00C524C8">
              <w:t>Last week’s range</w:t>
            </w:r>
          </w:p>
        </w:tc>
        <w:tc>
          <w:tcPr>
            <w:tcW w:w="438" w:type="pct"/>
            <w:vMerge w:val="restart"/>
          </w:tcPr>
          <w:p w14:paraId="587B1090" w14:textId="34C61D47" w:rsidR="00D86EA6" w:rsidRPr="009A1DE7" w:rsidRDefault="00D86EA6" w:rsidP="00D86EA6">
            <w:pPr>
              <w:pStyle w:val="TableText"/>
            </w:pPr>
            <w:r w:rsidRPr="00C524C8">
              <w:t>Front Desk</w:t>
            </w:r>
            <w:r>
              <w:t xml:space="preserve"> </w:t>
            </w:r>
            <w:r w:rsidRPr="00C524C8">
              <w:t>/</w:t>
            </w:r>
            <w:r>
              <w:t xml:space="preserve"> </w:t>
            </w:r>
            <w:r w:rsidRPr="00C524C8">
              <w:t>Scheduler, Clinical Manager, CAC, or Dental Chief</w:t>
            </w:r>
          </w:p>
        </w:tc>
        <w:tc>
          <w:tcPr>
            <w:tcW w:w="688" w:type="pct"/>
            <w:vMerge w:val="restart"/>
          </w:tcPr>
          <w:p w14:paraId="2F5DECB5" w14:textId="77777777" w:rsidR="00D86EA6" w:rsidRDefault="00D86EA6" w:rsidP="00D86EA6">
            <w:pPr>
              <w:pStyle w:val="TableText"/>
              <w:keepNext/>
              <w:keepLines/>
            </w:pPr>
            <w:r>
              <w:t>These customizable internal statuses are used to identify a group of patients.</w:t>
            </w:r>
          </w:p>
          <w:p w14:paraId="414EB345" w14:textId="77777777" w:rsidR="00D86EA6" w:rsidRDefault="00D86EA6" w:rsidP="00D86EA6">
            <w:pPr>
              <w:pStyle w:val="TableText"/>
              <w:keepNext/>
              <w:keepLines/>
            </w:pPr>
            <w:r>
              <w:t>Information in this report reflects treatment-planned procedures for selected Approval Statuses.  Patient and procedure information may also be included to aid with efforts to contact patients and schedule appointments.</w:t>
            </w:r>
          </w:p>
          <w:p w14:paraId="04373AEF" w14:textId="03403DE7" w:rsidR="00D86EA6" w:rsidRPr="009A1DE7" w:rsidRDefault="00D86EA6" w:rsidP="00D86EA6">
            <w:pPr>
              <w:pStyle w:val="TableText"/>
            </w:pPr>
            <w:r>
              <w:t>Additionally, pre-treatment insurance information may be used as a filter in this report.</w:t>
            </w:r>
          </w:p>
        </w:tc>
        <w:tc>
          <w:tcPr>
            <w:tcW w:w="937" w:type="pct"/>
            <w:vMerge w:val="restart"/>
          </w:tcPr>
          <w:p w14:paraId="5293869B" w14:textId="77777777" w:rsidR="00D86EA6" w:rsidRDefault="00D86EA6" w:rsidP="00D86EA6">
            <w:pPr>
              <w:pStyle w:val="TableText"/>
            </w:pPr>
            <w:r w:rsidRPr="00C524C8">
              <w:t xml:space="preserve">Meaningful </w:t>
            </w:r>
            <w:r>
              <w:t>a</w:t>
            </w:r>
            <w:r w:rsidRPr="00C524C8">
              <w:t xml:space="preserve">pproval </w:t>
            </w:r>
            <w:r>
              <w:t>s</w:t>
            </w:r>
            <w:r w:rsidRPr="00C524C8">
              <w:t>tatuses must be added to Definitions in the Practice Setup</w:t>
            </w:r>
            <w:r>
              <w:t xml:space="preserve"> from </w:t>
            </w:r>
            <w:r w:rsidRPr="00C524C8">
              <w:t>Office Manager. When</w:t>
            </w:r>
            <w:r>
              <w:t xml:space="preserve"> adding</w:t>
            </w:r>
            <w:r w:rsidRPr="00C524C8">
              <w:t xml:space="preserve"> treatment</w:t>
            </w:r>
            <w:r>
              <w:t>-</w:t>
            </w:r>
            <w:r w:rsidRPr="00C524C8">
              <w:t xml:space="preserve">planned procedures in Chart, </w:t>
            </w:r>
            <w:r>
              <w:t xml:space="preserve">select the applicable </w:t>
            </w:r>
            <w:r w:rsidRPr="00C524C8">
              <w:t xml:space="preserve">Approval Status. When the </w:t>
            </w:r>
            <w:r>
              <w:t>a</w:t>
            </w:r>
            <w:r w:rsidRPr="00C524C8">
              <w:t xml:space="preserve">pproval </w:t>
            </w:r>
            <w:r>
              <w:t>s</w:t>
            </w:r>
            <w:r w:rsidRPr="00C524C8">
              <w:t xml:space="preserve">tatus </w:t>
            </w:r>
            <w:r>
              <w:t xml:space="preserve">of a </w:t>
            </w:r>
            <w:r w:rsidRPr="00C524C8">
              <w:t>treatment</w:t>
            </w:r>
            <w:r>
              <w:t>-</w:t>
            </w:r>
            <w:r w:rsidRPr="00C524C8">
              <w:t xml:space="preserve">planned procedure changes, </w:t>
            </w:r>
            <w:r>
              <w:t>update the procedure accordingly</w:t>
            </w:r>
            <w:r w:rsidRPr="00C524C8">
              <w:t>.</w:t>
            </w:r>
          </w:p>
          <w:p w14:paraId="55DC9566" w14:textId="009FD14A" w:rsidR="00D86EA6" w:rsidRPr="009A1DE7" w:rsidRDefault="00D86EA6" w:rsidP="00D86EA6">
            <w:pPr>
              <w:pStyle w:val="TableText"/>
              <w:numPr>
                <w:ilvl w:val="0"/>
                <w:numId w:val="2"/>
              </w:numPr>
              <w:ind w:left="232" w:hanging="180"/>
            </w:pPr>
            <w:r w:rsidRPr="00C524C8">
              <w:rPr>
                <w:u w:val="single"/>
              </w:rPr>
              <w:t>Chart</w:t>
            </w:r>
            <w:r w:rsidRPr="00C524C8">
              <w:t>:  Mark ap</w:t>
            </w:r>
            <w:r>
              <w:t>plicable</w:t>
            </w:r>
            <w:r w:rsidRPr="00C524C8">
              <w:t xml:space="preserve"> status for treatment</w:t>
            </w:r>
            <w:r>
              <w:t>-</w:t>
            </w:r>
            <w:r w:rsidRPr="00C524C8">
              <w:t>planned procedures.</w:t>
            </w:r>
          </w:p>
        </w:tc>
        <w:tc>
          <w:tcPr>
            <w:tcW w:w="719" w:type="pct"/>
            <w:vMerge w:val="restart"/>
          </w:tcPr>
          <w:p w14:paraId="02C674B3" w14:textId="77777777" w:rsidR="00D86EA6" w:rsidRDefault="00D86EA6" w:rsidP="00D86EA6">
            <w:pPr>
              <w:pStyle w:val="TableText"/>
            </w:pPr>
            <w:r>
              <w:t>Improper set up and use of statuses will render this report useless. Not viewing the information on this report will leave patients who are in need of oral health care without a scheduled appointment.</w:t>
            </w:r>
          </w:p>
          <w:p w14:paraId="0A5C5B33" w14:textId="127799B9" w:rsidR="00D86EA6" w:rsidRPr="00EF587A" w:rsidRDefault="00D86EA6" w:rsidP="00D86EA6">
            <w:pPr>
              <w:pStyle w:val="TableText"/>
            </w:pPr>
            <w:r>
              <w:t>A patient's oral care may be compromised, and a team member’s time invested in this process will have been wasted.</w:t>
            </w:r>
          </w:p>
        </w:tc>
        <w:tc>
          <w:tcPr>
            <w:tcW w:w="532" w:type="pct"/>
            <w:vMerge w:val="restart"/>
          </w:tcPr>
          <w:p w14:paraId="1F8C85E1" w14:textId="77777777" w:rsidR="00D86EA6" w:rsidRDefault="00D86EA6" w:rsidP="00D86EA6">
            <w:pPr>
              <w:pStyle w:val="TableText"/>
              <w:numPr>
                <w:ilvl w:val="0"/>
                <w:numId w:val="1"/>
              </w:numPr>
              <w:ind w:left="187" w:hanging="187"/>
            </w:pPr>
            <w:r>
              <w:t>Database Design</w:t>
            </w:r>
          </w:p>
          <w:p w14:paraId="6CF8CE32" w14:textId="77777777" w:rsidR="00D86EA6" w:rsidRDefault="00D86EA6" w:rsidP="00D86EA6">
            <w:pPr>
              <w:pStyle w:val="TableText"/>
              <w:numPr>
                <w:ilvl w:val="0"/>
                <w:numId w:val="1"/>
              </w:numPr>
              <w:ind w:left="187" w:hanging="187"/>
            </w:pPr>
            <w:r>
              <w:t xml:space="preserve">Schedule Optimization </w:t>
            </w:r>
          </w:p>
          <w:p w14:paraId="200B3C9E" w14:textId="77777777" w:rsidR="00D86EA6" w:rsidRDefault="00D86EA6" w:rsidP="00D86EA6">
            <w:pPr>
              <w:pStyle w:val="TableText"/>
              <w:numPr>
                <w:ilvl w:val="0"/>
                <w:numId w:val="1"/>
              </w:numPr>
              <w:ind w:left="187" w:hanging="187"/>
            </w:pPr>
            <w:r>
              <w:t xml:space="preserve">Patient Records </w:t>
            </w:r>
          </w:p>
          <w:p w14:paraId="6A2134F7" w14:textId="77777777" w:rsidR="00D86EA6" w:rsidRDefault="00D86EA6" w:rsidP="00D86EA6">
            <w:pPr>
              <w:pStyle w:val="TableText"/>
              <w:numPr>
                <w:ilvl w:val="0"/>
                <w:numId w:val="1"/>
              </w:numPr>
              <w:ind w:left="187" w:hanging="187"/>
            </w:pPr>
            <w:r>
              <w:t xml:space="preserve">Clinical Records </w:t>
            </w:r>
          </w:p>
          <w:p w14:paraId="16F9D115" w14:textId="77777777" w:rsidR="00D86EA6" w:rsidRDefault="00D86EA6" w:rsidP="00D86EA6">
            <w:pPr>
              <w:pStyle w:val="TableText"/>
              <w:numPr>
                <w:ilvl w:val="0"/>
                <w:numId w:val="1"/>
              </w:numPr>
              <w:ind w:left="187" w:hanging="187"/>
            </w:pPr>
            <w:r>
              <w:t xml:space="preserve">Revenue Cycle </w:t>
            </w:r>
          </w:p>
          <w:p w14:paraId="142371A5" w14:textId="08D6D4F2" w:rsidR="00D86EA6" w:rsidRPr="00EF587A" w:rsidRDefault="00D86EA6" w:rsidP="00D86EA6">
            <w:pPr>
              <w:pStyle w:val="TableText"/>
              <w:numPr>
                <w:ilvl w:val="0"/>
                <w:numId w:val="1"/>
              </w:numPr>
              <w:spacing w:after="0"/>
              <w:ind w:left="187" w:hanging="187"/>
            </w:pPr>
            <w:r>
              <w:t>Reports Reference*</w:t>
            </w:r>
          </w:p>
        </w:tc>
        <w:tc>
          <w:tcPr>
            <w:tcW w:w="345" w:type="pct"/>
            <w:shd w:val="clear" w:color="auto" w:fill="F2F2F2" w:themeFill="background1" w:themeFillShade="F2"/>
          </w:tcPr>
          <w:p w14:paraId="2ECB90AC" w14:textId="77777777" w:rsidR="00D86EA6" w:rsidRPr="00EE4BD6" w:rsidRDefault="00D86EA6" w:rsidP="00D86EA6">
            <w:pPr>
              <w:pStyle w:val="TableText"/>
            </w:pPr>
            <w:r w:rsidRPr="001F26DF">
              <w:t>Date Reviewed</w:t>
            </w:r>
            <w:r>
              <w:t>:</w:t>
            </w:r>
          </w:p>
        </w:tc>
        <w:tc>
          <w:tcPr>
            <w:tcW w:w="436" w:type="pct"/>
            <w:shd w:val="clear" w:color="auto" w:fill="F2F2F2" w:themeFill="background1" w:themeFillShade="F2"/>
          </w:tcPr>
          <w:p w14:paraId="5279E622" w14:textId="77777777" w:rsidR="00D86EA6" w:rsidRPr="00EE4BD6" w:rsidRDefault="00D86EA6" w:rsidP="00D86EA6">
            <w:pPr>
              <w:pStyle w:val="TableText"/>
            </w:pPr>
          </w:p>
        </w:tc>
      </w:tr>
      <w:tr w:rsidR="00FE6BD7" w:rsidRPr="00EE4BD6" w14:paraId="72675842" w14:textId="77777777" w:rsidTr="00F97A1E">
        <w:trPr>
          <w:cantSplit/>
          <w:trHeight w:val="585"/>
        </w:trPr>
        <w:tc>
          <w:tcPr>
            <w:tcW w:w="436" w:type="pct"/>
            <w:vMerge/>
          </w:tcPr>
          <w:p w14:paraId="758443E9" w14:textId="77777777" w:rsidR="00FE6BD7" w:rsidRPr="00EF587A" w:rsidRDefault="00FE6BD7" w:rsidP="00C81021">
            <w:pPr>
              <w:pStyle w:val="TableText"/>
            </w:pPr>
          </w:p>
        </w:tc>
        <w:tc>
          <w:tcPr>
            <w:tcW w:w="469" w:type="pct"/>
            <w:vMerge/>
          </w:tcPr>
          <w:p w14:paraId="6E2E29A4" w14:textId="77777777" w:rsidR="00FE6BD7" w:rsidRPr="009A1DE7" w:rsidRDefault="00FE6BD7" w:rsidP="00C81021">
            <w:pPr>
              <w:pStyle w:val="TableText"/>
              <w:numPr>
                <w:ilvl w:val="0"/>
                <w:numId w:val="3"/>
              </w:numPr>
              <w:ind w:left="226" w:hanging="180"/>
            </w:pPr>
          </w:p>
        </w:tc>
        <w:tc>
          <w:tcPr>
            <w:tcW w:w="438" w:type="pct"/>
            <w:vMerge/>
          </w:tcPr>
          <w:p w14:paraId="7C007D46" w14:textId="77777777" w:rsidR="00FE6BD7" w:rsidRPr="009A1DE7" w:rsidRDefault="00FE6BD7" w:rsidP="00C81021">
            <w:pPr>
              <w:pStyle w:val="TableText"/>
            </w:pPr>
          </w:p>
        </w:tc>
        <w:tc>
          <w:tcPr>
            <w:tcW w:w="688" w:type="pct"/>
            <w:vMerge/>
          </w:tcPr>
          <w:p w14:paraId="39D2DAA5" w14:textId="77777777" w:rsidR="00FE6BD7" w:rsidRPr="009A1DE7" w:rsidRDefault="00FE6BD7" w:rsidP="00C81021">
            <w:pPr>
              <w:pStyle w:val="TableText"/>
            </w:pPr>
          </w:p>
        </w:tc>
        <w:tc>
          <w:tcPr>
            <w:tcW w:w="937" w:type="pct"/>
            <w:vMerge/>
          </w:tcPr>
          <w:p w14:paraId="691ABB4A" w14:textId="77777777" w:rsidR="00FE6BD7" w:rsidRPr="009A1DE7" w:rsidRDefault="00FE6BD7" w:rsidP="00C81021">
            <w:pPr>
              <w:pStyle w:val="TableText"/>
            </w:pPr>
          </w:p>
        </w:tc>
        <w:tc>
          <w:tcPr>
            <w:tcW w:w="719" w:type="pct"/>
            <w:vMerge/>
          </w:tcPr>
          <w:p w14:paraId="418FED6F" w14:textId="77777777" w:rsidR="00FE6BD7" w:rsidRPr="009A1DE7" w:rsidRDefault="00FE6BD7" w:rsidP="00C81021">
            <w:pPr>
              <w:pStyle w:val="TableText"/>
            </w:pPr>
          </w:p>
        </w:tc>
        <w:tc>
          <w:tcPr>
            <w:tcW w:w="532" w:type="pct"/>
            <w:vMerge/>
          </w:tcPr>
          <w:p w14:paraId="49949636"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4537C1E"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71CD7751" w14:textId="77777777" w:rsidR="00FE6BD7" w:rsidRPr="00EE4BD6" w:rsidRDefault="00FE6BD7" w:rsidP="00C81021">
            <w:pPr>
              <w:pStyle w:val="TableText"/>
            </w:pPr>
          </w:p>
        </w:tc>
      </w:tr>
      <w:tr w:rsidR="00FE6BD7" w:rsidRPr="00EE4BD6" w14:paraId="2AF705ED" w14:textId="77777777" w:rsidTr="00F97A1E">
        <w:trPr>
          <w:cantSplit/>
          <w:trHeight w:val="585"/>
        </w:trPr>
        <w:tc>
          <w:tcPr>
            <w:tcW w:w="436" w:type="pct"/>
            <w:vMerge/>
          </w:tcPr>
          <w:p w14:paraId="01B1C34F" w14:textId="77777777" w:rsidR="00FE6BD7" w:rsidRPr="00EF587A" w:rsidRDefault="00FE6BD7" w:rsidP="00C81021">
            <w:pPr>
              <w:pStyle w:val="TableText"/>
            </w:pPr>
          </w:p>
        </w:tc>
        <w:tc>
          <w:tcPr>
            <w:tcW w:w="469" w:type="pct"/>
            <w:vMerge/>
          </w:tcPr>
          <w:p w14:paraId="1B9E4D65" w14:textId="77777777" w:rsidR="00FE6BD7" w:rsidRPr="009A1DE7" w:rsidRDefault="00FE6BD7" w:rsidP="00C81021">
            <w:pPr>
              <w:pStyle w:val="TableText"/>
              <w:numPr>
                <w:ilvl w:val="0"/>
                <w:numId w:val="3"/>
              </w:numPr>
              <w:ind w:left="226" w:hanging="180"/>
            </w:pPr>
          </w:p>
        </w:tc>
        <w:tc>
          <w:tcPr>
            <w:tcW w:w="438" w:type="pct"/>
            <w:vMerge/>
          </w:tcPr>
          <w:p w14:paraId="230BEF2A" w14:textId="77777777" w:rsidR="00FE6BD7" w:rsidRPr="009A1DE7" w:rsidRDefault="00FE6BD7" w:rsidP="00C81021">
            <w:pPr>
              <w:pStyle w:val="TableText"/>
            </w:pPr>
          </w:p>
        </w:tc>
        <w:tc>
          <w:tcPr>
            <w:tcW w:w="688" w:type="pct"/>
            <w:vMerge/>
          </w:tcPr>
          <w:p w14:paraId="1BE2F614" w14:textId="77777777" w:rsidR="00FE6BD7" w:rsidRPr="009A1DE7" w:rsidRDefault="00FE6BD7" w:rsidP="00C81021">
            <w:pPr>
              <w:pStyle w:val="TableText"/>
            </w:pPr>
          </w:p>
        </w:tc>
        <w:tc>
          <w:tcPr>
            <w:tcW w:w="937" w:type="pct"/>
            <w:vMerge/>
          </w:tcPr>
          <w:p w14:paraId="6D070C3E" w14:textId="77777777" w:rsidR="00FE6BD7" w:rsidRPr="009A1DE7" w:rsidRDefault="00FE6BD7" w:rsidP="00C81021">
            <w:pPr>
              <w:pStyle w:val="TableText"/>
            </w:pPr>
          </w:p>
        </w:tc>
        <w:tc>
          <w:tcPr>
            <w:tcW w:w="719" w:type="pct"/>
            <w:vMerge/>
          </w:tcPr>
          <w:p w14:paraId="426DA274" w14:textId="77777777" w:rsidR="00FE6BD7" w:rsidRPr="009A1DE7" w:rsidRDefault="00FE6BD7" w:rsidP="00C81021">
            <w:pPr>
              <w:pStyle w:val="TableText"/>
            </w:pPr>
          </w:p>
        </w:tc>
        <w:tc>
          <w:tcPr>
            <w:tcW w:w="532" w:type="pct"/>
            <w:vMerge/>
          </w:tcPr>
          <w:p w14:paraId="02FE26C5"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B21F2E2"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106FC576" w14:textId="77777777" w:rsidR="00FE6BD7" w:rsidRPr="00EE4BD6" w:rsidRDefault="00FE6BD7" w:rsidP="00C81021">
            <w:pPr>
              <w:pStyle w:val="TableText"/>
            </w:pPr>
          </w:p>
        </w:tc>
      </w:tr>
      <w:tr w:rsidR="00FE6BD7" w:rsidRPr="00EE4BD6" w14:paraId="0B4E1E5D" w14:textId="77777777" w:rsidTr="00F97A1E">
        <w:trPr>
          <w:cantSplit/>
          <w:trHeight w:val="585"/>
        </w:trPr>
        <w:tc>
          <w:tcPr>
            <w:tcW w:w="436" w:type="pct"/>
            <w:vMerge/>
          </w:tcPr>
          <w:p w14:paraId="61AB2891" w14:textId="77777777" w:rsidR="00FE6BD7" w:rsidRPr="00EF587A" w:rsidRDefault="00FE6BD7" w:rsidP="00C81021">
            <w:pPr>
              <w:pStyle w:val="TableText"/>
            </w:pPr>
          </w:p>
        </w:tc>
        <w:tc>
          <w:tcPr>
            <w:tcW w:w="469" w:type="pct"/>
            <w:vMerge/>
          </w:tcPr>
          <w:p w14:paraId="7E4029D9" w14:textId="77777777" w:rsidR="00FE6BD7" w:rsidRPr="009A1DE7" w:rsidRDefault="00FE6BD7" w:rsidP="00C81021">
            <w:pPr>
              <w:pStyle w:val="TableText"/>
              <w:numPr>
                <w:ilvl w:val="0"/>
                <w:numId w:val="3"/>
              </w:numPr>
              <w:ind w:left="226" w:hanging="180"/>
            </w:pPr>
          </w:p>
        </w:tc>
        <w:tc>
          <w:tcPr>
            <w:tcW w:w="438" w:type="pct"/>
            <w:vMerge/>
          </w:tcPr>
          <w:p w14:paraId="7E926E9A" w14:textId="77777777" w:rsidR="00FE6BD7" w:rsidRPr="009A1DE7" w:rsidRDefault="00FE6BD7" w:rsidP="00C81021">
            <w:pPr>
              <w:pStyle w:val="TableText"/>
            </w:pPr>
          </w:p>
        </w:tc>
        <w:tc>
          <w:tcPr>
            <w:tcW w:w="688" w:type="pct"/>
            <w:vMerge/>
          </w:tcPr>
          <w:p w14:paraId="52AA050D" w14:textId="77777777" w:rsidR="00FE6BD7" w:rsidRPr="009A1DE7" w:rsidRDefault="00FE6BD7" w:rsidP="00C81021">
            <w:pPr>
              <w:pStyle w:val="TableText"/>
            </w:pPr>
          </w:p>
        </w:tc>
        <w:tc>
          <w:tcPr>
            <w:tcW w:w="937" w:type="pct"/>
            <w:vMerge/>
          </w:tcPr>
          <w:p w14:paraId="5F90AE58" w14:textId="77777777" w:rsidR="00FE6BD7" w:rsidRPr="009A1DE7" w:rsidRDefault="00FE6BD7" w:rsidP="00C81021">
            <w:pPr>
              <w:pStyle w:val="TableText"/>
            </w:pPr>
          </w:p>
        </w:tc>
        <w:tc>
          <w:tcPr>
            <w:tcW w:w="719" w:type="pct"/>
            <w:vMerge/>
          </w:tcPr>
          <w:p w14:paraId="4C7D5204" w14:textId="77777777" w:rsidR="00FE6BD7" w:rsidRPr="009A1DE7" w:rsidRDefault="00FE6BD7" w:rsidP="00C81021">
            <w:pPr>
              <w:pStyle w:val="TableText"/>
            </w:pPr>
          </w:p>
        </w:tc>
        <w:tc>
          <w:tcPr>
            <w:tcW w:w="532" w:type="pct"/>
            <w:vMerge/>
          </w:tcPr>
          <w:p w14:paraId="7EC03A71"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2F8EFCD5"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1B8653EB" w14:textId="77777777" w:rsidR="00FE6BD7" w:rsidRPr="00EE4BD6" w:rsidRDefault="00FE6BD7" w:rsidP="00C81021">
            <w:pPr>
              <w:pStyle w:val="TableText"/>
            </w:pPr>
          </w:p>
        </w:tc>
      </w:tr>
      <w:tr w:rsidR="00FE6BD7" w:rsidRPr="00EF587A" w14:paraId="64F0A7DD" w14:textId="77777777" w:rsidTr="00F97A1E">
        <w:trPr>
          <w:cantSplit/>
          <w:trHeight w:val="585"/>
        </w:trPr>
        <w:tc>
          <w:tcPr>
            <w:tcW w:w="436" w:type="pct"/>
            <w:vMerge/>
          </w:tcPr>
          <w:p w14:paraId="4EEF8DE8" w14:textId="77777777" w:rsidR="00FE6BD7" w:rsidRPr="00EF587A" w:rsidRDefault="00FE6BD7" w:rsidP="00C81021">
            <w:pPr>
              <w:pStyle w:val="TableText"/>
            </w:pPr>
          </w:p>
        </w:tc>
        <w:tc>
          <w:tcPr>
            <w:tcW w:w="469" w:type="pct"/>
            <w:vMerge/>
          </w:tcPr>
          <w:p w14:paraId="5723D8FE" w14:textId="77777777" w:rsidR="00FE6BD7" w:rsidRPr="00EF587A" w:rsidRDefault="00FE6BD7" w:rsidP="00C81021">
            <w:pPr>
              <w:pStyle w:val="TableText"/>
            </w:pPr>
          </w:p>
        </w:tc>
        <w:tc>
          <w:tcPr>
            <w:tcW w:w="438" w:type="pct"/>
            <w:vMerge/>
          </w:tcPr>
          <w:p w14:paraId="15486EB4" w14:textId="77777777" w:rsidR="00FE6BD7" w:rsidRPr="00EF587A" w:rsidRDefault="00FE6BD7" w:rsidP="00C81021">
            <w:pPr>
              <w:pStyle w:val="TableText"/>
            </w:pPr>
          </w:p>
        </w:tc>
        <w:tc>
          <w:tcPr>
            <w:tcW w:w="688" w:type="pct"/>
            <w:vMerge/>
          </w:tcPr>
          <w:p w14:paraId="16CBAE7C" w14:textId="77777777" w:rsidR="00FE6BD7" w:rsidRPr="00EF587A" w:rsidRDefault="00FE6BD7" w:rsidP="00C81021">
            <w:pPr>
              <w:pStyle w:val="TableText"/>
            </w:pPr>
          </w:p>
        </w:tc>
        <w:tc>
          <w:tcPr>
            <w:tcW w:w="937" w:type="pct"/>
            <w:vMerge/>
          </w:tcPr>
          <w:p w14:paraId="1EF17C47" w14:textId="77777777" w:rsidR="00FE6BD7" w:rsidRPr="00EF587A" w:rsidRDefault="00FE6BD7" w:rsidP="00C81021">
            <w:pPr>
              <w:pStyle w:val="TableText"/>
            </w:pPr>
          </w:p>
        </w:tc>
        <w:tc>
          <w:tcPr>
            <w:tcW w:w="719" w:type="pct"/>
            <w:vMerge/>
          </w:tcPr>
          <w:p w14:paraId="3139703C" w14:textId="77777777" w:rsidR="00FE6BD7" w:rsidRPr="00EF587A" w:rsidRDefault="00FE6BD7" w:rsidP="00C81021">
            <w:pPr>
              <w:pStyle w:val="TableText"/>
            </w:pPr>
          </w:p>
        </w:tc>
        <w:tc>
          <w:tcPr>
            <w:tcW w:w="532" w:type="pct"/>
            <w:vMerge/>
          </w:tcPr>
          <w:p w14:paraId="0393695E" w14:textId="77777777" w:rsidR="00FE6BD7" w:rsidRPr="00EF587A" w:rsidRDefault="00FE6BD7" w:rsidP="00C81021">
            <w:pPr>
              <w:pStyle w:val="TableText"/>
            </w:pPr>
          </w:p>
        </w:tc>
        <w:tc>
          <w:tcPr>
            <w:tcW w:w="345" w:type="pct"/>
            <w:shd w:val="clear" w:color="auto" w:fill="F2F2F2" w:themeFill="background1" w:themeFillShade="F2"/>
          </w:tcPr>
          <w:p w14:paraId="493DFE22"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6A4B4706" w14:textId="77777777" w:rsidR="00FE6BD7" w:rsidRPr="00EF587A" w:rsidRDefault="00FE6BD7" w:rsidP="00C81021">
            <w:pPr>
              <w:pStyle w:val="TableText"/>
            </w:pPr>
          </w:p>
        </w:tc>
      </w:tr>
      <w:tr w:rsidR="00FE6BD7" w:rsidRPr="00EE4BD6" w14:paraId="56F4A4B4" w14:textId="77777777" w:rsidTr="00F97A1E">
        <w:trPr>
          <w:cantSplit/>
        </w:trPr>
        <w:tc>
          <w:tcPr>
            <w:tcW w:w="5000" w:type="pct"/>
            <w:gridSpan w:val="9"/>
            <w:shd w:val="clear" w:color="auto" w:fill="FBE4D5" w:themeFill="accent2" w:themeFillTint="33"/>
          </w:tcPr>
          <w:p w14:paraId="7F64BEB2" w14:textId="77777777" w:rsidR="00FE6BD7" w:rsidRPr="00ED339A" w:rsidRDefault="00FE6BD7" w:rsidP="00C81021">
            <w:pPr>
              <w:pStyle w:val="TableText"/>
              <w:rPr>
                <w:sz w:val="8"/>
                <w:szCs w:val="8"/>
              </w:rPr>
            </w:pPr>
          </w:p>
        </w:tc>
      </w:tr>
      <w:tr w:rsidR="00580E0B" w:rsidRPr="00EE4BD6" w14:paraId="6BB0F701" w14:textId="77777777" w:rsidTr="00F97A1E">
        <w:trPr>
          <w:cantSplit/>
          <w:trHeight w:val="691"/>
        </w:trPr>
        <w:tc>
          <w:tcPr>
            <w:tcW w:w="436" w:type="pct"/>
            <w:vMerge w:val="restart"/>
            <w:vAlign w:val="center"/>
          </w:tcPr>
          <w:p w14:paraId="025F78EB" w14:textId="5E51FF46" w:rsidR="00580E0B" w:rsidRPr="00F77313" w:rsidRDefault="00580E0B" w:rsidP="00580E0B">
            <w:pPr>
              <w:pStyle w:val="TableText"/>
              <w:jc w:val="center"/>
              <w:rPr>
                <w:b/>
                <w:bCs/>
              </w:rPr>
            </w:pPr>
            <w:r w:rsidRPr="00580E0B">
              <w:rPr>
                <w:b/>
                <w:bCs/>
              </w:rPr>
              <w:t>Scheduling Assistant</w:t>
            </w:r>
          </w:p>
        </w:tc>
        <w:tc>
          <w:tcPr>
            <w:tcW w:w="469" w:type="pct"/>
            <w:vMerge w:val="restart"/>
          </w:tcPr>
          <w:p w14:paraId="4AB5E459" w14:textId="77777777" w:rsidR="00580E0B" w:rsidRDefault="00580E0B" w:rsidP="00580E0B">
            <w:pPr>
              <w:pStyle w:val="TableText"/>
              <w:keepNext/>
              <w:keepLines/>
              <w:numPr>
                <w:ilvl w:val="0"/>
                <w:numId w:val="3"/>
              </w:numPr>
              <w:ind w:left="226" w:hanging="180"/>
            </w:pPr>
            <w:r w:rsidRPr="00D160F4">
              <w:t>Select Appointment List: Continuing Care, Unscheduled Appointments, ASAP, Unscheduled Treatment</w:t>
            </w:r>
            <w:r>
              <w:t>,</w:t>
            </w:r>
            <w:r w:rsidRPr="00D160F4">
              <w:t xml:space="preserve"> or Unscheduled Treatment</w:t>
            </w:r>
            <w:r>
              <w:t xml:space="preserve"> </w:t>
            </w:r>
            <w:r w:rsidRPr="00D160F4">
              <w:t>Requests</w:t>
            </w:r>
          </w:p>
          <w:p w14:paraId="3F0603B9" w14:textId="77777777" w:rsidR="00580E0B" w:rsidRDefault="00580E0B" w:rsidP="00580E0B">
            <w:pPr>
              <w:pStyle w:val="TableText"/>
              <w:keepNext/>
              <w:keepLines/>
              <w:numPr>
                <w:ilvl w:val="0"/>
                <w:numId w:val="3"/>
              </w:numPr>
              <w:ind w:left="226" w:hanging="180"/>
            </w:pPr>
            <w:r w:rsidRPr="00D160F4">
              <w:t xml:space="preserve">Select list </w:t>
            </w:r>
            <w:proofErr w:type="gramStart"/>
            <w:r w:rsidRPr="00D160F4">
              <w:t>filters</w:t>
            </w:r>
            <w:proofErr w:type="gramEnd"/>
          </w:p>
          <w:p w14:paraId="23AE7596" w14:textId="64C99E6E" w:rsidR="00580E0B" w:rsidRPr="009A1DE7" w:rsidRDefault="00580E0B" w:rsidP="00580E0B">
            <w:pPr>
              <w:pStyle w:val="TableText"/>
              <w:numPr>
                <w:ilvl w:val="0"/>
                <w:numId w:val="3"/>
              </w:numPr>
              <w:ind w:left="226" w:hanging="180"/>
            </w:pPr>
            <w:r w:rsidRPr="00D160F4">
              <w:t>Clinic and Provider (as needed)</w:t>
            </w:r>
          </w:p>
        </w:tc>
        <w:tc>
          <w:tcPr>
            <w:tcW w:w="438" w:type="pct"/>
            <w:vMerge w:val="restart"/>
          </w:tcPr>
          <w:p w14:paraId="76E1C765" w14:textId="25CFD414" w:rsidR="00580E0B" w:rsidRPr="009A1DE7" w:rsidRDefault="00580E0B" w:rsidP="00580E0B">
            <w:pPr>
              <w:pStyle w:val="TableText"/>
            </w:pPr>
            <w:r w:rsidRPr="00C524C8">
              <w:t>Front Desk Staff</w:t>
            </w:r>
          </w:p>
        </w:tc>
        <w:tc>
          <w:tcPr>
            <w:tcW w:w="688" w:type="pct"/>
            <w:vMerge w:val="restart"/>
          </w:tcPr>
          <w:p w14:paraId="4EAB5E9C" w14:textId="3107CF3F" w:rsidR="00580E0B" w:rsidRPr="009A1DE7" w:rsidRDefault="00580E0B" w:rsidP="00580E0B">
            <w:pPr>
              <w:pStyle w:val="TableText"/>
            </w:pPr>
            <w:r w:rsidRPr="00D160F4">
              <w:t>Compare scheduling lists with appointment opportunities to ensure timely patient care.</w:t>
            </w:r>
          </w:p>
        </w:tc>
        <w:tc>
          <w:tcPr>
            <w:tcW w:w="937" w:type="pct"/>
            <w:vMerge w:val="restart"/>
          </w:tcPr>
          <w:p w14:paraId="13A65E69" w14:textId="77777777" w:rsidR="00580E0B" w:rsidRDefault="00580E0B" w:rsidP="00580E0B">
            <w:pPr>
              <w:pStyle w:val="TableText"/>
            </w:pPr>
            <w:r w:rsidRPr="00D160F4">
              <w:t xml:space="preserve">Continuing </w:t>
            </w:r>
            <w:r>
              <w:t>c</w:t>
            </w:r>
            <w:r w:rsidRPr="00D160F4">
              <w:t xml:space="preserve">are </w:t>
            </w:r>
            <w:r>
              <w:t xml:space="preserve">is </w:t>
            </w:r>
            <w:r w:rsidRPr="00D160F4">
              <w:t xml:space="preserve">attached to </w:t>
            </w:r>
            <w:r>
              <w:t xml:space="preserve">a </w:t>
            </w:r>
            <w:r w:rsidRPr="00D160F4">
              <w:t>patient</w:t>
            </w:r>
            <w:r>
              <w:t xml:space="preserve"> record</w:t>
            </w:r>
            <w:r w:rsidRPr="00D160F4">
              <w:t xml:space="preserve">. Proper appointment break/wait/will call workflow. ASAP appointment status assigned to appointment. Treatment </w:t>
            </w:r>
            <w:r>
              <w:t>p</w:t>
            </w:r>
            <w:r w:rsidRPr="00D160F4">
              <w:t xml:space="preserve">lans and </w:t>
            </w:r>
            <w:r>
              <w:t>t</w:t>
            </w:r>
            <w:r w:rsidRPr="00D160F4">
              <w:t xml:space="preserve">reatment </w:t>
            </w:r>
            <w:r>
              <w:t>r</w:t>
            </w:r>
            <w:r w:rsidRPr="00D160F4">
              <w:t>equests attached to patient record.</w:t>
            </w:r>
          </w:p>
          <w:p w14:paraId="7080904C" w14:textId="77777777" w:rsidR="00580E0B" w:rsidRDefault="00580E0B" w:rsidP="00580E0B">
            <w:pPr>
              <w:pStyle w:val="TableText"/>
              <w:keepNext/>
              <w:keepLines/>
              <w:numPr>
                <w:ilvl w:val="0"/>
                <w:numId w:val="2"/>
              </w:numPr>
              <w:ind w:left="245" w:hanging="187"/>
            </w:pPr>
            <w:r w:rsidRPr="00C524C8">
              <w:rPr>
                <w:u w:val="single"/>
              </w:rPr>
              <w:t>Appointment Book</w:t>
            </w:r>
            <w:r>
              <w:t xml:space="preserve">: </w:t>
            </w:r>
            <w:r w:rsidRPr="00D160F4">
              <w:t>Create appointment and assign ASAP</w:t>
            </w:r>
            <w:r>
              <w:t xml:space="preserve"> status. A</w:t>
            </w:r>
            <w:r w:rsidRPr="00D160F4">
              <w:t xml:space="preserve">ttach </w:t>
            </w:r>
            <w:r>
              <w:t>c</w:t>
            </w:r>
            <w:r w:rsidRPr="00D160F4">
              <w:t xml:space="preserve">ontinuing </w:t>
            </w:r>
            <w:r>
              <w:t>c</w:t>
            </w:r>
            <w:r w:rsidRPr="00D160F4">
              <w:t>are to appointments</w:t>
            </w:r>
            <w:r>
              <w:t>. For cancellations, b</w:t>
            </w:r>
            <w:r w:rsidRPr="00D160F4">
              <w:t xml:space="preserve">reak </w:t>
            </w:r>
            <w:r>
              <w:t xml:space="preserve">the appointments, </w:t>
            </w:r>
            <w:r w:rsidRPr="00D160F4">
              <w:t xml:space="preserve">and </w:t>
            </w:r>
            <w:r>
              <w:t xml:space="preserve">mark them as </w:t>
            </w:r>
            <w:r w:rsidRPr="00D160F4">
              <w:t>Wait/Will Call</w:t>
            </w:r>
            <w:r>
              <w:t>.</w:t>
            </w:r>
          </w:p>
          <w:p w14:paraId="0F2CAF9E" w14:textId="77777777" w:rsidR="00580E0B" w:rsidRDefault="00580E0B" w:rsidP="00580E0B">
            <w:pPr>
              <w:pStyle w:val="TableText"/>
              <w:keepNext/>
              <w:keepLines/>
              <w:numPr>
                <w:ilvl w:val="0"/>
                <w:numId w:val="2"/>
              </w:numPr>
              <w:ind w:left="245" w:hanging="187"/>
            </w:pPr>
            <w:r w:rsidRPr="00C524C8">
              <w:rPr>
                <w:u w:val="single"/>
              </w:rPr>
              <w:t>Family File</w:t>
            </w:r>
            <w:r>
              <w:t xml:space="preserve">: </w:t>
            </w:r>
            <w:r w:rsidRPr="00D160F4">
              <w:t>Assign app</w:t>
            </w:r>
            <w:r>
              <w:t>licable</w:t>
            </w:r>
            <w:r w:rsidRPr="00D160F4">
              <w:t xml:space="preserve"> </w:t>
            </w:r>
            <w:r>
              <w:t>c</w:t>
            </w:r>
            <w:r w:rsidRPr="00D160F4">
              <w:t xml:space="preserve">ontinuing </w:t>
            </w:r>
            <w:r>
              <w:t>c</w:t>
            </w:r>
            <w:r w:rsidRPr="00D160F4">
              <w:t>are types and intervals</w:t>
            </w:r>
            <w:r>
              <w:t>.</w:t>
            </w:r>
          </w:p>
          <w:p w14:paraId="405A0B8D" w14:textId="77777777" w:rsidR="00580E0B" w:rsidRDefault="00580E0B" w:rsidP="00580E0B">
            <w:pPr>
              <w:pStyle w:val="TableText"/>
              <w:keepNext/>
              <w:keepLines/>
              <w:numPr>
                <w:ilvl w:val="0"/>
                <w:numId w:val="2"/>
              </w:numPr>
              <w:ind w:left="245" w:hanging="187"/>
            </w:pPr>
            <w:r w:rsidRPr="009A1DE7">
              <w:rPr>
                <w:u w:val="single"/>
              </w:rPr>
              <w:t>Chart</w:t>
            </w:r>
            <w:r w:rsidRPr="009A1DE7">
              <w:t xml:space="preserve">: </w:t>
            </w:r>
            <w:r w:rsidRPr="00D160F4">
              <w:t>Enter treatment plan</w:t>
            </w:r>
            <w:r>
              <w:t>.</w:t>
            </w:r>
          </w:p>
          <w:p w14:paraId="1F595653" w14:textId="597A012E" w:rsidR="00580E0B" w:rsidRPr="009A1DE7" w:rsidRDefault="00580E0B" w:rsidP="00580E0B">
            <w:pPr>
              <w:pStyle w:val="TableText"/>
              <w:numPr>
                <w:ilvl w:val="0"/>
                <w:numId w:val="2"/>
              </w:numPr>
              <w:ind w:left="232" w:hanging="180"/>
            </w:pPr>
            <w:r w:rsidRPr="00C524C8">
              <w:rPr>
                <w:u w:val="single"/>
              </w:rPr>
              <w:t>More Information</w:t>
            </w:r>
            <w:r>
              <w:t xml:space="preserve">: </w:t>
            </w:r>
            <w:r w:rsidRPr="00D160F4">
              <w:t>Enter treatment request</w:t>
            </w:r>
            <w:r>
              <w:t>.</w:t>
            </w:r>
          </w:p>
        </w:tc>
        <w:tc>
          <w:tcPr>
            <w:tcW w:w="719" w:type="pct"/>
            <w:vMerge w:val="restart"/>
          </w:tcPr>
          <w:p w14:paraId="415164DA" w14:textId="756D612C" w:rsidR="00580E0B" w:rsidRPr="00EF587A" w:rsidRDefault="00580E0B" w:rsidP="00580E0B">
            <w:pPr>
              <w:pStyle w:val="TableText"/>
            </w:pPr>
            <w:r w:rsidRPr="00D160F4">
              <w:t xml:space="preserve">Patient care opportunities are not optimized if those in need of appointments before provider availability occurs are not monitored. </w:t>
            </w:r>
            <w:r>
              <w:t>Open times</w:t>
            </w:r>
            <w:r w:rsidRPr="00D160F4">
              <w:t xml:space="preserve"> in the clinic's schedule</w:t>
            </w:r>
            <w:r>
              <w:t xml:space="preserve"> due to c</w:t>
            </w:r>
            <w:r w:rsidRPr="00D160F4">
              <w:t>ancellations will not be as easily filled if the scheduling lists are not used.</w:t>
            </w:r>
          </w:p>
        </w:tc>
        <w:tc>
          <w:tcPr>
            <w:tcW w:w="532" w:type="pct"/>
            <w:vMerge w:val="restart"/>
          </w:tcPr>
          <w:p w14:paraId="0A4D3CFA" w14:textId="77777777" w:rsidR="00580E0B" w:rsidRDefault="00580E0B" w:rsidP="00580E0B">
            <w:pPr>
              <w:pStyle w:val="TableText"/>
              <w:numPr>
                <w:ilvl w:val="0"/>
                <w:numId w:val="1"/>
              </w:numPr>
              <w:ind w:left="187" w:hanging="187"/>
            </w:pPr>
            <w:r>
              <w:t>Schedule Optimization</w:t>
            </w:r>
          </w:p>
          <w:p w14:paraId="502908E1" w14:textId="77777777" w:rsidR="00580E0B" w:rsidRDefault="00580E0B" w:rsidP="00580E0B">
            <w:pPr>
              <w:pStyle w:val="TableText"/>
              <w:numPr>
                <w:ilvl w:val="0"/>
                <w:numId w:val="1"/>
              </w:numPr>
              <w:ind w:left="187" w:hanging="187"/>
            </w:pPr>
            <w:r>
              <w:t>Patient Records</w:t>
            </w:r>
          </w:p>
          <w:p w14:paraId="6A96C999" w14:textId="51467335" w:rsidR="00580E0B" w:rsidRPr="00EF587A" w:rsidRDefault="00580E0B" w:rsidP="00580E0B">
            <w:pPr>
              <w:pStyle w:val="TableText"/>
              <w:numPr>
                <w:ilvl w:val="0"/>
                <w:numId w:val="1"/>
              </w:numPr>
              <w:spacing w:after="0"/>
              <w:ind w:left="187" w:hanging="187"/>
            </w:pPr>
            <w:r>
              <w:t>Clinical Records</w:t>
            </w:r>
          </w:p>
        </w:tc>
        <w:tc>
          <w:tcPr>
            <w:tcW w:w="345" w:type="pct"/>
            <w:shd w:val="clear" w:color="auto" w:fill="F2F2F2" w:themeFill="background1" w:themeFillShade="F2"/>
          </w:tcPr>
          <w:p w14:paraId="35C0DA95" w14:textId="77777777" w:rsidR="00580E0B" w:rsidRPr="00EE4BD6" w:rsidRDefault="00580E0B" w:rsidP="00580E0B">
            <w:pPr>
              <w:pStyle w:val="TableText"/>
            </w:pPr>
            <w:r w:rsidRPr="001F26DF">
              <w:t>Date Reviewed</w:t>
            </w:r>
            <w:r>
              <w:t>:</w:t>
            </w:r>
          </w:p>
        </w:tc>
        <w:tc>
          <w:tcPr>
            <w:tcW w:w="436" w:type="pct"/>
            <w:shd w:val="clear" w:color="auto" w:fill="F2F2F2" w:themeFill="background1" w:themeFillShade="F2"/>
          </w:tcPr>
          <w:p w14:paraId="428E6477" w14:textId="77777777" w:rsidR="00580E0B" w:rsidRPr="00EE4BD6" w:rsidRDefault="00580E0B" w:rsidP="00580E0B">
            <w:pPr>
              <w:pStyle w:val="TableText"/>
            </w:pPr>
          </w:p>
        </w:tc>
      </w:tr>
      <w:tr w:rsidR="00FE6BD7" w:rsidRPr="00EE4BD6" w14:paraId="7AF93BF3" w14:textId="77777777" w:rsidTr="00F97A1E">
        <w:trPr>
          <w:cantSplit/>
          <w:trHeight w:val="691"/>
        </w:trPr>
        <w:tc>
          <w:tcPr>
            <w:tcW w:w="436" w:type="pct"/>
            <w:vMerge/>
          </w:tcPr>
          <w:p w14:paraId="7F00D007" w14:textId="77777777" w:rsidR="00FE6BD7" w:rsidRPr="00EF587A" w:rsidRDefault="00FE6BD7" w:rsidP="00C81021">
            <w:pPr>
              <w:pStyle w:val="TableText"/>
            </w:pPr>
          </w:p>
        </w:tc>
        <w:tc>
          <w:tcPr>
            <w:tcW w:w="469" w:type="pct"/>
            <w:vMerge/>
          </w:tcPr>
          <w:p w14:paraId="5D39A7AF" w14:textId="77777777" w:rsidR="00FE6BD7" w:rsidRPr="009A1DE7" w:rsidRDefault="00FE6BD7" w:rsidP="00C81021">
            <w:pPr>
              <w:pStyle w:val="TableText"/>
              <w:numPr>
                <w:ilvl w:val="0"/>
                <w:numId w:val="3"/>
              </w:numPr>
              <w:ind w:left="226" w:hanging="180"/>
            </w:pPr>
          </w:p>
        </w:tc>
        <w:tc>
          <w:tcPr>
            <w:tcW w:w="438" w:type="pct"/>
            <w:vMerge/>
          </w:tcPr>
          <w:p w14:paraId="07E2CA41" w14:textId="77777777" w:rsidR="00FE6BD7" w:rsidRPr="009A1DE7" w:rsidRDefault="00FE6BD7" w:rsidP="00C81021">
            <w:pPr>
              <w:pStyle w:val="TableText"/>
            </w:pPr>
          </w:p>
        </w:tc>
        <w:tc>
          <w:tcPr>
            <w:tcW w:w="688" w:type="pct"/>
            <w:vMerge/>
          </w:tcPr>
          <w:p w14:paraId="2275E5C0" w14:textId="77777777" w:rsidR="00FE6BD7" w:rsidRPr="009A1DE7" w:rsidRDefault="00FE6BD7" w:rsidP="00C81021">
            <w:pPr>
              <w:pStyle w:val="TableText"/>
            </w:pPr>
          </w:p>
        </w:tc>
        <w:tc>
          <w:tcPr>
            <w:tcW w:w="937" w:type="pct"/>
            <w:vMerge/>
          </w:tcPr>
          <w:p w14:paraId="1FFBAAD4" w14:textId="77777777" w:rsidR="00FE6BD7" w:rsidRPr="009A1DE7" w:rsidRDefault="00FE6BD7" w:rsidP="00C81021">
            <w:pPr>
              <w:pStyle w:val="TableText"/>
            </w:pPr>
          </w:p>
        </w:tc>
        <w:tc>
          <w:tcPr>
            <w:tcW w:w="719" w:type="pct"/>
            <w:vMerge/>
          </w:tcPr>
          <w:p w14:paraId="14D543B6" w14:textId="77777777" w:rsidR="00FE6BD7" w:rsidRPr="009A1DE7" w:rsidRDefault="00FE6BD7" w:rsidP="00C81021">
            <w:pPr>
              <w:pStyle w:val="TableText"/>
            </w:pPr>
          </w:p>
        </w:tc>
        <w:tc>
          <w:tcPr>
            <w:tcW w:w="532" w:type="pct"/>
            <w:vMerge/>
          </w:tcPr>
          <w:p w14:paraId="5493558A"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345605B"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078E5901" w14:textId="77777777" w:rsidR="00FE6BD7" w:rsidRPr="00EE4BD6" w:rsidRDefault="00FE6BD7" w:rsidP="00C81021">
            <w:pPr>
              <w:pStyle w:val="TableText"/>
            </w:pPr>
          </w:p>
        </w:tc>
      </w:tr>
      <w:tr w:rsidR="00FE6BD7" w:rsidRPr="00EE4BD6" w14:paraId="396C540B" w14:textId="77777777" w:rsidTr="00F97A1E">
        <w:trPr>
          <w:cantSplit/>
          <w:trHeight w:val="691"/>
        </w:trPr>
        <w:tc>
          <w:tcPr>
            <w:tcW w:w="436" w:type="pct"/>
            <w:vMerge/>
          </w:tcPr>
          <w:p w14:paraId="467DC925" w14:textId="77777777" w:rsidR="00FE6BD7" w:rsidRPr="00EF587A" w:rsidRDefault="00FE6BD7" w:rsidP="00C81021">
            <w:pPr>
              <w:pStyle w:val="TableText"/>
            </w:pPr>
          </w:p>
        </w:tc>
        <w:tc>
          <w:tcPr>
            <w:tcW w:w="469" w:type="pct"/>
            <w:vMerge/>
          </w:tcPr>
          <w:p w14:paraId="629A719F" w14:textId="77777777" w:rsidR="00FE6BD7" w:rsidRPr="009A1DE7" w:rsidRDefault="00FE6BD7" w:rsidP="00C81021">
            <w:pPr>
              <w:pStyle w:val="TableText"/>
              <w:numPr>
                <w:ilvl w:val="0"/>
                <w:numId w:val="3"/>
              </w:numPr>
              <w:ind w:left="226" w:hanging="180"/>
            </w:pPr>
          </w:p>
        </w:tc>
        <w:tc>
          <w:tcPr>
            <w:tcW w:w="438" w:type="pct"/>
            <w:vMerge/>
          </w:tcPr>
          <w:p w14:paraId="5A05D127" w14:textId="77777777" w:rsidR="00FE6BD7" w:rsidRPr="009A1DE7" w:rsidRDefault="00FE6BD7" w:rsidP="00C81021">
            <w:pPr>
              <w:pStyle w:val="TableText"/>
            </w:pPr>
          </w:p>
        </w:tc>
        <w:tc>
          <w:tcPr>
            <w:tcW w:w="688" w:type="pct"/>
            <w:vMerge/>
          </w:tcPr>
          <w:p w14:paraId="2C35B0B1" w14:textId="77777777" w:rsidR="00FE6BD7" w:rsidRPr="009A1DE7" w:rsidRDefault="00FE6BD7" w:rsidP="00C81021">
            <w:pPr>
              <w:pStyle w:val="TableText"/>
            </w:pPr>
          </w:p>
        </w:tc>
        <w:tc>
          <w:tcPr>
            <w:tcW w:w="937" w:type="pct"/>
            <w:vMerge/>
          </w:tcPr>
          <w:p w14:paraId="22C842E1" w14:textId="77777777" w:rsidR="00FE6BD7" w:rsidRPr="009A1DE7" w:rsidRDefault="00FE6BD7" w:rsidP="00C81021">
            <w:pPr>
              <w:pStyle w:val="TableText"/>
            </w:pPr>
          </w:p>
        </w:tc>
        <w:tc>
          <w:tcPr>
            <w:tcW w:w="719" w:type="pct"/>
            <w:vMerge/>
          </w:tcPr>
          <w:p w14:paraId="77BA7DA3" w14:textId="77777777" w:rsidR="00FE6BD7" w:rsidRPr="009A1DE7" w:rsidRDefault="00FE6BD7" w:rsidP="00C81021">
            <w:pPr>
              <w:pStyle w:val="TableText"/>
            </w:pPr>
          </w:p>
        </w:tc>
        <w:tc>
          <w:tcPr>
            <w:tcW w:w="532" w:type="pct"/>
            <w:vMerge/>
          </w:tcPr>
          <w:p w14:paraId="4872D67E"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789B7869"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7F674FC6" w14:textId="77777777" w:rsidR="00FE6BD7" w:rsidRPr="00EE4BD6" w:rsidRDefault="00FE6BD7" w:rsidP="00C81021">
            <w:pPr>
              <w:pStyle w:val="TableText"/>
            </w:pPr>
          </w:p>
        </w:tc>
      </w:tr>
      <w:tr w:rsidR="00FE6BD7" w:rsidRPr="00EE4BD6" w14:paraId="6FED987F" w14:textId="77777777" w:rsidTr="00F97A1E">
        <w:trPr>
          <w:cantSplit/>
          <w:trHeight w:val="691"/>
        </w:trPr>
        <w:tc>
          <w:tcPr>
            <w:tcW w:w="436" w:type="pct"/>
            <w:vMerge/>
          </w:tcPr>
          <w:p w14:paraId="0BE1003E" w14:textId="77777777" w:rsidR="00FE6BD7" w:rsidRPr="00EF587A" w:rsidRDefault="00FE6BD7" w:rsidP="00C81021">
            <w:pPr>
              <w:pStyle w:val="TableText"/>
            </w:pPr>
          </w:p>
        </w:tc>
        <w:tc>
          <w:tcPr>
            <w:tcW w:w="469" w:type="pct"/>
            <w:vMerge/>
          </w:tcPr>
          <w:p w14:paraId="51D3009F" w14:textId="77777777" w:rsidR="00FE6BD7" w:rsidRPr="009A1DE7" w:rsidRDefault="00FE6BD7" w:rsidP="00C81021">
            <w:pPr>
              <w:pStyle w:val="TableText"/>
              <w:numPr>
                <w:ilvl w:val="0"/>
                <w:numId w:val="3"/>
              </w:numPr>
              <w:ind w:left="226" w:hanging="180"/>
            </w:pPr>
          </w:p>
        </w:tc>
        <w:tc>
          <w:tcPr>
            <w:tcW w:w="438" w:type="pct"/>
            <w:vMerge/>
          </w:tcPr>
          <w:p w14:paraId="26CBB326" w14:textId="77777777" w:rsidR="00FE6BD7" w:rsidRPr="009A1DE7" w:rsidRDefault="00FE6BD7" w:rsidP="00C81021">
            <w:pPr>
              <w:pStyle w:val="TableText"/>
            </w:pPr>
          </w:p>
        </w:tc>
        <w:tc>
          <w:tcPr>
            <w:tcW w:w="688" w:type="pct"/>
            <w:vMerge/>
          </w:tcPr>
          <w:p w14:paraId="6FA4750B" w14:textId="77777777" w:rsidR="00FE6BD7" w:rsidRPr="009A1DE7" w:rsidRDefault="00FE6BD7" w:rsidP="00C81021">
            <w:pPr>
              <w:pStyle w:val="TableText"/>
            </w:pPr>
          </w:p>
        </w:tc>
        <w:tc>
          <w:tcPr>
            <w:tcW w:w="937" w:type="pct"/>
            <w:vMerge/>
          </w:tcPr>
          <w:p w14:paraId="132B28B3" w14:textId="77777777" w:rsidR="00FE6BD7" w:rsidRPr="009A1DE7" w:rsidRDefault="00FE6BD7" w:rsidP="00C81021">
            <w:pPr>
              <w:pStyle w:val="TableText"/>
            </w:pPr>
          </w:p>
        </w:tc>
        <w:tc>
          <w:tcPr>
            <w:tcW w:w="719" w:type="pct"/>
            <w:vMerge/>
          </w:tcPr>
          <w:p w14:paraId="79C51EAF" w14:textId="77777777" w:rsidR="00FE6BD7" w:rsidRPr="009A1DE7" w:rsidRDefault="00FE6BD7" w:rsidP="00C81021">
            <w:pPr>
              <w:pStyle w:val="TableText"/>
            </w:pPr>
          </w:p>
        </w:tc>
        <w:tc>
          <w:tcPr>
            <w:tcW w:w="532" w:type="pct"/>
            <w:vMerge/>
          </w:tcPr>
          <w:p w14:paraId="1A37209A"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FEA85B1"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7317B7A8" w14:textId="77777777" w:rsidR="00FE6BD7" w:rsidRPr="00EE4BD6" w:rsidRDefault="00FE6BD7" w:rsidP="00C81021">
            <w:pPr>
              <w:pStyle w:val="TableText"/>
            </w:pPr>
          </w:p>
        </w:tc>
      </w:tr>
      <w:tr w:rsidR="00FE6BD7" w:rsidRPr="00EF587A" w14:paraId="3787EE6E" w14:textId="77777777" w:rsidTr="00F97A1E">
        <w:trPr>
          <w:cantSplit/>
          <w:trHeight w:val="691"/>
        </w:trPr>
        <w:tc>
          <w:tcPr>
            <w:tcW w:w="436" w:type="pct"/>
            <w:vMerge/>
          </w:tcPr>
          <w:p w14:paraId="090032B5" w14:textId="77777777" w:rsidR="00FE6BD7" w:rsidRPr="00EF587A" w:rsidRDefault="00FE6BD7" w:rsidP="00C81021">
            <w:pPr>
              <w:pStyle w:val="TableText"/>
            </w:pPr>
          </w:p>
        </w:tc>
        <w:tc>
          <w:tcPr>
            <w:tcW w:w="469" w:type="pct"/>
            <w:vMerge/>
          </w:tcPr>
          <w:p w14:paraId="67A5F2E3" w14:textId="77777777" w:rsidR="00FE6BD7" w:rsidRPr="00EF587A" w:rsidRDefault="00FE6BD7" w:rsidP="00C81021">
            <w:pPr>
              <w:pStyle w:val="TableText"/>
            </w:pPr>
          </w:p>
        </w:tc>
        <w:tc>
          <w:tcPr>
            <w:tcW w:w="438" w:type="pct"/>
            <w:vMerge/>
          </w:tcPr>
          <w:p w14:paraId="6463E3F3" w14:textId="77777777" w:rsidR="00FE6BD7" w:rsidRPr="00EF587A" w:rsidRDefault="00FE6BD7" w:rsidP="00C81021">
            <w:pPr>
              <w:pStyle w:val="TableText"/>
            </w:pPr>
          </w:p>
        </w:tc>
        <w:tc>
          <w:tcPr>
            <w:tcW w:w="688" w:type="pct"/>
            <w:vMerge/>
          </w:tcPr>
          <w:p w14:paraId="672CDA49" w14:textId="77777777" w:rsidR="00FE6BD7" w:rsidRPr="00EF587A" w:rsidRDefault="00FE6BD7" w:rsidP="00C81021">
            <w:pPr>
              <w:pStyle w:val="TableText"/>
            </w:pPr>
          </w:p>
        </w:tc>
        <w:tc>
          <w:tcPr>
            <w:tcW w:w="937" w:type="pct"/>
            <w:vMerge/>
          </w:tcPr>
          <w:p w14:paraId="3EBF09C5" w14:textId="77777777" w:rsidR="00FE6BD7" w:rsidRPr="00EF587A" w:rsidRDefault="00FE6BD7" w:rsidP="00C81021">
            <w:pPr>
              <w:pStyle w:val="TableText"/>
            </w:pPr>
          </w:p>
        </w:tc>
        <w:tc>
          <w:tcPr>
            <w:tcW w:w="719" w:type="pct"/>
            <w:vMerge/>
          </w:tcPr>
          <w:p w14:paraId="41E6AFF2" w14:textId="77777777" w:rsidR="00FE6BD7" w:rsidRPr="00EF587A" w:rsidRDefault="00FE6BD7" w:rsidP="00C81021">
            <w:pPr>
              <w:pStyle w:val="TableText"/>
            </w:pPr>
          </w:p>
        </w:tc>
        <w:tc>
          <w:tcPr>
            <w:tcW w:w="532" w:type="pct"/>
            <w:vMerge/>
          </w:tcPr>
          <w:p w14:paraId="49F8A789" w14:textId="77777777" w:rsidR="00FE6BD7" w:rsidRPr="00EF587A" w:rsidRDefault="00FE6BD7" w:rsidP="00C81021">
            <w:pPr>
              <w:pStyle w:val="TableText"/>
            </w:pPr>
          </w:p>
        </w:tc>
        <w:tc>
          <w:tcPr>
            <w:tcW w:w="345" w:type="pct"/>
            <w:shd w:val="clear" w:color="auto" w:fill="F2F2F2" w:themeFill="background1" w:themeFillShade="F2"/>
          </w:tcPr>
          <w:p w14:paraId="63401DB1"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2DBFF0DC" w14:textId="77777777" w:rsidR="00FE6BD7" w:rsidRPr="00EF587A" w:rsidRDefault="00FE6BD7" w:rsidP="00C81021">
            <w:pPr>
              <w:pStyle w:val="TableText"/>
            </w:pPr>
          </w:p>
        </w:tc>
      </w:tr>
      <w:tr w:rsidR="00FE6BD7" w:rsidRPr="00EE4BD6" w14:paraId="55712E30" w14:textId="77777777" w:rsidTr="00F97A1E">
        <w:trPr>
          <w:cantSplit/>
        </w:trPr>
        <w:tc>
          <w:tcPr>
            <w:tcW w:w="5000" w:type="pct"/>
            <w:gridSpan w:val="9"/>
            <w:shd w:val="clear" w:color="auto" w:fill="FBE4D5" w:themeFill="accent2" w:themeFillTint="33"/>
          </w:tcPr>
          <w:p w14:paraId="74D2C8E0" w14:textId="77777777" w:rsidR="00FE6BD7" w:rsidRPr="00ED339A" w:rsidRDefault="00FE6BD7" w:rsidP="00C81021">
            <w:pPr>
              <w:pStyle w:val="TableText"/>
              <w:rPr>
                <w:sz w:val="8"/>
                <w:szCs w:val="8"/>
              </w:rPr>
            </w:pPr>
          </w:p>
        </w:tc>
      </w:tr>
      <w:tr w:rsidR="00580E0B" w:rsidRPr="00EE4BD6" w14:paraId="5119B1ED" w14:textId="77777777" w:rsidTr="00F97A1E">
        <w:trPr>
          <w:cantSplit/>
          <w:trHeight w:val="428"/>
        </w:trPr>
        <w:tc>
          <w:tcPr>
            <w:tcW w:w="436" w:type="pct"/>
            <w:vMerge w:val="restart"/>
            <w:vAlign w:val="center"/>
          </w:tcPr>
          <w:p w14:paraId="7205C82B" w14:textId="7664CE6E" w:rsidR="00580E0B" w:rsidRPr="00F77313" w:rsidRDefault="00580E0B" w:rsidP="00580E0B">
            <w:pPr>
              <w:pStyle w:val="TableText"/>
              <w:pageBreakBefore/>
              <w:jc w:val="center"/>
              <w:rPr>
                <w:b/>
                <w:bCs/>
              </w:rPr>
            </w:pPr>
            <w:r w:rsidRPr="00580E0B">
              <w:rPr>
                <w:b/>
                <w:bCs/>
              </w:rPr>
              <w:lastRenderedPageBreak/>
              <w:t>Referred By/To</w:t>
            </w:r>
          </w:p>
        </w:tc>
        <w:tc>
          <w:tcPr>
            <w:tcW w:w="469" w:type="pct"/>
            <w:vMerge w:val="restart"/>
          </w:tcPr>
          <w:p w14:paraId="62DD0691" w14:textId="4247FEC9" w:rsidR="00580E0B" w:rsidRPr="009A1DE7" w:rsidRDefault="00580E0B" w:rsidP="00580E0B">
            <w:pPr>
              <w:pStyle w:val="TableText"/>
              <w:numPr>
                <w:ilvl w:val="0"/>
                <w:numId w:val="3"/>
              </w:numPr>
              <w:ind w:left="226" w:hanging="180"/>
            </w:pPr>
            <w:r>
              <w:t xml:space="preserve">Date Range: </w:t>
            </w:r>
            <w:r w:rsidRPr="00C524C8">
              <w:t>Last week’s range</w:t>
            </w:r>
          </w:p>
        </w:tc>
        <w:tc>
          <w:tcPr>
            <w:tcW w:w="438" w:type="pct"/>
            <w:vMerge w:val="restart"/>
          </w:tcPr>
          <w:p w14:paraId="5451C6B6" w14:textId="5F064AFF" w:rsidR="00580E0B" w:rsidRPr="009A1DE7" w:rsidRDefault="00580E0B" w:rsidP="00580E0B">
            <w:pPr>
              <w:pStyle w:val="TableText"/>
            </w:pPr>
            <w:r w:rsidRPr="00C524C8">
              <w:t>Front Desk</w:t>
            </w:r>
            <w:r>
              <w:t xml:space="preserve"> </w:t>
            </w:r>
            <w:r w:rsidRPr="00C524C8">
              <w:t>/</w:t>
            </w:r>
            <w:r>
              <w:t xml:space="preserve"> </w:t>
            </w:r>
            <w:r w:rsidRPr="00C524C8">
              <w:t>Scheduler, Clinical Manager, CAC, or Dental Chief</w:t>
            </w:r>
          </w:p>
        </w:tc>
        <w:tc>
          <w:tcPr>
            <w:tcW w:w="688" w:type="pct"/>
            <w:vMerge w:val="restart"/>
          </w:tcPr>
          <w:p w14:paraId="60410C62" w14:textId="0F77FAA5" w:rsidR="00580E0B" w:rsidRPr="009A1DE7" w:rsidRDefault="00580E0B" w:rsidP="00580E0B">
            <w:pPr>
              <w:pStyle w:val="TableText"/>
            </w:pPr>
            <w:r w:rsidRPr="00C524C8">
              <w:t>Identify how patients are coming to the office and where they are being sent for additional services.  Identify if additional resources are needed</w:t>
            </w:r>
            <w:r>
              <w:t>.</w:t>
            </w:r>
          </w:p>
        </w:tc>
        <w:tc>
          <w:tcPr>
            <w:tcW w:w="937" w:type="pct"/>
            <w:vMerge w:val="restart"/>
          </w:tcPr>
          <w:p w14:paraId="08D755E6" w14:textId="77777777" w:rsidR="00580E0B" w:rsidRDefault="00580E0B" w:rsidP="00580E0B">
            <w:pPr>
              <w:pStyle w:val="TableText"/>
              <w:keepNext/>
              <w:keepLines/>
              <w:numPr>
                <w:ilvl w:val="0"/>
                <w:numId w:val="2"/>
              </w:numPr>
              <w:ind w:left="245" w:hanging="187"/>
            </w:pPr>
            <w:r w:rsidRPr="00657DF9">
              <w:rPr>
                <w:u w:val="single"/>
              </w:rPr>
              <w:t>Family File</w:t>
            </w:r>
            <w:r>
              <w:t>: Document referred by/to within designated fields.</w:t>
            </w:r>
          </w:p>
          <w:p w14:paraId="480716BF" w14:textId="77777777" w:rsidR="00580E0B" w:rsidRDefault="00580E0B" w:rsidP="00580E0B">
            <w:pPr>
              <w:pStyle w:val="TableText"/>
              <w:keepNext/>
              <w:keepLines/>
              <w:numPr>
                <w:ilvl w:val="0"/>
                <w:numId w:val="2"/>
              </w:numPr>
              <w:ind w:left="245" w:hanging="187"/>
            </w:pPr>
            <w:r>
              <w:t xml:space="preserve">Activate option to require “referred by” during registration (global setting).  </w:t>
            </w:r>
          </w:p>
          <w:p w14:paraId="3A84E464" w14:textId="53006E15" w:rsidR="00580E0B" w:rsidRPr="009A1DE7" w:rsidRDefault="00580E0B" w:rsidP="00580E0B">
            <w:pPr>
              <w:pStyle w:val="TableText"/>
              <w:numPr>
                <w:ilvl w:val="0"/>
                <w:numId w:val="2"/>
              </w:numPr>
              <w:ind w:left="232" w:hanging="180"/>
            </w:pPr>
            <w:r>
              <w:t>Review and follow up on referred treatment.</w:t>
            </w:r>
          </w:p>
        </w:tc>
        <w:tc>
          <w:tcPr>
            <w:tcW w:w="719" w:type="pct"/>
            <w:vMerge w:val="restart"/>
          </w:tcPr>
          <w:p w14:paraId="173AB389" w14:textId="3CC4A6FF" w:rsidR="00580E0B" w:rsidRPr="00EF587A" w:rsidRDefault="00580E0B" w:rsidP="00580E0B">
            <w:pPr>
              <w:pStyle w:val="TableText"/>
            </w:pPr>
            <w:r w:rsidRPr="00C524C8">
              <w:t>Documentation of referral sources supports internal processes for managing patient care. Without this workflow, there is greater potential for patient care needs to be missed or not met.</w:t>
            </w:r>
          </w:p>
        </w:tc>
        <w:tc>
          <w:tcPr>
            <w:tcW w:w="532" w:type="pct"/>
            <w:vMerge w:val="restart"/>
          </w:tcPr>
          <w:p w14:paraId="6AFAB4BF" w14:textId="77777777" w:rsidR="00580E0B" w:rsidRDefault="00580E0B" w:rsidP="00580E0B">
            <w:pPr>
              <w:pStyle w:val="TableText"/>
              <w:numPr>
                <w:ilvl w:val="0"/>
                <w:numId w:val="1"/>
              </w:numPr>
              <w:ind w:left="187" w:hanging="187"/>
            </w:pPr>
            <w:r w:rsidRPr="00C524C8">
              <w:t>Database Design</w:t>
            </w:r>
          </w:p>
          <w:p w14:paraId="2EF4E5EB" w14:textId="77777777" w:rsidR="00580E0B" w:rsidRDefault="00580E0B" w:rsidP="00580E0B">
            <w:pPr>
              <w:pStyle w:val="TableText"/>
              <w:numPr>
                <w:ilvl w:val="0"/>
                <w:numId w:val="1"/>
              </w:numPr>
              <w:ind w:left="187" w:hanging="187"/>
            </w:pPr>
            <w:r>
              <w:t>Schedule Optimization</w:t>
            </w:r>
          </w:p>
          <w:p w14:paraId="04253CD2" w14:textId="77777777" w:rsidR="00580E0B" w:rsidRDefault="00580E0B" w:rsidP="00580E0B">
            <w:pPr>
              <w:pStyle w:val="TableText"/>
              <w:numPr>
                <w:ilvl w:val="0"/>
                <w:numId w:val="1"/>
              </w:numPr>
              <w:ind w:left="187" w:hanging="187"/>
            </w:pPr>
            <w:r>
              <w:t>Patient Records</w:t>
            </w:r>
          </w:p>
          <w:p w14:paraId="42065521" w14:textId="239AEC9A" w:rsidR="00580E0B" w:rsidRPr="00EF587A" w:rsidRDefault="00580E0B" w:rsidP="00580E0B">
            <w:pPr>
              <w:pStyle w:val="TableText"/>
              <w:numPr>
                <w:ilvl w:val="0"/>
                <w:numId w:val="1"/>
              </w:numPr>
              <w:spacing w:after="0"/>
              <w:ind w:left="187" w:hanging="187"/>
            </w:pPr>
            <w:r>
              <w:t>Clinical Records</w:t>
            </w:r>
          </w:p>
        </w:tc>
        <w:tc>
          <w:tcPr>
            <w:tcW w:w="345" w:type="pct"/>
            <w:shd w:val="clear" w:color="auto" w:fill="F2F2F2" w:themeFill="background1" w:themeFillShade="F2"/>
          </w:tcPr>
          <w:p w14:paraId="07FC9BF9" w14:textId="77777777" w:rsidR="00580E0B" w:rsidRPr="00EE4BD6" w:rsidRDefault="00580E0B" w:rsidP="00580E0B">
            <w:pPr>
              <w:pStyle w:val="TableText"/>
            </w:pPr>
            <w:r w:rsidRPr="001F26DF">
              <w:t>Date Reviewed</w:t>
            </w:r>
            <w:r>
              <w:t>:</w:t>
            </w:r>
          </w:p>
        </w:tc>
        <w:tc>
          <w:tcPr>
            <w:tcW w:w="436" w:type="pct"/>
            <w:shd w:val="clear" w:color="auto" w:fill="F2F2F2" w:themeFill="background1" w:themeFillShade="F2"/>
          </w:tcPr>
          <w:p w14:paraId="00F84FCA" w14:textId="77777777" w:rsidR="00580E0B" w:rsidRPr="00EE4BD6" w:rsidRDefault="00580E0B" w:rsidP="00580E0B">
            <w:pPr>
              <w:pStyle w:val="TableText"/>
            </w:pPr>
          </w:p>
        </w:tc>
      </w:tr>
      <w:tr w:rsidR="00FE6BD7" w:rsidRPr="00EE4BD6" w14:paraId="7A5DC96E" w14:textId="77777777" w:rsidTr="00F97A1E">
        <w:trPr>
          <w:cantSplit/>
          <w:trHeight w:val="428"/>
        </w:trPr>
        <w:tc>
          <w:tcPr>
            <w:tcW w:w="436" w:type="pct"/>
            <w:vMerge/>
          </w:tcPr>
          <w:p w14:paraId="61CBBE1E" w14:textId="77777777" w:rsidR="00FE6BD7" w:rsidRPr="00EF587A" w:rsidRDefault="00FE6BD7" w:rsidP="00C81021">
            <w:pPr>
              <w:pStyle w:val="TableText"/>
            </w:pPr>
          </w:p>
        </w:tc>
        <w:tc>
          <w:tcPr>
            <w:tcW w:w="469" w:type="pct"/>
            <w:vMerge/>
          </w:tcPr>
          <w:p w14:paraId="60497537" w14:textId="77777777" w:rsidR="00FE6BD7" w:rsidRPr="009A1DE7" w:rsidRDefault="00FE6BD7" w:rsidP="00C81021">
            <w:pPr>
              <w:pStyle w:val="TableText"/>
              <w:numPr>
                <w:ilvl w:val="0"/>
                <w:numId w:val="3"/>
              </w:numPr>
              <w:ind w:left="226" w:hanging="180"/>
            </w:pPr>
          </w:p>
        </w:tc>
        <w:tc>
          <w:tcPr>
            <w:tcW w:w="438" w:type="pct"/>
            <w:vMerge/>
          </w:tcPr>
          <w:p w14:paraId="7D22A388" w14:textId="77777777" w:rsidR="00FE6BD7" w:rsidRPr="009A1DE7" w:rsidRDefault="00FE6BD7" w:rsidP="00C81021">
            <w:pPr>
              <w:pStyle w:val="TableText"/>
            </w:pPr>
          </w:p>
        </w:tc>
        <w:tc>
          <w:tcPr>
            <w:tcW w:w="688" w:type="pct"/>
            <w:vMerge/>
          </w:tcPr>
          <w:p w14:paraId="34E88F78" w14:textId="77777777" w:rsidR="00FE6BD7" w:rsidRPr="009A1DE7" w:rsidRDefault="00FE6BD7" w:rsidP="00C81021">
            <w:pPr>
              <w:pStyle w:val="TableText"/>
            </w:pPr>
          </w:p>
        </w:tc>
        <w:tc>
          <w:tcPr>
            <w:tcW w:w="937" w:type="pct"/>
            <w:vMerge/>
          </w:tcPr>
          <w:p w14:paraId="58D4BA32" w14:textId="77777777" w:rsidR="00FE6BD7" w:rsidRPr="009A1DE7" w:rsidRDefault="00FE6BD7" w:rsidP="00C81021">
            <w:pPr>
              <w:pStyle w:val="TableText"/>
            </w:pPr>
          </w:p>
        </w:tc>
        <w:tc>
          <w:tcPr>
            <w:tcW w:w="719" w:type="pct"/>
            <w:vMerge/>
          </w:tcPr>
          <w:p w14:paraId="73F7F491" w14:textId="77777777" w:rsidR="00FE6BD7" w:rsidRPr="009A1DE7" w:rsidRDefault="00FE6BD7" w:rsidP="00C81021">
            <w:pPr>
              <w:pStyle w:val="TableText"/>
            </w:pPr>
          </w:p>
        </w:tc>
        <w:tc>
          <w:tcPr>
            <w:tcW w:w="532" w:type="pct"/>
            <w:vMerge/>
          </w:tcPr>
          <w:p w14:paraId="0A6E47CE"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3C55751"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04B3A216" w14:textId="77777777" w:rsidR="00FE6BD7" w:rsidRPr="00EE4BD6" w:rsidRDefault="00FE6BD7" w:rsidP="00C81021">
            <w:pPr>
              <w:pStyle w:val="TableText"/>
            </w:pPr>
          </w:p>
        </w:tc>
      </w:tr>
      <w:tr w:rsidR="00FE6BD7" w:rsidRPr="00EE4BD6" w14:paraId="0FF1AAAB" w14:textId="77777777" w:rsidTr="00F97A1E">
        <w:trPr>
          <w:cantSplit/>
          <w:trHeight w:val="428"/>
        </w:trPr>
        <w:tc>
          <w:tcPr>
            <w:tcW w:w="436" w:type="pct"/>
            <w:vMerge/>
          </w:tcPr>
          <w:p w14:paraId="7B057DF0" w14:textId="77777777" w:rsidR="00FE6BD7" w:rsidRPr="00EF587A" w:rsidRDefault="00FE6BD7" w:rsidP="00C81021">
            <w:pPr>
              <w:pStyle w:val="TableText"/>
            </w:pPr>
          </w:p>
        </w:tc>
        <w:tc>
          <w:tcPr>
            <w:tcW w:w="469" w:type="pct"/>
            <w:vMerge/>
          </w:tcPr>
          <w:p w14:paraId="1CBD5F7E" w14:textId="77777777" w:rsidR="00FE6BD7" w:rsidRPr="009A1DE7" w:rsidRDefault="00FE6BD7" w:rsidP="00C81021">
            <w:pPr>
              <w:pStyle w:val="TableText"/>
              <w:numPr>
                <w:ilvl w:val="0"/>
                <w:numId w:val="3"/>
              </w:numPr>
              <w:ind w:left="226" w:hanging="180"/>
            </w:pPr>
          </w:p>
        </w:tc>
        <w:tc>
          <w:tcPr>
            <w:tcW w:w="438" w:type="pct"/>
            <w:vMerge/>
          </w:tcPr>
          <w:p w14:paraId="28052FA1" w14:textId="77777777" w:rsidR="00FE6BD7" w:rsidRPr="009A1DE7" w:rsidRDefault="00FE6BD7" w:rsidP="00C81021">
            <w:pPr>
              <w:pStyle w:val="TableText"/>
            </w:pPr>
          </w:p>
        </w:tc>
        <w:tc>
          <w:tcPr>
            <w:tcW w:w="688" w:type="pct"/>
            <w:vMerge/>
          </w:tcPr>
          <w:p w14:paraId="6A00F892" w14:textId="77777777" w:rsidR="00FE6BD7" w:rsidRPr="009A1DE7" w:rsidRDefault="00FE6BD7" w:rsidP="00C81021">
            <w:pPr>
              <w:pStyle w:val="TableText"/>
            </w:pPr>
          </w:p>
        </w:tc>
        <w:tc>
          <w:tcPr>
            <w:tcW w:w="937" w:type="pct"/>
            <w:vMerge/>
          </w:tcPr>
          <w:p w14:paraId="424CE503" w14:textId="77777777" w:rsidR="00FE6BD7" w:rsidRPr="009A1DE7" w:rsidRDefault="00FE6BD7" w:rsidP="00C81021">
            <w:pPr>
              <w:pStyle w:val="TableText"/>
            </w:pPr>
          </w:p>
        </w:tc>
        <w:tc>
          <w:tcPr>
            <w:tcW w:w="719" w:type="pct"/>
            <w:vMerge/>
          </w:tcPr>
          <w:p w14:paraId="1AFA741E" w14:textId="77777777" w:rsidR="00FE6BD7" w:rsidRPr="009A1DE7" w:rsidRDefault="00FE6BD7" w:rsidP="00C81021">
            <w:pPr>
              <w:pStyle w:val="TableText"/>
            </w:pPr>
          </w:p>
        </w:tc>
        <w:tc>
          <w:tcPr>
            <w:tcW w:w="532" w:type="pct"/>
            <w:vMerge/>
          </w:tcPr>
          <w:p w14:paraId="15455614"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2003F311"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529096AF" w14:textId="77777777" w:rsidR="00FE6BD7" w:rsidRPr="00EE4BD6" w:rsidRDefault="00FE6BD7" w:rsidP="00C81021">
            <w:pPr>
              <w:pStyle w:val="TableText"/>
            </w:pPr>
          </w:p>
        </w:tc>
      </w:tr>
      <w:tr w:rsidR="00FE6BD7" w:rsidRPr="00EE4BD6" w14:paraId="42E94C52" w14:textId="77777777" w:rsidTr="00F97A1E">
        <w:trPr>
          <w:cantSplit/>
          <w:trHeight w:val="428"/>
        </w:trPr>
        <w:tc>
          <w:tcPr>
            <w:tcW w:w="436" w:type="pct"/>
            <w:vMerge/>
          </w:tcPr>
          <w:p w14:paraId="452D1599" w14:textId="77777777" w:rsidR="00FE6BD7" w:rsidRPr="00EF587A" w:rsidRDefault="00FE6BD7" w:rsidP="00C81021">
            <w:pPr>
              <w:pStyle w:val="TableText"/>
            </w:pPr>
          </w:p>
        </w:tc>
        <w:tc>
          <w:tcPr>
            <w:tcW w:w="469" w:type="pct"/>
            <w:vMerge/>
          </w:tcPr>
          <w:p w14:paraId="6DA26040" w14:textId="77777777" w:rsidR="00FE6BD7" w:rsidRPr="009A1DE7" w:rsidRDefault="00FE6BD7" w:rsidP="00C81021">
            <w:pPr>
              <w:pStyle w:val="TableText"/>
              <w:numPr>
                <w:ilvl w:val="0"/>
                <w:numId w:val="3"/>
              </w:numPr>
              <w:ind w:left="226" w:hanging="180"/>
            </w:pPr>
          </w:p>
        </w:tc>
        <w:tc>
          <w:tcPr>
            <w:tcW w:w="438" w:type="pct"/>
            <w:vMerge/>
          </w:tcPr>
          <w:p w14:paraId="09537702" w14:textId="77777777" w:rsidR="00FE6BD7" w:rsidRPr="009A1DE7" w:rsidRDefault="00FE6BD7" w:rsidP="00C81021">
            <w:pPr>
              <w:pStyle w:val="TableText"/>
            </w:pPr>
          </w:p>
        </w:tc>
        <w:tc>
          <w:tcPr>
            <w:tcW w:w="688" w:type="pct"/>
            <w:vMerge/>
          </w:tcPr>
          <w:p w14:paraId="62092FA9" w14:textId="77777777" w:rsidR="00FE6BD7" w:rsidRPr="009A1DE7" w:rsidRDefault="00FE6BD7" w:rsidP="00C81021">
            <w:pPr>
              <w:pStyle w:val="TableText"/>
            </w:pPr>
          </w:p>
        </w:tc>
        <w:tc>
          <w:tcPr>
            <w:tcW w:w="937" w:type="pct"/>
            <w:vMerge/>
          </w:tcPr>
          <w:p w14:paraId="15765F7B" w14:textId="77777777" w:rsidR="00FE6BD7" w:rsidRPr="009A1DE7" w:rsidRDefault="00FE6BD7" w:rsidP="00C81021">
            <w:pPr>
              <w:pStyle w:val="TableText"/>
            </w:pPr>
          </w:p>
        </w:tc>
        <w:tc>
          <w:tcPr>
            <w:tcW w:w="719" w:type="pct"/>
            <w:vMerge/>
          </w:tcPr>
          <w:p w14:paraId="7939B989" w14:textId="77777777" w:rsidR="00FE6BD7" w:rsidRPr="009A1DE7" w:rsidRDefault="00FE6BD7" w:rsidP="00C81021">
            <w:pPr>
              <w:pStyle w:val="TableText"/>
            </w:pPr>
          </w:p>
        </w:tc>
        <w:tc>
          <w:tcPr>
            <w:tcW w:w="532" w:type="pct"/>
            <w:vMerge/>
          </w:tcPr>
          <w:p w14:paraId="368FC464"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46E017A"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4B3B744B" w14:textId="77777777" w:rsidR="00FE6BD7" w:rsidRPr="00EE4BD6" w:rsidRDefault="00FE6BD7" w:rsidP="00C81021">
            <w:pPr>
              <w:pStyle w:val="TableText"/>
            </w:pPr>
          </w:p>
        </w:tc>
      </w:tr>
      <w:tr w:rsidR="00FE6BD7" w:rsidRPr="00EF587A" w14:paraId="38946046" w14:textId="77777777" w:rsidTr="00F97A1E">
        <w:trPr>
          <w:cantSplit/>
          <w:trHeight w:val="428"/>
        </w:trPr>
        <w:tc>
          <w:tcPr>
            <w:tcW w:w="436" w:type="pct"/>
            <w:vMerge/>
          </w:tcPr>
          <w:p w14:paraId="0B21AEEC" w14:textId="77777777" w:rsidR="00FE6BD7" w:rsidRPr="00EF587A" w:rsidRDefault="00FE6BD7" w:rsidP="00C81021">
            <w:pPr>
              <w:pStyle w:val="TableText"/>
            </w:pPr>
          </w:p>
        </w:tc>
        <w:tc>
          <w:tcPr>
            <w:tcW w:w="469" w:type="pct"/>
            <w:vMerge/>
          </w:tcPr>
          <w:p w14:paraId="26405200" w14:textId="77777777" w:rsidR="00FE6BD7" w:rsidRPr="00EF587A" w:rsidRDefault="00FE6BD7" w:rsidP="00C81021">
            <w:pPr>
              <w:pStyle w:val="TableText"/>
            </w:pPr>
          </w:p>
        </w:tc>
        <w:tc>
          <w:tcPr>
            <w:tcW w:w="438" w:type="pct"/>
            <w:vMerge/>
          </w:tcPr>
          <w:p w14:paraId="0C96A1AB" w14:textId="77777777" w:rsidR="00FE6BD7" w:rsidRPr="00EF587A" w:rsidRDefault="00FE6BD7" w:rsidP="00C81021">
            <w:pPr>
              <w:pStyle w:val="TableText"/>
            </w:pPr>
          </w:p>
        </w:tc>
        <w:tc>
          <w:tcPr>
            <w:tcW w:w="688" w:type="pct"/>
            <w:vMerge/>
          </w:tcPr>
          <w:p w14:paraId="09C4E488" w14:textId="77777777" w:rsidR="00FE6BD7" w:rsidRPr="00EF587A" w:rsidRDefault="00FE6BD7" w:rsidP="00C81021">
            <w:pPr>
              <w:pStyle w:val="TableText"/>
            </w:pPr>
          </w:p>
        </w:tc>
        <w:tc>
          <w:tcPr>
            <w:tcW w:w="937" w:type="pct"/>
            <w:vMerge/>
          </w:tcPr>
          <w:p w14:paraId="617FECDA" w14:textId="77777777" w:rsidR="00FE6BD7" w:rsidRPr="00EF587A" w:rsidRDefault="00FE6BD7" w:rsidP="00C81021">
            <w:pPr>
              <w:pStyle w:val="TableText"/>
            </w:pPr>
          </w:p>
        </w:tc>
        <w:tc>
          <w:tcPr>
            <w:tcW w:w="719" w:type="pct"/>
            <w:vMerge/>
          </w:tcPr>
          <w:p w14:paraId="03AE50EC" w14:textId="77777777" w:rsidR="00FE6BD7" w:rsidRPr="00EF587A" w:rsidRDefault="00FE6BD7" w:rsidP="00C81021">
            <w:pPr>
              <w:pStyle w:val="TableText"/>
            </w:pPr>
          </w:p>
        </w:tc>
        <w:tc>
          <w:tcPr>
            <w:tcW w:w="532" w:type="pct"/>
            <w:vMerge/>
          </w:tcPr>
          <w:p w14:paraId="51632C86" w14:textId="77777777" w:rsidR="00FE6BD7" w:rsidRPr="00EF587A" w:rsidRDefault="00FE6BD7" w:rsidP="00C81021">
            <w:pPr>
              <w:pStyle w:val="TableText"/>
            </w:pPr>
          </w:p>
        </w:tc>
        <w:tc>
          <w:tcPr>
            <w:tcW w:w="345" w:type="pct"/>
            <w:shd w:val="clear" w:color="auto" w:fill="F2F2F2" w:themeFill="background1" w:themeFillShade="F2"/>
          </w:tcPr>
          <w:p w14:paraId="64AFF2C2"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4D00F3C3" w14:textId="77777777" w:rsidR="00FE6BD7" w:rsidRPr="00EF587A" w:rsidRDefault="00FE6BD7" w:rsidP="00C81021">
            <w:pPr>
              <w:pStyle w:val="TableText"/>
            </w:pPr>
          </w:p>
        </w:tc>
      </w:tr>
      <w:tr w:rsidR="00FE6BD7" w:rsidRPr="00EE4BD6" w14:paraId="7F8AD2DE" w14:textId="77777777" w:rsidTr="00F97A1E">
        <w:trPr>
          <w:cantSplit/>
        </w:trPr>
        <w:tc>
          <w:tcPr>
            <w:tcW w:w="5000" w:type="pct"/>
            <w:gridSpan w:val="9"/>
            <w:shd w:val="clear" w:color="auto" w:fill="FBE4D5" w:themeFill="accent2" w:themeFillTint="33"/>
          </w:tcPr>
          <w:p w14:paraId="2F3E2E81" w14:textId="77777777" w:rsidR="00FE6BD7" w:rsidRPr="00ED339A" w:rsidRDefault="00FE6BD7" w:rsidP="00C81021">
            <w:pPr>
              <w:pStyle w:val="TableText"/>
              <w:rPr>
                <w:sz w:val="8"/>
                <w:szCs w:val="8"/>
              </w:rPr>
            </w:pPr>
          </w:p>
        </w:tc>
      </w:tr>
      <w:tr w:rsidR="00580E0B" w:rsidRPr="00EE4BD6" w14:paraId="08D53535" w14:textId="77777777" w:rsidTr="00F97A1E">
        <w:trPr>
          <w:cantSplit/>
          <w:trHeight w:val="428"/>
        </w:trPr>
        <w:tc>
          <w:tcPr>
            <w:tcW w:w="436" w:type="pct"/>
            <w:vMerge w:val="restart"/>
            <w:vAlign w:val="center"/>
          </w:tcPr>
          <w:p w14:paraId="0BC87DD8" w14:textId="1EF612A9" w:rsidR="00580E0B" w:rsidRPr="00F77313" w:rsidRDefault="00580E0B" w:rsidP="00580E0B">
            <w:pPr>
              <w:pStyle w:val="TableText"/>
              <w:jc w:val="center"/>
              <w:rPr>
                <w:b/>
                <w:bCs/>
              </w:rPr>
            </w:pPr>
            <w:r w:rsidRPr="00580E0B">
              <w:rPr>
                <w:b/>
                <w:bCs/>
              </w:rPr>
              <w:t>Provider A/R Totals - By Summary of all Providers or By Specific Provider</w:t>
            </w:r>
          </w:p>
        </w:tc>
        <w:tc>
          <w:tcPr>
            <w:tcW w:w="469" w:type="pct"/>
            <w:vMerge w:val="restart"/>
          </w:tcPr>
          <w:p w14:paraId="2590903A" w14:textId="674429BF" w:rsidR="00580E0B" w:rsidRPr="009A1DE7" w:rsidRDefault="00580E0B" w:rsidP="00580E0B">
            <w:pPr>
              <w:pStyle w:val="TableText"/>
              <w:numPr>
                <w:ilvl w:val="0"/>
                <w:numId w:val="3"/>
              </w:numPr>
              <w:ind w:left="226" w:hanging="180"/>
            </w:pPr>
            <w:r>
              <w:t xml:space="preserve">Date Range: </w:t>
            </w:r>
            <w:r w:rsidRPr="00657DF9">
              <w:t>Last week’s range</w:t>
            </w:r>
          </w:p>
        </w:tc>
        <w:tc>
          <w:tcPr>
            <w:tcW w:w="438" w:type="pct"/>
            <w:vMerge w:val="restart"/>
          </w:tcPr>
          <w:p w14:paraId="35F9C2DC" w14:textId="3D02614C" w:rsidR="00580E0B" w:rsidRPr="009A1DE7" w:rsidRDefault="00580E0B" w:rsidP="00580E0B">
            <w:pPr>
              <w:pStyle w:val="TableText"/>
            </w:pPr>
            <w:r w:rsidRPr="00657DF9">
              <w:t>Dental Chief</w:t>
            </w:r>
            <w:r>
              <w:t xml:space="preserve"> </w:t>
            </w:r>
            <w:r w:rsidRPr="00657DF9">
              <w:t>/</w:t>
            </w:r>
            <w:r>
              <w:t xml:space="preserve"> </w:t>
            </w:r>
            <w:r w:rsidRPr="00657DF9">
              <w:t>Each Provider</w:t>
            </w:r>
          </w:p>
        </w:tc>
        <w:tc>
          <w:tcPr>
            <w:tcW w:w="688" w:type="pct"/>
            <w:vMerge w:val="restart"/>
          </w:tcPr>
          <w:p w14:paraId="49B537D4" w14:textId="1F5B8371" w:rsidR="00580E0B" w:rsidRPr="009A1DE7" w:rsidRDefault="00580E0B" w:rsidP="00580E0B">
            <w:pPr>
              <w:pStyle w:val="TableText"/>
            </w:pPr>
            <w:r w:rsidRPr="00657DF9">
              <w:t>This report reflects both production and collection net totals because it takes into account adjustments to production (</w:t>
            </w:r>
            <w:r>
              <w:t xml:space="preserve">such as </w:t>
            </w:r>
            <w:r w:rsidRPr="00657DF9">
              <w:t>patient discounts) and adjustments to collections (</w:t>
            </w:r>
            <w:r>
              <w:t xml:space="preserve">such as </w:t>
            </w:r>
            <w:r w:rsidRPr="00657DF9">
              <w:t xml:space="preserve">refunds to patients or insurance company, </w:t>
            </w:r>
            <w:r>
              <w:t xml:space="preserve">and </w:t>
            </w:r>
            <w:r w:rsidRPr="00657DF9">
              <w:t xml:space="preserve">NSF </w:t>
            </w:r>
            <w:r>
              <w:t>c</w:t>
            </w:r>
            <w:r w:rsidRPr="00657DF9">
              <w:t>hecks). The results found in the report reflect actual collectible monies.</w:t>
            </w:r>
          </w:p>
        </w:tc>
        <w:tc>
          <w:tcPr>
            <w:tcW w:w="937" w:type="pct"/>
            <w:vMerge w:val="restart"/>
          </w:tcPr>
          <w:p w14:paraId="14CE4FEF" w14:textId="77777777" w:rsidR="00580E0B" w:rsidRDefault="00580E0B" w:rsidP="00580E0B">
            <w:pPr>
              <w:pStyle w:val="TableText"/>
            </w:pPr>
            <w:r>
              <w:t>Charges, payments, adjustments and allocations must be complete and accurate prior to running the report. If a month has ended during this week's date range, a month-end close out must have occurred.</w:t>
            </w:r>
          </w:p>
          <w:p w14:paraId="482BABEA" w14:textId="49DD3B0C" w:rsidR="00580E0B" w:rsidRPr="009A1DE7" w:rsidRDefault="00580E0B" w:rsidP="00580E0B">
            <w:pPr>
              <w:pStyle w:val="TableText"/>
              <w:numPr>
                <w:ilvl w:val="0"/>
                <w:numId w:val="2"/>
              </w:numPr>
              <w:ind w:left="232" w:hanging="180"/>
            </w:pPr>
            <w:r w:rsidRPr="00657DF9">
              <w:rPr>
                <w:u w:val="single"/>
              </w:rPr>
              <w:t>Ledger</w:t>
            </w:r>
            <w:r>
              <w:t>:  Ensure procedures, payments, and adjustment are properly posted to the providers of the rendered service.</w:t>
            </w:r>
          </w:p>
        </w:tc>
        <w:tc>
          <w:tcPr>
            <w:tcW w:w="719" w:type="pct"/>
            <w:vMerge w:val="restart"/>
          </w:tcPr>
          <w:p w14:paraId="4E6EF910" w14:textId="3B274DB6" w:rsidR="00580E0B" w:rsidRPr="00EF587A" w:rsidRDefault="00580E0B" w:rsidP="00580E0B">
            <w:pPr>
              <w:pStyle w:val="TableText"/>
            </w:pPr>
            <w:r w:rsidRPr="00657DF9">
              <w:t xml:space="preserve">Since this report is the only one in the EDR that contains all adjustment types and their relationship to </w:t>
            </w:r>
            <w:r>
              <w:t>p</w:t>
            </w:r>
            <w:r w:rsidRPr="00657DF9">
              <w:t xml:space="preserve">roductions or </w:t>
            </w:r>
            <w:r>
              <w:t>c</w:t>
            </w:r>
            <w:r w:rsidRPr="00657DF9">
              <w:t xml:space="preserve">ollections, not reviewing this report will leave the Dental Chief and Providers </w:t>
            </w:r>
            <w:r>
              <w:t>with incomplete</w:t>
            </w:r>
            <w:r w:rsidRPr="00657DF9">
              <w:t xml:space="preserve"> information on the status of the clinic's </w:t>
            </w:r>
            <w:r>
              <w:t>a</w:t>
            </w:r>
            <w:r w:rsidRPr="00657DF9">
              <w:t xml:space="preserve">ccounts </w:t>
            </w:r>
            <w:r>
              <w:t>r</w:t>
            </w:r>
            <w:r w:rsidRPr="00657DF9">
              <w:t>eceivable totals.</w:t>
            </w:r>
          </w:p>
        </w:tc>
        <w:tc>
          <w:tcPr>
            <w:tcW w:w="532" w:type="pct"/>
            <w:vMerge w:val="restart"/>
          </w:tcPr>
          <w:p w14:paraId="45C2E938" w14:textId="77777777" w:rsidR="00580E0B" w:rsidRDefault="00580E0B" w:rsidP="00580E0B">
            <w:pPr>
              <w:pStyle w:val="TableText"/>
              <w:numPr>
                <w:ilvl w:val="0"/>
                <w:numId w:val="1"/>
              </w:numPr>
              <w:ind w:left="187" w:hanging="187"/>
            </w:pPr>
            <w:r>
              <w:t>Revenue Cycle</w:t>
            </w:r>
          </w:p>
          <w:p w14:paraId="1255B87A" w14:textId="6179ED26" w:rsidR="00580E0B" w:rsidRPr="00EF587A" w:rsidRDefault="00580E0B" w:rsidP="00580E0B">
            <w:pPr>
              <w:pStyle w:val="TableText"/>
              <w:numPr>
                <w:ilvl w:val="0"/>
                <w:numId w:val="1"/>
              </w:numPr>
              <w:spacing w:after="0"/>
              <w:ind w:left="187" w:hanging="187"/>
            </w:pPr>
            <w:r>
              <w:t>Reports Reference*</w:t>
            </w:r>
          </w:p>
        </w:tc>
        <w:tc>
          <w:tcPr>
            <w:tcW w:w="345" w:type="pct"/>
            <w:shd w:val="clear" w:color="auto" w:fill="F2F2F2" w:themeFill="background1" w:themeFillShade="F2"/>
          </w:tcPr>
          <w:p w14:paraId="7D92D5BE" w14:textId="77777777" w:rsidR="00580E0B" w:rsidRPr="00EE4BD6" w:rsidRDefault="00580E0B" w:rsidP="00580E0B">
            <w:pPr>
              <w:pStyle w:val="TableText"/>
            </w:pPr>
            <w:r w:rsidRPr="001F26DF">
              <w:t>Date Reviewed</w:t>
            </w:r>
            <w:r>
              <w:t>:</w:t>
            </w:r>
          </w:p>
        </w:tc>
        <w:tc>
          <w:tcPr>
            <w:tcW w:w="436" w:type="pct"/>
            <w:shd w:val="clear" w:color="auto" w:fill="F2F2F2" w:themeFill="background1" w:themeFillShade="F2"/>
          </w:tcPr>
          <w:p w14:paraId="051EC76C" w14:textId="77777777" w:rsidR="00580E0B" w:rsidRPr="00EE4BD6" w:rsidRDefault="00580E0B" w:rsidP="00580E0B">
            <w:pPr>
              <w:pStyle w:val="TableText"/>
            </w:pPr>
          </w:p>
        </w:tc>
      </w:tr>
      <w:tr w:rsidR="00FE6BD7" w:rsidRPr="00EE4BD6" w14:paraId="2FA53E06" w14:textId="77777777" w:rsidTr="00F97A1E">
        <w:trPr>
          <w:cantSplit/>
          <w:trHeight w:val="428"/>
        </w:trPr>
        <w:tc>
          <w:tcPr>
            <w:tcW w:w="436" w:type="pct"/>
            <w:vMerge/>
          </w:tcPr>
          <w:p w14:paraId="7666E3DA" w14:textId="77777777" w:rsidR="00FE6BD7" w:rsidRPr="00EF587A" w:rsidRDefault="00FE6BD7" w:rsidP="00C81021">
            <w:pPr>
              <w:pStyle w:val="TableText"/>
            </w:pPr>
          </w:p>
        </w:tc>
        <w:tc>
          <w:tcPr>
            <w:tcW w:w="469" w:type="pct"/>
            <w:vMerge/>
          </w:tcPr>
          <w:p w14:paraId="64402BD6" w14:textId="77777777" w:rsidR="00FE6BD7" w:rsidRPr="009A1DE7" w:rsidRDefault="00FE6BD7" w:rsidP="00C81021">
            <w:pPr>
              <w:pStyle w:val="TableText"/>
              <w:numPr>
                <w:ilvl w:val="0"/>
                <w:numId w:val="3"/>
              </w:numPr>
              <w:ind w:left="226" w:hanging="180"/>
            </w:pPr>
          </w:p>
        </w:tc>
        <w:tc>
          <w:tcPr>
            <w:tcW w:w="438" w:type="pct"/>
            <w:vMerge/>
          </w:tcPr>
          <w:p w14:paraId="0CDEA483" w14:textId="77777777" w:rsidR="00FE6BD7" w:rsidRPr="009A1DE7" w:rsidRDefault="00FE6BD7" w:rsidP="00C81021">
            <w:pPr>
              <w:pStyle w:val="TableText"/>
            </w:pPr>
          </w:p>
        </w:tc>
        <w:tc>
          <w:tcPr>
            <w:tcW w:w="688" w:type="pct"/>
            <w:vMerge/>
          </w:tcPr>
          <w:p w14:paraId="5459DB0E" w14:textId="77777777" w:rsidR="00FE6BD7" w:rsidRPr="009A1DE7" w:rsidRDefault="00FE6BD7" w:rsidP="00C81021">
            <w:pPr>
              <w:pStyle w:val="TableText"/>
            </w:pPr>
          </w:p>
        </w:tc>
        <w:tc>
          <w:tcPr>
            <w:tcW w:w="937" w:type="pct"/>
            <w:vMerge/>
          </w:tcPr>
          <w:p w14:paraId="16357B09" w14:textId="77777777" w:rsidR="00FE6BD7" w:rsidRPr="009A1DE7" w:rsidRDefault="00FE6BD7" w:rsidP="00C81021">
            <w:pPr>
              <w:pStyle w:val="TableText"/>
            </w:pPr>
          </w:p>
        </w:tc>
        <w:tc>
          <w:tcPr>
            <w:tcW w:w="719" w:type="pct"/>
            <w:vMerge/>
          </w:tcPr>
          <w:p w14:paraId="1CBDBEAC" w14:textId="77777777" w:rsidR="00FE6BD7" w:rsidRPr="009A1DE7" w:rsidRDefault="00FE6BD7" w:rsidP="00C81021">
            <w:pPr>
              <w:pStyle w:val="TableText"/>
            </w:pPr>
          </w:p>
        </w:tc>
        <w:tc>
          <w:tcPr>
            <w:tcW w:w="532" w:type="pct"/>
            <w:vMerge/>
          </w:tcPr>
          <w:p w14:paraId="36487B04"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15A41A94"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539C563D" w14:textId="77777777" w:rsidR="00FE6BD7" w:rsidRPr="00EE4BD6" w:rsidRDefault="00FE6BD7" w:rsidP="00C81021">
            <w:pPr>
              <w:pStyle w:val="TableText"/>
            </w:pPr>
          </w:p>
        </w:tc>
      </w:tr>
      <w:tr w:rsidR="00FE6BD7" w:rsidRPr="00EE4BD6" w14:paraId="01C74A02" w14:textId="77777777" w:rsidTr="00F97A1E">
        <w:trPr>
          <w:cantSplit/>
          <w:trHeight w:val="428"/>
        </w:trPr>
        <w:tc>
          <w:tcPr>
            <w:tcW w:w="436" w:type="pct"/>
            <w:vMerge/>
          </w:tcPr>
          <w:p w14:paraId="71493A2D" w14:textId="77777777" w:rsidR="00FE6BD7" w:rsidRPr="00EF587A" w:rsidRDefault="00FE6BD7" w:rsidP="00C81021">
            <w:pPr>
              <w:pStyle w:val="TableText"/>
            </w:pPr>
          </w:p>
        </w:tc>
        <w:tc>
          <w:tcPr>
            <w:tcW w:w="469" w:type="pct"/>
            <w:vMerge/>
          </w:tcPr>
          <w:p w14:paraId="2149D3ED" w14:textId="77777777" w:rsidR="00FE6BD7" w:rsidRPr="009A1DE7" w:rsidRDefault="00FE6BD7" w:rsidP="00C81021">
            <w:pPr>
              <w:pStyle w:val="TableText"/>
              <w:numPr>
                <w:ilvl w:val="0"/>
                <w:numId w:val="3"/>
              </w:numPr>
              <w:ind w:left="226" w:hanging="180"/>
            </w:pPr>
          </w:p>
        </w:tc>
        <w:tc>
          <w:tcPr>
            <w:tcW w:w="438" w:type="pct"/>
            <w:vMerge/>
          </w:tcPr>
          <w:p w14:paraId="2853DD14" w14:textId="77777777" w:rsidR="00FE6BD7" w:rsidRPr="009A1DE7" w:rsidRDefault="00FE6BD7" w:rsidP="00C81021">
            <w:pPr>
              <w:pStyle w:val="TableText"/>
            </w:pPr>
          </w:p>
        </w:tc>
        <w:tc>
          <w:tcPr>
            <w:tcW w:w="688" w:type="pct"/>
            <w:vMerge/>
          </w:tcPr>
          <w:p w14:paraId="345501A9" w14:textId="77777777" w:rsidR="00FE6BD7" w:rsidRPr="009A1DE7" w:rsidRDefault="00FE6BD7" w:rsidP="00C81021">
            <w:pPr>
              <w:pStyle w:val="TableText"/>
            </w:pPr>
          </w:p>
        </w:tc>
        <w:tc>
          <w:tcPr>
            <w:tcW w:w="937" w:type="pct"/>
            <w:vMerge/>
          </w:tcPr>
          <w:p w14:paraId="3C2D8F7B" w14:textId="77777777" w:rsidR="00FE6BD7" w:rsidRPr="009A1DE7" w:rsidRDefault="00FE6BD7" w:rsidP="00C81021">
            <w:pPr>
              <w:pStyle w:val="TableText"/>
            </w:pPr>
          </w:p>
        </w:tc>
        <w:tc>
          <w:tcPr>
            <w:tcW w:w="719" w:type="pct"/>
            <w:vMerge/>
          </w:tcPr>
          <w:p w14:paraId="3AE6286B" w14:textId="77777777" w:rsidR="00FE6BD7" w:rsidRPr="009A1DE7" w:rsidRDefault="00FE6BD7" w:rsidP="00C81021">
            <w:pPr>
              <w:pStyle w:val="TableText"/>
            </w:pPr>
          </w:p>
        </w:tc>
        <w:tc>
          <w:tcPr>
            <w:tcW w:w="532" w:type="pct"/>
            <w:vMerge/>
          </w:tcPr>
          <w:p w14:paraId="2AA95655"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D61BCF7"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699B3182" w14:textId="77777777" w:rsidR="00FE6BD7" w:rsidRPr="00EE4BD6" w:rsidRDefault="00FE6BD7" w:rsidP="00C81021">
            <w:pPr>
              <w:pStyle w:val="TableText"/>
            </w:pPr>
          </w:p>
        </w:tc>
      </w:tr>
      <w:tr w:rsidR="00FE6BD7" w:rsidRPr="00EE4BD6" w14:paraId="1F75F659" w14:textId="77777777" w:rsidTr="00F97A1E">
        <w:trPr>
          <w:cantSplit/>
          <w:trHeight w:val="428"/>
        </w:trPr>
        <w:tc>
          <w:tcPr>
            <w:tcW w:w="436" w:type="pct"/>
            <w:vMerge/>
          </w:tcPr>
          <w:p w14:paraId="556ED2EA" w14:textId="77777777" w:rsidR="00FE6BD7" w:rsidRPr="00EF587A" w:rsidRDefault="00FE6BD7" w:rsidP="00C81021">
            <w:pPr>
              <w:pStyle w:val="TableText"/>
            </w:pPr>
          </w:p>
        </w:tc>
        <w:tc>
          <w:tcPr>
            <w:tcW w:w="469" w:type="pct"/>
            <w:vMerge/>
          </w:tcPr>
          <w:p w14:paraId="179E50F3" w14:textId="77777777" w:rsidR="00FE6BD7" w:rsidRPr="009A1DE7" w:rsidRDefault="00FE6BD7" w:rsidP="00C81021">
            <w:pPr>
              <w:pStyle w:val="TableText"/>
              <w:numPr>
                <w:ilvl w:val="0"/>
                <w:numId w:val="3"/>
              </w:numPr>
              <w:ind w:left="226" w:hanging="180"/>
            </w:pPr>
          </w:p>
        </w:tc>
        <w:tc>
          <w:tcPr>
            <w:tcW w:w="438" w:type="pct"/>
            <w:vMerge/>
          </w:tcPr>
          <w:p w14:paraId="2F944103" w14:textId="77777777" w:rsidR="00FE6BD7" w:rsidRPr="009A1DE7" w:rsidRDefault="00FE6BD7" w:rsidP="00C81021">
            <w:pPr>
              <w:pStyle w:val="TableText"/>
            </w:pPr>
          </w:p>
        </w:tc>
        <w:tc>
          <w:tcPr>
            <w:tcW w:w="688" w:type="pct"/>
            <w:vMerge/>
          </w:tcPr>
          <w:p w14:paraId="658ED58C" w14:textId="77777777" w:rsidR="00FE6BD7" w:rsidRPr="009A1DE7" w:rsidRDefault="00FE6BD7" w:rsidP="00C81021">
            <w:pPr>
              <w:pStyle w:val="TableText"/>
            </w:pPr>
          </w:p>
        </w:tc>
        <w:tc>
          <w:tcPr>
            <w:tcW w:w="937" w:type="pct"/>
            <w:vMerge/>
          </w:tcPr>
          <w:p w14:paraId="33A3444F" w14:textId="77777777" w:rsidR="00FE6BD7" w:rsidRPr="009A1DE7" w:rsidRDefault="00FE6BD7" w:rsidP="00C81021">
            <w:pPr>
              <w:pStyle w:val="TableText"/>
            </w:pPr>
          </w:p>
        </w:tc>
        <w:tc>
          <w:tcPr>
            <w:tcW w:w="719" w:type="pct"/>
            <w:vMerge/>
          </w:tcPr>
          <w:p w14:paraId="19806C7C" w14:textId="77777777" w:rsidR="00FE6BD7" w:rsidRPr="009A1DE7" w:rsidRDefault="00FE6BD7" w:rsidP="00C81021">
            <w:pPr>
              <w:pStyle w:val="TableText"/>
            </w:pPr>
          </w:p>
        </w:tc>
        <w:tc>
          <w:tcPr>
            <w:tcW w:w="532" w:type="pct"/>
            <w:vMerge/>
          </w:tcPr>
          <w:p w14:paraId="6ECE8618"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3FB37A4"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579237DD" w14:textId="77777777" w:rsidR="00FE6BD7" w:rsidRPr="00EE4BD6" w:rsidRDefault="00FE6BD7" w:rsidP="00C81021">
            <w:pPr>
              <w:pStyle w:val="TableText"/>
            </w:pPr>
          </w:p>
        </w:tc>
      </w:tr>
      <w:tr w:rsidR="00FE6BD7" w:rsidRPr="00EF587A" w14:paraId="0A6B563B" w14:textId="77777777" w:rsidTr="00F97A1E">
        <w:trPr>
          <w:cantSplit/>
          <w:trHeight w:val="428"/>
        </w:trPr>
        <w:tc>
          <w:tcPr>
            <w:tcW w:w="436" w:type="pct"/>
            <w:vMerge/>
          </w:tcPr>
          <w:p w14:paraId="0B787EBD" w14:textId="77777777" w:rsidR="00FE6BD7" w:rsidRPr="00EF587A" w:rsidRDefault="00FE6BD7" w:rsidP="00C81021">
            <w:pPr>
              <w:pStyle w:val="TableText"/>
            </w:pPr>
          </w:p>
        </w:tc>
        <w:tc>
          <w:tcPr>
            <w:tcW w:w="469" w:type="pct"/>
            <w:vMerge/>
          </w:tcPr>
          <w:p w14:paraId="28A2DA4D" w14:textId="77777777" w:rsidR="00FE6BD7" w:rsidRPr="00EF587A" w:rsidRDefault="00FE6BD7" w:rsidP="00C81021">
            <w:pPr>
              <w:pStyle w:val="TableText"/>
            </w:pPr>
          </w:p>
        </w:tc>
        <w:tc>
          <w:tcPr>
            <w:tcW w:w="438" w:type="pct"/>
            <w:vMerge/>
          </w:tcPr>
          <w:p w14:paraId="0A9D73F3" w14:textId="77777777" w:rsidR="00FE6BD7" w:rsidRPr="00EF587A" w:rsidRDefault="00FE6BD7" w:rsidP="00C81021">
            <w:pPr>
              <w:pStyle w:val="TableText"/>
            </w:pPr>
          </w:p>
        </w:tc>
        <w:tc>
          <w:tcPr>
            <w:tcW w:w="688" w:type="pct"/>
            <w:vMerge/>
          </w:tcPr>
          <w:p w14:paraId="5575D8B0" w14:textId="77777777" w:rsidR="00FE6BD7" w:rsidRPr="00EF587A" w:rsidRDefault="00FE6BD7" w:rsidP="00C81021">
            <w:pPr>
              <w:pStyle w:val="TableText"/>
            </w:pPr>
          </w:p>
        </w:tc>
        <w:tc>
          <w:tcPr>
            <w:tcW w:w="937" w:type="pct"/>
            <w:vMerge/>
          </w:tcPr>
          <w:p w14:paraId="2506C69C" w14:textId="77777777" w:rsidR="00FE6BD7" w:rsidRPr="00EF587A" w:rsidRDefault="00FE6BD7" w:rsidP="00C81021">
            <w:pPr>
              <w:pStyle w:val="TableText"/>
            </w:pPr>
          </w:p>
        </w:tc>
        <w:tc>
          <w:tcPr>
            <w:tcW w:w="719" w:type="pct"/>
            <w:vMerge/>
          </w:tcPr>
          <w:p w14:paraId="0FFE0D04" w14:textId="77777777" w:rsidR="00FE6BD7" w:rsidRPr="00EF587A" w:rsidRDefault="00FE6BD7" w:rsidP="00C81021">
            <w:pPr>
              <w:pStyle w:val="TableText"/>
            </w:pPr>
          </w:p>
        </w:tc>
        <w:tc>
          <w:tcPr>
            <w:tcW w:w="532" w:type="pct"/>
            <w:vMerge/>
          </w:tcPr>
          <w:p w14:paraId="20460ABA" w14:textId="77777777" w:rsidR="00FE6BD7" w:rsidRPr="00EF587A" w:rsidRDefault="00FE6BD7" w:rsidP="00C81021">
            <w:pPr>
              <w:pStyle w:val="TableText"/>
            </w:pPr>
          </w:p>
        </w:tc>
        <w:tc>
          <w:tcPr>
            <w:tcW w:w="345" w:type="pct"/>
            <w:shd w:val="clear" w:color="auto" w:fill="F2F2F2" w:themeFill="background1" w:themeFillShade="F2"/>
          </w:tcPr>
          <w:p w14:paraId="3A1644DB"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035C63BF" w14:textId="77777777" w:rsidR="00FE6BD7" w:rsidRPr="00EF587A" w:rsidRDefault="00FE6BD7" w:rsidP="00C81021">
            <w:pPr>
              <w:pStyle w:val="TableText"/>
            </w:pPr>
          </w:p>
        </w:tc>
      </w:tr>
      <w:tr w:rsidR="00FE6BD7" w:rsidRPr="00EE4BD6" w14:paraId="39DEF45A" w14:textId="77777777" w:rsidTr="00F97A1E">
        <w:trPr>
          <w:cantSplit/>
        </w:trPr>
        <w:tc>
          <w:tcPr>
            <w:tcW w:w="5000" w:type="pct"/>
            <w:gridSpan w:val="9"/>
            <w:shd w:val="clear" w:color="auto" w:fill="FBE4D5" w:themeFill="accent2" w:themeFillTint="33"/>
          </w:tcPr>
          <w:p w14:paraId="52D7BF9E" w14:textId="77777777" w:rsidR="00FE6BD7" w:rsidRPr="00ED339A" w:rsidRDefault="00FE6BD7" w:rsidP="00C81021">
            <w:pPr>
              <w:pStyle w:val="TableText"/>
              <w:rPr>
                <w:sz w:val="8"/>
                <w:szCs w:val="8"/>
              </w:rPr>
            </w:pPr>
          </w:p>
        </w:tc>
      </w:tr>
      <w:tr w:rsidR="00580E0B" w:rsidRPr="00EE4BD6" w14:paraId="07C9F4D8" w14:textId="77777777" w:rsidTr="00F97A1E">
        <w:trPr>
          <w:cantSplit/>
          <w:trHeight w:val="428"/>
        </w:trPr>
        <w:tc>
          <w:tcPr>
            <w:tcW w:w="436" w:type="pct"/>
            <w:vMerge w:val="restart"/>
            <w:vAlign w:val="center"/>
          </w:tcPr>
          <w:p w14:paraId="39510660" w14:textId="17B2C2C2" w:rsidR="00580E0B" w:rsidRPr="00F77313" w:rsidRDefault="00580E0B" w:rsidP="00AA67D2">
            <w:pPr>
              <w:pStyle w:val="TableText"/>
              <w:keepNext/>
              <w:keepLines/>
              <w:jc w:val="center"/>
              <w:rPr>
                <w:b/>
                <w:bCs/>
              </w:rPr>
            </w:pPr>
            <w:r w:rsidRPr="00580E0B">
              <w:rPr>
                <w:b/>
                <w:bCs/>
              </w:rPr>
              <w:lastRenderedPageBreak/>
              <w:t>Analysis Summary</w:t>
            </w:r>
          </w:p>
        </w:tc>
        <w:tc>
          <w:tcPr>
            <w:tcW w:w="469" w:type="pct"/>
            <w:vMerge w:val="restart"/>
          </w:tcPr>
          <w:p w14:paraId="746E5701" w14:textId="206E3A6B" w:rsidR="00580E0B" w:rsidRPr="009A1DE7" w:rsidRDefault="00580E0B" w:rsidP="00AA67D2">
            <w:pPr>
              <w:pStyle w:val="TableText"/>
              <w:keepNext/>
              <w:keepLines/>
              <w:numPr>
                <w:ilvl w:val="0"/>
                <w:numId w:val="3"/>
              </w:numPr>
              <w:ind w:left="226" w:hanging="180"/>
            </w:pPr>
            <w:r>
              <w:t>Date Range:</w:t>
            </w:r>
            <w:r w:rsidRPr="00657DF9">
              <w:t xml:space="preserve"> Last week’s range</w:t>
            </w:r>
          </w:p>
        </w:tc>
        <w:tc>
          <w:tcPr>
            <w:tcW w:w="438" w:type="pct"/>
            <w:vMerge w:val="restart"/>
          </w:tcPr>
          <w:p w14:paraId="480CC22A" w14:textId="3FC3DD08" w:rsidR="00580E0B" w:rsidRPr="009A1DE7" w:rsidRDefault="00580E0B" w:rsidP="00AA67D2">
            <w:pPr>
              <w:pStyle w:val="TableText"/>
              <w:keepNext/>
              <w:keepLines/>
            </w:pPr>
            <w:r w:rsidRPr="00657DF9">
              <w:t>Dental Chief</w:t>
            </w:r>
            <w:r>
              <w:t xml:space="preserve"> </w:t>
            </w:r>
            <w:r w:rsidRPr="00657DF9">
              <w:t>/</w:t>
            </w:r>
            <w:r>
              <w:t xml:space="preserve"> </w:t>
            </w:r>
            <w:r w:rsidRPr="00657DF9">
              <w:t>Each Provider</w:t>
            </w:r>
          </w:p>
        </w:tc>
        <w:tc>
          <w:tcPr>
            <w:tcW w:w="688" w:type="pct"/>
            <w:vMerge w:val="restart"/>
          </w:tcPr>
          <w:p w14:paraId="2C81A864" w14:textId="580364A8" w:rsidR="00580E0B" w:rsidRPr="009A1DE7" w:rsidRDefault="00580E0B" w:rsidP="00AA67D2">
            <w:pPr>
              <w:pStyle w:val="TableText"/>
              <w:keepNext/>
              <w:keepLines/>
            </w:pPr>
            <w:r w:rsidRPr="00657DF9">
              <w:t>Th</w:t>
            </w:r>
            <w:r>
              <w:t>is report</w:t>
            </w:r>
            <w:r w:rsidRPr="00657DF9">
              <w:t xml:space="preserve"> provides at-a-glance totals, similar to day sheet "totals</w:t>
            </w:r>
            <w:r>
              <w:t>,</w:t>
            </w:r>
            <w:r w:rsidRPr="00657DF9">
              <w:t>"</w:t>
            </w:r>
            <w:r>
              <w:t xml:space="preserve"> that are</w:t>
            </w:r>
            <w:r w:rsidRPr="00657DF9">
              <w:t xml:space="preserve"> used to oversee dental site patient, production, </w:t>
            </w:r>
            <w:r>
              <w:t xml:space="preserve">and </w:t>
            </w:r>
            <w:r w:rsidRPr="00657DF9">
              <w:t>collection totals at a high level.</w:t>
            </w:r>
          </w:p>
        </w:tc>
        <w:tc>
          <w:tcPr>
            <w:tcW w:w="937" w:type="pct"/>
            <w:vMerge w:val="restart"/>
          </w:tcPr>
          <w:p w14:paraId="15395853" w14:textId="77777777" w:rsidR="00580E0B" w:rsidRPr="00657DF9" w:rsidRDefault="00580E0B" w:rsidP="00AA67D2">
            <w:pPr>
              <w:pStyle w:val="TableText"/>
              <w:keepNext/>
              <w:keepLines/>
              <w:numPr>
                <w:ilvl w:val="0"/>
                <w:numId w:val="2"/>
              </w:numPr>
              <w:ind w:left="232" w:hanging="180"/>
            </w:pPr>
            <w:r w:rsidRPr="00F54117">
              <w:rPr>
                <w:rFonts w:eastAsia="Times New Roman" w:cstheme="minorHAnsi"/>
                <w:color w:val="000000"/>
              </w:rPr>
              <w:t>Regular review of Day Sheet Report for accuracy of posted transactions.</w:t>
            </w:r>
          </w:p>
          <w:p w14:paraId="0525C3B9" w14:textId="53FE3314" w:rsidR="00580E0B" w:rsidRPr="009A1DE7" w:rsidRDefault="00580E0B" w:rsidP="00AA67D2">
            <w:pPr>
              <w:pStyle w:val="TableText"/>
              <w:keepNext/>
              <w:keepLines/>
              <w:numPr>
                <w:ilvl w:val="0"/>
                <w:numId w:val="2"/>
              </w:numPr>
              <w:ind w:left="232" w:hanging="180"/>
            </w:pPr>
            <w:r w:rsidRPr="00657DF9">
              <w:rPr>
                <w:u w:val="single"/>
              </w:rPr>
              <w:t>Ledger</w:t>
            </w:r>
            <w:r w:rsidRPr="00657DF9">
              <w:t>:  Charges, payments, adjustments</w:t>
            </w:r>
            <w:r>
              <w:t>,</w:t>
            </w:r>
            <w:r w:rsidRPr="00657DF9">
              <w:t xml:space="preserve"> and allocations must be complete and accurate prior to running the report. Ensure procedures, payments</w:t>
            </w:r>
            <w:r>
              <w:t>,</w:t>
            </w:r>
            <w:r w:rsidRPr="00657DF9">
              <w:t xml:space="preserve"> and adjustments are properly posted to </w:t>
            </w:r>
            <w:r>
              <w:t xml:space="preserve">the </w:t>
            </w:r>
            <w:r w:rsidRPr="00657DF9">
              <w:t>providers of the rendered service.</w:t>
            </w:r>
          </w:p>
        </w:tc>
        <w:tc>
          <w:tcPr>
            <w:tcW w:w="719" w:type="pct"/>
            <w:vMerge w:val="restart"/>
          </w:tcPr>
          <w:p w14:paraId="14D236F3" w14:textId="59BA9D36" w:rsidR="00580E0B" w:rsidRPr="00EF587A" w:rsidRDefault="00580E0B" w:rsidP="00AA67D2">
            <w:pPr>
              <w:pStyle w:val="TableText"/>
              <w:keepNext/>
              <w:keepLines/>
            </w:pPr>
            <w:r w:rsidRPr="00657DF9">
              <w:t xml:space="preserve">When </w:t>
            </w:r>
            <w:r>
              <w:t>this report</w:t>
            </w:r>
            <w:r w:rsidRPr="00657DF9">
              <w:t xml:space="preserve"> is not reviewed on a regular basis, the </w:t>
            </w:r>
            <w:r>
              <w:t>D</w:t>
            </w:r>
            <w:r w:rsidRPr="00657DF9">
              <w:t xml:space="preserve">ental </w:t>
            </w:r>
            <w:r>
              <w:t>C</w:t>
            </w:r>
            <w:r w:rsidRPr="00657DF9">
              <w:t xml:space="preserve">hief and </w:t>
            </w:r>
            <w:r>
              <w:t>P</w:t>
            </w:r>
            <w:r w:rsidRPr="00657DF9">
              <w:t xml:space="preserve">roviders have a reduced awareness </w:t>
            </w:r>
            <w:r>
              <w:t>of</w:t>
            </w:r>
            <w:r w:rsidRPr="00657DF9">
              <w:t xml:space="preserve"> productivity within the dental clinic.</w:t>
            </w:r>
          </w:p>
        </w:tc>
        <w:tc>
          <w:tcPr>
            <w:tcW w:w="532" w:type="pct"/>
            <w:vMerge w:val="restart"/>
          </w:tcPr>
          <w:p w14:paraId="1258CAC5" w14:textId="77777777" w:rsidR="00580E0B" w:rsidRDefault="00580E0B" w:rsidP="00AA67D2">
            <w:pPr>
              <w:pStyle w:val="TableText"/>
              <w:keepNext/>
              <w:keepLines/>
              <w:numPr>
                <w:ilvl w:val="0"/>
                <w:numId w:val="1"/>
              </w:numPr>
              <w:ind w:left="187" w:hanging="187"/>
            </w:pPr>
            <w:r>
              <w:t>Revenue Cycle</w:t>
            </w:r>
          </w:p>
          <w:p w14:paraId="5F92B83B" w14:textId="7367ADFF" w:rsidR="00580E0B" w:rsidRPr="00EF587A" w:rsidRDefault="00580E0B" w:rsidP="00AA67D2">
            <w:pPr>
              <w:pStyle w:val="TableText"/>
              <w:keepNext/>
              <w:keepLines/>
              <w:numPr>
                <w:ilvl w:val="0"/>
                <w:numId w:val="1"/>
              </w:numPr>
              <w:spacing w:after="0"/>
              <w:ind w:left="187" w:hanging="187"/>
            </w:pPr>
            <w:r>
              <w:t>Reports Reference*</w:t>
            </w:r>
          </w:p>
        </w:tc>
        <w:tc>
          <w:tcPr>
            <w:tcW w:w="345" w:type="pct"/>
            <w:shd w:val="clear" w:color="auto" w:fill="F2F2F2" w:themeFill="background1" w:themeFillShade="F2"/>
          </w:tcPr>
          <w:p w14:paraId="1AB292DE" w14:textId="77777777" w:rsidR="00580E0B" w:rsidRPr="00EE4BD6" w:rsidRDefault="00580E0B" w:rsidP="00AA67D2">
            <w:pPr>
              <w:pStyle w:val="TableText"/>
              <w:keepNext/>
              <w:keepLines/>
            </w:pPr>
            <w:r w:rsidRPr="001F26DF">
              <w:t>Date Reviewed</w:t>
            </w:r>
            <w:r>
              <w:t>:</w:t>
            </w:r>
          </w:p>
        </w:tc>
        <w:tc>
          <w:tcPr>
            <w:tcW w:w="436" w:type="pct"/>
            <w:shd w:val="clear" w:color="auto" w:fill="F2F2F2" w:themeFill="background1" w:themeFillShade="F2"/>
          </w:tcPr>
          <w:p w14:paraId="4FB9038C" w14:textId="77777777" w:rsidR="00580E0B" w:rsidRPr="00EE4BD6" w:rsidRDefault="00580E0B" w:rsidP="00AA67D2">
            <w:pPr>
              <w:pStyle w:val="TableText"/>
              <w:keepNext/>
              <w:keepLines/>
            </w:pPr>
          </w:p>
        </w:tc>
      </w:tr>
      <w:tr w:rsidR="00FE6BD7" w:rsidRPr="00EE4BD6" w14:paraId="1420E597" w14:textId="77777777" w:rsidTr="00F97A1E">
        <w:trPr>
          <w:cantSplit/>
          <w:trHeight w:val="428"/>
        </w:trPr>
        <w:tc>
          <w:tcPr>
            <w:tcW w:w="436" w:type="pct"/>
            <w:vMerge/>
          </w:tcPr>
          <w:p w14:paraId="69C2B3EB" w14:textId="77777777" w:rsidR="00FE6BD7" w:rsidRPr="00EF587A" w:rsidRDefault="00FE6BD7" w:rsidP="00AA67D2">
            <w:pPr>
              <w:pStyle w:val="TableText"/>
              <w:keepNext/>
              <w:keepLines/>
            </w:pPr>
          </w:p>
        </w:tc>
        <w:tc>
          <w:tcPr>
            <w:tcW w:w="469" w:type="pct"/>
            <w:vMerge/>
          </w:tcPr>
          <w:p w14:paraId="6D7D3A13" w14:textId="77777777" w:rsidR="00FE6BD7" w:rsidRPr="009A1DE7" w:rsidRDefault="00FE6BD7" w:rsidP="00AA67D2">
            <w:pPr>
              <w:pStyle w:val="TableText"/>
              <w:keepNext/>
              <w:keepLines/>
              <w:numPr>
                <w:ilvl w:val="0"/>
                <w:numId w:val="3"/>
              </w:numPr>
              <w:ind w:left="226" w:hanging="180"/>
            </w:pPr>
          </w:p>
        </w:tc>
        <w:tc>
          <w:tcPr>
            <w:tcW w:w="438" w:type="pct"/>
            <w:vMerge/>
          </w:tcPr>
          <w:p w14:paraId="7829E6D5" w14:textId="77777777" w:rsidR="00FE6BD7" w:rsidRPr="009A1DE7" w:rsidRDefault="00FE6BD7" w:rsidP="00AA67D2">
            <w:pPr>
              <w:pStyle w:val="TableText"/>
              <w:keepNext/>
              <w:keepLines/>
            </w:pPr>
          </w:p>
        </w:tc>
        <w:tc>
          <w:tcPr>
            <w:tcW w:w="688" w:type="pct"/>
            <w:vMerge/>
          </w:tcPr>
          <w:p w14:paraId="7A896400" w14:textId="77777777" w:rsidR="00FE6BD7" w:rsidRPr="009A1DE7" w:rsidRDefault="00FE6BD7" w:rsidP="00AA67D2">
            <w:pPr>
              <w:pStyle w:val="TableText"/>
              <w:keepNext/>
              <w:keepLines/>
            </w:pPr>
          </w:p>
        </w:tc>
        <w:tc>
          <w:tcPr>
            <w:tcW w:w="937" w:type="pct"/>
            <w:vMerge/>
          </w:tcPr>
          <w:p w14:paraId="03CE4020" w14:textId="77777777" w:rsidR="00FE6BD7" w:rsidRPr="009A1DE7" w:rsidRDefault="00FE6BD7" w:rsidP="00AA67D2">
            <w:pPr>
              <w:pStyle w:val="TableText"/>
              <w:keepNext/>
              <w:keepLines/>
            </w:pPr>
          </w:p>
        </w:tc>
        <w:tc>
          <w:tcPr>
            <w:tcW w:w="719" w:type="pct"/>
            <w:vMerge/>
          </w:tcPr>
          <w:p w14:paraId="1A7EC34D" w14:textId="77777777" w:rsidR="00FE6BD7" w:rsidRPr="009A1DE7" w:rsidRDefault="00FE6BD7" w:rsidP="00AA67D2">
            <w:pPr>
              <w:pStyle w:val="TableText"/>
              <w:keepNext/>
              <w:keepLines/>
            </w:pPr>
          </w:p>
        </w:tc>
        <w:tc>
          <w:tcPr>
            <w:tcW w:w="532" w:type="pct"/>
            <w:vMerge/>
          </w:tcPr>
          <w:p w14:paraId="0C1712E1" w14:textId="77777777" w:rsidR="00FE6BD7" w:rsidRPr="009A1DE7" w:rsidRDefault="00FE6BD7" w:rsidP="00AA67D2">
            <w:pPr>
              <w:pStyle w:val="TableText"/>
              <w:keepNext/>
              <w:keepLines/>
              <w:numPr>
                <w:ilvl w:val="0"/>
                <w:numId w:val="1"/>
              </w:numPr>
              <w:spacing w:after="0"/>
              <w:ind w:left="187" w:hanging="187"/>
            </w:pPr>
          </w:p>
        </w:tc>
        <w:tc>
          <w:tcPr>
            <w:tcW w:w="345" w:type="pct"/>
            <w:shd w:val="clear" w:color="auto" w:fill="F2F2F2" w:themeFill="background1" w:themeFillShade="F2"/>
          </w:tcPr>
          <w:p w14:paraId="6C3BF42A" w14:textId="77777777" w:rsidR="00FE6BD7" w:rsidRPr="00EE4BD6" w:rsidRDefault="00FE6BD7" w:rsidP="00AA67D2">
            <w:pPr>
              <w:pStyle w:val="TableText"/>
              <w:keepNext/>
              <w:keepLines/>
            </w:pPr>
            <w:r w:rsidRPr="009A1DE7">
              <w:t>Assigned Individual</w:t>
            </w:r>
            <w:r>
              <w:t>:</w:t>
            </w:r>
          </w:p>
        </w:tc>
        <w:tc>
          <w:tcPr>
            <w:tcW w:w="436" w:type="pct"/>
            <w:shd w:val="clear" w:color="auto" w:fill="F2F2F2" w:themeFill="background1" w:themeFillShade="F2"/>
          </w:tcPr>
          <w:p w14:paraId="5312D276" w14:textId="77777777" w:rsidR="00FE6BD7" w:rsidRPr="00EE4BD6" w:rsidRDefault="00FE6BD7" w:rsidP="00AA67D2">
            <w:pPr>
              <w:pStyle w:val="TableText"/>
              <w:keepNext/>
              <w:keepLines/>
            </w:pPr>
          </w:p>
        </w:tc>
      </w:tr>
      <w:tr w:rsidR="00FE6BD7" w:rsidRPr="00EE4BD6" w14:paraId="6860D25C" w14:textId="77777777" w:rsidTr="00F97A1E">
        <w:trPr>
          <w:cantSplit/>
          <w:trHeight w:val="428"/>
        </w:trPr>
        <w:tc>
          <w:tcPr>
            <w:tcW w:w="436" w:type="pct"/>
            <w:vMerge/>
          </w:tcPr>
          <w:p w14:paraId="4D149AD6" w14:textId="77777777" w:rsidR="00FE6BD7" w:rsidRPr="00EF587A" w:rsidRDefault="00FE6BD7" w:rsidP="00AA67D2">
            <w:pPr>
              <w:pStyle w:val="TableText"/>
              <w:keepNext/>
              <w:keepLines/>
            </w:pPr>
          </w:p>
        </w:tc>
        <w:tc>
          <w:tcPr>
            <w:tcW w:w="469" w:type="pct"/>
            <w:vMerge/>
          </w:tcPr>
          <w:p w14:paraId="2A84DA70" w14:textId="77777777" w:rsidR="00FE6BD7" w:rsidRPr="009A1DE7" w:rsidRDefault="00FE6BD7" w:rsidP="00AA67D2">
            <w:pPr>
              <w:pStyle w:val="TableText"/>
              <w:keepNext/>
              <w:keepLines/>
              <w:numPr>
                <w:ilvl w:val="0"/>
                <w:numId w:val="3"/>
              </w:numPr>
              <w:ind w:left="226" w:hanging="180"/>
            </w:pPr>
          </w:p>
        </w:tc>
        <w:tc>
          <w:tcPr>
            <w:tcW w:w="438" w:type="pct"/>
            <w:vMerge/>
          </w:tcPr>
          <w:p w14:paraId="45BCB43B" w14:textId="77777777" w:rsidR="00FE6BD7" w:rsidRPr="009A1DE7" w:rsidRDefault="00FE6BD7" w:rsidP="00AA67D2">
            <w:pPr>
              <w:pStyle w:val="TableText"/>
              <w:keepNext/>
              <w:keepLines/>
            </w:pPr>
          </w:p>
        </w:tc>
        <w:tc>
          <w:tcPr>
            <w:tcW w:w="688" w:type="pct"/>
            <w:vMerge/>
          </w:tcPr>
          <w:p w14:paraId="735B2874" w14:textId="77777777" w:rsidR="00FE6BD7" w:rsidRPr="009A1DE7" w:rsidRDefault="00FE6BD7" w:rsidP="00AA67D2">
            <w:pPr>
              <w:pStyle w:val="TableText"/>
              <w:keepNext/>
              <w:keepLines/>
            </w:pPr>
          </w:p>
        </w:tc>
        <w:tc>
          <w:tcPr>
            <w:tcW w:w="937" w:type="pct"/>
            <w:vMerge/>
          </w:tcPr>
          <w:p w14:paraId="0B2BCEFF" w14:textId="77777777" w:rsidR="00FE6BD7" w:rsidRPr="009A1DE7" w:rsidRDefault="00FE6BD7" w:rsidP="00AA67D2">
            <w:pPr>
              <w:pStyle w:val="TableText"/>
              <w:keepNext/>
              <w:keepLines/>
            </w:pPr>
          </w:p>
        </w:tc>
        <w:tc>
          <w:tcPr>
            <w:tcW w:w="719" w:type="pct"/>
            <w:vMerge/>
          </w:tcPr>
          <w:p w14:paraId="2AB0D2FF" w14:textId="77777777" w:rsidR="00FE6BD7" w:rsidRPr="009A1DE7" w:rsidRDefault="00FE6BD7" w:rsidP="00AA67D2">
            <w:pPr>
              <w:pStyle w:val="TableText"/>
              <w:keepNext/>
              <w:keepLines/>
            </w:pPr>
          </w:p>
        </w:tc>
        <w:tc>
          <w:tcPr>
            <w:tcW w:w="532" w:type="pct"/>
            <w:vMerge/>
          </w:tcPr>
          <w:p w14:paraId="5C9B499E" w14:textId="77777777" w:rsidR="00FE6BD7" w:rsidRPr="009A1DE7" w:rsidRDefault="00FE6BD7" w:rsidP="00AA67D2">
            <w:pPr>
              <w:pStyle w:val="TableText"/>
              <w:keepNext/>
              <w:keepLines/>
              <w:numPr>
                <w:ilvl w:val="0"/>
                <w:numId w:val="1"/>
              </w:numPr>
              <w:spacing w:after="0"/>
              <w:ind w:left="187" w:hanging="187"/>
            </w:pPr>
          </w:p>
        </w:tc>
        <w:tc>
          <w:tcPr>
            <w:tcW w:w="345" w:type="pct"/>
            <w:shd w:val="clear" w:color="auto" w:fill="F2F2F2" w:themeFill="background1" w:themeFillShade="F2"/>
          </w:tcPr>
          <w:p w14:paraId="4C640917" w14:textId="77777777" w:rsidR="00FE6BD7" w:rsidRPr="00EE4BD6" w:rsidRDefault="00FE6BD7" w:rsidP="00AA67D2">
            <w:pPr>
              <w:pStyle w:val="TableText"/>
              <w:keepNext/>
              <w:keepLines/>
            </w:pPr>
            <w:r w:rsidRPr="009A1DE7">
              <w:t>Actions Required</w:t>
            </w:r>
            <w:r>
              <w:t>:</w:t>
            </w:r>
          </w:p>
        </w:tc>
        <w:tc>
          <w:tcPr>
            <w:tcW w:w="436" w:type="pct"/>
            <w:shd w:val="clear" w:color="auto" w:fill="F2F2F2" w:themeFill="background1" w:themeFillShade="F2"/>
          </w:tcPr>
          <w:p w14:paraId="34BD9744" w14:textId="77777777" w:rsidR="00FE6BD7" w:rsidRPr="00EE4BD6" w:rsidRDefault="00FE6BD7" w:rsidP="00AA67D2">
            <w:pPr>
              <w:pStyle w:val="TableText"/>
              <w:keepNext/>
              <w:keepLines/>
            </w:pPr>
          </w:p>
        </w:tc>
      </w:tr>
      <w:tr w:rsidR="00FE6BD7" w:rsidRPr="00EE4BD6" w14:paraId="62D9A32E" w14:textId="77777777" w:rsidTr="00F97A1E">
        <w:trPr>
          <w:cantSplit/>
          <w:trHeight w:val="428"/>
        </w:trPr>
        <w:tc>
          <w:tcPr>
            <w:tcW w:w="436" w:type="pct"/>
            <w:vMerge/>
          </w:tcPr>
          <w:p w14:paraId="6572F846" w14:textId="77777777" w:rsidR="00FE6BD7" w:rsidRPr="00EF587A" w:rsidRDefault="00FE6BD7" w:rsidP="00AA67D2">
            <w:pPr>
              <w:pStyle w:val="TableText"/>
              <w:keepNext/>
              <w:keepLines/>
            </w:pPr>
          </w:p>
        </w:tc>
        <w:tc>
          <w:tcPr>
            <w:tcW w:w="469" w:type="pct"/>
            <w:vMerge/>
          </w:tcPr>
          <w:p w14:paraId="06AB8201" w14:textId="77777777" w:rsidR="00FE6BD7" w:rsidRPr="009A1DE7" w:rsidRDefault="00FE6BD7" w:rsidP="00AA67D2">
            <w:pPr>
              <w:pStyle w:val="TableText"/>
              <w:keepNext/>
              <w:keepLines/>
              <w:numPr>
                <w:ilvl w:val="0"/>
                <w:numId w:val="3"/>
              </w:numPr>
              <w:ind w:left="226" w:hanging="180"/>
            </w:pPr>
          </w:p>
        </w:tc>
        <w:tc>
          <w:tcPr>
            <w:tcW w:w="438" w:type="pct"/>
            <w:vMerge/>
          </w:tcPr>
          <w:p w14:paraId="7CA71B67" w14:textId="77777777" w:rsidR="00FE6BD7" w:rsidRPr="009A1DE7" w:rsidRDefault="00FE6BD7" w:rsidP="00AA67D2">
            <w:pPr>
              <w:pStyle w:val="TableText"/>
              <w:keepNext/>
              <w:keepLines/>
            </w:pPr>
          </w:p>
        </w:tc>
        <w:tc>
          <w:tcPr>
            <w:tcW w:w="688" w:type="pct"/>
            <w:vMerge/>
          </w:tcPr>
          <w:p w14:paraId="31D343B7" w14:textId="77777777" w:rsidR="00FE6BD7" w:rsidRPr="009A1DE7" w:rsidRDefault="00FE6BD7" w:rsidP="00AA67D2">
            <w:pPr>
              <w:pStyle w:val="TableText"/>
              <w:keepNext/>
              <w:keepLines/>
            </w:pPr>
          </w:p>
        </w:tc>
        <w:tc>
          <w:tcPr>
            <w:tcW w:w="937" w:type="pct"/>
            <w:vMerge/>
          </w:tcPr>
          <w:p w14:paraId="10D9A2B8" w14:textId="77777777" w:rsidR="00FE6BD7" w:rsidRPr="009A1DE7" w:rsidRDefault="00FE6BD7" w:rsidP="00AA67D2">
            <w:pPr>
              <w:pStyle w:val="TableText"/>
              <w:keepNext/>
              <w:keepLines/>
            </w:pPr>
          </w:p>
        </w:tc>
        <w:tc>
          <w:tcPr>
            <w:tcW w:w="719" w:type="pct"/>
            <w:vMerge/>
          </w:tcPr>
          <w:p w14:paraId="08441B27" w14:textId="77777777" w:rsidR="00FE6BD7" w:rsidRPr="009A1DE7" w:rsidRDefault="00FE6BD7" w:rsidP="00AA67D2">
            <w:pPr>
              <w:pStyle w:val="TableText"/>
              <w:keepNext/>
              <w:keepLines/>
            </w:pPr>
          </w:p>
        </w:tc>
        <w:tc>
          <w:tcPr>
            <w:tcW w:w="532" w:type="pct"/>
            <w:vMerge/>
          </w:tcPr>
          <w:p w14:paraId="37D26463" w14:textId="77777777" w:rsidR="00FE6BD7" w:rsidRPr="009A1DE7" w:rsidRDefault="00FE6BD7" w:rsidP="00AA67D2">
            <w:pPr>
              <w:pStyle w:val="TableText"/>
              <w:keepNext/>
              <w:keepLines/>
              <w:numPr>
                <w:ilvl w:val="0"/>
                <w:numId w:val="1"/>
              </w:numPr>
              <w:spacing w:after="0"/>
              <w:ind w:left="187" w:hanging="187"/>
            </w:pPr>
          </w:p>
        </w:tc>
        <w:tc>
          <w:tcPr>
            <w:tcW w:w="345" w:type="pct"/>
            <w:shd w:val="clear" w:color="auto" w:fill="F2F2F2" w:themeFill="background1" w:themeFillShade="F2"/>
          </w:tcPr>
          <w:p w14:paraId="1D61ECCE" w14:textId="77777777" w:rsidR="00FE6BD7" w:rsidRPr="00EE4BD6" w:rsidRDefault="00FE6BD7" w:rsidP="00AA67D2">
            <w:pPr>
              <w:pStyle w:val="TableText"/>
              <w:keepNext/>
              <w:keepLines/>
            </w:pPr>
            <w:r w:rsidRPr="009A1DE7">
              <w:t>Target Date</w:t>
            </w:r>
            <w:r>
              <w:t>:</w:t>
            </w:r>
          </w:p>
        </w:tc>
        <w:tc>
          <w:tcPr>
            <w:tcW w:w="436" w:type="pct"/>
            <w:shd w:val="clear" w:color="auto" w:fill="F2F2F2" w:themeFill="background1" w:themeFillShade="F2"/>
          </w:tcPr>
          <w:p w14:paraId="50C64F36" w14:textId="77777777" w:rsidR="00FE6BD7" w:rsidRPr="00EE4BD6" w:rsidRDefault="00FE6BD7" w:rsidP="00AA67D2">
            <w:pPr>
              <w:pStyle w:val="TableText"/>
              <w:keepNext/>
              <w:keepLines/>
            </w:pPr>
          </w:p>
        </w:tc>
      </w:tr>
      <w:tr w:rsidR="00FE6BD7" w:rsidRPr="00EF587A" w14:paraId="2D11E4CC" w14:textId="77777777" w:rsidTr="00F97A1E">
        <w:trPr>
          <w:cantSplit/>
          <w:trHeight w:val="428"/>
        </w:trPr>
        <w:tc>
          <w:tcPr>
            <w:tcW w:w="436" w:type="pct"/>
            <w:vMerge/>
          </w:tcPr>
          <w:p w14:paraId="52561060" w14:textId="77777777" w:rsidR="00FE6BD7" w:rsidRPr="00EF587A" w:rsidRDefault="00FE6BD7" w:rsidP="00C81021">
            <w:pPr>
              <w:pStyle w:val="TableText"/>
            </w:pPr>
          </w:p>
        </w:tc>
        <w:tc>
          <w:tcPr>
            <w:tcW w:w="469" w:type="pct"/>
            <w:vMerge/>
          </w:tcPr>
          <w:p w14:paraId="4ABF0598" w14:textId="77777777" w:rsidR="00FE6BD7" w:rsidRPr="00EF587A" w:rsidRDefault="00FE6BD7" w:rsidP="00C81021">
            <w:pPr>
              <w:pStyle w:val="TableText"/>
            </w:pPr>
          </w:p>
        </w:tc>
        <w:tc>
          <w:tcPr>
            <w:tcW w:w="438" w:type="pct"/>
            <w:vMerge/>
          </w:tcPr>
          <w:p w14:paraId="1D468671" w14:textId="77777777" w:rsidR="00FE6BD7" w:rsidRPr="00EF587A" w:rsidRDefault="00FE6BD7" w:rsidP="00C81021">
            <w:pPr>
              <w:pStyle w:val="TableText"/>
            </w:pPr>
          </w:p>
        </w:tc>
        <w:tc>
          <w:tcPr>
            <w:tcW w:w="688" w:type="pct"/>
            <w:vMerge/>
          </w:tcPr>
          <w:p w14:paraId="35A057F2" w14:textId="77777777" w:rsidR="00FE6BD7" w:rsidRPr="00EF587A" w:rsidRDefault="00FE6BD7" w:rsidP="00C81021">
            <w:pPr>
              <w:pStyle w:val="TableText"/>
            </w:pPr>
          </w:p>
        </w:tc>
        <w:tc>
          <w:tcPr>
            <w:tcW w:w="937" w:type="pct"/>
            <w:vMerge/>
          </w:tcPr>
          <w:p w14:paraId="635AAFE9" w14:textId="77777777" w:rsidR="00FE6BD7" w:rsidRPr="00EF587A" w:rsidRDefault="00FE6BD7" w:rsidP="00C81021">
            <w:pPr>
              <w:pStyle w:val="TableText"/>
            </w:pPr>
          </w:p>
        </w:tc>
        <w:tc>
          <w:tcPr>
            <w:tcW w:w="719" w:type="pct"/>
            <w:vMerge/>
          </w:tcPr>
          <w:p w14:paraId="291B650C" w14:textId="77777777" w:rsidR="00FE6BD7" w:rsidRPr="00EF587A" w:rsidRDefault="00FE6BD7" w:rsidP="00C81021">
            <w:pPr>
              <w:pStyle w:val="TableText"/>
            </w:pPr>
          </w:p>
        </w:tc>
        <w:tc>
          <w:tcPr>
            <w:tcW w:w="532" w:type="pct"/>
            <w:vMerge/>
          </w:tcPr>
          <w:p w14:paraId="1B004A50" w14:textId="77777777" w:rsidR="00FE6BD7" w:rsidRPr="00EF587A" w:rsidRDefault="00FE6BD7" w:rsidP="00C81021">
            <w:pPr>
              <w:pStyle w:val="TableText"/>
            </w:pPr>
          </w:p>
        </w:tc>
        <w:tc>
          <w:tcPr>
            <w:tcW w:w="345" w:type="pct"/>
            <w:shd w:val="clear" w:color="auto" w:fill="F2F2F2" w:themeFill="background1" w:themeFillShade="F2"/>
          </w:tcPr>
          <w:p w14:paraId="752FA771"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403785B9" w14:textId="77777777" w:rsidR="00FE6BD7" w:rsidRPr="00EF587A" w:rsidRDefault="00FE6BD7" w:rsidP="00C81021">
            <w:pPr>
              <w:pStyle w:val="TableText"/>
            </w:pPr>
          </w:p>
        </w:tc>
      </w:tr>
      <w:tr w:rsidR="00FE6BD7" w:rsidRPr="00EE4BD6" w14:paraId="1DF19934" w14:textId="77777777" w:rsidTr="00F97A1E">
        <w:trPr>
          <w:cantSplit/>
        </w:trPr>
        <w:tc>
          <w:tcPr>
            <w:tcW w:w="5000" w:type="pct"/>
            <w:gridSpan w:val="9"/>
            <w:shd w:val="clear" w:color="auto" w:fill="FBE4D5" w:themeFill="accent2" w:themeFillTint="33"/>
          </w:tcPr>
          <w:p w14:paraId="228330BD" w14:textId="77777777" w:rsidR="00FE6BD7" w:rsidRPr="00ED339A" w:rsidRDefault="00FE6BD7" w:rsidP="00C81021">
            <w:pPr>
              <w:pStyle w:val="TableText"/>
              <w:rPr>
                <w:sz w:val="8"/>
                <w:szCs w:val="8"/>
              </w:rPr>
            </w:pPr>
          </w:p>
        </w:tc>
      </w:tr>
      <w:tr w:rsidR="00580E0B" w:rsidRPr="00EE4BD6" w14:paraId="3C04AE02" w14:textId="77777777" w:rsidTr="00F97A1E">
        <w:trPr>
          <w:cantSplit/>
          <w:trHeight w:val="428"/>
        </w:trPr>
        <w:tc>
          <w:tcPr>
            <w:tcW w:w="436" w:type="pct"/>
            <w:vMerge w:val="restart"/>
            <w:vAlign w:val="center"/>
          </w:tcPr>
          <w:p w14:paraId="588F31DC" w14:textId="442CBB50" w:rsidR="00580E0B" w:rsidRPr="00F77313" w:rsidRDefault="00580E0B" w:rsidP="00580E0B">
            <w:pPr>
              <w:pStyle w:val="TableText"/>
              <w:jc w:val="center"/>
              <w:rPr>
                <w:b/>
                <w:bCs/>
              </w:rPr>
            </w:pPr>
            <w:r w:rsidRPr="00580E0B">
              <w:rPr>
                <w:b/>
                <w:bCs/>
              </w:rPr>
              <w:t>Suspended Credits</w:t>
            </w:r>
          </w:p>
        </w:tc>
        <w:tc>
          <w:tcPr>
            <w:tcW w:w="469" w:type="pct"/>
            <w:vMerge w:val="restart"/>
          </w:tcPr>
          <w:p w14:paraId="0878BA30" w14:textId="6CA2ADD9" w:rsidR="00580E0B" w:rsidRPr="009A1DE7" w:rsidRDefault="00580E0B" w:rsidP="00580E0B">
            <w:pPr>
              <w:pStyle w:val="TableText"/>
              <w:numPr>
                <w:ilvl w:val="0"/>
                <w:numId w:val="3"/>
              </w:numPr>
              <w:ind w:left="226" w:hanging="180"/>
            </w:pPr>
            <w:r>
              <w:t>Date Range: Last week’s date to current</w:t>
            </w:r>
          </w:p>
        </w:tc>
        <w:tc>
          <w:tcPr>
            <w:tcW w:w="438" w:type="pct"/>
            <w:vMerge w:val="restart"/>
          </w:tcPr>
          <w:p w14:paraId="1A8B812E" w14:textId="37F4509F" w:rsidR="00580E0B" w:rsidRPr="009A1DE7" w:rsidRDefault="00580E0B" w:rsidP="00580E0B">
            <w:pPr>
              <w:pStyle w:val="TableText"/>
            </w:pPr>
            <w:r w:rsidRPr="00657DF9">
              <w:t>Front Desk</w:t>
            </w:r>
            <w:r>
              <w:t xml:space="preserve"> </w:t>
            </w:r>
            <w:r w:rsidRPr="00657DF9">
              <w:t>/</w:t>
            </w:r>
            <w:r>
              <w:t xml:space="preserve"> </w:t>
            </w:r>
            <w:r w:rsidRPr="00657DF9">
              <w:t>Billing Staff Review</w:t>
            </w:r>
          </w:p>
        </w:tc>
        <w:tc>
          <w:tcPr>
            <w:tcW w:w="688" w:type="pct"/>
            <w:vMerge w:val="restart"/>
          </w:tcPr>
          <w:p w14:paraId="74E78EF6" w14:textId="32C5C818" w:rsidR="00580E0B" w:rsidRPr="009A1DE7" w:rsidRDefault="00580E0B" w:rsidP="00580E0B">
            <w:pPr>
              <w:pStyle w:val="TableText"/>
            </w:pPr>
            <w:r w:rsidRPr="00657DF9">
              <w:t xml:space="preserve">Identify payments that have been made but not assigned </w:t>
            </w:r>
            <w:r>
              <w:t>(</w:t>
            </w:r>
            <w:r w:rsidRPr="00657DF9">
              <w:t>allocated</w:t>
            </w:r>
            <w:r>
              <w:t>)</w:t>
            </w:r>
            <w:r w:rsidRPr="00657DF9">
              <w:t xml:space="preserve"> to a date of dental service.</w:t>
            </w:r>
          </w:p>
        </w:tc>
        <w:tc>
          <w:tcPr>
            <w:tcW w:w="937" w:type="pct"/>
            <w:vMerge w:val="restart"/>
          </w:tcPr>
          <w:p w14:paraId="6899FC82" w14:textId="77777777" w:rsidR="00580E0B" w:rsidRDefault="00580E0B" w:rsidP="00580E0B">
            <w:pPr>
              <w:pStyle w:val="TableText"/>
              <w:keepNext/>
              <w:keepLines/>
              <w:numPr>
                <w:ilvl w:val="0"/>
                <w:numId w:val="2"/>
              </w:numPr>
              <w:ind w:left="232" w:hanging="180"/>
            </w:pPr>
            <w:r w:rsidRPr="00657DF9">
              <w:t xml:space="preserve">Management and posting of payments to the patient account in Dentrix Enterprise. Once posted, </w:t>
            </w:r>
            <w:r>
              <w:t xml:space="preserve">the </w:t>
            </w:r>
            <w:r w:rsidRPr="00657DF9">
              <w:t>paymen</w:t>
            </w:r>
            <w:r>
              <w:t xml:space="preserve">t or </w:t>
            </w:r>
            <w:r w:rsidRPr="00657DF9">
              <w:t>credit must be allocated to a procedure</w:t>
            </w:r>
            <w:r>
              <w:t xml:space="preserve"> or c</w:t>
            </w:r>
            <w:r w:rsidRPr="00657DF9">
              <w:t>harge.</w:t>
            </w:r>
          </w:p>
          <w:p w14:paraId="7264579E" w14:textId="7679057A" w:rsidR="00580E0B" w:rsidRPr="009A1DE7" w:rsidRDefault="00580E0B" w:rsidP="00580E0B">
            <w:pPr>
              <w:pStyle w:val="TableText"/>
              <w:numPr>
                <w:ilvl w:val="0"/>
                <w:numId w:val="2"/>
              </w:numPr>
              <w:ind w:left="232" w:hanging="180"/>
            </w:pPr>
            <w:r w:rsidRPr="00657DF9">
              <w:rPr>
                <w:u w:val="single"/>
              </w:rPr>
              <w:t>Ledger</w:t>
            </w:r>
            <w:r w:rsidRPr="00657DF9">
              <w:t xml:space="preserve">:  Allocate payments as they come in utilizing the FIFO method unless </w:t>
            </w:r>
            <w:r>
              <w:t xml:space="preserve">there is </w:t>
            </w:r>
            <w:r w:rsidRPr="00657DF9">
              <w:t>clear documentation of how and when the payments should be applied.</w:t>
            </w:r>
          </w:p>
        </w:tc>
        <w:tc>
          <w:tcPr>
            <w:tcW w:w="719" w:type="pct"/>
            <w:vMerge w:val="restart"/>
          </w:tcPr>
          <w:p w14:paraId="0E824A1A" w14:textId="26422B7B" w:rsidR="00580E0B" w:rsidRPr="00EF587A" w:rsidRDefault="00580E0B" w:rsidP="00580E0B">
            <w:pPr>
              <w:pStyle w:val="TableText"/>
            </w:pPr>
            <w:r w:rsidRPr="00657DF9">
              <w:t>Suspended credits are an interim state for credits in Dentrix Enterprise. Without proper and timely allocation of suspended credit, the itemized balance and provider collection number will be inaccurate.</w:t>
            </w:r>
          </w:p>
        </w:tc>
        <w:tc>
          <w:tcPr>
            <w:tcW w:w="532" w:type="pct"/>
            <w:vMerge w:val="restart"/>
          </w:tcPr>
          <w:p w14:paraId="7C3BE9DB" w14:textId="77777777" w:rsidR="00580E0B" w:rsidRDefault="00580E0B" w:rsidP="00580E0B">
            <w:pPr>
              <w:pStyle w:val="TableText"/>
              <w:numPr>
                <w:ilvl w:val="0"/>
                <w:numId w:val="1"/>
              </w:numPr>
              <w:ind w:left="187" w:hanging="187"/>
            </w:pPr>
            <w:r>
              <w:t>Revenue Cycle</w:t>
            </w:r>
          </w:p>
          <w:p w14:paraId="37618B1B" w14:textId="21878107" w:rsidR="00580E0B" w:rsidRPr="00EF587A" w:rsidRDefault="00580E0B" w:rsidP="00580E0B">
            <w:pPr>
              <w:pStyle w:val="TableText"/>
              <w:numPr>
                <w:ilvl w:val="0"/>
                <w:numId w:val="1"/>
              </w:numPr>
              <w:spacing w:after="0"/>
              <w:ind w:left="187" w:hanging="187"/>
            </w:pPr>
            <w:r>
              <w:t>Reports Reference*</w:t>
            </w:r>
          </w:p>
        </w:tc>
        <w:tc>
          <w:tcPr>
            <w:tcW w:w="345" w:type="pct"/>
            <w:shd w:val="clear" w:color="auto" w:fill="F2F2F2" w:themeFill="background1" w:themeFillShade="F2"/>
          </w:tcPr>
          <w:p w14:paraId="34226579" w14:textId="77777777" w:rsidR="00580E0B" w:rsidRPr="00EE4BD6" w:rsidRDefault="00580E0B" w:rsidP="00580E0B">
            <w:pPr>
              <w:pStyle w:val="TableText"/>
            </w:pPr>
            <w:r w:rsidRPr="001F26DF">
              <w:t>Date Reviewed</w:t>
            </w:r>
            <w:r>
              <w:t>:</w:t>
            </w:r>
          </w:p>
        </w:tc>
        <w:tc>
          <w:tcPr>
            <w:tcW w:w="436" w:type="pct"/>
            <w:shd w:val="clear" w:color="auto" w:fill="F2F2F2" w:themeFill="background1" w:themeFillShade="F2"/>
          </w:tcPr>
          <w:p w14:paraId="269BA48E" w14:textId="77777777" w:rsidR="00580E0B" w:rsidRPr="00EE4BD6" w:rsidRDefault="00580E0B" w:rsidP="00580E0B">
            <w:pPr>
              <w:pStyle w:val="TableText"/>
            </w:pPr>
          </w:p>
        </w:tc>
      </w:tr>
      <w:tr w:rsidR="00FE6BD7" w:rsidRPr="00EE4BD6" w14:paraId="6DA4BFEF" w14:textId="77777777" w:rsidTr="00F97A1E">
        <w:trPr>
          <w:cantSplit/>
          <w:trHeight w:val="428"/>
        </w:trPr>
        <w:tc>
          <w:tcPr>
            <w:tcW w:w="436" w:type="pct"/>
            <w:vMerge/>
          </w:tcPr>
          <w:p w14:paraId="1A945513" w14:textId="77777777" w:rsidR="00FE6BD7" w:rsidRPr="00EF587A" w:rsidRDefault="00FE6BD7" w:rsidP="00C81021">
            <w:pPr>
              <w:pStyle w:val="TableText"/>
            </w:pPr>
          </w:p>
        </w:tc>
        <w:tc>
          <w:tcPr>
            <w:tcW w:w="469" w:type="pct"/>
            <w:vMerge/>
          </w:tcPr>
          <w:p w14:paraId="47908548" w14:textId="77777777" w:rsidR="00FE6BD7" w:rsidRPr="009A1DE7" w:rsidRDefault="00FE6BD7" w:rsidP="00C81021">
            <w:pPr>
              <w:pStyle w:val="TableText"/>
              <w:numPr>
                <w:ilvl w:val="0"/>
                <w:numId w:val="3"/>
              </w:numPr>
              <w:ind w:left="226" w:hanging="180"/>
            </w:pPr>
          </w:p>
        </w:tc>
        <w:tc>
          <w:tcPr>
            <w:tcW w:w="438" w:type="pct"/>
            <w:vMerge/>
          </w:tcPr>
          <w:p w14:paraId="0E55EAA9" w14:textId="77777777" w:rsidR="00FE6BD7" w:rsidRPr="009A1DE7" w:rsidRDefault="00FE6BD7" w:rsidP="00C81021">
            <w:pPr>
              <w:pStyle w:val="TableText"/>
            </w:pPr>
          </w:p>
        </w:tc>
        <w:tc>
          <w:tcPr>
            <w:tcW w:w="688" w:type="pct"/>
            <w:vMerge/>
          </w:tcPr>
          <w:p w14:paraId="1117FE29" w14:textId="77777777" w:rsidR="00FE6BD7" w:rsidRPr="009A1DE7" w:rsidRDefault="00FE6BD7" w:rsidP="00C81021">
            <w:pPr>
              <w:pStyle w:val="TableText"/>
            </w:pPr>
          </w:p>
        </w:tc>
        <w:tc>
          <w:tcPr>
            <w:tcW w:w="937" w:type="pct"/>
            <w:vMerge/>
          </w:tcPr>
          <w:p w14:paraId="607E172D" w14:textId="77777777" w:rsidR="00FE6BD7" w:rsidRPr="009A1DE7" w:rsidRDefault="00FE6BD7" w:rsidP="00C81021">
            <w:pPr>
              <w:pStyle w:val="TableText"/>
            </w:pPr>
          </w:p>
        </w:tc>
        <w:tc>
          <w:tcPr>
            <w:tcW w:w="719" w:type="pct"/>
            <w:vMerge/>
          </w:tcPr>
          <w:p w14:paraId="604C0099" w14:textId="77777777" w:rsidR="00FE6BD7" w:rsidRPr="009A1DE7" w:rsidRDefault="00FE6BD7" w:rsidP="00C81021">
            <w:pPr>
              <w:pStyle w:val="TableText"/>
            </w:pPr>
          </w:p>
        </w:tc>
        <w:tc>
          <w:tcPr>
            <w:tcW w:w="532" w:type="pct"/>
            <w:vMerge/>
          </w:tcPr>
          <w:p w14:paraId="5EBFD2F5"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00CF7FF"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0C928FD6" w14:textId="77777777" w:rsidR="00FE6BD7" w:rsidRPr="00EE4BD6" w:rsidRDefault="00FE6BD7" w:rsidP="00C81021">
            <w:pPr>
              <w:pStyle w:val="TableText"/>
            </w:pPr>
          </w:p>
        </w:tc>
      </w:tr>
      <w:tr w:rsidR="00FE6BD7" w:rsidRPr="00EE4BD6" w14:paraId="6F657871" w14:textId="77777777" w:rsidTr="00F97A1E">
        <w:trPr>
          <w:cantSplit/>
          <w:trHeight w:val="428"/>
        </w:trPr>
        <w:tc>
          <w:tcPr>
            <w:tcW w:w="436" w:type="pct"/>
            <w:vMerge/>
          </w:tcPr>
          <w:p w14:paraId="64642E59" w14:textId="77777777" w:rsidR="00FE6BD7" w:rsidRPr="00EF587A" w:rsidRDefault="00FE6BD7" w:rsidP="00C81021">
            <w:pPr>
              <w:pStyle w:val="TableText"/>
            </w:pPr>
          </w:p>
        </w:tc>
        <w:tc>
          <w:tcPr>
            <w:tcW w:w="469" w:type="pct"/>
            <w:vMerge/>
          </w:tcPr>
          <w:p w14:paraId="72530424" w14:textId="77777777" w:rsidR="00FE6BD7" w:rsidRPr="009A1DE7" w:rsidRDefault="00FE6BD7" w:rsidP="00C81021">
            <w:pPr>
              <w:pStyle w:val="TableText"/>
              <w:numPr>
                <w:ilvl w:val="0"/>
                <w:numId w:val="3"/>
              </w:numPr>
              <w:ind w:left="226" w:hanging="180"/>
            </w:pPr>
          </w:p>
        </w:tc>
        <w:tc>
          <w:tcPr>
            <w:tcW w:w="438" w:type="pct"/>
            <w:vMerge/>
          </w:tcPr>
          <w:p w14:paraId="75D2C3EC" w14:textId="77777777" w:rsidR="00FE6BD7" w:rsidRPr="009A1DE7" w:rsidRDefault="00FE6BD7" w:rsidP="00C81021">
            <w:pPr>
              <w:pStyle w:val="TableText"/>
            </w:pPr>
          </w:p>
        </w:tc>
        <w:tc>
          <w:tcPr>
            <w:tcW w:w="688" w:type="pct"/>
            <w:vMerge/>
          </w:tcPr>
          <w:p w14:paraId="31B335D6" w14:textId="77777777" w:rsidR="00FE6BD7" w:rsidRPr="009A1DE7" w:rsidRDefault="00FE6BD7" w:rsidP="00C81021">
            <w:pPr>
              <w:pStyle w:val="TableText"/>
            </w:pPr>
          </w:p>
        </w:tc>
        <w:tc>
          <w:tcPr>
            <w:tcW w:w="937" w:type="pct"/>
            <w:vMerge/>
          </w:tcPr>
          <w:p w14:paraId="43252B62" w14:textId="77777777" w:rsidR="00FE6BD7" w:rsidRPr="009A1DE7" w:rsidRDefault="00FE6BD7" w:rsidP="00C81021">
            <w:pPr>
              <w:pStyle w:val="TableText"/>
            </w:pPr>
          </w:p>
        </w:tc>
        <w:tc>
          <w:tcPr>
            <w:tcW w:w="719" w:type="pct"/>
            <w:vMerge/>
          </w:tcPr>
          <w:p w14:paraId="03FE23E0" w14:textId="77777777" w:rsidR="00FE6BD7" w:rsidRPr="009A1DE7" w:rsidRDefault="00FE6BD7" w:rsidP="00C81021">
            <w:pPr>
              <w:pStyle w:val="TableText"/>
            </w:pPr>
          </w:p>
        </w:tc>
        <w:tc>
          <w:tcPr>
            <w:tcW w:w="532" w:type="pct"/>
            <w:vMerge/>
          </w:tcPr>
          <w:p w14:paraId="47B2F09D"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6C57F44"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51B03170" w14:textId="77777777" w:rsidR="00FE6BD7" w:rsidRPr="00EE4BD6" w:rsidRDefault="00FE6BD7" w:rsidP="00C81021">
            <w:pPr>
              <w:pStyle w:val="TableText"/>
            </w:pPr>
          </w:p>
        </w:tc>
      </w:tr>
      <w:tr w:rsidR="00FE6BD7" w:rsidRPr="00EE4BD6" w14:paraId="607E73BC" w14:textId="77777777" w:rsidTr="00F97A1E">
        <w:trPr>
          <w:cantSplit/>
          <w:trHeight w:val="428"/>
        </w:trPr>
        <w:tc>
          <w:tcPr>
            <w:tcW w:w="436" w:type="pct"/>
            <w:vMerge/>
          </w:tcPr>
          <w:p w14:paraId="22CA7054" w14:textId="77777777" w:rsidR="00FE6BD7" w:rsidRPr="00EF587A" w:rsidRDefault="00FE6BD7" w:rsidP="00C81021">
            <w:pPr>
              <w:pStyle w:val="TableText"/>
            </w:pPr>
          </w:p>
        </w:tc>
        <w:tc>
          <w:tcPr>
            <w:tcW w:w="469" w:type="pct"/>
            <w:vMerge/>
          </w:tcPr>
          <w:p w14:paraId="4B4401EF" w14:textId="77777777" w:rsidR="00FE6BD7" w:rsidRPr="009A1DE7" w:rsidRDefault="00FE6BD7" w:rsidP="00C81021">
            <w:pPr>
              <w:pStyle w:val="TableText"/>
              <w:numPr>
                <w:ilvl w:val="0"/>
                <w:numId w:val="3"/>
              </w:numPr>
              <w:ind w:left="226" w:hanging="180"/>
            </w:pPr>
          </w:p>
        </w:tc>
        <w:tc>
          <w:tcPr>
            <w:tcW w:w="438" w:type="pct"/>
            <w:vMerge/>
          </w:tcPr>
          <w:p w14:paraId="0B0B093E" w14:textId="77777777" w:rsidR="00FE6BD7" w:rsidRPr="009A1DE7" w:rsidRDefault="00FE6BD7" w:rsidP="00C81021">
            <w:pPr>
              <w:pStyle w:val="TableText"/>
            </w:pPr>
          </w:p>
        </w:tc>
        <w:tc>
          <w:tcPr>
            <w:tcW w:w="688" w:type="pct"/>
            <w:vMerge/>
          </w:tcPr>
          <w:p w14:paraId="416E33B7" w14:textId="77777777" w:rsidR="00FE6BD7" w:rsidRPr="009A1DE7" w:rsidRDefault="00FE6BD7" w:rsidP="00C81021">
            <w:pPr>
              <w:pStyle w:val="TableText"/>
            </w:pPr>
          </w:p>
        </w:tc>
        <w:tc>
          <w:tcPr>
            <w:tcW w:w="937" w:type="pct"/>
            <w:vMerge/>
          </w:tcPr>
          <w:p w14:paraId="3BC2C30E" w14:textId="77777777" w:rsidR="00FE6BD7" w:rsidRPr="009A1DE7" w:rsidRDefault="00FE6BD7" w:rsidP="00C81021">
            <w:pPr>
              <w:pStyle w:val="TableText"/>
            </w:pPr>
          </w:p>
        </w:tc>
        <w:tc>
          <w:tcPr>
            <w:tcW w:w="719" w:type="pct"/>
            <w:vMerge/>
          </w:tcPr>
          <w:p w14:paraId="39C1C62E" w14:textId="77777777" w:rsidR="00FE6BD7" w:rsidRPr="009A1DE7" w:rsidRDefault="00FE6BD7" w:rsidP="00C81021">
            <w:pPr>
              <w:pStyle w:val="TableText"/>
            </w:pPr>
          </w:p>
        </w:tc>
        <w:tc>
          <w:tcPr>
            <w:tcW w:w="532" w:type="pct"/>
            <w:vMerge/>
          </w:tcPr>
          <w:p w14:paraId="59DCA13C"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022626D"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4226AB17" w14:textId="77777777" w:rsidR="00FE6BD7" w:rsidRPr="00EE4BD6" w:rsidRDefault="00FE6BD7" w:rsidP="00C81021">
            <w:pPr>
              <w:pStyle w:val="TableText"/>
            </w:pPr>
          </w:p>
        </w:tc>
      </w:tr>
      <w:tr w:rsidR="00FE6BD7" w:rsidRPr="00EF587A" w14:paraId="5FAE5E1C" w14:textId="77777777" w:rsidTr="00F97A1E">
        <w:trPr>
          <w:cantSplit/>
          <w:trHeight w:val="428"/>
        </w:trPr>
        <w:tc>
          <w:tcPr>
            <w:tcW w:w="436" w:type="pct"/>
            <w:vMerge/>
          </w:tcPr>
          <w:p w14:paraId="6E2AEE7A" w14:textId="77777777" w:rsidR="00FE6BD7" w:rsidRPr="00EF587A" w:rsidRDefault="00FE6BD7" w:rsidP="00C81021">
            <w:pPr>
              <w:pStyle w:val="TableText"/>
            </w:pPr>
          </w:p>
        </w:tc>
        <w:tc>
          <w:tcPr>
            <w:tcW w:w="469" w:type="pct"/>
            <w:vMerge/>
          </w:tcPr>
          <w:p w14:paraId="000BAFD7" w14:textId="77777777" w:rsidR="00FE6BD7" w:rsidRPr="00EF587A" w:rsidRDefault="00FE6BD7" w:rsidP="00C81021">
            <w:pPr>
              <w:pStyle w:val="TableText"/>
            </w:pPr>
          </w:p>
        </w:tc>
        <w:tc>
          <w:tcPr>
            <w:tcW w:w="438" w:type="pct"/>
            <w:vMerge/>
          </w:tcPr>
          <w:p w14:paraId="5B6585C6" w14:textId="77777777" w:rsidR="00FE6BD7" w:rsidRPr="00EF587A" w:rsidRDefault="00FE6BD7" w:rsidP="00C81021">
            <w:pPr>
              <w:pStyle w:val="TableText"/>
            </w:pPr>
          </w:p>
        </w:tc>
        <w:tc>
          <w:tcPr>
            <w:tcW w:w="688" w:type="pct"/>
            <w:vMerge/>
          </w:tcPr>
          <w:p w14:paraId="60C9DF63" w14:textId="77777777" w:rsidR="00FE6BD7" w:rsidRPr="00EF587A" w:rsidRDefault="00FE6BD7" w:rsidP="00C81021">
            <w:pPr>
              <w:pStyle w:val="TableText"/>
            </w:pPr>
          </w:p>
        </w:tc>
        <w:tc>
          <w:tcPr>
            <w:tcW w:w="937" w:type="pct"/>
            <w:vMerge/>
          </w:tcPr>
          <w:p w14:paraId="3B8BB401" w14:textId="77777777" w:rsidR="00FE6BD7" w:rsidRPr="00EF587A" w:rsidRDefault="00FE6BD7" w:rsidP="00C81021">
            <w:pPr>
              <w:pStyle w:val="TableText"/>
            </w:pPr>
          </w:p>
        </w:tc>
        <w:tc>
          <w:tcPr>
            <w:tcW w:w="719" w:type="pct"/>
            <w:vMerge/>
          </w:tcPr>
          <w:p w14:paraId="7985586F" w14:textId="77777777" w:rsidR="00FE6BD7" w:rsidRPr="00EF587A" w:rsidRDefault="00FE6BD7" w:rsidP="00C81021">
            <w:pPr>
              <w:pStyle w:val="TableText"/>
            </w:pPr>
          </w:p>
        </w:tc>
        <w:tc>
          <w:tcPr>
            <w:tcW w:w="532" w:type="pct"/>
            <w:vMerge/>
          </w:tcPr>
          <w:p w14:paraId="0B9EA4DF" w14:textId="77777777" w:rsidR="00FE6BD7" w:rsidRPr="00EF587A" w:rsidRDefault="00FE6BD7" w:rsidP="00C81021">
            <w:pPr>
              <w:pStyle w:val="TableText"/>
            </w:pPr>
          </w:p>
        </w:tc>
        <w:tc>
          <w:tcPr>
            <w:tcW w:w="345" w:type="pct"/>
            <w:shd w:val="clear" w:color="auto" w:fill="F2F2F2" w:themeFill="background1" w:themeFillShade="F2"/>
          </w:tcPr>
          <w:p w14:paraId="6027ACF1"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6D2280A6" w14:textId="77777777" w:rsidR="00FE6BD7" w:rsidRPr="00EF587A" w:rsidRDefault="00FE6BD7" w:rsidP="00C81021">
            <w:pPr>
              <w:pStyle w:val="TableText"/>
            </w:pPr>
          </w:p>
        </w:tc>
      </w:tr>
      <w:tr w:rsidR="00FE6BD7" w:rsidRPr="00EE4BD6" w14:paraId="7531F050" w14:textId="77777777" w:rsidTr="00F97A1E">
        <w:trPr>
          <w:cantSplit/>
        </w:trPr>
        <w:tc>
          <w:tcPr>
            <w:tcW w:w="5000" w:type="pct"/>
            <w:gridSpan w:val="9"/>
            <w:shd w:val="clear" w:color="auto" w:fill="FBE4D5" w:themeFill="accent2" w:themeFillTint="33"/>
          </w:tcPr>
          <w:p w14:paraId="3F5D311D" w14:textId="77777777" w:rsidR="00FE6BD7" w:rsidRPr="00ED339A" w:rsidRDefault="00FE6BD7" w:rsidP="00C81021">
            <w:pPr>
              <w:pStyle w:val="TableText"/>
              <w:rPr>
                <w:sz w:val="8"/>
                <w:szCs w:val="8"/>
              </w:rPr>
            </w:pPr>
          </w:p>
        </w:tc>
      </w:tr>
      <w:tr w:rsidR="00580E0B" w:rsidRPr="00EE4BD6" w14:paraId="75992CC6" w14:textId="77777777" w:rsidTr="00F97A1E">
        <w:trPr>
          <w:cantSplit/>
          <w:trHeight w:val="428"/>
        </w:trPr>
        <w:tc>
          <w:tcPr>
            <w:tcW w:w="436" w:type="pct"/>
            <w:vMerge w:val="restart"/>
            <w:vAlign w:val="center"/>
          </w:tcPr>
          <w:p w14:paraId="17DD118B" w14:textId="11FFB096" w:rsidR="00580E0B" w:rsidRPr="00F77313" w:rsidRDefault="00580E0B" w:rsidP="00AA67D2">
            <w:pPr>
              <w:pStyle w:val="TableText"/>
              <w:keepNext/>
              <w:keepLines/>
              <w:jc w:val="center"/>
              <w:rPr>
                <w:b/>
                <w:bCs/>
              </w:rPr>
            </w:pPr>
            <w:r w:rsidRPr="00580E0B">
              <w:rPr>
                <w:b/>
                <w:bCs/>
              </w:rPr>
              <w:lastRenderedPageBreak/>
              <w:t>Secondary Insurance Claims Not Created Report</w:t>
            </w:r>
          </w:p>
        </w:tc>
        <w:tc>
          <w:tcPr>
            <w:tcW w:w="469" w:type="pct"/>
            <w:vMerge w:val="restart"/>
          </w:tcPr>
          <w:p w14:paraId="16F6CB4E" w14:textId="6817D8FD" w:rsidR="00580E0B" w:rsidRPr="009A1DE7" w:rsidRDefault="00580E0B" w:rsidP="00AA67D2">
            <w:pPr>
              <w:pStyle w:val="TableText"/>
              <w:keepNext/>
              <w:keepLines/>
              <w:numPr>
                <w:ilvl w:val="0"/>
                <w:numId w:val="3"/>
              </w:numPr>
              <w:ind w:left="226" w:hanging="180"/>
            </w:pPr>
            <w:r>
              <w:t>Date Range: Last week’s date to current</w:t>
            </w:r>
          </w:p>
        </w:tc>
        <w:tc>
          <w:tcPr>
            <w:tcW w:w="438" w:type="pct"/>
            <w:vMerge w:val="restart"/>
          </w:tcPr>
          <w:p w14:paraId="14E21F98" w14:textId="75EC5D77" w:rsidR="00580E0B" w:rsidRPr="009A1DE7" w:rsidRDefault="00580E0B" w:rsidP="00AA67D2">
            <w:pPr>
              <w:pStyle w:val="TableText"/>
              <w:keepNext/>
              <w:keepLines/>
            </w:pPr>
            <w:r w:rsidRPr="00EB769D">
              <w:t>Front Desk</w:t>
            </w:r>
            <w:r>
              <w:t xml:space="preserve"> </w:t>
            </w:r>
            <w:r w:rsidRPr="00EB769D">
              <w:t>/</w:t>
            </w:r>
            <w:r>
              <w:t xml:space="preserve"> </w:t>
            </w:r>
            <w:r w:rsidRPr="00EB769D">
              <w:t>Billing Staff Review</w:t>
            </w:r>
          </w:p>
        </w:tc>
        <w:tc>
          <w:tcPr>
            <w:tcW w:w="688" w:type="pct"/>
            <w:vMerge w:val="restart"/>
          </w:tcPr>
          <w:p w14:paraId="41E2BCCC" w14:textId="07CA8C3B" w:rsidR="00580E0B" w:rsidRPr="009A1DE7" w:rsidRDefault="00580E0B" w:rsidP="00AA67D2">
            <w:pPr>
              <w:pStyle w:val="TableText"/>
              <w:keepNext/>
              <w:keepLines/>
            </w:pPr>
            <w:r>
              <w:t>I</w:t>
            </w:r>
            <w:r w:rsidRPr="00837A86">
              <w:t>dentify and process secondary insurance claims that have not yet been created.</w:t>
            </w:r>
          </w:p>
        </w:tc>
        <w:tc>
          <w:tcPr>
            <w:tcW w:w="937" w:type="pct"/>
            <w:vMerge w:val="restart"/>
          </w:tcPr>
          <w:p w14:paraId="0072596D" w14:textId="77777777" w:rsidR="00580E0B" w:rsidRDefault="00580E0B" w:rsidP="00AA67D2">
            <w:pPr>
              <w:pStyle w:val="TableText"/>
              <w:keepNext/>
              <w:keepLines/>
            </w:pPr>
            <w:r w:rsidRPr="00837A86">
              <w:t xml:space="preserve">Both </w:t>
            </w:r>
            <w:r>
              <w:t>p</w:t>
            </w:r>
            <w:r w:rsidRPr="00837A86">
              <w:t xml:space="preserve">rimary and </w:t>
            </w:r>
            <w:r>
              <w:t>s</w:t>
            </w:r>
            <w:r w:rsidRPr="00837A86">
              <w:t xml:space="preserve">econdary </w:t>
            </w:r>
            <w:r>
              <w:t>i</w:t>
            </w:r>
            <w:r w:rsidRPr="00837A86">
              <w:t xml:space="preserve">nsurance plans have been attached to </w:t>
            </w:r>
            <w:r>
              <w:t xml:space="preserve">a </w:t>
            </w:r>
            <w:r w:rsidRPr="00837A86">
              <w:t>patient in Family File.</w:t>
            </w:r>
            <w:r>
              <w:t xml:space="preserve"> </w:t>
            </w:r>
            <w:r w:rsidRPr="00EB769D">
              <w:t>Primary insurance claims have been reconciled with either a payment or denial.</w:t>
            </w:r>
          </w:p>
          <w:p w14:paraId="3271A8E4" w14:textId="3DDD6198" w:rsidR="00580E0B" w:rsidRPr="009A1DE7" w:rsidRDefault="00580E0B" w:rsidP="00AA67D2">
            <w:pPr>
              <w:pStyle w:val="TableText"/>
              <w:keepNext/>
              <w:keepLines/>
              <w:numPr>
                <w:ilvl w:val="0"/>
                <w:numId w:val="2"/>
              </w:numPr>
              <w:ind w:left="232" w:hanging="180"/>
            </w:pPr>
            <w:r w:rsidRPr="00EB769D">
              <w:rPr>
                <w:u w:val="single"/>
              </w:rPr>
              <w:t>Ledger</w:t>
            </w:r>
            <w:r>
              <w:t>: Confirm the services are ready to be sent to secondary insurance. Print claims, or send claims electronically.</w:t>
            </w:r>
          </w:p>
        </w:tc>
        <w:tc>
          <w:tcPr>
            <w:tcW w:w="719" w:type="pct"/>
            <w:vMerge w:val="restart"/>
          </w:tcPr>
          <w:p w14:paraId="4D68F0F1" w14:textId="07626FCB" w:rsidR="00580E0B" w:rsidRPr="00EF587A" w:rsidRDefault="00580E0B" w:rsidP="00AA67D2">
            <w:pPr>
              <w:pStyle w:val="TableText"/>
              <w:keepNext/>
              <w:keepLines/>
            </w:pPr>
            <w:r>
              <w:t>This report reveals w</w:t>
            </w:r>
            <w:r w:rsidRPr="006C402E">
              <w:t xml:space="preserve">hen </w:t>
            </w:r>
            <w:r>
              <w:t>a</w:t>
            </w:r>
            <w:r w:rsidRPr="006C402E">
              <w:t xml:space="preserve"> patient's secondary insurance claim has not been created following the posting of </w:t>
            </w:r>
            <w:r>
              <w:t xml:space="preserve">a </w:t>
            </w:r>
            <w:r w:rsidRPr="006C402E">
              <w:t xml:space="preserve">payment or denial from </w:t>
            </w:r>
            <w:r>
              <w:t>their</w:t>
            </w:r>
            <w:r w:rsidRPr="006C402E">
              <w:t xml:space="preserve"> primary insurance. If the clinic does not routinely run this report, secondary insurance claims are not filed, </w:t>
            </w:r>
            <w:r>
              <w:t xml:space="preserve">which </w:t>
            </w:r>
            <w:r w:rsidRPr="006C402E">
              <w:t>effectively lower</w:t>
            </w:r>
            <w:r>
              <w:t>s</w:t>
            </w:r>
            <w:r w:rsidRPr="006C402E">
              <w:t xml:space="preserve"> revenue.</w:t>
            </w:r>
          </w:p>
        </w:tc>
        <w:tc>
          <w:tcPr>
            <w:tcW w:w="532" w:type="pct"/>
            <w:vMerge w:val="restart"/>
          </w:tcPr>
          <w:p w14:paraId="4DF03DA5" w14:textId="65405567" w:rsidR="00580E0B" w:rsidRPr="00EF587A" w:rsidRDefault="00580E0B" w:rsidP="00AA67D2">
            <w:pPr>
              <w:pStyle w:val="TableText"/>
              <w:keepNext/>
              <w:keepLines/>
              <w:numPr>
                <w:ilvl w:val="0"/>
                <w:numId w:val="1"/>
              </w:numPr>
              <w:spacing w:after="0"/>
              <w:ind w:left="187" w:hanging="187"/>
            </w:pPr>
            <w:r>
              <w:t>Revenue Cycle</w:t>
            </w:r>
          </w:p>
        </w:tc>
        <w:tc>
          <w:tcPr>
            <w:tcW w:w="345" w:type="pct"/>
            <w:shd w:val="clear" w:color="auto" w:fill="F2F2F2" w:themeFill="background1" w:themeFillShade="F2"/>
          </w:tcPr>
          <w:p w14:paraId="1479B298" w14:textId="77777777" w:rsidR="00580E0B" w:rsidRPr="00EE4BD6" w:rsidRDefault="00580E0B" w:rsidP="00AA67D2">
            <w:pPr>
              <w:pStyle w:val="TableText"/>
              <w:keepNext/>
              <w:keepLines/>
            </w:pPr>
            <w:r w:rsidRPr="001F26DF">
              <w:t>Date Reviewed</w:t>
            </w:r>
            <w:r>
              <w:t>:</w:t>
            </w:r>
          </w:p>
        </w:tc>
        <w:tc>
          <w:tcPr>
            <w:tcW w:w="436" w:type="pct"/>
            <w:shd w:val="clear" w:color="auto" w:fill="F2F2F2" w:themeFill="background1" w:themeFillShade="F2"/>
          </w:tcPr>
          <w:p w14:paraId="1BC527EB" w14:textId="77777777" w:rsidR="00580E0B" w:rsidRPr="00EE4BD6" w:rsidRDefault="00580E0B" w:rsidP="00AA67D2">
            <w:pPr>
              <w:pStyle w:val="TableText"/>
              <w:keepNext/>
              <w:keepLines/>
            </w:pPr>
          </w:p>
        </w:tc>
      </w:tr>
      <w:tr w:rsidR="00FE6BD7" w:rsidRPr="00EE4BD6" w14:paraId="37EF7380" w14:textId="77777777" w:rsidTr="00F97A1E">
        <w:trPr>
          <w:cantSplit/>
          <w:trHeight w:val="428"/>
        </w:trPr>
        <w:tc>
          <w:tcPr>
            <w:tcW w:w="436" w:type="pct"/>
            <w:vMerge/>
          </w:tcPr>
          <w:p w14:paraId="10578FEF" w14:textId="77777777" w:rsidR="00FE6BD7" w:rsidRPr="00EF587A" w:rsidRDefault="00FE6BD7" w:rsidP="00AA67D2">
            <w:pPr>
              <w:pStyle w:val="TableText"/>
              <w:keepNext/>
              <w:keepLines/>
            </w:pPr>
          </w:p>
        </w:tc>
        <w:tc>
          <w:tcPr>
            <w:tcW w:w="469" w:type="pct"/>
            <w:vMerge/>
          </w:tcPr>
          <w:p w14:paraId="0A397BCD" w14:textId="77777777" w:rsidR="00FE6BD7" w:rsidRPr="009A1DE7" w:rsidRDefault="00FE6BD7" w:rsidP="00AA67D2">
            <w:pPr>
              <w:pStyle w:val="TableText"/>
              <w:keepNext/>
              <w:keepLines/>
              <w:numPr>
                <w:ilvl w:val="0"/>
                <w:numId w:val="3"/>
              </w:numPr>
              <w:ind w:left="226" w:hanging="180"/>
            </w:pPr>
          </w:p>
        </w:tc>
        <w:tc>
          <w:tcPr>
            <w:tcW w:w="438" w:type="pct"/>
            <w:vMerge/>
          </w:tcPr>
          <w:p w14:paraId="5A4F0EE2" w14:textId="77777777" w:rsidR="00FE6BD7" w:rsidRPr="009A1DE7" w:rsidRDefault="00FE6BD7" w:rsidP="00AA67D2">
            <w:pPr>
              <w:pStyle w:val="TableText"/>
              <w:keepNext/>
              <w:keepLines/>
            </w:pPr>
          </w:p>
        </w:tc>
        <w:tc>
          <w:tcPr>
            <w:tcW w:w="688" w:type="pct"/>
            <w:vMerge/>
          </w:tcPr>
          <w:p w14:paraId="25FAE2C6" w14:textId="77777777" w:rsidR="00FE6BD7" w:rsidRPr="009A1DE7" w:rsidRDefault="00FE6BD7" w:rsidP="00AA67D2">
            <w:pPr>
              <w:pStyle w:val="TableText"/>
              <w:keepNext/>
              <w:keepLines/>
            </w:pPr>
          </w:p>
        </w:tc>
        <w:tc>
          <w:tcPr>
            <w:tcW w:w="937" w:type="pct"/>
            <w:vMerge/>
          </w:tcPr>
          <w:p w14:paraId="24DA8446" w14:textId="77777777" w:rsidR="00FE6BD7" w:rsidRPr="009A1DE7" w:rsidRDefault="00FE6BD7" w:rsidP="00AA67D2">
            <w:pPr>
              <w:pStyle w:val="TableText"/>
              <w:keepNext/>
              <w:keepLines/>
            </w:pPr>
          </w:p>
        </w:tc>
        <w:tc>
          <w:tcPr>
            <w:tcW w:w="719" w:type="pct"/>
            <w:vMerge/>
          </w:tcPr>
          <w:p w14:paraId="6E1129B3" w14:textId="77777777" w:rsidR="00FE6BD7" w:rsidRPr="009A1DE7" w:rsidRDefault="00FE6BD7" w:rsidP="00AA67D2">
            <w:pPr>
              <w:pStyle w:val="TableText"/>
              <w:keepNext/>
              <w:keepLines/>
            </w:pPr>
          </w:p>
        </w:tc>
        <w:tc>
          <w:tcPr>
            <w:tcW w:w="532" w:type="pct"/>
            <w:vMerge/>
          </w:tcPr>
          <w:p w14:paraId="2379A1AE" w14:textId="77777777" w:rsidR="00FE6BD7" w:rsidRPr="009A1DE7" w:rsidRDefault="00FE6BD7" w:rsidP="00AA67D2">
            <w:pPr>
              <w:pStyle w:val="TableText"/>
              <w:keepNext/>
              <w:keepLines/>
              <w:numPr>
                <w:ilvl w:val="0"/>
                <w:numId w:val="1"/>
              </w:numPr>
              <w:spacing w:after="0"/>
              <w:ind w:left="187" w:hanging="187"/>
            </w:pPr>
          </w:p>
        </w:tc>
        <w:tc>
          <w:tcPr>
            <w:tcW w:w="345" w:type="pct"/>
            <w:shd w:val="clear" w:color="auto" w:fill="F2F2F2" w:themeFill="background1" w:themeFillShade="F2"/>
          </w:tcPr>
          <w:p w14:paraId="0C3C4830" w14:textId="77777777" w:rsidR="00FE6BD7" w:rsidRPr="00EE4BD6" w:rsidRDefault="00FE6BD7" w:rsidP="00AA67D2">
            <w:pPr>
              <w:pStyle w:val="TableText"/>
              <w:keepNext/>
              <w:keepLines/>
            </w:pPr>
            <w:r w:rsidRPr="009A1DE7">
              <w:t>Assigned Individual</w:t>
            </w:r>
            <w:r>
              <w:t>:</w:t>
            </w:r>
          </w:p>
        </w:tc>
        <w:tc>
          <w:tcPr>
            <w:tcW w:w="436" w:type="pct"/>
            <w:shd w:val="clear" w:color="auto" w:fill="F2F2F2" w:themeFill="background1" w:themeFillShade="F2"/>
          </w:tcPr>
          <w:p w14:paraId="7FAA00D9" w14:textId="77777777" w:rsidR="00FE6BD7" w:rsidRPr="00EE4BD6" w:rsidRDefault="00FE6BD7" w:rsidP="00AA67D2">
            <w:pPr>
              <w:pStyle w:val="TableText"/>
              <w:keepNext/>
              <w:keepLines/>
            </w:pPr>
          </w:p>
        </w:tc>
      </w:tr>
      <w:tr w:rsidR="00FE6BD7" w:rsidRPr="00EE4BD6" w14:paraId="646CD790" w14:textId="77777777" w:rsidTr="00F97A1E">
        <w:trPr>
          <w:cantSplit/>
          <w:trHeight w:val="428"/>
        </w:trPr>
        <w:tc>
          <w:tcPr>
            <w:tcW w:w="436" w:type="pct"/>
            <w:vMerge/>
          </w:tcPr>
          <w:p w14:paraId="782EDA47" w14:textId="77777777" w:rsidR="00FE6BD7" w:rsidRPr="00EF587A" w:rsidRDefault="00FE6BD7" w:rsidP="00AA67D2">
            <w:pPr>
              <w:pStyle w:val="TableText"/>
              <w:keepNext/>
              <w:keepLines/>
            </w:pPr>
          </w:p>
        </w:tc>
        <w:tc>
          <w:tcPr>
            <w:tcW w:w="469" w:type="pct"/>
            <w:vMerge/>
          </w:tcPr>
          <w:p w14:paraId="3878BB66" w14:textId="77777777" w:rsidR="00FE6BD7" w:rsidRPr="009A1DE7" w:rsidRDefault="00FE6BD7" w:rsidP="00AA67D2">
            <w:pPr>
              <w:pStyle w:val="TableText"/>
              <w:keepNext/>
              <w:keepLines/>
              <w:numPr>
                <w:ilvl w:val="0"/>
                <w:numId w:val="3"/>
              </w:numPr>
              <w:ind w:left="226" w:hanging="180"/>
            </w:pPr>
          </w:p>
        </w:tc>
        <w:tc>
          <w:tcPr>
            <w:tcW w:w="438" w:type="pct"/>
            <w:vMerge/>
          </w:tcPr>
          <w:p w14:paraId="0AB9F739" w14:textId="77777777" w:rsidR="00FE6BD7" w:rsidRPr="009A1DE7" w:rsidRDefault="00FE6BD7" w:rsidP="00AA67D2">
            <w:pPr>
              <w:pStyle w:val="TableText"/>
              <w:keepNext/>
              <w:keepLines/>
            </w:pPr>
          </w:p>
        </w:tc>
        <w:tc>
          <w:tcPr>
            <w:tcW w:w="688" w:type="pct"/>
            <w:vMerge/>
          </w:tcPr>
          <w:p w14:paraId="1B4DFDE8" w14:textId="77777777" w:rsidR="00FE6BD7" w:rsidRPr="009A1DE7" w:rsidRDefault="00FE6BD7" w:rsidP="00AA67D2">
            <w:pPr>
              <w:pStyle w:val="TableText"/>
              <w:keepNext/>
              <w:keepLines/>
            </w:pPr>
          </w:p>
        </w:tc>
        <w:tc>
          <w:tcPr>
            <w:tcW w:w="937" w:type="pct"/>
            <w:vMerge/>
          </w:tcPr>
          <w:p w14:paraId="1A12699A" w14:textId="77777777" w:rsidR="00FE6BD7" w:rsidRPr="009A1DE7" w:rsidRDefault="00FE6BD7" w:rsidP="00AA67D2">
            <w:pPr>
              <w:pStyle w:val="TableText"/>
              <w:keepNext/>
              <w:keepLines/>
            </w:pPr>
          </w:p>
        </w:tc>
        <w:tc>
          <w:tcPr>
            <w:tcW w:w="719" w:type="pct"/>
            <w:vMerge/>
          </w:tcPr>
          <w:p w14:paraId="4F69F4E3" w14:textId="77777777" w:rsidR="00FE6BD7" w:rsidRPr="009A1DE7" w:rsidRDefault="00FE6BD7" w:rsidP="00AA67D2">
            <w:pPr>
              <w:pStyle w:val="TableText"/>
              <w:keepNext/>
              <w:keepLines/>
            </w:pPr>
          </w:p>
        </w:tc>
        <w:tc>
          <w:tcPr>
            <w:tcW w:w="532" w:type="pct"/>
            <w:vMerge/>
          </w:tcPr>
          <w:p w14:paraId="2EE48E4B" w14:textId="77777777" w:rsidR="00FE6BD7" w:rsidRPr="009A1DE7" w:rsidRDefault="00FE6BD7" w:rsidP="00AA67D2">
            <w:pPr>
              <w:pStyle w:val="TableText"/>
              <w:keepNext/>
              <w:keepLines/>
              <w:numPr>
                <w:ilvl w:val="0"/>
                <w:numId w:val="1"/>
              </w:numPr>
              <w:spacing w:after="0"/>
              <w:ind w:left="187" w:hanging="187"/>
            </w:pPr>
          </w:p>
        </w:tc>
        <w:tc>
          <w:tcPr>
            <w:tcW w:w="345" w:type="pct"/>
            <w:shd w:val="clear" w:color="auto" w:fill="F2F2F2" w:themeFill="background1" w:themeFillShade="F2"/>
          </w:tcPr>
          <w:p w14:paraId="1133A752" w14:textId="77777777" w:rsidR="00FE6BD7" w:rsidRPr="00EE4BD6" w:rsidRDefault="00FE6BD7" w:rsidP="00AA67D2">
            <w:pPr>
              <w:pStyle w:val="TableText"/>
              <w:keepNext/>
              <w:keepLines/>
            </w:pPr>
            <w:r w:rsidRPr="009A1DE7">
              <w:t>Actions Required</w:t>
            </w:r>
            <w:r>
              <w:t>:</w:t>
            </w:r>
          </w:p>
        </w:tc>
        <w:tc>
          <w:tcPr>
            <w:tcW w:w="436" w:type="pct"/>
            <w:shd w:val="clear" w:color="auto" w:fill="F2F2F2" w:themeFill="background1" w:themeFillShade="F2"/>
          </w:tcPr>
          <w:p w14:paraId="05A6A0A0" w14:textId="77777777" w:rsidR="00FE6BD7" w:rsidRPr="00EE4BD6" w:rsidRDefault="00FE6BD7" w:rsidP="00AA67D2">
            <w:pPr>
              <w:pStyle w:val="TableText"/>
              <w:keepNext/>
              <w:keepLines/>
            </w:pPr>
          </w:p>
        </w:tc>
      </w:tr>
      <w:tr w:rsidR="00FE6BD7" w:rsidRPr="00EE4BD6" w14:paraId="5B8A0AD1" w14:textId="77777777" w:rsidTr="00F97A1E">
        <w:trPr>
          <w:cantSplit/>
          <w:trHeight w:val="428"/>
        </w:trPr>
        <w:tc>
          <w:tcPr>
            <w:tcW w:w="436" w:type="pct"/>
            <w:vMerge/>
          </w:tcPr>
          <w:p w14:paraId="3E96AD6B" w14:textId="77777777" w:rsidR="00FE6BD7" w:rsidRPr="00EF587A" w:rsidRDefault="00FE6BD7" w:rsidP="00AA67D2">
            <w:pPr>
              <w:pStyle w:val="TableText"/>
              <w:keepNext/>
              <w:keepLines/>
            </w:pPr>
          </w:p>
        </w:tc>
        <w:tc>
          <w:tcPr>
            <w:tcW w:w="469" w:type="pct"/>
            <w:vMerge/>
          </w:tcPr>
          <w:p w14:paraId="3587B03F" w14:textId="77777777" w:rsidR="00FE6BD7" w:rsidRPr="009A1DE7" w:rsidRDefault="00FE6BD7" w:rsidP="00AA67D2">
            <w:pPr>
              <w:pStyle w:val="TableText"/>
              <w:keepNext/>
              <w:keepLines/>
              <w:numPr>
                <w:ilvl w:val="0"/>
                <w:numId w:val="3"/>
              </w:numPr>
              <w:ind w:left="226" w:hanging="180"/>
            </w:pPr>
          </w:p>
        </w:tc>
        <w:tc>
          <w:tcPr>
            <w:tcW w:w="438" w:type="pct"/>
            <w:vMerge/>
          </w:tcPr>
          <w:p w14:paraId="31813A94" w14:textId="77777777" w:rsidR="00FE6BD7" w:rsidRPr="009A1DE7" w:rsidRDefault="00FE6BD7" w:rsidP="00AA67D2">
            <w:pPr>
              <w:pStyle w:val="TableText"/>
              <w:keepNext/>
              <w:keepLines/>
            </w:pPr>
          </w:p>
        </w:tc>
        <w:tc>
          <w:tcPr>
            <w:tcW w:w="688" w:type="pct"/>
            <w:vMerge/>
          </w:tcPr>
          <w:p w14:paraId="45B10380" w14:textId="77777777" w:rsidR="00FE6BD7" w:rsidRPr="009A1DE7" w:rsidRDefault="00FE6BD7" w:rsidP="00AA67D2">
            <w:pPr>
              <w:pStyle w:val="TableText"/>
              <w:keepNext/>
              <w:keepLines/>
            </w:pPr>
          </w:p>
        </w:tc>
        <w:tc>
          <w:tcPr>
            <w:tcW w:w="937" w:type="pct"/>
            <w:vMerge/>
          </w:tcPr>
          <w:p w14:paraId="32E02722" w14:textId="77777777" w:rsidR="00FE6BD7" w:rsidRPr="009A1DE7" w:rsidRDefault="00FE6BD7" w:rsidP="00AA67D2">
            <w:pPr>
              <w:pStyle w:val="TableText"/>
              <w:keepNext/>
              <w:keepLines/>
            </w:pPr>
          </w:p>
        </w:tc>
        <w:tc>
          <w:tcPr>
            <w:tcW w:w="719" w:type="pct"/>
            <w:vMerge/>
          </w:tcPr>
          <w:p w14:paraId="5C4A10D3" w14:textId="77777777" w:rsidR="00FE6BD7" w:rsidRPr="009A1DE7" w:rsidRDefault="00FE6BD7" w:rsidP="00AA67D2">
            <w:pPr>
              <w:pStyle w:val="TableText"/>
              <w:keepNext/>
              <w:keepLines/>
            </w:pPr>
          </w:p>
        </w:tc>
        <w:tc>
          <w:tcPr>
            <w:tcW w:w="532" w:type="pct"/>
            <w:vMerge/>
          </w:tcPr>
          <w:p w14:paraId="207467D0" w14:textId="77777777" w:rsidR="00FE6BD7" w:rsidRPr="009A1DE7" w:rsidRDefault="00FE6BD7" w:rsidP="00AA67D2">
            <w:pPr>
              <w:pStyle w:val="TableText"/>
              <w:keepNext/>
              <w:keepLines/>
              <w:numPr>
                <w:ilvl w:val="0"/>
                <w:numId w:val="1"/>
              </w:numPr>
              <w:spacing w:after="0"/>
              <w:ind w:left="187" w:hanging="187"/>
            </w:pPr>
          </w:p>
        </w:tc>
        <w:tc>
          <w:tcPr>
            <w:tcW w:w="345" w:type="pct"/>
            <w:shd w:val="clear" w:color="auto" w:fill="F2F2F2" w:themeFill="background1" w:themeFillShade="F2"/>
          </w:tcPr>
          <w:p w14:paraId="2CBF6563" w14:textId="77777777" w:rsidR="00FE6BD7" w:rsidRPr="00EE4BD6" w:rsidRDefault="00FE6BD7" w:rsidP="00AA67D2">
            <w:pPr>
              <w:pStyle w:val="TableText"/>
              <w:keepNext/>
              <w:keepLines/>
            </w:pPr>
            <w:r w:rsidRPr="009A1DE7">
              <w:t>Target Date</w:t>
            </w:r>
            <w:r>
              <w:t>:</w:t>
            </w:r>
          </w:p>
        </w:tc>
        <w:tc>
          <w:tcPr>
            <w:tcW w:w="436" w:type="pct"/>
            <w:shd w:val="clear" w:color="auto" w:fill="F2F2F2" w:themeFill="background1" w:themeFillShade="F2"/>
          </w:tcPr>
          <w:p w14:paraId="45A1641A" w14:textId="77777777" w:rsidR="00FE6BD7" w:rsidRPr="00EE4BD6" w:rsidRDefault="00FE6BD7" w:rsidP="00AA67D2">
            <w:pPr>
              <w:pStyle w:val="TableText"/>
              <w:keepNext/>
              <w:keepLines/>
            </w:pPr>
          </w:p>
        </w:tc>
      </w:tr>
      <w:tr w:rsidR="00FE6BD7" w:rsidRPr="00EF587A" w14:paraId="4D413515" w14:textId="77777777" w:rsidTr="00F97A1E">
        <w:trPr>
          <w:cantSplit/>
          <w:trHeight w:val="428"/>
        </w:trPr>
        <w:tc>
          <w:tcPr>
            <w:tcW w:w="436" w:type="pct"/>
            <w:vMerge/>
          </w:tcPr>
          <w:p w14:paraId="59CDD7CE" w14:textId="77777777" w:rsidR="00FE6BD7" w:rsidRPr="00EF587A" w:rsidRDefault="00FE6BD7" w:rsidP="00C81021">
            <w:pPr>
              <w:pStyle w:val="TableText"/>
            </w:pPr>
          </w:p>
        </w:tc>
        <w:tc>
          <w:tcPr>
            <w:tcW w:w="469" w:type="pct"/>
            <w:vMerge/>
          </w:tcPr>
          <w:p w14:paraId="48DCD88C" w14:textId="77777777" w:rsidR="00FE6BD7" w:rsidRPr="00EF587A" w:rsidRDefault="00FE6BD7" w:rsidP="00C81021">
            <w:pPr>
              <w:pStyle w:val="TableText"/>
            </w:pPr>
          </w:p>
        </w:tc>
        <w:tc>
          <w:tcPr>
            <w:tcW w:w="438" w:type="pct"/>
            <w:vMerge/>
          </w:tcPr>
          <w:p w14:paraId="5B6C3D1D" w14:textId="77777777" w:rsidR="00FE6BD7" w:rsidRPr="00EF587A" w:rsidRDefault="00FE6BD7" w:rsidP="00C81021">
            <w:pPr>
              <w:pStyle w:val="TableText"/>
            </w:pPr>
          </w:p>
        </w:tc>
        <w:tc>
          <w:tcPr>
            <w:tcW w:w="688" w:type="pct"/>
            <w:vMerge/>
          </w:tcPr>
          <w:p w14:paraId="62715B99" w14:textId="77777777" w:rsidR="00FE6BD7" w:rsidRPr="00EF587A" w:rsidRDefault="00FE6BD7" w:rsidP="00C81021">
            <w:pPr>
              <w:pStyle w:val="TableText"/>
            </w:pPr>
          </w:p>
        </w:tc>
        <w:tc>
          <w:tcPr>
            <w:tcW w:w="937" w:type="pct"/>
            <w:vMerge/>
          </w:tcPr>
          <w:p w14:paraId="31D3E329" w14:textId="77777777" w:rsidR="00FE6BD7" w:rsidRPr="00EF587A" w:rsidRDefault="00FE6BD7" w:rsidP="00C81021">
            <w:pPr>
              <w:pStyle w:val="TableText"/>
            </w:pPr>
          </w:p>
        </w:tc>
        <w:tc>
          <w:tcPr>
            <w:tcW w:w="719" w:type="pct"/>
            <w:vMerge/>
          </w:tcPr>
          <w:p w14:paraId="28BE68EC" w14:textId="77777777" w:rsidR="00FE6BD7" w:rsidRPr="00EF587A" w:rsidRDefault="00FE6BD7" w:rsidP="00C81021">
            <w:pPr>
              <w:pStyle w:val="TableText"/>
            </w:pPr>
          </w:p>
        </w:tc>
        <w:tc>
          <w:tcPr>
            <w:tcW w:w="532" w:type="pct"/>
            <w:vMerge/>
          </w:tcPr>
          <w:p w14:paraId="2BCBF516" w14:textId="77777777" w:rsidR="00FE6BD7" w:rsidRPr="00EF587A" w:rsidRDefault="00FE6BD7" w:rsidP="00C81021">
            <w:pPr>
              <w:pStyle w:val="TableText"/>
            </w:pPr>
          </w:p>
        </w:tc>
        <w:tc>
          <w:tcPr>
            <w:tcW w:w="345" w:type="pct"/>
            <w:shd w:val="clear" w:color="auto" w:fill="F2F2F2" w:themeFill="background1" w:themeFillShade="F2"/>
          </w:tcPr>
          <w:p w14:paraId="4A860E2E"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13DAD59A" w14:textId="77777777" w:rsidR="00FE6BD7" w:rsidRPr="00EF587A" w:rsidRDefault="00FE6BD7" w:rsidP="00C81021">
            <w:pPr>
              <w:pStyle w:val="TableText"/>
            </w:pPr>
          </w:p>
        </w:tc>
      </w:tr>
      <w:tr w:rsidR="00FE6BD7" w:rsidRPr="00EE4BD6" w14:paraId="29E4ED32" w14:textId="77777777" w:rsidTr="00F97A1E">
        <w:trPr>
          <w:cantSplit/>
        </w:trPr>
        <w:tc>
          <w:tcPr>
            <w:tcW w:w="5000" w:type="pct"/>
            <w:gridSpan w:val="9"/>
            <w:shd w:val="clear" w:color="auto" w:fill="FBE4D5" w:themeFill="accent2" w:themeFillTint="33"/>
          </w:tcPr>
          <w:p w14:paraId="599E530D" w14:textId="77777777" w:rsidR="00FE6BD7" w:rsidRPr="00ED339A" w:rsidRDefault="00FE6BD7" w:rsidP="00C81021">
            <w:pPr>
              <w:pStyle w:val="TableText"/>
              <w:rPr>
                <w:sz w:val="8"/>
                <w:szCs w:val="8"/>
              </w:rPr>
            </w:pPr>
          </w:p>
        </w:tc>
      </w:tr>
      <w:tr w:rsidR="00EB07D3" w:rsidRPr="00EE4BD6" w14:paraId="7F9DB08E" w14:textId="77777777" w:rsidTr="00F97A1E">
        <w:trPr>
          <w:cantSplit/>
          <w:trHeight w:val="619"/>
        </w:trPr>
        <w:tc>
          <w:tcPr>
            <w:tcW w:w="436" w:type="pct"/>
            <w:vMerge w:val="restart"/>
            <w:vAlign w:val="center"/>
          </w:tcPr>
          <w:p w14:paraId="4E6C57FA" w14:textId="23806E58" w:rsidR="00EB07D3" w:rsidRPr="00F77313" w:rsidRDefault="00EB07D3" w:rsidP="00EB07D3">
            <w:pPr>
              <w:pStyle w:val="TableText"/>
              <w:pageBreakBefore/>
              <w:jc w:val="center"/>
              <w:rPr>
                <w:b/>
                <w:bCs/>
              </w:rPr>
            </w:pPr>
            <w:r w:rsidRPr="00EB07D3">
              <w:rPr>
                <w:b/>
                <w:bCs/>
              </w:rPr>
              <w:lastRenderedPageBreak/>
              <w:t>Secondary Pre-Treatment Estimates Not Created Report</w:t>
            </w:r>
          </w:p>
        </w:tc>
        <w:tc>
          <w:tcPr>
            <w:tcW w:w="469" w:type="pct"/>
            <w:vMerge w:val="restart"/>
          </w:tcPr>
          <w:p w14:paraId="2D77F03B" w14:textId="4FD5AA86" w:rsidR="00EB07D3" w:rsidRPr="009A1DE7" w:rsidRDefault="00EB07D3" w:rsidP="00EB07D3">
            <w:pPr>
              <w:pStyle w:val="TableText"/>
              <w:numPr>
                <w:ilvl w:val="0"/>
                <w:numId w:val="3"/>
              </w:numPr>
              <w:ind w:left="226" w:hanging="180"/>
            </w:pPr>
            <w:r>
              <w:t xml:space="preserve">Date Range: </w:t>
            </w:r>
            <w:r w:rsidRPr="00C125CF">
              <w:t>Last week’s date to current</w:t>
            </w:r>
          </w:p>
        </w:tc>
        <w:tc>
          <w:tcPr>
            <w:tcW w:w="438" w:type="pct"/>
            <w:vMerge w:val="restart"/>
          </w:tcPr>
          <w:p w14:paraId="6D47DC2D" w14:textId="52FBB6A9" w:rsidR="00EB07D3" w:rsidRPr="009A1DE7" w:rsidRDefault="00EB07D3" w:rsidP="00EB07D3">
            <w:pPr>
              <w:pStyle w:val="TableText"/>
            </w:pPr>
            <w:r w:rsidRPr="00C125CF">
              <w:t>Front Desk</w:t>
            </w:r>
            <w:r>
              <w:t xml:space="preserve"> </w:t>
            </w:r>
            <w:r w:rsidRPr="00C125CF">
              <w:t>/</w:t>
            </w:r>
            <w:r>
              <w:t xml:space="preserve"> </w:t>
            </w:r>
            <w:r w:rsidRPr="00C125CF">
              <w:t>Billing Staff Review</w:t>
            </w:r>
          </w:p>
        </w:tc>
        <w:tc>
          <w:tcPr>
            <w:tcW w:w="688" w:type="pct"/>
            <w:vMerge w:val="restart"/>
          </w:tcPr>
          <w:p w14:paraId="78D694E4" w14:textId="1D9B6563" w:rsidR="00EB07D3" w:rsidRPr="009A1DE7" w:rsidRDefault="00EB07D3" w:rsidP="00EB07D3">
            <w:pPr>
              <w:pStyle w:val="TableText"/>
            </w:pPr>
            <w:r>
              <w:t>I</w:t>
            </w:r>
            <w:r w:rsidRPr="00C125CF">
              <w:t xml:space="preserve">dentify and process secondary </w:t>
            </w:r>
            <w:r>
              <w:t>p</w:t>
            </w:r>
            <w:r w:rsidRPr="00C125CF">
              <w:t>re-</w:t>
            </w:r>
            <w:r>
              <w:t>t</w:t>
            </w:r>
            <w:r w:rsidRPr="00C125CF">
              <w:t xml:space="preserve">reatment </w:t>
            </w:r>
            <w:r>
              <w:t>e</w:t>
            </w:r>
            <w:r w:rsidRPr="00C125CF">
              <w:t>stimates that have not yet been created.</w:t>
            </w:r>
          </w:p>
        </w:tc>
        <w:tc>
          <w:tcPr>
            <w:tcW w:w="937" w:type="pct"/>
            <w:vMerge w:val="restart"/>
          </w:tcPr>
          <w:p w14:paraId="6D8D4155" w14:textId="77777777" w:rsidR="00EB07D3" w:rsidRDefault="00EB07D3" w:rsidP="00EB07D3">
            <w:pPr>
              <w:pStyle w:val="TableText"/>
              <w:keepNext/>
              <w:keepLines/>
              <w:numPr>
                <w:ilvl w:val="0"/>
                <w:numId w:val="2"/>
              </w:numPr>
              <w:ind w:left="232" w:hanging="180"/>
            </w:pPr>
            <w:r w:rsidRPr="006A3309">
              <w:rPr>
                <w:u w:val="single"/>
              </w:rPr>
              <w:t>Family File</w:t>
            </w:r>
            <w:r>
              <w:t xml:space="preserve">: </w:t>
            </w:r>
            <w:r w:rsidRPr="00837A86">
              <w:t xml:space="preserve">Both </w:t>
            </w:r>
            <w:r>
              <w:t>p</w:t>
            </w:r>
            <w:r w:rsidRPr="00837A86">
              <w:t xml:space="preserve">rimary and </w:t>
            </w:r>
            <w:r>
              <w:t>s</w:t>
            </w:r>
            <w:r w:rsidRPr="00837A86">
              <w:t xml:space="preserve">econdary </w:t>
            </w:r>
            <w:r>
              <w:t>i</w:t>
            </w:r>
            <w:r w:rsidRPr="00837A86">
              <w:t xml:space="preserve">nsurance plans have been attached to </w:t>
            </w:r>
            <w:r>
              <w:t xml:space="preserve">a </w:t>
            </w:r>
            <w:r w:rsidRPr="00837A86">
              <w:t>patient in Family File.</w:t>
            </w:r>
          </w:p>
          <w:p w14:paraId="5F1046D3" w14:textId="77777777" w:rsidR="00EB07D3" w:rsidRDefault="00EB07D3" w:rsidP="00EB07D3">
            <w:pPr>
              <w:pStyle w:val="TableText"/>
              <w:keepNext/>
              <w:keepLines/>
              <w:numPr>
                <w:ilvl w:val="0"/>
                <w:numId w:val="2"/>
              </w:numPr>
              <w:ind w:left="232" w:hanging="180"/>
            </w:pPr>
            <w:r w:rsidRPr="006A3309">
              <w:rPr>
                <w:u w:val="single"/>
              </w:rPr>
              <w:t>Ledger</w:t>
            </w:r>
            <w:r>
              <w:t>:</w:t>
            </w:r>
          </w:p>
          <w:p w14:paraId="0E79EAB1" w14:textId="77777777" w:rsidR="00EB07D3" w:rsidRDefault="00EB07D3" w:rsidP="00EB07D3">
            <w:pPr>
              <w:pStyle w:val="TableText"/>
              <w:keepNext/>
              <w:keepLines/>
              <w:numPr>
                <w:ilvl w:val="1"/>
                <w:numId w:val="140"/>
              </w:numPr>
              <w:ind w:left="546" w:hanging="186"/>
            </w:pPr>
            <w:r w:rsidRPr="00C125CF">
              <w:t xml:space="preserve">Primary insurance </w:t>
            </w:r>
            <w:r>
              <w:t>p</w:t>
            </w:r>
            <w:r w:rsidRPr="00C125CF">
              <w:t>re-</w:t>
            </w:r>
            <w:r>
              <w:t>t</w:t>
            </w:r>
            <w:r w:rsidRPr="00C125CF">
              <w:t xml:space="preserve">reatment </w:t>
            </w:r>
            <w:r>
              <w:t>e</w:t>
            </w:r>
            <w:r w:rsidRPr="00C125CF">
              <w:t>stimates were sent</w:t>
            </w:r>
            <w:r>
              <w:t>,</w:t>
            </w:r>
            <w:r w:rsidRPr="00C125CF">
              <w:t xml:space="preserve"> estimates have been received</w:t>
            </w:r>
            <w:r>
              <w:t>,</w:t>
            </w:r>
            <w:r w:rsidRPr="00C125CF">
              <w:t xml:space="preserve"> and the estimated coverage has been entered in Ledger.</w:t>
            </w:r>
          </w:p>
          <w:p w14:paraId="762D3A33" w14:textId="77777777" w:rsidR="00EB07D3" w:rsidRDefault="00EB07D3" w:rsidP="00EB07D3">
            <w:pPr>
              <w:pStyle w:val="TableText"/>
              <w:keepNext/>
              <w:keepLines/>
              <w:numPr>
                <w:ilvl w:val="1"/>
                <w:numId w:val="140"/>
              </w:numPr>
              <w:ind w:left="546" w:hanging="186"/>
            </w:pPr>
            <w:r w:rsidRPr="00C125CF">
              <w:t xml:space="preserve">Confirm the </w:t>
            </w:r>
            <w:r>
              <w:t>t</w:t>
            </w:r>
            <w:r w:rsidRPr="00C125CF">
              <w:t>reatment</w:t>
            </w:r>
            <w:r>
              <w:t>-p</w:t>
            </w:r>
            <w:r w:rsidRPr="00C125CF">
              <w:t>lanned procedures are ready to be sent to secondary insurance.</w:t>
            </w:r>
          </w:p>
          <w:p w14:paraId="5B1AFA6B" w14:textId="401EB5AE" w:rsidR="00EB07D3" w:rsidRPr="009A1DE7" w:rsidRDefault="00EB07D3" w:rsidP="00EB07D3">
            <w:pPr>
              <w:pStyle w:val="TableText"/>
              <w:numPr>
                <w:ilvl w:val="0"/>
                <w:numId w:val="2"/>
              </w:numPr>
              <w:ind w:left="232" w:hanging="180"/>
            </w:pPr>
            <w:r w:rsidRPr="00F54117">
              <w:rPr>
                <w:rFonts w:eastAsia="Times New Roman" w:cstheme="minorHAnsi"/>
                <w:color w:val="000000"/>
              </w:rPr>
              <w:t>Print</w:t>
            </w:r>
            <w:r>
              <w:rPr>
                <w:rFonts w:eastAsia="Times New Roman" w:cstheme="minorHAnsi"/>
                <w:color w:val="000000"/>
              </w:rPr>
              <w:t xml:space="preserve"> claim,</w:t>
            </w:r>
            <w:r w:rsidRPr="00F54117">
              <w:rPr>
                <w:rFonts w:eastAsia="Times New Roman" w:cstheme="minorHAnsi"/>
                <w:color w:val="000000"/>
              </w:rPr>
              <w:t xml:space="preserve"> or send </w:t>
            </w:r>
            <w:r>
              <w:rPr>
                <w:rFonts w:eastAsia="Times New Roman" w:cstheme="minorHAnsi"/>
                <w:color w:val="000000"/>
              </w:rPr>
              <w:t xml:space="preserve">claim </w:t>
            </w:r>
            <w:r w:rsidRPr="00F54117">
              <w:rPr>
                <w:rFonts w:eastAsia="Times New Roman" w:cstheme="minorHAnsi"/>
                <w:color w:val="000000"/>
              </w:rPr>
              <w:t>electronically</w:t>
            </w:r>
          </w:p>
        </w:tc>
        <w:tc>
          <w:tcPr>
            <w:tcW w:w="719" w:type="pct"/>
            <w:vMerge w:val="restart"/>
          </w:tcPr>
          <w:p w14:paraId="3505C3FF" w14:textId="2E33BB18" w:rsidR="00EB07D3" w:rsidRPr="00EF587A" w:rsidRDefault="00EB07D3" w:rsidP="00EB07D3">
            <w:pPr>
              <w:pStyle w:val="TableText"/>
            </w:pPr>
            <w:r w:rsidRPr="00C125CF">
              <w:t>If the patient</w:t>
            </w:r>
            <w:r>
              <w:t xml:space="preserve"> or clinic </w:t>
            </w:r>
            <w:r w:rsidRPr="00C125CF">
              <w:t xml:space="preserve">needs this information prior to proceeding with treatment, this report will identify patients </w:t>
            </w:r>
            <w:r>
              <w:t xml:space="preserve">with </w:t>
            </w:r>
            <w:r w:rsidRPr="00C125CF">
              <w:t xml:space="preserve">secondary insurance </w:t>
            </w:r>
            <w:r>
              <w:t>that a pre-treatment estimate was not filed for</w:t>
            </w:r>
            <w:r w:rsidRPr="00C125CF">
              <w:t xml:space="preserve"> </w:t>
            </w:r>
            <w:r>
              <w:t>after</w:t>
            </w:r>
            <w:r w:rsidRPr="00C125CF">
              <w:t xml:space="preserve"> </w:t>
            </w:r>
            <w:r>
              <w:t>the estimate information</w:t>
            </w:r>
            <w:r w:rsidRPr="00C125CF">
              <w:t xml:space="preserve"> from the primary carrier</w:t>
            </w:r>
            <w:r>
              <w:t xml:space="preserve"> was received</w:t>
            </w:r>
            <w:r w:rsidRPr="00C125CF">
              <w:t>.</w:t>
            </w:r>
          </w:p>
        </w:tc>
        <w:tc>
          <w:tcPr>
            <w:tcW w:w="532" w:type="pct"/>
            <w:vMerge w:val="restart"/>
          </w:tcPr>
          <w:p w14:paraId="393CE168" w14:textId="6E4CAECD" w:rsidR="00EB07D3" w:rsidRPr="00EF587A" w:rsidRDefault="00EB07D3" w:rsidP="00EB07D3">
            <w:pPr>
              <w:pStyle w:val="TableText"/>
              <w:numPr>
                <w:ilvl w:val="0"/>
                <w:numId w:val="1"/>
              </w:numPr>
              <w:spacing w:after="0"/>
              <w:ind w:left="187" w:hanging="187"/>
            </w:pPr>
            <w:r>
              <w:t>Revenue Cycle</w:t>
            </w:r>
          </w:p>
        </w:tc>
        <w:tc>
          <w:tcPr>
            <w:tcW w:w="345" w:type="pct"/>
            <w:shd w:val="clear" w:color="auto" w:fill="F2F2F2" w:themeFill="background1" w:themeFillShade="F2"/>
          </w:tcPr>
          <w:p w14:paraId="6FA02F77" w14:textId="77777777" w:rsidR="00EB07D3" w:rsidRPr="00EE4BD6" w:rsidRDefault="00EB07D3" w:rsidP="00EB07D3">
            <w:pPr>
              <w:pStyle w:val="TableText"/>
            </w:pPr>
            <w:r w:rsidRPr="001F26DF">
              <w:t>Date Reviewed</w:t>
            </w:r>
            <w:r>
              <w:t>:</w:t>
            </w:r>
          </w:p>
        </w:tc>
        <w:tc>
          <w:tcPr>
            <w:tcW w:w="436" w:type="pct"/>
            <w:shd w:val="clear" w:color="auto" w:fill="F2F2F2" w:themeFill="background1" w:themeFillShade="F2"/>
          </w:tcPr>
          <w:p w14:paraId="6F49DC84" w14:textId="77777777" w:rsidR="00EB07D3" w:rsidRPr="00EE4BD6" w:rsidRDefault="00EB07D3" w:rsidP="00EB07D3">
            <w:pPr>
              <w:pStyle w:val="TableText"/>
            </w:pPr>
          </w:p>
        </w:tc>
      </w:tr>
      <w:tr w:rsidR="00FE6BD7" w:rsidRPr="00EE4BD6" w14:paraId="4ED5A9AE" w14:textId="77777777" w:rsidTr="00F97A1E">
        <w:trPr>
          <w:cantSplit/>
          <w:trHeight w:val="620"/>
        </w:trPr>
        <w:tc>
          <w:tcPr>
            <w:tcW w:w="436" w:type="pct"/>
            <w:vMerge/>
          </w:tcPr>
          <w:p w14:paraId="5F8B3A7C" w14:textId="77777777" w:rsidR="00FE6BD7" w:rsidRPr="00EF587A" w:rsidRDefault="00FE6BD7" w:rsidP="00C81021">
            <w:pPr>
              <w:pStyle w:val="TableText"/>
            </w:pPr>
          </w:p>
        </w:tc>
        <w:tc>
          <w:tcPr>
            <w:tcW w:w="469" w:type="pct"/>
            <w:vMerge/>
          </w:tcPr>
          <w:p w14:paraId="7B4F8D78" w14:textId="77777777" w:rsidR="00FE6BD7" w:rsidRPr="009A1DE7" w:rsidRDefault="00FE6BD7" w:rsidP="00C81021">
            <w:pPr>
              <w:pStyle w:val="TableText"/>
              <w:numPr>
                <w:ilvl w:val="0"/>
                <w:numId w:val="3"/>
              </w:numPr>
              <w:ind w:left="226" w:hanging="180"/>
            </w:pPr>
          </w:p>
        </w:tc>
        <w:tc>
          <w:tcPr>
            <w:tcW w:w="438" w:type="pct"/>
            <w:vMerge/>
          </w:tcPr>
          <w:p w14:paraId="35F34069" w14:textId="77777777" w:rsidR="00FE6BD7" w:rsidRPr="009A1DE7" w:rsidRDefault="00FE6BD7" w:rsidP="00C81021">
            <w:pPr>
              <w:pStyle w:val="TableText"/>
            </w:pPr>
          </w:p>
        </w:tc>
        <w:tc>
          <w:tcPr>
            <w:tcW w:w="688" w:type="pct"/>
            <w:vMerge/>
          </w:tcPr>
          <w:p w14:paraId="4FFAD3E3" w14:textId="77777777" w:rsidR="00FE6BD7" w:rsidRPr="009A1DE7" w:rsidRDefault="00FE6BD7" w:rsidP="00C81021">
            <w:pPr>
              <w:pStyle w:val="TableText"/>
            </w:pPr>
          </w:p>
        </w:tc>
        <w:tc>
          <w:tcPr>
            <w:tcW w:w="937" w:type="pct"/>
            <w:vMerge/>
          </w:tcPr>
          <w:p w14:paraId="649F79D7" w14:textId="77777777" w:rsidR="00FE6BD7" w:rsidRPr="009A1DE7" w:rsidRDefault="00FE6BD7" w:rsidP="00C81021">
            <w:pPr>
              <w:pStyle w:val="TableText"/>
            </w:pPr>
          </w:p>
        </w:tc>
        <w:tc>
          <w:tcPr>
            <w:tcW w:w="719" w:type="pct"/>
            <w:vMerge/>
          </w:tcPr>
          <w:p w14:paraId="551206CB" w14:textId="77777777" w:rsidR="00FE6BD7" w:rsidRPr="009A1DE7" w:rsidRDefault="00FE6BD7" w:rsidP="00C81021">
            <w:pPr>
              <w:pStyle w:val="TableText"/>
            </w:pPr>
          </w:p>
        </w:tc>
        <w:tc>
          <w:tcPr>
            <w:tcW w:w="532" w:type="pct"/>
            <w:vMerge/>
          </w:tcPr>
          <w:p w14:paraId="2F9B83D9"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7C1DD719"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1FD1CDEC" w14:textId="77777777" w:rsidR="00FE6BD7" w:rsidRPr="00EE4BD6" w:rsidRDefault="00FE6BD7" w:rsidP="00C81021">
            <w:pPr>
              <w:pStyle w:val="TableText"/>
            </w:pPr>
          </w:p>
        </w:tc>
      </w:tr>
      <w:tr w:rsidR="00FE6BD7" w:rsidRPr="00EE4BD6" w14:paraId="24DCB0A5" w14:textId="77777777" w:rsidTr="00F97A1E">
        <w:trPr>
          <w:cantSplit/>
          <w:trHeight w:val="619"/>
        </w:trPr>
        <w:tc>
          <w:tcPr>
            <w:tcW w:w="436" w:type="pct"/>
            <w:vMerge/>
          </w:tcPr>
          <w:p w14:paraId="75DB54F8" w14:textId="77777777" w:rsidR="00FE6BD7" w:rsidRPr="00EF587A" w:rsidRDefault="00FE6BD7" w:rsidP="00C81021">
            <w:pPr>
              <w:pStyle w:val="TableText"/>
            </w:pPr>
          </w:p>
        </w:tc>
        <w:tc>
          <w:tcPr>
            <w:tcW w:w="469" w:type="pct"/>
            <w:vMerge/>
          </w:tcPr>
          <w:p w14:paraId="7A57A959" w14:textId="77777777" w:rsidR="00FE6BD7" w:rsidRPr="009A1DE7" w:rsidRDefault="00FE6BD7" w:rsidP="00C81021">
            <w:pPr>
              <w:pStyle w:val="TableText"/>
              <w:numPr>
                <w:ilvl w:val="0"/>
                <w:numId w:val="3"/>
              </w:numPr>
              <w:ind w:left="226" w:hanging="180"/>
            </w:pPr>
          </w:p>
        </w:tc>
        <w:tc>
          <w:tcPr>
            <w:tcW w:w="438" w:type="pct"/>
            <w:vMerge/>
          </w:tcPr>
          <w:p w14:paraId="1008B3E5" w14:textId="77777777" w:rsidR="00FE6BD7" w:rsidRPr="009A1DE7" w:rsidRDefault="00FE6BD7" w:rsidP="00C81021">
            <w:pPr>
              <w:pStyle w:val="TableText"/>
            </w:pPr>
          </w:p>
        </w:tc>
        <w:tc>
          <w:tcPr>
            <w:tcW w:w="688" w:type="pct"/>
            <w:vMerge/>
          </w:tcPr>
          <w:p w14:paraId="38EA15B5" w14:textId="77777777" w:rsidR="00FE6BD7" w:rsidRPr="009A1DE7" w:rsidRDefault="00FE6BD7" w:rsidP="00C81021">
            <w:pPr>
              <w:pStyle w:val="TableText"/>
            </w:pPr>
          </w:p>
        </w:tc>
        <w:tc>
          <w:tcPr>
            <w:tcW w:w="937" w:type="pct"/>
            <w:vMerge/>
          </w:tcPr>
          <w:p w14:paraId="074F9F78" w14:textId="77777777" w:rsidR="00FE6BD7" w:rsidRPr="009A1DE7" w:rsidRDefault="00FE6BD7" w:rsidP="00C81021">
            <w:pPr>
              <w:pStyle w:val="TableText"/>
            </w:pPr>
          </w:p>
        </w:tc>
        <w:tc>
          <w:tcPr>
            <w:tcW w:w="719" w:type="pct"/>
            <w:vMerge/>
          </w:tcPr>
          <w:p w14:paraId="14A5627D" w14:textId="77777777" w:rsidR="00FE6BD7" w:rsidRPr="009A1DE7" w:rsidRDefault="00FE6BD7" w:rsidP="00C81021">
            <w:pPr>
              <w:pStyle w:val="TableText"/>
            </w:pPr>
          </w:p>
        </w:tc>
        <w:tc>
          <w:tcPr>
            <w:tcW w:w="532" w:type="pct"/>
            <w:vMerge/>
          </w:tcPr>
          <w:p w14:paraId="27C0091D"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D2A5DC1"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2D5B5BC7" w14:textId="77777777" w:rsidR="00FE6BD7" w:rsidRPr="00EE4BD6" w:rsidRDefault="00FE6BD7" w:rsidP="00C81021">
            <w:pPr>
              <w:pStyle w:val="TableText"/>
            </w:pPr>
          </w:p>
        </w:tc>
      </w:tr>
      <w:tr w:rsidR="00FE6BD7" w:rsidRPr="00EE4BD6" w14:paraId="7AEB84CA" w14:textId="77777777" w:rsidTr="00F97A1E">
        <w:trPr>
          <w:cantSplit/>
          <w:trHeight w:val="620"/>
        </w:trPr>
        <w:tc>
          <w:tcPr>
            <w:tcW w:w="436" w:type="pct"/>
            <w:vMerge/>
          </w:tcPr>
          <w:p w14:paraId="41716B21" w14:textId="77777777" w:rsidR="00FE6BD7" w:rsidRPr="00EF587A" w:rsidRDefault="00FE6BD7" w:rsidP="00C81021">
            <w:pPr>
              <w:pStyle w:val="TableText"/>
            </w:pPr>
          </w:p>
        </w:tc>
        <w:tc>
          <w:tcPr>
            <w:tcW w:w="469" w:type="pct"/>
            <w:vMerge/>
          </w:tcPr>
          <w:p w14:paraId="3727ABE1" w14:textId="77777777" w:rsidR="00FE6BD7" w:rsidRPr="009A1DE7" w:rsidRDefault="00FE6BD7" w:rsidP="00C81021">
            <w:pPr>
              <w:pStyle w:val="TableText"/>
              <w:numPr>
                <w:ilvl w:val="0"/>
                <w:numId w:val="3"/>
              </w:numPr>
              <w:ind w:left="226" w:hanging="180"/>
            </w:pPr>
          </w:p>
        </w:tc>
        <w:tc>
          <w:tcPr>
            <w:tcW w:w="438" w:type="pct"/>
            <w:vMerge/>
          </w:tcPr>
          <w:p w14:paraId="07F996E1" w14:textId="77777777" w:rsidR="00FE6BD7" w:rsidRPr="009A1DE7" w:rsidRDefault="00FE6BD7" w:rsidP="00C81021">
            <w:pPr>
              <w:pStyle w:val="TableText"/>
            </w:pPr>
          </w:p>
        </w:tc>
        <w:tc>
          <w:tcPr>
            <w:tcW w:w="688" w:type="pct"/>
            <w:vMerge/>
          </w:tcPr>
          <w:p w14:paraId="0D1DFBCD" w14:textId="77777777" w:rsidR="00FE6BD7" w:rsidRPr="009A1DE7" w:rsidRDefault="00FE6BD7" w:rsidP="00C81021">
            <w:pPr>
              <w:pStyle w:val="TableText"/>
            </w:pPr>
          </w:p>
        </w:tc>
        <w:tc>
          <w:tcPr>
            <w:tcW w:w="937" w:type="pct"/>
            <w:vMerge/>
          </w:tcPr>
          <w:p w14:paraId="52519494" w14:textId="77777777" w:rsidR="00FE6BD7" w:rsidRPr="009A1DE7" w:rsidRDefault="00FE6BD7" w:rsidP="00C81021">
            <w:pPr>
              <w:pStyle w:val="TableText"/>
            </w:pPr>
          </w:p>
        </w:tc>
        <w:tc>
          <w:tcPr>
            <w:tcW w:w="719" w:type="pct"/>
            <w:vMerge/>
          </w:tcPr>
          <w:p w14:paraId="1EBDD8F2" w14:textId="77777777" w:rsidR="00FE6BD7" w:rsidRPr="009A1DE7" w:rsidRDefault="00FE6BD7" w:rsidP="00C81021">
            <w:pPr>
              <w:pStyle w:val="TableText"/>
            </w:pPr>
          </w:p>
        </w:tc>
        <w:tc>
          <w:tcPr>
            <w:tcW w:w="532" w:type="pct"/>
            <w:vMerge/>
          </w:tcPr>
          <w:p w14:paraId="743873F5"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4C5791D"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16C411CC" w14:textId="77777777" w:rsidR="00FE6BD7" w:rsidRPr="00EE4BD6" w:rsidRDefault="00FE6BD7" w:rsidP="00C81021">
            <w:pPr>
              <w:pStyle w:val="TableText"/>
            </w:pPr>
          </w:p>
        </w:tc>
      </w:tr>
      <w:tr w:rsidR="00FE6BD7" w:rsidRPr="00EF587A" w14:paraId="5626EE85" w14:textId="77777777" w:rsidTr="00F97A1E">
        <w:trPr>
          <w:cantSplit/>
          <w:trHeight w:val="620"/>
        </w:trPr>
        <w:tc>
          <w:tcPr>
            <w:tcW w:w="436" w:type="pct"/>
            <w:vMerge/>
          </w:tcPr>
          <w:p w14:paraId="385236BD" w14:textId="77777777" w:rsidR="00FE6BD7" w:rsidRPr="00EF587A" w:rsidRDefault="00FE6BD7" w:rsidP="00C81021">
            <w:pPr>
              <w:pStyle w:val="TableText"/>
            </w:pPr>
          </w:p>
        </w:tc>
        <w:tc>
          <w:tcPr>
            <w:tcW w:w="469" w:type="pct"/>
            <w:vMerge/>
          </w:tcPr>
          <w:p w14:paraId="450AC627" w14:textId="77777777" w:rsidR="00FE6BD7" w:rsidRPr="00EF587A" w:rsidRDefault="00FE6BD7" w:rsidP="00C81021">
            <w:pPr>
              <w:pStyle w:val="TableText"/>
            </w:pPr>
          </w:p>
        </w:tc>
        <w:tc>
          <w:tcPr>
            <w:tcW w:w="438" w:type="pct"/>
            <w:vMerge/>
          </w:tcPr>
          <w:p w14:paraId="4960A9AC" w14:textId="77777777" w:rsidR="00FE6BD7" w:rsidRPr="00EF587A" w:rsidRDefault="00FE6BD7" w:rsidP="00C81021">
            <w:pPr>
              <w:pStyle w:val="TableText"/>
            </w:pPr>
          </w:p>
        </w:tc>
        <w:tc>
          <w:tcPr>
            <w:tcW w:w="688" w:type="pct"/>
            <w:vMerge/>
          </w:tcPr>
          <w:p w14:paraId="1C5A0DB8" w14:textId="77777777" w:rsidR="00FE6BD7" w:rsidRPr="00EF587A" w:rsidRDefault="00FE6BD7" w:rsidP="00C81021">
            <w:pPr>
              <w:pStyle w:val="TableText"/>
            </w:pPr>
          </w:p>
        </w:tc>
        <w:tc>
          <w:tcPr>
            <w:tcW w:w="937" w:type="pct"/>
            <w:vMerge/>
          </w:tcPr>
          <w:p w14:paraId="45CD0457" w14:textId="77777777" w:rsidR="00FE6BD7" w:rsidRPr="00EF587A" w:rsidRDefault="00FE6BD7" w:rsidP="00C81021">
            <w:pPr>
              <w:pStyle w:val="TableText"/>
            </w:pPr>
          </w:p>
        </w:tc>
        <w:tc>
          <w:tcPr>
            <w:tcW w:w="719" w:type="pct"/>
            <w:vMerge/>
          </w:tcPr>
          <w:p w14:paraId="652C55CB" w14:textId="77777777" w:rsidR="00FE6BD7" w:rsidRPr="00EF587A" w:rsidRDefault="00FE6BD7" w:rsidP="00C81021">
            <w:pPr>
              <w:pStyle w:val="TableText"/>
            </w:pPr>
          </w:p>
        </w:tc>
        <w:tc>
          <w:tcPr>
            <w:tcW w:w="532" w:type="pct"/>
            <w:vMerge/>
          </w:tcPr>
          <w:p w14:paraId="70E444EE" w14:textId="77777777" w:rsidR="00FE6BD7" w:rsidRPr="00EF587A" w:rsidRDefault="00FE6BD7" w:rsidP="00C81021">
            <w:pPr>
              <w:pStyle w:val="TableText"/>
            </w:pPr>
          </w:p>
        </w:tc>
        <w:tc>
          <w:tcPr>
            <w:tcW w:w="345" w:type="pct"/>
            <w:shd w:val="clear" w:color="auto" w:fill="F2F2F2" w:themeFill="background1" w:themeFillShade="F2"/>
          </w:tcPr>
          <w:p w14:paraId="003545CB"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16C31C72" w14:textId="77777777" w:rsidR="00FE6BD7" w:rsidRPr="00EF587A" w:rsidRDefault="00FE6BD7" w:rsidP="00C81021">
            <w:pPr>
              <w:pStyle w:val="TableText"/>
            </w:pPr>
          </w:p>
        </w:tc>
      </w:tr>
      <w:tr w:rsidR="00FE6BD7" w:rsidRPr="00EE4BD6" w14:paraId="4C192E67" w14:textId="77777777" w:rsidTr="00F97A1E">
        <w:trPr>
          <w:cantSplit/>
        </w:trPr>
        <w:tc>
          <w:tcPr>
            <w:tcW w:w="5000" w:type="pct"/>
            <w:gridSpan w:val="9"/>
            <w:shd w:val="clear" w:color="auto" w:fill="FBE4D5" w:themeFill="accent2" w:themeFillTint="33"/>
          </w:tcPr>
          <w:p w14:paraId="2E9959DD" w14:textId="77777777" w:rsidR="00FE6BD7" w:rsidRPr="00ED339A" w:rsidRDefault="00FE6BD7" w:rsidP="00C81021">
            <w:pPr>
              <w:pStyle w:val="TableText"/>
              <w:rPr>
                <w:sz w:val="8"/>
                <w:szCs w:val="8"/>
              </w:rPr>
            </w:pPr>
          </w:p>
        </w:tc>
      </w:tr>
      <w:tr w:rsidR="00EB07D3" w:rsidRPr="00EE4BD6" w14:paraId="450C6D5E" w14:textId="77777777" w:rsidTr="00F97A1E">
        <w:trPr>
          <w:cantSplit/>
          <w:trHeight w:val="539"/>
        </w:trPr>
        <w:tc>
          <w:tcPr>
            <w:tcW w:w="436" w:type="pct"/>
            <w:vMerge w:val="restart"/>
            <w:vAlign w:val="center"/>
          </w:tcPr>
          <w:p w14:paraId="7D160B51" w14:textId="49C82883" w:rsidR="00EB07D3" w:rsidRPr="00F77313" w:rsidRDefault="00EB07D3" w:rsidP="00EB07D3">
            <w:pPr>
              <w:pStyle w:val="TableText"/>
              <w:jc w:val="center"/>
              <w:rPr>
                <w:b/>
                <w:bCs/>
              </w:rPr>
            </w:pPr>
            <w:r w:rsidRPr="00EB07D3">
              <w:rPr>
                <w:b/>
                <w:bCs/>
              </w:rPr>
              <w:t>Audit Reports</w:t>
            </w:r>
          </w:p>
        </w:tc>
        <w:tc>
          <w:tcPr>
            <w:tcW w:w="469" w:type="pct"/>
            <w:vMerge w:val="restart"/>
          </w:tcPr>
          <w:p w14:paraId="51BD23D4" w14:textId="626DB877" w:rsidR="00EB07D3" w:rsidRPr="009A1DE7" w:rsidRDefault="00EB07D3" w:rsidP="00EB07D3">
            <w:pPr>
              <w:pStyle w:val="TableText"/>
              <w:numPr>
                <w:ilvl w:val="0"/>
                <w:numId w:val="3"/>
              </w:numPr>
              <w:ind w:left="226" w:hanging="180"/>
            </w:pPr>
            <w:r>
              <w:t xml:space="preserve">Date Range: </w:t>
            </w:r>
            <w:r w:rsidRPr="00C125CF">
              <w:t>Last week’s date to current</w:t>
            </w:r>
          </w:p>
        </w:tc>
        <w:tc>
          <w:tcPr>
            <w:tcW w:w="438" w:type="pct"/>
            <w:vMerge w:val="restart"/>
          </w:tcPr>
          <w:p w14:paraId="60144A2A" w14:textId="264A929C" w:rsidR="00EB07D3" w:rsidRPr="009A1DE7" w:rsidRDefault="00EB07D3" w:rsidP="00EB07D3">
            <w:pPr>
              <w:pStyle w:val="TableText"/>
            </w:pPr>
            <w:r>
              <w:t>Clinical Manager, CAC, or Dental Chief</w:t>
            </w:r>
          </w:p>
        </w:tc>
        <w:tc>
          <w:tcPr>
            <w:tcW w:w="688" w:type="pct"/>
            <w:vMerge w:val="restart"/>
          </w:tcPr>
          <w:p w14:paraId="056E1869" w14:textId="15E73B4C" w:rsidR="00EB07D3" w:rsidRPr="009A1DE7" w:rsidRDefault="00EB07D3" w:rsidP="00EB07D3">
            <w:pPr>
              <w:pStyle w:val="TableText"/>
            </w:pPr>
            <w:r w:rsidRPr="00C125CF">
              <w:t>Identify patterns or discrepancies in transactional and/or data entry by user. These patterns could show invalid or fraudulent activity or the need for reinforcement training.</w:t>
            </w:r>
          </w:p>
        </w:tc>
        <w:tc>
          <w:tcPr>
            <w:tcW w:w="937" w:type="pct"/>
            <w:vMerge w:val="restart"/>
          </w:tcPr>
          <w:p w14:paraId="62DA972B" w14:textId="77777777" w:rsidR="00EB07D3" w:rsidRDefault="00EB07D3" w:rsidP="00EB07D3">
            <w:pPr>
              <w:pStyle w:val="TableText"/>
              <w:keepNext/>
              <w:keepLines/>
              <w:numPr>
                <w:ilvl w:val="0"/>
                <w:numId w:val="2"/>
              </w:numPr>
              <w:ind w:left="232" w:hanging="180"/>
            </w:pPr>
            <w:r w:rsidRPr="00C125CF">
              <w:t>Comprehensive data entry and records management within the EDR.</w:t>
            </w:r>
          </w:p>
          <w:p w14:paraId="6BAB1DE1" w14:textId="76E62E2D" w:rsidR="00EB07D3" w:rsidRPr="009A1DE7" w:rsidRDefault="00EB07D3" w:rsidP="00EB07D3">
            <w:pPr>
              <w:pStyle w:val="TableText"/>
              <w:numPr>
                <w:ilvl w:val="0"/>
                <w:numId w:val="2"/>
              </w:numPr>
              <w:ind w:left="232" w:hanging="180"/>
            </w:pPr>
            <w:r w:rsidRPr="00C125CF">
              <w:t>Varies depending up on the transaction, entry</w:t>
            </w:r>
            <w:r>
              <w:t>,</w:t>
            </w:r>
            <w:r w:rsidRPr="00C125CF">
              <w:t xml:space="preserve"> or audit discrepancy.</w:t>
            </w:r>
          </w:p>
        </w:tc>
        <w:tc>
          <w:tcPr>
            <w:tcW w:w="719" w:type="pct"/>
            <w:vMerge w:val="restart"/>
          </w:tcPr>
          <w:p w14:paraId="1EA62140" w14:textId="05B150BD" w:rsidR="00EB07D3" w:rsidRPr="00EF587A" w:rsidRDefault="00EB07D3" w:rsidP="00EB07D3">
            <w:pPr>
              <w:pStyle w:val="TableText"/>
            </w:pPr>
            <w:r w:rsidRPr="00C125CF">
              <w:t>If not monitored</w:t>
            </w:r>
            <w:r>
              <w:t>,</w:t>
            </w:r>
            <w:r w:rsidRPr="00C125CF">
              <w:t xml:space="preserve"> problems may be identified late</w:t>
            </w:r>
            <w:r>
              <w:t>,</w:t>
            </w:r>
            <w:r w:rsidRPr="00C125CF">
              <w:t xml:space="preserve"> and correction may be difficult or </w:t>
            </w:r>
            <w:r>
              <w:t>im</w:t>
            </w:r>
            <w:r w:rsidRPr="00C125CF">
              <w:t>possible.</w:t>
            </w:r>
          </w:p>
        </w:tc>
        <w:tc>
          <w:tcPr>
            <w:tcW w:w="532" w:type="pct"/>
            <w:vMerge w:val="restart"/>
          </w:tcPr>
          <w:p w14:paraId="66429EC5" w14:textId="77777777" w:rsidR="00EB07D3" w:rsidRDefault="00EB07D3" w:rsidP="00EB07D3">
            <w:pPr>
              <w:pStyle w:val="TableText"/>
              <w:numPr>
                <w:ilvl w:val="0"/>
                <w:numId w:val="1"/>
              </w:numPr>
              <w:ind w:left="187" w:hanging="187"/>
            </w:pPr>
            <w:r>
              <w:t>Database Design</w:t>
            </w:r>
          </w:p>
          <w:p w14:paraId="24D1DB10" w14:textId="77777777" w:rsidR="00EB07D3" w:rsidRDefault="00EB07D3" w:rsidP="00EB07D3">
            <w:pPr>
              <w:pStyle w:val="TableText"/>
              <w:numPr>
                <w:ilvl w:val="0"/>
                <w:numId w:val="1"/>
              </w:numPr>
              <w:ind w:left="187" w:hanging="187"/>
            </w:pPr>
            <w:r>
              <w:t>Schedule Optimization</w:t>
            </w:r>
          </w:p>
          <w:p w14:paraId="21CDB315" w14:textId="77777777" w:rsidR="00EB07D3" w:rsidRDefault="00EB07D3" w:rsidP="00EB07D3">
            <w:pPr>
              <w:pStyle w:val="TableText"/>
              <w:numPr>
                <w:ilvl w:val="0"/>
                <w:numId w:val="1"/>
              </w:numPr>
              <w:ind w:left="187" w:hanging="187"/>
            </w:pPr>
            <w:r>
              <w:t>Patient Records</w:t>
            </w:r>
          </w:p>
          <w:p w14:paraId="6B5BDDEE" w14:textId="77777777" w:rsidR="00EB07D3" w:rsidRDefault="00EB07D3" w:rsidP="00EB07D3">
            <w:pPr>
              <w:pStyle w:val="TableText"/>
              <w:numPr>
                <w:ilvl w:val="0"/>
                <w:numId w:val="1"/>
              </w:numPr>
              <w:ind w:left="187" w:hanging="187"/>
            </w:pPr>
            <w:r>
              <w:t>Clinical Records</w:t>
            </w:r>
          </w:p>
          <w:p w14:paraId="3E5DE13B" w14:textId="77777777" w:rsidR="00EB07D3" w:rsidRDefault="00EB07D3" w:rsidP="00EB07D3">
            <w:pPr>
              <w:pStyle w:val="TableText"/>
              <w:numPr>
                <w:ilvl w:val="0"/>
                <w:numId w:val="1"/>
              </w:numPr>
              <w:ind w:left="187" w:hanging="187"/>
            </w:pPr>
            <w:r>
              <w:t>Revenue Cycle</w:t>
            </w:r>
          </w:p>
          <w:p w14:paraId="32967252" w14:textId="77777777" w:rsidR="00EB07D3" w:rsidRDefault="00EB07D3" w:rsidP="00EB07D3">
            <w:pPr>
              <w:pStyle w:val="TableText"/>
              <w:numPr>
                <w:ilvl w:val="0"/>
                <w:numId w:val="1"/>
              </w:numPr>
              <w:ind w:left="187" w:hanging="187"/>
            </w:pPr>
            <w:r>
              <w:t>Monthly Checklist: Audit Reports</w:t>
            </w:r>
          </w:p>
          <w:p w14:paraId="50AC7E1E" w14:textId="77777777" w:rsidR="00EB07D3" w:rsidRDefault="00EB07D3" w:rsidP="00EB07D3">
            <w:pPr>
              <w:pStyle w:val="TableText"/>
              <w:numPr>
                <w:ilvl w:val="0"/>
                <w:numId w:val="1"/>
              </w:numPr>
              <w:ind w:left="187" w:hanging="187"/>
            </w:pPr>
            <w:r>
              <w:t>IHS Dentrix Enterprise User’s Guide*</w:t>
            </w:r>
          </w:p>
          <w:p w14:paraId="665645ED" w14:textId="046F25EF" w:rsidR="00EB07D3" w:rsidRPr="00EF587A" w:rsidRDefault="00EB07D3" w:rsidP="00EB07D3">
            <w:pPr>
              <w:pStyle w:val="TableText"/>
              <w:numPr>
                <w:ilvl w:val="0"/>
                <w:numId w:val="1"/>
              </w:numPr>
              <w:spacing w:after="0"/>
              <w:ind w:left="187" w:hanging="187"/>
            </w:pPr>
            <w:r>
              <w:t>Reports Reference*</w:t>
            </w:r>
          </w:p>
        </w:tc>
        <w:tc>
          <w:tcPr>
            <w:tcW w:w="345" w:type="pct"/>
            <w:shd w:val="clear" w:color="auto" w:fill="F2F2F2" w:themeFill="background1" w:themeFillShade="F2"/>
          </w:tcPr>
          <w:p w14:paraId="16C57F59" w14:textId="77777777" w:rsidR="00EB07D3" w:rsidRPr="00EE4BD6" w:rsidRDefault="00EB07D3" w:rsidP="00EB07D3">
            <w:pPr>
              <w:pStyle w:val="TableText"/>
            </w:pPr>
            <w:r w:rsidRPr="001F26DF">
              <w:t>Date Reviewed</w:t>
            </w:r>
            <w:r>
              <w:t>:</w:t>
            </w:r>
          </w:p>
        </w:tc>
        <w:tc>
          <w:tcPr>
            <w:tcW w:w="436" w:type="pct"/>
            <w:shd w:val="clear" w:color="auto" w:fill="F2F2F2" w:themeFill="background1" w:themeFillShade="F2"/>
          </w:tcPr>
          <w:p w14:paraId="31B3428A" w14:textId="77777777" w:rsidR="00EB07D3" w:rsidRPr="00EE4BD6" w:rsidRDefault="00EB07D3" w:rsidP="00EB07D3">
            <w:pPr>
              <w:pStyle w:val="TableText"/>
            </w:pPr>
          </w:p>
        </w:tc>
      </w:tr>
      <w:tr w:rsidR="00FE6BD7" w:rsidRPr="00EE4BD6" w14:paraId="23742FA6" w14:textId="77777777" w:rsidTr="00F97A1E">
        <w:trPr>
          <w:cantSplit/>
          <w:trHeight w:val="540"/>
        </w:trPr>
        <w:tc>
          <w:tcPr>
            <w:tcW w:w="436" w:type="pct"/>
            <w:vMerge/>
          </w:tcPr>
          <w:p w14:paraId="08CC82B2" w14:textId="77777777" w:rsidR="00FE6BD7" w:rsidRPr="00EF587A" w:rsidRDefault="00FE6BD7" w:rsidP="00C81021">
            <w:pPr>
              <w:pStyle w:val="TableText"/>
            </w:pPr>
          </w:p>
        </w:tc>
        <w:tc>
          <w:tcPr>
            <w:tcW w:w="469" w:type="pct"/>
            <w:vMerge/>
          </w:tcPr>
          <w:p w14:paraId="28BEAE72" w14:textId="77777777" w:rsidR="00FE6BD7" w:rsidRPr="009A1DE7" w:rsidRDefault="00FE6BD7" w:rsidP="00C81021">
            <w:pPr>
              <w:pStyle w:val="TableText"/>
              <w:numPr>
                <w:ilvl w:val="0"/>
                <w:numId w:val="3"/>
              </w:numPr>
              <w:ind w:left="226" w:hanging="180"/>
            </w:pPr>
          </w:p>
        </w:tc>
        <w:tc>
          <w:tcPr>
            <w:tcW w:w="438" w:type="pct"/>
            <w:vMerge/>
          </w:tcPr>
          <w:p w14:paraId="363725B4" w14:textId="77777777" w:rsidR="00FE6BD7" w:rsidRPr="009A1DE7" w:rsidRDefault="00FE6BD7" w:rsidP="00C81021">
            <w:pPr>
              <w:pStyle w:val="TableText"/>
            </w:pPr>
          </w:p>
        </w:tc>
        <w:tc>
          <w:tcPr>
            <w:tcW w:w="688" w:type="pct"/>
            <w:vMerge/>
          </w:tcPr>
          <w:p w14:paraId="7CAE3F81" w14:textId="77777777" w:rsidR="00FE6BD7" w:rsidRPr="009A1DE7" w:rsidRDefault="00FE6BD7" w:rsidP="00C81021">
            <w:pPr>
              <w:pStyle w:val="TableText"/>
            </w:pPr>
          </w:p>
        </w:tc>
        <w:tc>
          <w:tcPr>
            <w:tcW w:w="937" w:type="pct"/>
            <w:vMerge/>
          </w:tcPr>
          <w:p w14:paraId="43C74541" w14:textId="77777777" w:rsidR="00FE6BD7" w:rsidRPr="009A1DE7" w:rsidRDefault="00FE6BD7" w:rsidP="00C81021">
            <w:pPr>
              <w:pStyle w:val="TableText"/>
            </w:pPr>
          </w:p>
        </w:tc>
        <w:tc>
          <w:tcPr>
            <w:tcW w:w="719" w:type="pct"/>
            <w:vMerge/>
          </w:tcPr>
          <w:p w14:paraId="4EB89F29" w14:textId="77777777" w:rsidR="00FE6BD7" w:rsidRPr="009A1DE7" w:rsidRDefault="00FE6BD7" w:rsidP="00C81021">
            <w:pPr>
              <w:pStyle w:val="TableText"/>
            </w:pPr>
          </w:p>
        </w:tc>
        <w:tc>
          <w:tcPr>
            <w:tcW w:w="532" w:type="pct"/>
            <w:vMerge/>
          </w:tcPr>
          <w:p w14:paraId="1BBECBDA"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19F2984"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52084CB9" w14:textId="77777777" w:rsidR="00FE6BD7" w:rsidRPr="00EE4BD6" w:rsidRDefault="00FE6BD7" w:rsidP="00C81021">
            <w:pPr>
              <w:pStyle w:val="TableText"/>
            </w:pPr>
          </w:p>
        </w:tc>
      </w:tr>
      <w:tr w:rsidR="00FE6BD7" w:rsidRPr="00EE4BD6" w14:paraId="5B0AF78B" w14:textId="77777777" w:rsidTr="00F97A1E">
        <w:trPr>
          <w:cantSplit/>
          <w:trHeight w:val="539"/>
        </w:trPr>
        <w:tc>
          <w:tcPr>
            <w:tcW w:w="436" w:type="pct"/>
            <w:vMerge/>
          </w:tcPr>
          <w:p w14:paraId="3B54BB76" w14:textId="77777777" w:rsidR="00FE6BD7" w:rsidRPr="00EF587A" w:rsidRDefault="00FE6BD7" w:rsidP="00C81021">
            <w:pPr>
              <w:pStyle w:val="TableText"/>
            </w:pPr>
          </w:p>
        </w:tc>
        <w:tc>
          <w:tcPr>
            <w:tcW w:w="469" w:type="pct"/>
            <w:vMerge/>
          </w:tcPr>
          <w:p w14:paraId="3CA874A2" w14:textId="77777777" w:rsidR="00FE6BD7" w:rsidRPr="009A1DE7" w:rsidRDefault="00FE6BD7" w:rsidP="00C81021">
            <w:pPr>
              <w:pStyle w:val="TableText"/>
              <w:numPr>
                <w:ilvl w:val="0"/>
                <w:numId w:val="3"/>
              </w:numPr>
              <w:ind w:left="226" w:hanging="180"/>
            </w:pPr>
          </w:p>
        </w:tc>
        <w:tc>
          <w:tcPr>
            <w:tcW w:w="438" w:type="pct"/>
            <w:vMerge/>
          </w:tcPr>
          <w:p w14:paraId="258F51BB" w14:textId="77777777" w:rsidR="00FE6BD7" w:rsidRPr="009A1DE7" w:rsidRDefault="00FE6BD7" w:rsidP="00C81021">
            <w:pPr>
              <w:pStyle w:val="TableText"/>
            </w:pPr>
          </w:p>
        </w:tc>
        <w:tc>
          <w:tcPr>
            <w:tcW w:w="688" w:type="pct"/>
            <w:vMerge/>
          </w:tcPr>
          <w:p w14:paraId="063F3579" w14:textId="77777777" w:rsidR="00FE6BD7" w:rsidRPr="009A1DE7" w:rsidRDefault="00FE6BD7" w:rsidP="00C81021">
            <w:pPr>
              <w:pStyle w:val="TableText"/>
            </w:pPr>
          </w:p>
        </w:tc>
        <w:tc>
          <w:tcPr>
            <w:tcW w:w="937" w:type="pct"/>
            <w:vMerge/>
          </w:tcPr>
          <w:p w14:paraId="41F321D2" w14:textId="77777777" w:rsidR="00FE6BD7" w:rsidRPr="009A1DE7" w:rsidRDefault="00FE6BD7" w:rsidP="00C81021">
            <w:pPr>
              <w:pStyle w:val="TableText"/>
            </w:pPr>
          </w:p>
        </w:tc>
        <w:tc>
          <w:tcPr>
            <w:tcW w:w="719" w:type="pct"/>
            <w:vMerge/>
          </w:tcPr>
          <w:p w14:paraId="27655E57" w14:textId="77777777" w:rsidR="00FE6BD7" w:rsidRPr="009A1DE7" w:rsidRDefault="00FE6BD7" w:rsidP="00C81021">
            <w:pPr>
              <w:pStyle w:val="TableText"/>
            </w:pPr>
          </w:p>
        </w:tc>
        <w:tc>
          <w:tcPr>
            <w:tcW w:w="532" w:type="pct"/>
            <w:vMerge/>
          </w:tcPr>
          <w:p w14:paraId="76E0FC67"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0400297"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22B02869" w14:textId="77777777" w:rsidR="00FE6BD7" w:rsidRPr="00EE4BD6" w:rsidRDefault="00FE6BD7" w:rsidP="00C81021">
            <w:pPr>
              <w:pStyle w:val="TableText"/>
            </w:pPr>
          </w:p>
        </w:tc>
      </w:tr>
      <w:tr w:rsidR="00FE6BD7" w:rsidRPr="00EE4BD6" w14:paraId="19E79D4C" w14:textId="77777777" w:rsidTr="00F97A1E">
        <w:trPr>
          <w:cantSplit/>
          <w:trHeight w:val="540"/>
        </w:trPr>
        <w:tc>
          <w:tcPr>
            <w:tcW w:w="436" w:type="pct"/>
            <w:vMerge/>
          </w:tcPr>
          <w:p w14:paraId="4EC78090" w14:textId="77777777" w:rsidR="00FE6BD7" w:rsidRPr="00EF587A" w:rsidRDefault="00FE6BD7" w:rsidP="00C81021">
            <w:pPr>
              <w:pStyle w:val="TableText"/>
            </w:pPr>
          </w:p>
        </w:tc>
        <w:tc>
          <w:tcPr>
            <w:tcW w:w="469" w:type="pct"/>
            <w:vMerge/>
          </w:tcPr>
          <w:p w14:paraId="569BF1D2" w14:textId="77777777" w:rsidR="00FE6BD7" w:rsidRPr="009A1DE7" w:rsidRDefault="00FE6BD7" w:rsidP="00C81021">
            <w:pPr>
              <w:pStyle w:val="TableText"/>
              <w:numPr>
                <w:ilvl w:val="0"/>
                <w:numId w:val="3"/>
              </w:numPr>
              <w:ind w:left="226" w:hanging="180"/>
            </w:pPr>
          </w:p>
        </w:tc>
        <w:tc>
          <w:tcPr>
            <w:tcW w:w="438" w:type="pct"/>
            <w:vMerge/>
          </w:tcPr>
          <w:p w14:paraId="3798F981" w14:textId="77777777" w:rsidR="00FE6BD7" w:rsidRPr="009A1DE7" w:rsidRDefault="00FE6BD7" w:rsidP="00C81021">
            <w:pPr>
              <w:pStyle w:val="TableText"/>
            </w:pPr>
          </w:p>
        </w:tc>
        <w:tc>
          <w:tcPr>
            <w:tcW w:w="688" w:type="pct"/>
            <w:vMerge/>
          </w:tcPr>
          <w:p w14:paraId="02A89924" w14:textId="77777777" w:rsidR="00FE6BD7" w:rsidRPr="009A1DE7" w:rsidRDefault="00FE6BD7" w:rsidP="00C81021">
            <w:pPr>
              <w:pStyle w:val="TableText"/>
            </w:pPr>
          </w:p>
        </w:tc>
        <w:tc>
          <w:tcPr>
            <w:tcW w:w="937" w:type="pct"/>
            <w:vMerge/>
          </w:tcPr>
          <w:p w14:paraId="1907B44D" w14:textId="77777777" w:rsidR="00FE6BD7" w:rsidRPr="009A1DE7" w:rsidRDefault="00FE6BD7" w:rsidP="00C81021">
            <w:pPr>
              <w:pStyle w:val="TableText"/>
            </w:pPr>
          </w:p>
        </w:tc>
        <w:tc>
          <w:tcPr>
            <w:tcW w:w="719" w:type="pct"/>
            <w:vMerge/>
          </w:tcPr>
          <w:p w14:paraId="579CA69F" w14:textId="77777777" w:rsidR="00FE6BD7" w:rsidRPr="009A1DE7" w:rsidRDefault="00FE6BD7" w:rsidP="00C81021">
            <w:pPr>
              <w:pStyle w:val="TableText"/>
            </w:pPr>
          </w:p>
        </w:tc>
        <w:tc>
          <w:tcPr>
            <w:tcW w:w="532" w:type="pct"/>
            <w:vMerge/>
          </w:tcPr>
          <w:p w14:paraId="2FB0F888"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33B39EC"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0229D546" w14:textId="77777777" w:rsidR="00FE6BD7" w:rsidRPr="00EE4BD6" w:rsidRDefault="00FE6BD7" w:rsidP="00C81021">
            <w:pPr>
              <w:pStyle w:val="TableText"/>
            </w:pPr>
          </w:p>
        </w:tc>
      </w:tr>
      <w:tr w:rsidR="00FE6BD7" w:rsidRPr="00EF587A" w14:paraId="0C2C14D4" w14:textId="77777777" w:rsidTr="00F97A1E">
        <w:trPr>
          <w:cantSplit/>
          <w:trHeight w:val="540"/>
        </w:trPr>
        <w:tc>
          <w:tcPr>
            <w:tcW w:w="436" w:type="pct"/>
            <w:vMerge/>
          </w:tcPr>
          <w:p w14:paraId="658A2F4C" w14:textId="77777777" w:rsidR="00FE6BD7" w:rsidRPr="00EF587A" w:rsidRDefault="00FE6BD7" w:rsidP="00C81021">
            <w:pPr>
              <w:pStyle w:val="TableText"/>
            </w:pPr>
          </w:p>
        </w:tc>
        <w:tc>
          <w:tcPr>
            <w:tcW w:w="469" w:type="pct"/>
            <w:vMerge/>
          </w:tcPr>
          <w:p w14:paraId="01455A6B" w14:textId="77777777" w:rsidR="00FE6BD7" w:rsidRPr="00EF587A" w:rsidRDefault="00FE6BD7" w:rsidP="00C81021">
            <w:pPr>
              <w:pStyle w:val="TableText"/>
            </w:pPr>
          </w:p>
        </w:tc>
        <w:tc>
          <w:tcPr>
            <w:tcW w:w="438" w:type="pct"/>
            <w:vMerge/>
          </w:tcPr>
          <w:p w14:paraId="5CAA6C3F" w14:textId="77777777" w:rsidR="00FE6BD7" w:rsidRPr="00EF587A" w:rsidRDefault="00FE6BD7" w:rsidP="00C81021">
            <w:pPr>
              <w:pStyle w:val="TableText"/>
            </w:pPr>
          </w:p>
        </w:tc>
        <w:tc>
          <w:tcPr>
            <w:tcW w:w="688" w:type="pct"/>
            <w:vMerge/>
          </w:tcPr>
          <w:p w14:paraId="1107A1A1" w14:textId="77777777" w:rsidR="00FE6BD7" w:rsidRPr="00EF587A" w:rsidRDefault="00FE6BD7" w:rsidP="00C81021">
            <w:pPr>
              <w:pStyle w:val="TableText"/>
            </w:pPr>
          </w:p>
        </w:tc>
        <w:tc>
          <w:tcPr>
            <w:tcW w:w="937" w:type="pct"/>
            <w:vMerge/>
          </w:tcPr>
          <w:p w14:paraId="6CD05C47" w14:textId="77777777" w:rsidR="00FE6BD7" w:rsidRPr="00EF587A" w:rsidRDefault="00FE6BD7" w:rsidP="00C81021">
            <w:pPr>
              <w:pStyle w:val="TableText"/>
            </w:pPr>
          </w:p>
        </w:tc>
        <w:tc>
          <w:tcPr>
            <w:tcW w:w="719" w:type="pct"/>
            <w:vMerge/>
          </w:tcPr>
          <w:p w14:paraId="1070F1E1" w14:textId="77777777" w:rsidR="00FE6BD7" w:rsidRPr="00EF587A" w:rsidRDefault="00FE6BD7" w:rsidP="00C81021">
            <w:pPr>
              <w:pStyle w:val="TableText"/>
            </w:pPr>
          </w:p>
        </w:tc>
        <w:tc>
          <w:tcPr>
            <w:tcW w:w="532" w:type="pct"/>
            <w:vMerge/>
          </w:tcPr>
          <w:p w14:paraId="57FBEF5F" w14:textId="77777777" w:rsidR="00FE6BD7" w:rsidRPr="00EF587A" w:rsidRDefault="00FE6BD7" w:rsidP="00C81021">
            <w:pPr>
              <w:pStyle w:val="TableText"/>
            </w:pPr>
          </w:p>
        </w:tc>
        <w:tc>
          <w:tcPr>
            <w:tcW w:w="345" w:type="pct"/>
            <w:shd w:val="clear" w:color="auto" w:fill="F2F2F2" w:themeFill="background1" w:themeFillShade="F2"/>
          </w:tcPr>
          <w:p w14:paraId="771AF6E9"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607F3BF5" w14:textId="77777777" w:rsidR="00FE6BD7" w:rsidRPr="00EF587A" w:rsidRDefault="00FE6BD7" w:rsidP="00C81021">
            <w:pPr>
              <w:pStyle w:val="TableText"/>
            </w:pPr>
          </w:p>
        </w:tc>
      </w:tr>
    </w:tbl>
    <w:p w14:paraId="16AFD6EE" w14:textId="131DDDE3" w:rsidR="00174671" w:rsidRDefault="00174671" w:rsidP="00174671">
      <w:pPr>
        <w:pStyle w:val="BodyText"/>
        <w:spacing w:after="240"/>
      </w:pPr>
    </w:p>
    <w:p w14:paraId="1AAA1130" w14:textId="77777777" w:rsidR="00953EAD" w:rsidRDefault="00953EAD" w:rsidP="000F3D09">
      <w:pPr>
        <w:pStyle w:val="BodyText"/>
      </w:pPr>
    </w:p>
    <w:p w14:paraId="5F9CE3E6" w14:textId="5C2F38FC" w:rsidR="000F3D09" w:rsidRDefault="000F3D09" w:rsidP="00E560A3">
      <w:pPr>
        <w:sectPr w:rsidR="000F3D09" w:rsidSect="00AC2560">
          <w:pgSz w:w="15840" w:h="12240" w:orient="landscape"/>
          <w:pgMar w:top="1440" w:right="1440" w:bottom="1440" w:left="1440" w:header="360" w:footer="360" w:gutter="0"/>
          <w:cols w:space="720"/>
          <w:docGrid w:linePitch="299"/>
        </w:sectPr>
      </w:pPr>
    </w:p>
    <w:p w14:paraId="66BD5D1B" w14:textId="73632FF3" w:rsidR="00FC1A9D" w:rsidRDefault="00F514DD" w:rsidP="00FF7D88">
      <w:pPr>
        <w:pStyle w:val="Heading1"/>
      </w:pPr>
      <w:bookmarkStart w:id="21" w:name="_bookmark7"/>
      <w:bookmarkStart w:id="22" w:name="_Toc135416589"/>
      <w:bookmarkStart w:id="23" w:name="_Toc135416654"/>
      <w:bookmarkStart w:id="24" w:name="_Toc146183249"/>
      <w:bookmarkEnd w:id="21"/>
      <w:r>
        <w:lastRenderedPageBreak/>
        <w:t>Monthly Clinic Closeout Duties</w:t>
      </w:r>
      <w:bookmarkEnd w:id="22"/>
      <w:bookmarkEnd w:id="23"/>
      <w:bookmarkEnd w:id="24"/>
    </w:p>
    <w:p w14:paraId="406A880C" w14:textId="757E8835" w:rsidR="00C2272C" w:rsidRDefault="000F3D09" w:rsidP="000F3D09">
      <w:pPr>
        <w:pStyle w:val="BodyText"/>
        <w:spacing w:after="240"/>
      </w:pPr>
      <w:bookmarkStart w:id="25" w:name="_bookmark8"/>
      <w:bookmarkEnd w:id="25"/>
      <w:r w:rsidRPr="000F3D09">
        <w:t xml:space="preserve">The </w:t>
      </w:r>
      <w:r w:rsidR="00F976D7">
        <w:t xml:space="preserve">Monthly </w:t>
      </w:r>
      <w:r w:rsidR="00F976D7" w:rsidRPr="00912847">
        <w:t xml:space="preserve">Clinic Closeout Duties </w:t>
      </w:r>
      <w:r w:rsidR="00F976D7">
        <w:t>checklist</w:t>
      </w:r>
      <w:r w:rsidR="00F976D7" w:rsidRPr="00912847">
        <w:t xml:space="preserve"> </w:t>
      </w:r>
      <w:r w:rsidR="00F976D7">
        <w:t xml:space="preserve">is </w:t>
      </w:r>
      <w:r w:rsidR="00F976D7" w:rsidRPr="00912847">
        <w:t>a comprehensive list of</w:t>
      </w:r>
      <w:r w:rsidRPr="000F3D09">
        <w:t xml:space="preserve"> checks and balances to ensure the accuracy of entries recorded within Dentrix Enterprise</w:t>
      </w:r>
      <w:r w:rsidR="00F976D7">
        <w:t xml:space="preserve"> and</w:t>
      </w:r>
      <w:r w:rsidRPr="000F3D09">
        <w:t xml:space="preserve"> allow </w:t>
      </w:r>
      <w:r w:rsidR="00F976D7">
        <w:t xml:space="preserve">the </w:t>
      </w:r>
      <w:r w:rsidRPr="000F3D09">
        <w:t>tracking and review</w:t>
      </w:r>
      <w:r w:rsidR="00F976D7">
        <w:t>ing</w:t>
      </w:r>
      <w:r w:rsidRPr="000F3D09">
        <w:t xml:space="preserve"> of internal key performance indicators. </w:t>
      </w:r>
      <w:bookmarkStart w:id="26" w:name="_bookmark13"/>
      <w:bookmarkEnd w:id="14"/>
      <w:bookmarkEnd w:id="26"/>
      <w:r w:rsidR="00C2272C">
        <w:t>Each table of the checklist provides details for performing a task. To complete the task’s objective, use the</w:t>
      </w:r>
      <w:r w:rsidR="00C2272C" w:rsidRPr="00912847">
        <w:t xml:space="preserve"> suggested report filters</w:t>
      </w:r>
      <w:r w:rsidR="00C2272C">
        <w:t xml:space="preserve">, </w:t>
      </w:r>
      <w:r w:rsidR="00C2272C" w:rsidRPr="00912847">
        <w:t>review</w:t>
      </w:r>
      <w:r w:rsidR="00C2272C">
        <w:t xml:space="preserve"> the report</w:t>
      </w:r>
      <w:r w:rsidR="00C2272C" w:rsidRPr="00912847">
        <w:t xml:space="preserve">, </w:t>
      </w:r>
      <w:r w:rsidR="00C2272C">
        <w:t>be aware of any</w:t>
      </w:r>
      <w:r w:rsidR="00C2272C" w:rsidRPr="00912847">
        <w:t xml:space="preserve"> dependencies</w:t>
      </w:r>
      <w:r w:rsidR="00C2272C">
        <w:t>, and take actions or make</w:t>
      </w:r>
      <w:r w:rsidR="00C2272C" w:rsidRPr="00912847">
        <w:t xml:space="preserve"> corrections if</w:t>
      </w:r>
      <w:r w:rsidR="00C2272C">
        <w:t xml:space="preserve"> </w:t>
      </w:r>
      <w:r w:rsidR="00C2272C" w:rsidRPr="00912847">
        <w:t xml:space="preserve">the report does not yield the expected result. </w:t>
      </w:r>
      <w:r w:rsidR="00C2272C">
        <w:t>To record the task’s completion,</w:t>
      </w:r>
      <w:r w:rsidR="00C2272C" w:rsidRPr="00912847">
        <w:t xml:space="preserve"> enter the review date, your name, recommended actions, target date</w:t>
      </w:r>
      <w:r w:rsidR="00C2272C">
        <w:t>,</w:t>
      </w:r>
      <w:r w:rsidR="00C2272C" w:rsidRPr="00912847">
        <w:t xml:space="preserve"> and completion date.</w:t>
      </w:r>
    </w:p>
    <w:tbl>
      <w:tblPr>
        <w:tblStyle w:val="TableGrid"/>
        <w:tblW w:w="14400" w:type="dxa"/>
        <w:tblInd w:w="-7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1255"/>
        <w:gridCol w:w="1351"/>
        <w:gridCol w:w="1261"/>
        <w:gridCol w:w="2517"/>
        <w:gridCol w:w="2163"/>
        <w:gridCol w:w="2071"/>
        <w:gridCol w:w="1532"/>
        <w:gridCol w:w="994"/>
        <w:gridCol w:w="1256"/>
      </w:tblGrid>
      <w:tr w:rsidR="00FE6BD7" w:rsidRPr="00EE4BD6" w14:paraId="7A9D635F" w14:textId="77777777" w:rsidTr="00F97A1E">
        <w:trPr>
          <w:cantSplit/>
          <w:tblHeader/>
        </w:trPr>
        <w:tc>
          <w:tcPr>
            <w:tcW w:w="436" w:type="pct"/>
            <w:vAlign w:val="center"/>
          </w:tcPr>
          <w:p w14:paraId="0ACD1B51" w14:textId="77777777" w:rsidR="00FE6BD7" w:rsidRPr="00912847" w:rsidRDefault="00FE6BD7" w:rsidP="00C81021">
            <w:pPr>
              <w:pStyle w:val="TableText"/>
              <w:jc w:val="center"/>
              <w:rPr>
                <w:b/>
                <w:bCs/>
              </w:rPr>
            </w:pPr>
            <w:r w:rsidRPr="00435784">
              <w:rPr>
                <w:b/>
                <w:bCs/>
              </w:rPr>
              <w:t>Checklist Task / Report</w:t>
            </w:r>
          </w:p>
        </w:tc>
        <w:tc>
          <w:tcPr>
            <w:tcW w:w="469" w:type="pct"/>
            <w:vAlign w:val="center"/>
          </w:tcPr>
          <w:p w14:paraId="799DB09D" w14:textId="77777777" w:rsidR="00FE6BD7" w:rsidRPr="00912847" w:rsidRDefault="00FE6BD7" w:rsidP="00C81021">
            <w:pPr>
              <w:pStyle w:val="TableText"/>
              <w:jc w:val="center"/>
              <w:rPr>
                <w:b/>
                <w:bCs/>
              </w:rPr>
            </w:pPr>
            <w:r w:rsidRPr="00912847">
              <w:rPr>
                <w:b/>
                <w:bCs/>
              </w:rPr>
              <w:t>Suggested Report Filters</w:t>
            </w:r>
          </w:p>
        </w:tc>
        <w:tc>
          <w:tcPr>
            <w:tcW w:w="438" w:type="pct"/>
            <w:vAlign w:val="center"/>
          </w:tcPr>
          <w:p w14:paraId="318D6E19" w14:textId="77777777" w:rsidR="00FE6BD7" w:rsidRPr="00912847" w:rsidRDefault="00FE6BD7" w:rsidP="00C81021">
            <w:pPr>
              <w:pStyle w:val="TableText"/>
              <w:jc w:val="center"/>
              <w:rPr>
                <w:b/>
                <w:bCs/>
              </w:rPr>
            </w:pPr>
            <w:r w:rsidRPr="00912847">
              <w:rPr>
                <w:b/>
                <w:bCs/>
              </w:rPr>
              <w:t>Intent / Responsibility</w:t>
            </w:r>
          </w:p>
        </w:tc>
        <w:tc>
          <w:tcPr>
            <w:tcW w:w="874" w:type="pct"/>
            <w:vAlign w:val="center"/>
          </w:tcPr>
          <w:p w14:paraId="19C580B0" w14:textId="77777777" w:rsidR="00FE6BD7" w:rsidRPr="00912847" w:rsidRDefault="00FE6BD7" w:rsidP="00C81021">
            <w:pPr>
              <w:pStyle w:val="TableText"/>
              <w:jc w:val="center"/>
              <w:rPr>
                <w:b/>
                <w:bCs/>
              </w:rPr>
            </w:pPr>
            <w:r w:rsidRPr="00912847">
              <w:rPr>
                <w:b/>
                <w:bCs/>
              </w:rPr>
              <w:t>Objective</w:t>
            </w:r>
          </w:p>
        </w:tc>
        <w:tc>
          <w:tcPr>
            <w:tcW w:w="751" w:type="pct"/>
            <w:vAlign w:val="center"/>
          </w:tcPr>
          <w:p w14:paraId="48E69DFA" w14:textId="77777777" w:rsidR="00FE6BD7" w:rsidRPr="00912847" w:rsidRDefault="00FE6BD7" w:rsidP="00C81021">
            <w:pPr>
              <w:pStyle w:val="TableText"/>
              <w:jc w:val="center"/>
              <w:rPr>
                <w:b/>
                <w:bCs/>
              </w:rPr>
            </w:pPr>
            <w:r w:rsidRPr="00912847">
              <w:rPr>
                <w:b/>
                <w:bCs/>
              </w:rPr>
              <w:t>Dependencies and Possible Actions or Corrections Needed to Meet Objective</w:t>
            </w:r>
          </w:p>
        </w:tc>
        <w:tc>
          <w:tcPr>
            <w:tcW w:w="719" w:type="pct"/>
            <w:vAlign w:val="center"/>
          </w:tcPr>
          <w:p w14:paraId="524768F2" w14:textId="77777777" w:rsidR="00FE6BD7" w:rsidRPr="009A1DE7" w:rsidRDefault="00FE6BD7" w:rsidP="00C81021">
            <w:pPr>
              <w:pStyle w:val="TableText"/>
              <w:jc w:val="center"/>
            </w:pPr>
            <w:r w:rsidRPr="00912847">
              <w:rPr>
                <w:b/>
                <w:bCs/>
              </w:rPr>
              <w:t>Warning</w:t>
            </w:r>
          </w:p>
          <w:p w14:paraId="1891DFB0" w14:textId="77777777" w:rsidR="00FE6BD7" w:rsidRPr="009A1DE7" w:rsidRDefault="00FE6BD7" w:rsidP="00C81021">
            <w:pPr>
              <w:pStyle w:val="TableText"/>
              <w:jc w:val="center"/>
            </w:pPr>
            <w:r w:rsidRPr="009A1DE7">
              <w:rPr>
                <w:i/>
                <w:iCs/>
              </w:rPr>
              <w:t>Not following the recommendations may yield the</w:t>
            </w:r>
            <w:r>
              <w:rPr>
                <w:i/>
                <w:iCs/>
              </w:rPr>
              <w:t>se</w:t>
            </w:r>
            <w:r w:rsidRPr="009A1DE7">
              <w:rPr>
                <w:i/>
                <w:iCs/>
              </w:rPr>
              <w:t xml:space="preserve"> unintended results.</w:t>
            </w:r>
          </w:p>
        </w:tc>
        <w:tc>
          <w:tcPr>
            <w:tcW w:w="532" w:type="pct"/>
            <w:vAlign w:val="center"/>
          </w:tcPr>
          <w:p w14:paraId="2F3F1943" w14:textId="77777777" w:rsidR="00FE6BD7" w:rsidRPr="009A1DE7" w:rsidRDefault="00FE6BD7" w:rsidP="00C81021">
            <w:pPr>
              <w:pStyle w:val="TableText"/>
              <w:jc w:val="center"/>
            </w:pPr>
            <w:r w:rsidRPr="00912847">
              <w:rPr>
                <w:b/>
                <w:bCs/>
              </w:rPr>
              <w:t>References</w:t>
            </w:r>
          </w:p>
          <w:p w14:paraId="22B8ED44" w14:textId="77777777" w:rsidR="00FE6BD7" w:rsidRPr="009A1DE7" w:rsidRDefault="00FE6BD7" w:rsidP="00C81021">
            <w:pPr>
              <w:pStyle w:val="TableText"/>
              <w:jc w:val="center"/>
            </w:pPr>
            <w:r w:rsidRPr="009A1DE7">
              <w:rPr>
                <w:i/>
                <w:iCs/>
              </w:rPr>
              <w:t>An asterisk (*) denotes an external resource.</w:t>
            </w:r>
          </w:p>
        </w:tc>
        <w:tc>
          <w:tcPr>
            <w:tcW w:w="781" w:type="pct"/>
            <w:gridSpan w:val="2"/>
            <w:shd w:val="clear" w:color="auto" w:fill="F2F2F2" w:themeFill="background1" w:themeFillShade="F2"/>
            <w:vAlign w:val="center"/>
          </w:tcPr>
          <w:p w14:paraId="2B731FF2" w14:textId="77777777" w:rsidR="00FE6BD7" w:rsidRPr="00EF587A" w:rsidRDefault="00FE6BD7" w:rsidP="00C81021">
            <w:pPr>
              <w:pStyle w:val="TableText"/>
              <w:jc w:val="center"/>
              <w:rPr>
                <w:b/>
                <w:bCs/>
              </w:rPr>
            </w:pPr>
            <w:r w:rsidRPr="00EF587A">
              <w:rPr>
                <w:b/>
                <w:bCs/>
              </w:rPr>
              <w:t>Completion</w:t>
            </w:r>
          </w:p>
        </w:tc>
      </w:tr>
      <w:tr w:rsidR="00EB07D3" w:rsidRPr="00EE4BD6" w14:paraId="19510A9D" w14:textId="77777777" w:rsidTr="00F97A1E">
        <w:trPr>
          <w:cantSplit/>
          <w:trHeight w:val="826"/>
        </w:trPr>
        <w:tc>
          <w:tcPr>
            <w:tcW w:w="436" w:type="pct"/>
            <w:vMerge w:val="restart"/>
            <w:vAlign w:val="center"/>
          </w:tcPr>
          <w:p w14:paraId="02FA3943" w14:textId="1BD395C9" w:rsidR="00EB07D3" w:rsidRPr="00F77313" w:rsidRDefault="00EB07D3" w:rsidP="00EB07D3">
            <w:pPr>
              <w:pStyle w:val="TableText"/>
              <w:jc w:val="center"/>
              <w:rPr>
                <w:b/>
                <w:bCs/>
              </w:rPr>
            </w:pPr>
            <w:r w:rsidRPr="00EB07D3">
              <w:rPr>
                <w:b/>
                <w:bCs/>
              </w:rPr>
              <w:t>Aging/Credit Balance Report</w:t>
            </w:r>
          </w:p>
        </w:tc>
        <w:tc>
          <w:tcPr>
            <w:tcW w:w="469" w:type="pct"/>
            <w:vMerge w:val="restart"/>
          </w:tcPr>
          <w:p w14:paraId="54737BA8" w14:textId="1CC95977" w:rsidR="00EB07D3" w:rsidRPr="009A1DE7" w:rsidRDefault="00EB07D3" w:rsidP="00EB07D3">
            <w:pPr>
              <w:pStyle w:val="TableText"/>
              <w:numPr>
                <w:ilvl w:val="0"/>
                <w:numId w:val="3"/>
              </w:numPr>
              <w:ind w:left="226" w:hanging="180"/>
            </w:pPr>
            <w:r w:rsidRPr="00E71A8D">
              <w:t>Since the report parameters include the ability to specify individual Clinics and/or Providers, it is possible to reveal more targeted information.</w:t>
            </w:r>
          </w:p>
        </w:tc>
        <w:tc>
          <w:tcPr>
            <w:tcW w:w="438" w:type="pct"/>
            <w:vMerge w:val="restart"/>
          </w:tcPr>
          <w:p w14:paraId="6D5BBE56" w14:textId="7379E50C" w:rsidR="00EB07D3" w:rsidRPr="009A1DE7" w:rsidRDefault="00EB07D3" w:rsidP="00EB07D3">
            <w:pPr>
              <w:pStyle w:val="TableText"/>
            </w:pPr>
            <w:r w:rsidRPr="00E71A8D">
              <w:t xml:space="preserve">Dental Chief, CAC, </w:t>
            </w:r>
            <w:r>
              <w:t xml:space="preserve">or </w:t>
            </w:r>
            <w:r w:rsidRPr="00E71A8D">
              <w:t>Billing Manager</w:t>
            </w:r>
          </w:p>
        </w:tc>
        <w:tc>
          <w:tcPr>
            <w:tcW w:w="874" w:type="pct"/>
            <w:vMerge w:val="restart"/>
          </w:tcPr>
          <w:p w14:paraId="2654EDC1" w14:textId="77777777" w:rsidR="00EB07D3" w:rsidRDefault="00EB07D3" w:rsidP="00EB07D3">
            <w:pPr>
              <w:pStyle w:val="TableText"/>
              <w:keepNext/>
              <w:keepLines/>
            </w:pPr>
            <w:r>
              <w:t>This report provides complete Aged Accounts Receivable information and Credit Balances (i.e. insurance over payments or over adjustments displayed as Suspended Credits).  To identify guarantor/patient balances that may need attention due to:</w:t>
            </w:r>
          </w:p>
          <w:p w14:paraId="2331CA46" w14:textId="77777777" w:rsidR="00EB07D3" w:rsidRDefault="00EB07D3" w:rsidP="00EB07D3">
            <w:pPr>
              <w:pStyle w:val="TableText"/>
              <w:keepNext/>
              <w:keepLines/>
            </w:pPr>
            <w:r>
              <w:t>Non-Payment</w:t>
            </w:r>
          </w:p>
          <w:p w14:paraId="4829AC02" w14:textId="77777777" w:rsidR="00EB07D3" w:rsidRDefault="00EB07D3" w:rsidP="00EB07D3">
            <w:pPr>
              <w:pStyle w:val="TableText"/>
              <w:keepNext/>
              <w:keepLines/>
            </w:pPr>
            <w:r>
              <w:t>Suspended Credits</w:t>
            </w:r>
          </w:p>
          <w:p w14:paraId="73A1E612" w14:textId="01B894A2" w:rsidR="00EB07D3" w:rsidRPr="009A1DE7" w:rsidRDefault="00EB07D3" w:rsidP="00EB07D3">
            <w:pPr>
              <w:pStyle w:val="TableText"/>
            </w:pPr>
            <w:r>
              <w:t>Outstanding/Overdue Insurance Claims</w:t>
            </w:r>
          </w:p>
        </w:tc>
        <w:tc>
          <w:tcPr>
            <w:tcW w:w="751" w:type="pct"/>
            <w:vMerge w:val="restart"/>
          </w:tcPr>
          <w:p w14:paraId="212ABE68" w14:textId="77777777" w:rsidR="00EB07D3" w:rsidRDefault="00EB07D3" w:rsidP="00EB07D3">
            <w:pPr>
              <w:pStyle w:val="TableText"/>
              <w:keepNext/>
              <w:keepLines/>
              <w:numPr>
                <w:ilvl w:val="0"/>
                <w:numId w:val="2"/>
              </w:numPr>
              <w:ind w:left="232" w:hanging="180"/>
            </w:pPr>
            <w:r w:rsidRPr="00E71A8D">
              <w:t>Maintain fee schedules and insurance coverage to ensure proper patient responsibility.  Fees are being charged as procedures are completed.</w:t>
            </w:r>
          </w:p>
          <w:p w14:paraId="7FD74E0F" w14:textId="77777777" w:rsidR="00EB07D3" w:rsidRDefault="00EB07D3" w:rsidP="00EB07D3">
            <w:pPr>
              <w:pStyle w:val="TableText"/>
              <w:keepNext/>
              <w:keepLines/>
              <w:numPr>
                <w:ilvl w:val="0"/>
                <w:numId w:val="2"/>
              </w:numPr>
              <w:ind w:left="232" w:hanging="180"/>
            </w:pPr>
            <w:r w:rsidRPr="00E71A8D">
              <w:t>Collect patient responsibility at time of service.  Identify at risk accounts and accounts with credits - follow site internal guidelines for contact/additional action.</w:t>
            </w:r>
          </w:p>
          <w:p w14:paraId="01DA81BA" w14:textId="77777777" w:rsidR="00EB07D3" w:rsidRDefault="00EB07D3" w:rsidP="00EB07D3">
            <w:pPr>
              <w:pStyle w:val="TableText"/>
              <w:keepNext/>
              <w:keepLines/>
              <w:numPr>
                <w:ilvl w:val="0"/>
                <w:numId w:val="2"/>
              </w:numPr>
              <w:ind w:left="232" w:hanging="180"/>
            </w:pPr>
            <w:r w:rsidRPr="00E71A8D">
              <w:t>Needed corrections to posted transactions are being made on a daily basis, prior to insurance release.  Insurance claims are routinely processed to completion.</w:t>
            </w:r>
          </w:p>
          <w:p w14:paraId="2504320F" w14:textId="36AF5BD1" w:rsidR="00EB07D3" w:rsidRPr="009A1DE7" w:rsidRDefault="00EB07D3" w:rsidP="00EB07D3">
            <w:pPr>
              <w:pStyle w:val="TableText"/>
              <w:numPr>
                <w:ilvl w:val="0"/>
                <w:numId w:val="2"/>
              </w:numPr>
              <w:ind w:left="232" w:hanging="180"/>
            </w:pPr>
            <w:r w:rsidRPr="00E71A8D">
              <w:t>Month End Update is completed each month.</w:t>
            </w:r>
          </w:p>
        </w:tc>
        <w:tc>
          <w:tcPr>
            <w:tcW w:w="719" w:type="pct"/>
            <w:vMerge w:val="restart"/>
          </w:tcPr>
          <w:p w14:paraId="2D01241F" w14:textId="69FDAD62" w:rsidR="00EB07D3" w:rsidRPr="00EF587A" w:rsidRDefault="00EB07D3" w:rsidP="00EB07D3">
            <w:pPr>
              <w:pStyle w:val="TableText"/>
            </w:pPr>
            <w:r w:rsidRPr="00E71A8D">
              <w:t>Without this monthly review, aging balances and the reasons for the overdue state will not be identified and resolved.  Incorrect adjustments may not be recognized and corrected.  Not reviewing Aging/Credit Balance Report information by Clinic may allow specific site A/R issues to be overlooked and left unresolved.</w:t>
            </w:r>
          </w:p>
        </w:tc>
        <w:tc>
          <w:tcPr>
            <w:tcW w:w="532" w:type="pct"/>
            <w:vMerge w:val="restart"/>
          </w:tcPr>
          <w:p w14:paraId="219FF4D3" w14:textId="77777777" w:rsidR="00EB07D3" w:rsidRDefault="00EB07D3" w:rsidP="00EB07D3">
            <w:pPr>
              <w:pStyle w:val="TableText"/>
              <w:numPr>
                <w:ilvl w:val="0"/>
                <w:numId w:val="1"/>
              </w:numPr>
              <w:ind w:left="187" w:hanging="187"/>
            </w:pPr>
            <w:r w:rsidRPr="00E71A8D">
              <w:t>Revenue Cycle</w:t>
            </w:r>
          </w:p>
          <w:p w14:paraId="1FD3755B" w14:textId="10800F9B" w:rsidR="00EB07D3" w:rsidRPr="00EF587A" w:rsidRDefault="00EB07D3" w:rsidP="00EB07D3">
            <w:pPr>
              <w:pStyle w:val="TableText"/>
              <w:numPr>
                <w:ilvl w:val="0"/>
                <w:numId w:val="1"/>
              </w:numPr>
              <w:spacing w:after="0"/>
              <w:ind w:left="187" w:hanging="187"/>
            </w:pPr>
            <w:r w:rsidRPr="00E71A8D">
              <w:t>Reports Reference</w:t>
            </w:r>
            <w:r>
              <w:t>*</w:t>
            </w:r>
          </w:p>
        </w:tc>
        <w:tc>
          <w:tcPr>
            <w:tcW w:w="345" w:type="pct"/>
            <w:shd w:val="clear" w:color="auto" w:fill="F2F2F2" w:themeFill="background1" w:themeFillShade="F2"/>
          </w:tcPr>
          <w:p w14:paraId="0E49F176" w14:textId="77777777" w:rsidR="00EB07D3" w:rsidRPr="00EE4BD6" w:rsidRDefault="00EB07D3" w:rsidP="00EB07D3">
            <w:pPr>
              <w:pStyle w:val="TableText"/>
            </w:pPr>
            <w:r w:rsidRPr="001F26DF">
              <w:t>Date Reviewed</w:t>
            </w:r>
            <w:r>
              <w:t>:</w:t>
            </w:r>
          </w:p>
        </w:tc>
        <w:tc>
          <w:tcPr>
            <w:tcW w:w="436" w:type="pct"/>
            <w:shd w:val="clear" w:color="auto" w:fill="F2F2F2" w:themeFill="background1" w:themeFillShade="F2"/>
          </w:tcPr>
          <w:p w14:paraId="45C107B2" w14:textId="77777777" w:rsidR="00EB07D3" w:rsidRPr="00EE4BD6" w:rsidRDefault="00EB07D3" w:rsidP="00EB07D3">
            <w:pPr>
              <w:pStyle w:val="TableText"/>
            </w:pPr>
          </w:p>
        </w:tc>
      </w:tr>
      <w:tr w:rsidR="00FE6BD7" w:rsidRPr="00EE4BD6" w14:paraId="06A3D27F" w14:textId="77777777" w:rsidTr="00F97A1E">
        <w:trPr>
          <w:cantSplit/>
          <w:trHeight w:val="826"/>
        </w:trPr>
        <w:tc>
          <w:tcPr>
            <w:tcW w:w="436" w:type="pct"/>
            <w:vMerge/>
          </w:tcPr>
          <w:p w14:paraId="5510DF6F" w14:textId="77777777" w:rsidR="00FE6BD7" w:rsidRPr="00EF587A" w:rsidRDefault="00FE6BD7" w:rsidP="00C81021">
            <w:pPr>
              <w:pStyle w:val="TableText"/>
            </w:pPr>
          </w:p>
        </w:tc>
        <w:tc>
          <w:tcPr>
            <w:tcW w:w="469" w:type="pct"/>
            <w:vMerge/>
          </w:tcPr>
          <w:p w14:paraId="03587A39" w14:textId="77777777" w:rsidR="00FE6BD7" w:rsidRPr="009A1DE7" w:rsidRDefault="00FE6BD7" w:rsidP="00C81021">
            <w:pPr>
              <w:pStyle w:val="TableText"/>
              <w:numPr>
                <w:ilvl w:val="0"/>
                <w:numId w:val="3"/>
              </w:numPr>
              <w:ind w:left="226" w:hanging="180"/>
            </w:pPr>
          </w:p>
        </w:tc>
        <w:tc>
          <w:tcPr>
            <w:tcW w:w="438" w:type="pct"/>
            <w:vMerge/>
          </w:tcPr>
          <w:p w14:paraId="74558876" w14:textId="77777777" w:rsidR="00FE6BD7" w:rsidRPr="009A1DE7" w:rsidRDefault="00FE6BD7" w:rsidP="00C81021">
            <w:pPr>
              <w:pStyle w:val="TableText"/>
            </w:pPr>
          </w:p>
        </w:tc>
        <w:tc>
          <w:tcPr>
            <w:tcW w:w="874" w:type="pct"/>
            <w:vMerge/>
          </w:tcPr>
          <w:p w14:paraId="10611A12" w14:textId="77777777" w:rsidR="00FE6BD7" w:rsidRPr="009A1DE7" w:rsidRDefault="00FE6BD7" w:rsidP="00C81021">
            <w:pPr>
              <w:pStyle w:val="TableText"/>
            </w:pPr>
          </w:p>
        </w:tc>
        <w:tc>
          <w:tcPr>
            <w:tcW w:w="751" w:type="pct"/>
            <w:vMerge/>
          </w:tcPr>
          <w:p w14:paraId="7831DA1C" w14:textId="77777777" w:rsidR="00FE6BD7" w:rsidRPr="009A1DE7" w:rsidRDefault="00FE6BD7" w:rsidP="00C81021">
            <w:pPr>
              <w:pStyle w:val="TableText"/>
            </w:pPr>
          </w:p>
        </w:tc>
        <w:tc>
          <w:tcPr>
            <w:tcW w:w="719" w:type="pct"/>
            <w:vMerge/>
          </w:tcPr>
          <w:p w14:paraId="2B895F81" w14:textId="77777777" w:rsidR="00FE6BD7" w:rsidRPr="009A1DE7" w:rsidRDefault="00FE6BD7" w:rsidP="00C81021">
            <w:pPr>
              <w:pStyle w:val="TableText"/>
            </w:pPr>
          </w:p>
        </w:tc>
        <w:tc>
          <w:tcPr>
            <w:tcW w:w="532" w:type="pct"/>
            <w:vMerge/>
          </w:tcPr>
          <w:p w14:paraId="5021B11A"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7941919"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4793A814" w14:textId="77777777" w:rsidR="00FE6BD7" w:rsidRPr="00EE4BD6" w:rsidRDefault="00FE6BD7" w:rsidP="00C81021">
            <w:pPr>
              <w:pStyle w:val="TableText"/>
            </w:pPr>
          </w:p>
        </w:tc>
      </w:tr>
      <w:tr w:rsidR="00FE6BD7" w:rsidRPr="00EE4BD6" w14:paraId="3D7273B7" w14:textId="77777777" w:rsidTr="00F97A1E">
        <w:trPr>
          <w:cantSplit/>
          <w:trHeight w:val="826"/>
        </w:trPr>
        <w:tc>
          <w:tcPr>
            <w:tcW w:w="436" w:type="pct"/>
            <w:vMerge/>
          </w:tcPr>
          <w:p w14:paraId="55CF13B3" w14:textId="77777777" w:rsidR="00FE6BD7" w:rsidRPr="00EF587A" w:rsidRDefault="00FE6BD7" w:rsidP="00C81021">
            <w:pPr>
              <w:pStyle w:val="TableText"/>
            </w:pPr>
          </w:p>
        </w:tc>
        <w:tc>
          <w:tcPr>
            <w:tcW w:w="469" w:type="pct"/>
            <w:vMerge/>
          </w:tcPr>
          <w:p w14:paraId="04339166" w14:textId="77777777" w:rsidR="00FE6BD7" w:rsidRPr="009A1DE7" w:rsidRDefault="00FE6BD7" w:rsidP="00C81021">
            <w:pPr>
              <w:pStyle w:val="TableText"/>
              <w:numPr>
                <w:ilvl w:val="0"/>
                <w:numId w:val="3"/>
              </w:numPr>
              <w:ind w:left="226" w:hanging="180"/>
            </w:pPr>
          </w:p>
        </w:tc>
        <w:tc>
          <w:tcPr>
            <w:tcW w:w="438" w:type="pct"/>
            <w:vMerge/>
          </w:tcPr>
          <w:p w14:paraId="495DA196" w14:textId="77777777" w:rsidR="00FE6BD7" w:rsidRPr="009A1DE7" w:rsidRDefault="00FE6BD7" w:rsidP="00C81021">
            <w:pPr>
              <w:pStyle w:val="TableText"/>
            </w:pPr>
          </w:p>
        </w:tc>
        <w:tc>
          <w:tcPr>
            <w:tcW w:w="874" w:type="pct"/>
            <w:vMerge/>
          </w:tcPr>
          <w:p w14:paraId="280CE5CA" w14:textId="77777777" w:rsidR="00FE6BD7" w:rsidRPr="009A1DE7" w:rsidRDefault="00FE6BD7" w:rsidP="00C81021">
            <w:pPr>
              <w:pStyle w:val="TableText"/>
            </w:pPr>
          </w:p>
        </w:tc>
        <w:tc>
          <w:tcPr>
            <w:tcW w:w="751" w:type="pct"/>
            <w:vMerge/>
          </w:tcPr>
          <w:p w14:paraId="11D8383F" w14:textId="77777777" w:rsidR="00FE6BD7" w:rsidRPr="009A1DE7" w:rsidRDefault="00FE6BD7" w:rsidP="00C81021">
            <w:pPr>
              <w:pStyle w:val="TableText"/>
            </w:pPr>
          </w:p>
        </w:tc>
        <w:tc>
          <w:tcPr>
            <w:tcW w:w="719" w:type="pct"/>
            <w:vMerge/>
          </w:tcPr>
          <w:p w14:paraId="2EF295C4" w14:textId="77777777" w:rsidR="00FE6BD7" w:rsidRPr="009A1DE7" w:rsidRDefault="00FE6BD7" w:rsidP="00C81021">
            <w:pPr>
              <w:pStyle w:val="TableText"/>
            </w:pPr>
          </w:p>
        </w:tc>
        <w:tc>
          <w:tcPr>
            <w:tcW w:w="532" w:type="pct"/>
            <w:vMerge/>
          </w:tcPr>
          <w:p w14:paraId="2B68419E"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9AA13D4"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6CC78627" w14:textId="77777777" w:rsidR="00FE6BD7" w:rsidRPr="00EE4BD6" w:rsidRDefault="00FE6BD7" w:rsidP="00C81021">
            <w:pPr>
              <w:pStyle w:val="TableText"/>
            </w:pPr>
          </w:p>
        </w:tc>
      </w:tr>
      <w:tr w:rsidR="00FE6BD7" w:rsidRPr="00EE4BD6" w14:paraId="2F8AB53A" w14:textId="77777777" w:rsidTr="00F97A1E">
        <w:trPr>
          <w:cantSplit/>
          <w:trHeight w:val="826"/>
        </w:trPr>
        <w:tc>
          <w:tcPr>
            <w:tcW w:w="436" w:type="pct"/>
            <w:vMerge/>
          </w:tcPr>
          <w:p w14:paraId="6ACDFC89" w14:textId="77777777" w:rsidR="00FE6BD7" w:rsidRPr="00EF587A" w:rsidRDefault="00FE6BD7" w:rsidP="00C81021">
            <w:pPr>
              <w:pStyle w:val="TableText"/>
            </w:pPr>
          </w:p>
        </w:tc>
        <w:tc>
          <w:tcPr>
            <w:tcW w:w="469" w:type="pct"/>
            <w:vMerge/>
          </w:tcPr>
          <w:p w14:paraId="7B5DF16D" w14:textId="77777777" w:rsidR="00FE6BD7" w:rsidRPr="009A1DE7" w:rsidRDefault="00FE6BD7" w:rsidP="00C81021">
            <w:pPr>
              <w:pStyle w:val="TableText"/>
              <w:numPr>
                <w:ilvl w:val="0"/>
                <w:numId w:val="3"/>
              </w:numPr>
              <w:ind w:left="226" w:hanging="180"/>
            </w:pPr>
          </w:p>
        </w:tc>
        <w:tc>
          <w:tcPr>
            <w:tcW w:w="438" w:type="pct"/>
            <w:vMerge/>
          </w:tcPr>
          <w:p w14:paraId="5E03E4E5" w14:textId="77777777" w:rsidR="00FE6BD7" w:rsidRPr="009A1DE7" w:rsidRDefault="00FE6BD7" w:rsidP="00C81021">
            <w:pPr>
              <w:pStyle w:val="TableText"/>
            </w:pPr>
          </w:p>
        </w:tc>
        <w:tc>
          <w:tcPr>
            <w:tcW w:w="874" w:type="pct"/>
            <w:vMerge/>
          </w:tcPr>
          <w:p w14:paraId="56712099" w14:textId="77777777" w:rsidR="00FE6BD7" w:rsidRPr="009A1DE7" w:rsidRDefault="00FE6BD7" w:rsidP="00C81021">
            <w:pPr>
              <w:pStyle w:val="TableText"/>
            </w:pPr>
          </w:p>
        </w:tc>
        <w:tc>
          <w:tcPr>
            <w:tcW w:w="751" w:type="pct"/>
            <w:vMerge/>
          </w:tcPr>
          <w:p w14:paraId="4CFC6DA4" w14:textId="77777777" w:rsidR="00FE6BD7" w:rsidRPr="009A1DE7" w:rsidRDefault="00FE6BD7" w:rsidP="00C81021">
            <w:pPr>
              <w:pStyle w:val="TableText"/>
            </w:pPr>
          </w:p>
        </w:tc>
        <w:tc>
          <w:tcPr>
            <w:tcW w:w="719" w:type="pct"/>
            <w:vMerge/>
          </w:tcPr>
          <w:p w14:paraId="0B07012D" w14:textId="77777777" w:rsidR="00FE6BD7" w:rsidRPr="009A1DE7" w:rsidRDefault="00FE6BD7" w:rsidP="00C81021">
            <w:pPr>
              <w:pStyle w:val="TableText"/>
            </w:pPr>
          </w:p>
        </w:tc>
        <w:tc>
          <w:tcPr>
            <w:tcW w:w="532" w:type="pct"/>
            <w:vMerge/>
          </w:tcPr>
          <w:p w14:paraId="26C4D199"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7A9A189"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71A7057E" w14:textId="77777777" w:rsidR="00FE6BD7" w:rsidRPr="00EE4BD6" w:rsidRDefault="00FE6BD7" w:rsidP="00C81021">
            <w:pPr>
              <w:pStyle w:val="TableText"/>
            </w:pPr>
          </w:p>
        </w:tc>
      </w:tr>
      <w:tr w:rsidR="00FE6BD7" w:rsidRPr="00EE4BD6" w14:paraId="3ABA3C0A" w14:textId="77777777" w:rsidTr="00F97A1E">
        <w:trPr>
          <w:cantSplit/>
          <w:trHeight w:val="827"/>
        </w:trPr>
        <w:tc>
          <w:tcPr>
            <w:tcW w:w="436" w:type="pct"/>
            <w:vMerge/>
          </w:tcPr>
          <w:p w14:paraId="77572EAF" w14:textId="77777777" w:rsidR="00FE6BD7" w:rsidRPr="00EF587A" w:rsidRDefault="00FE6BD7" w:rsidP="00C81021">
            <w:pPr>
              <w:pStyle w:val="TableText"/>
            </w:pPr>
          </w:p>
        </w:tc>
        <w:tc>
          <w:tcPr>
            <w:tcW w:w="469" w:type="pct"/>
            <w:vMerge/>
          </w:tcPr>
          <w:p w14:paraId="66A6EDC0" w14:textId="77777777" w:rsidR="00FE6BD7" w:rsidRPr="00EF587A" w:rsidRDefault="00FE6BD7" w:rsidP="00C81021">
            <w:pPr>
              <w:pStyle w:val="TableText"/>
            </w:pPr>
          </w:p>
        </w:tc>
        <w:tc>
          <w:tcPr>
            <w:tcW w:w="438" w:type="pct"/>
            <w:vMerge/>
          </w:tcPr>
          <w:p w14:paraId="2CFBDA75" w14:textId="77777777" w:rsidR="00FE6BD7" w:rsidRPr="00EF587A" w:rsidRDefault="00FE6BD7" w:rsidP="00C81021">
            <w:pPr>
              <w:pStyle w:val="TableText"/>
            </w:pPr>
          </w:p>
        </w:tc>
        <w:tc>
          <w:tcPr>
            <w:tcW w:w="874" w:type="pct"/>
            <w:vMerge/>
          </w:tcPr>
          <w:p w14:paraId="54F89012" w14:textId="77777777" w:rsidR="00FE6BD7" w:rsidRPr="00EF587A" w:rsidRDefault="00FE6BD7" w:rsidP="00C81021">
            <w:pPr>
              <w:pStyle w:val="TableText"/>
            </w:pPr>
          </w:p>
        </w:tc>
        <w:tc>
          <w:tcPr>
            <w:tcW w:w="751" w:type="pct"/>
            <w:vMerge/>
          </w:tcPr>
          <w:p w14:paraId="5EBBED03" w14:textId="77777777" w:rsidR="00FE6BD7" w:rsidRPr="00EF587A" w:rsidRDefault="00FE6BD7" w:rsidP="00C81021">
            <w:pPr>
              <w:pStyle w:val="TableText"/>
            </w:pPr>
          </w:p>
        </w:tc>
        <w:tc>
          <w:tcPr>
            <w:tcW w:w="719" w:type="pct"/>
            <w:vMerge/>
          </w:tcPr>
          <w:p w14:paraId="6A806A33" w14:textId="77777777" w:rsidR="00FE6BD7" w:rsidRPr="00EF587A" w:rsidRDefault="00FE6BD7" w:rsidP="00C81021">
            <w:pPr>
              <w:pStyle w:val="TableText"/>
            </w:pPr>
          </w:p>
        </w:tc>
        <w:tc>
          <w:tcPr>
            <w:tcW w:w="532" w:type="pct"/>
            <w:vMerge/>
          </w:tcPr>
          <w:p w14:paraId="5B7705C3" w14:textId="77777777" w:rsidR="00FE6BD7" w:rsidRPr="00EF587A" w:rsidRDefault="00FE6BD7" w:rsidP="00C81021">
            <w:pPr>
              <w:pStyle w:val="TableText"/>
            </w:pPr>
          </w:p>
        </w:tc>
        <w:tc>
          <w:tcPr>
            <w:tcW w:w="345" w:type="pct"/>
            <w:shd w:val="clear" w:color="auto" w:fill="F2F2F2" w:themeFill="background1" w:themeFillShade="F2"/>
          </w:tcPr>
          <w:p w14:paraId="0024DE83"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217904CF" w14:textId="77777777" w:rsidR="00FE6BD7" w:rsidRPr="00EF587A" w:rsidRDefault="00FE6BD7" w:rsidP="00C81021">
            <w:pPr>
              <w:pStyle w:val="TableText"/>
            </w:pPr>
          </w:p>
        </w:tc>
      </w:tr>
      <w:tr w:rsidR="00FE6BD7" w:rsidRPr="00EE4BD6" w14:paraId="6B9B0C75" w14:textId="77777777" w:rsidTr="00F97A1E">
        <w:trPr>
          <w:cantSplit/>
        </w:trPr>
        <w:tc>
          <w:tcPr>
            <w:tcW w:w="5000" w:type="pct"/>
            <w:gridSpan w:val="9"/>
            <w:shd w:val="clear" w:color="auto" w:fill="D9E2F3" w:themeFill="accent5" w:themeFillTint="33"/>
          </w:tcPr>
          <w:p w14:paraId="159E0E66" w14:textId="77777777" w:rsidR="00FE6BD7" w:rsidRPr="00ED339A" w:rsidRDefault="00FE6BD7" w:rsidP="00C81021">
            <w:pPr>
              <w:pStyle w:val="TableText"/>
              <w:rPr>
                <w:sz w:val="8"/>
                <w:szCs w:val="8"/>
              </w:rPr>
            </w:pPr>
          </w:p>
        </w:tc>
      </w:tr>
      <w:tr w:rsidR="00EB07D3" w:rsidRPr="00EE4BD6" w14:paraId="1BB2B8EC" w14:textId="77777777" w:rsidTr="00F97A1E">
        <w:trPr>
          <w:cantSplit/>
          <w:trHeight w:val="560"/>
        </w:trPr>
        <w:tc>
          <w:tcPr>
            <w:tcW w:w="436" w:type="pct"/>
            <w:vMerge w:val="restart"/>
            <w:vAlign w:val="center"/>
          </w:tcPr>
          <w:p w14:paraId="3639E78E" w14:textId="6AEAA06C" w:rsidR="00EB07D3" w:rsidRPr="00F77313" w:rsidRDefault="00EB07D3" w:rsidP="00EB07D3">
            <w:pPr>
              <w:pStyle w:val="TableText"/>
              <w:pageBreakBefore/>
              <w:jc w:val="center"/>
              <w:rPr>
                <w:b/>
                <w:bCs/>
              </w:rPr>
            </w:pPr>
            <w:r w:rsidRPr="00EB07D3">
              <w:rPr>
                <w:b/>
                <w:bCs/>
              </w:rPr>
              <w:lastRenderedPageBreak/>
              <w:t>Insurance Claims Aging Report</w:t>
            </w:r>
          </w:p>
        </w:tc>
        <w:tc>
          <w:tcPr>
            <w:tcW w:w="469" w:type="pct"/>
            <w:vMerge w:val="restart"/>
          </w:tcPr>
          <w:p w14:paraId="66750096" w14:textId="5179A266" w:rsidR="00EB07D3" w:rsidRPr="009A1DE7" w:rsidRDefault="00EB07D3" w:rsidP="00EB07D3">
            <w:pPr>
              <w:pStyle w:val="TableText"/>
              <w:numPr>
                <w:ilvl w:val="0"/>
                <w:numId w:val="3"/>
              </w:numPr>
              <w:ind w:left="226" w:hanging="180"/>
            </w:pPr>
            <w:r w:rsidRPr="00E71A8D">
              <w:t>Since the report parameters include the ability to specify individual Clinics and/or Carriers it is possible to reveal more targeted information</w:t>
            </w:r>
            <w:r>
              <w:t>.</w:t>
            </w:r>
          </w:p>
        </w:tc>
        <w:tc>
          <w:tcPr>
            <w:tcW w:w="438" w:type="pct"/>
            <w:vMerge w:val="restart"/>
          </w:tcPr>
          <w:p w14:paraId="31A457B4" w14:textId="4257F3E7" w:rsidR="00EB07D3" w:rsidRPr="009A1DE7" w:rsidRDefault="00EB07D3" w:rsidP="00EB07D3">
            <w:pPr>
              <w:pStyle w:val="TableText"/>
            </w:pPr>
            <w:r w:rsidRPr="00E71A8D">
              <w:t>CAC / Billing Manager</w:t>
            </w:r>
          </w:p>
        </w:tc>
        <w:tc>
          <w:tcPr>
            <w:tcW w:w="874" w:type="pct"/>
            <w:vMerge w:val="restart"/>
          </w:tcPr>
          <w:p w14:paraId="08C56CBC" w14:textId="4334BE62" w:rsidR="00EB07D3" w:rsidRPr="009A1DE7" w:rsidRDefault="00EB07D3" w:rsidP="00EB07D3">
            <w:pPr>
              <w:pStyle w:val="TableText"/>
            </w:pPr>
            <w:r w:rsidRPr="00E71A8D">
              <w:t xml:space="preserve">This report displays each insurance carrier with outstanding claims along with aged insurance estimates based on the claim sent date.  Reviewing the information </w:t>
            </w:r>
            <w:proofErr w:type="gramStart"/>
            <w:r w:rsidRPr="00E71A8D">
              <w:t>on</w:t>
            </w:r>
            <w:proofErr w:type="gramEnd"/>
            <w:r w:rsidRPr="00E71A8D">
              <w:t xml:space="preserve"> this report allows follow-up on delayed claims.  Through further research of the aged claim, the user will discover what needs to be done to expedite processing so that the claim can be paid/adjudicated.</w:t>
            </w:r>
          </w:p>
        </w:tc>
        <w:tc>
          <w:tcPr>
            <w:tcW w:w="751" w:type="pct"/>
            <w:vMerge w:val="restart"/>
          </w:tcPr>
          <w:p w14:paraId="59788ACB" w14:textId="77777777" w:rsidR="00EB07D3" w:rsidRDefault="00EB07D3" w:rsidP="00EB07D3">
            <w:pPr>
              <w:pStyle w:val="TableText"/>
              <w:keepNext/>
              <w:keepLines/>
              <w:numPr>
                <w:ilvl w:val="0"/>
                <w:numId w:val="2"/>
              </w:numPr>
              <w:ind w:left="232" w:hanging="180"/>
            </w:pPr>
            <w:r w:rsidRPr="00E71A8D">
              <w:t xml:space="preserve">Fees are being charged and claims billing processed in the EDR and via </w:t>
            </w:r>
            <w:proofErr w:type="spellStart"/>
            <w:r w:rsidRPr="00E71A8D">
              <w:t>eServices</w:t>
            </w:r>
            <w:proofErr w:type="spellEnd"/>
            <w:r w:rsidRPr="00E71A8D">
              <w:t>/eClaims.</w:t>
            </w:r>
          </w:p>
          <w:p w14:paraId="18E921B2" w14:textId="00717BBF" w:rsidR="00EB07D3" w:rsidRPr="009A1DE7" w:rsidRDefault="00EB07D3" w:rsidP="00EB07D3">
            <w:pPr>
              <w:pStyle w:val="TableText"/>
              <w:numPr>
                <w:ilvl w:val="0"/>
                <w:numId w:val="2"/>
              </w:numPr>
              <w:ind w:left="232" w:hanging="180"/>
            </w:pPr>
            <w:r w:rsidRPr="00E71A8D">
              <w:rPr>
                <w:u w:val="single"/>
              </w:rPr>
              <w:t>Ledger</w:t>
            </w:r>
            <w:r w:rsidRPr="00E71A8D">
              <w:t>:  Generate a claim to be added to the list.  Reconcile the claim to remove it.</w:t>
            </w:r>
          </w:p>
        </w:tc>
        <w:tc>
          <w:tcPr>
            <w:tcW w:w="719" w:type="pct"/>
            <w:vMerge w:val="restart"/>
          </w:tcPr>
          <w:p w14:paraId="42BE6263" w14:textId="5123C393" w:rsidR="00EB07D3" w:rsidRPr="00EF587A" w:rsidRDefault="00EB07D3" w:rsidP="00EB07D3">
            <w:pPr>
              <w:pStyle w:val="TableText"/>
            </w:pPr>
            <w:r w:rsidRPr="00E71A8D">
              <w:t>Without review of this report, insurance claims that need attention in some way will not be recognized and receipt of revenue will be delayed.</w:t>
            </w:r>
          </w:p>
        </w:tc>
        <w:tc>
          <w:tcPr>
            <w:tcW w:w="532" w:type="pct"/>
            <w:vMerge w:val="restart"/>
          </w:tcPr>
          <w:p w14:paraId="1EC95292" w14:textId="77777777" w:rsidR="00EB07D3" w:rsidRDefault="00EB07D3" w:rsidP="00EB07D3">
            <w:pPr>
              <w:pStyle w:val="TableText"/>
              <w:numPr>
                <w:ilvl w:val="0"/>
                <w:numId w:val="1"/>
              </w:numPr>
              <w:ind w:left="187" w:hanging="187"/>
            </w:pPr>
            <w:r w:rsidRPr="00E71A8D">
              <w:t>Revenue Cycle</w:t>
            </w:r>
          </w:p>
          <w:p w14:paraId="1CD136B3" w14:textId="2C7170E0" w:rsidR="00EB07D3" w:rsidRPr="00EF587A" w:rsidRDefault="00EB07D3" w:rsidP="00EB07D3">
            <w:pPr>
              <w:pStyle w:val="TableText"/>
              <w:numPr>
                <w:ilvl w:val="0"/>
                <w:numId w:val="1"/>
              </w:numPr>
              <w:spacing w:after="0"/>
              <w:ind w:left="187" w:hanging="187"/>
            </w:pPr>
            <w:r w:rsidRPr="00E71A8D">
              <w:t>Reports Reference</w:t>
            </w:r>
            <w:r>
              <w:t>*</w:t>
            </w:r>
          </w:p>
        </w:tc>
        <w:tc>
          <w:tcPr>
            <w:tcW w:w="345" w:type="pct"/>
            <w:shd w:val="clear" w:color="auto" w:fill="F2F2F2" w:themeFill="background1" w:themeFillShade="F2"/>
          </w:tcPr>
          <w:p w14:paraId="212C367D" w14:textId="77777777" w:rsidR="00EB07D3" w:rsidRPr="00EE4BD6" w:rsidRDefault="00EB07D3" w:rsidP="00EB07D3">
            <w:pPr>
              <w:pStyle w:val="TableText"/>
            </w:pPr>
            <w:r w:rsidRPr="001F26DF">
              <w:t>Date Reviewed</w:t>
            </w:r>
            <w:r>
              <w:t>:</w:t>
            </w:r>
          </w:p>
        </w:tc>
        <w:tc>
          <w:tcPr>
            <w:tcW w:w="436" w:type="pct"/>
            <w:shd w:val="clear" w:color="auto" w:fill="F2F2F2" w:themeFill="background1" w:themeFillShade="F2"/>
          </w:tcPr>
          <w:p w14:paraId="38331B7F" w14:textId="77777777" w:rsidR="00EB07D3" w:rsidRPr="00EE4BD6" w:rsidRDefault="00EB07D3" w:rsidP="00EB07D3">
            <w:pPr>
              <w:pStyle w:val="TableText"/>
            </w:pPr>
          </w:p>
        </w:tc>
      </w:tr>
      <w:tr w:rsidR="00FE6BD7" w:rsidRPr="00EE4BD6" w14:paraId="2EF17495" w14:textId="77777777" w:rsidTr="00F97A1E">
        <w:trPr>
          <w:cantSplit/>
          <w:trHeight w:val="560"/>
        </w:trPr>
        <w:tc>
          <w:tcPr>
            <w:tcW w:w="436" w:type="pct"/>
            <w:vMerge/>
          </w:tcPr>
          <w:p w14:paraId="326CEAC9" w14:textId="77777777" w:rsidR="00FE6BD7" w:rsidRPr="00EF587A" w:rsidRDefault="00FE6BD7" w:rsidP="00C81021">
            <w:pPr>
              <w:pStyle w:val="TableText"/>
            </w:pPr>
          </w:p>
        </w:tc>
        <w:tc>
          <w:tcPr>
            <w:tcW w:w="469" w:type="pct"/>
            <w:vMerge/>
          </w:tcPr>
          <w:p w14:paraId="1777EB93" w14:textId="77777777" w:rsidR="00FE6BD7" w:rsidRPr="009A1DE7" w:rsidRDefault="00FE6BD7" w:rsidP="00C81021">
            <w:pPr>
              <w:pStyle w:val="TableText"/>
              <w:numPr>
                <w:ilvl w:val="0"/>
                <w:numId w:val="3"/>
              </w:numPr>
              <w:ind w:left="226" w:hanging="180"/>
            </w:pPr>
          </w:p>
        </w:tc>
        <w:tc>
          <w:tcPr>
            <w:tcW w:w="438" w:type="pct"/>
            <w:vMerge/>
          </w:tcPr>
          <w:p w14:paraId="6E9535F9" w14:textId="77777777" w:rsidR="00FE6BD7" w:rsidRPr="009A1DE7" w:rsidRDefault="00FE6BD7" w:rsidP="00C81021">
            <w:pPr>
              <w:pStyle w:val="TableText"/>
            </w:pPr>
          </w:p>
        </w:tc>
        <w:tc>
          <w:tcPr>
            <w:tcW w:w="874" w:type="pct"/>
            <w:vMerge/>
          </w:tcPr>
          <w:p w14:paraId="6D448DE9" w14:textId="77777777" w:rsidR="00FE6BD7" w:rsidRPr="009A1DE7" w:rsidRDefault="00FE6BD7" w:rsidP="00C81021">
            <w:pPr>
              <w:pStyle w:val="TableText"/>
            </w:pPr>
          </w:p>
        </w:tc>
        <w:tc>
          <w:tcPr>
            <w:tcW w:w="751" w:type="pct"/>
            <w:vMerge/>
          </w:tcPr>
          <w:p w14:paraId="7A05189B" w14:textId="77777777" w:rsidR="00FE6BD7" w:rsidRPr="009A1DE7" w:rsidRDefault="00FE6BD7" w:rsidP="00C81021">
            <w:pPr>
              <w:pStyle w:val="TableText"/>
            </w:pPr>
          </w:p>
        </w:tc>
        <w:tc>
          <w:tcPr>
            <w:tcW w:w="719" w:type="pct"/>
            <w:vMerge/>
          </w:tcPr>
          <w:p w14:paraId="308DE0FB" w14:textId="77777777" w:rsidR="00FE6BD7" w:rsidRPr="009A1DE7" w:rsidRDefault="00FE6BD7" w:rsidP="00C81021">
            <w:pPr>
              <w:pStyle w:val="TableText"/>
            </w:pPr>
          </w:p>
        </w:tc>
        <w:tc>
          <w:tcPr>
            <w:tcW w:w="532" w:type="pct"/>
            <w:vMerge/>
          </w:tcPr>
          <w:p w14:paraId="4DFCBB99"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73B5C22F"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1EE76A9B" w14:textId="77777777" w:rsidR="00FE6BD7" w:rsidRPr="00EE4BD6" w:rsidRDefault="00FE6BD7" w:rsidP="00C81021">
            <w:pPr>
              <w:pStyle w:val="TableText"/>
            </w:pPr>
          </w:p>
        </w:tc>
      </w:tr>
      <w:tr w:rsidR="00FE6BD7" w:rsidRPr="00EE4BD6" w14:paraId="26B4CBC9" w14:textId="77777777" w:rsidTr="00F97A1E">
        <w:trPr>
          <w:cantSplit/>
          <w:trHeight w:val="560"/>
        </w:trPr>
        <w:tc>
          <w:tcPr>
            <w:tcW w:w="436" w:type="pct"/>
            <w:vMerge/>
          </w:tcPr>
          <w:p w14:paraId="00123B6B" w14:textId="77777777" w:rsidR="00FE6BD7" w:rsidRPr="00EF587A" w:rsidRDefault="00FE6BD7" w:rsidP="00C81021">
            <w:pPr>
              <w:pStyle w:val="TableText"/>
            </w:pPr>
          </w:p>
        </w:tc>
        <w:tc>
          <w:tcPr>
            <w:tcW w:w="469" w:type="pct"/>
            <w:vMerge/>
          </w:tcPr>
          <w:p w14:paraId="567E2FB1" w14:textId="77777777" w:rsidR="00FE6BD7" w:rsidRPr="009A1DE7" w:rsidRDefault="00FE6BD7" w:rsidP="00C81021">
            <w:pPr>
              <w:pStyle w:val="TableText"/>
              <w:numPr>
                <w:ilvl w:val="0"/>
                <w:numId w:val="3"/>
              </w:numPr>
              <w:ind w:left="226" w:hanging="180"/>
            </w:pPr>
          </w:p>
        </w:tc>
        <w:tc>
          <w:tcPr>
            <w:tcW w:w="438" w:type="pct"/>
            <w:vMerge/>
          </w:tcPr>
          <w:p w14:paraId="41F87F81" w14:textId="77777777" w:rsidR="00FE6BD7" w:rsidRPr="009A1DE7" w:rsidRDefault="00FE6BD7" w:rsidP="00C81021">
            <w:pPr>
              <w:pStyle w:val="TableText"/>
            </w:pPr>
          </w:p>
        </w:tc>
        <w:tc>
          <w:tcPr>
            <w:tcW w:w="874" w:type="pct"/>
            <w:vMerge/>
          </w:tcPr>
          <w:p w14:paraId="7540560C" w14:textId="77777777" w:rsidR="00FE6BD7" w:rsidRPr="009A1DE7" w:rsidRDefault="00FE6BD7" w:rsidP="00C81021">
            <w:pPr>
              <w:pStyle w:val="TableText"/>
            </w:pPr>
          </w:p>
        </w:tc>
        <w:tc>
          <w:tcPr>
            <w:tcW w:w="751" w:type="pct"/>
            <w:vMerge/>
          </w:tcPr>
          <w:p w14:paraId="4031F090" w14:textId="77777777" w:rsidR="00FE6BD7" w:rsidRPr="009A1DE7" w:rsidRDefault="00FE6BD7" w:rsidP="00C81021">
            <w:pPr>
              <w:pStyle w:val="TableText"/>
            </w:pPr>
          </w:p>
        </w:tc>
        <w:tc>
          <w:tcPr>
            <w:tcW w:w="719" w:type="pct"/>
            <w:vMerge/>
          </w:tcPr>
          <w:p w14:paraId="56E694DC" w14:textId="77777777" w:rsidR="00FE6BD7" w:rsidRPr="009A1DE7" w:rsidRDefault="00FE6BD7" w:rsidP="00C81021">
            <w:pPr>
              <w:pStyle w:val="TableText"/>
            </w:pPr>
          </w:p>
        </w:tc>
        <w:tc>
          <w:tcPr>
            <w:tcW w:w="532" w:type="pct"/>
            <w:vMerge/>
          </w:tcPr>
          <w:p w14:paraId="66E99FE0"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2BA73A0E"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496AF138" w14:textId="77777777" w:rsidR="00FE6BD7" w:rsidRPr="00EE4BD6" w:rsidRDefault="00FE6BD7" w:rsidP="00C81021">
            <w:pPr>
              <w:pStyle w:val="TableText"/>
            </w:pPr>
          </w:p>
        </w:tc>
      </w:tr>
      <w:tr w:rsidR="00FE6BD7" w:rsidRPr="00EE4BD6" w14:paraId="5EC27CFA" w14:textId="77777777" w:rsidTr="00F97A1E">
        <w:trPr>
          <w:cantSplit/>
          <w:trHeight w:val="560"/>
        </w:trPr>
        <w:tc>
          <w:tcPr>
            <w:tcW w:w="436" w:type="pct"/>
            <w:vMerge/>
          </w:tcPr>
          <w:p w14:paraId="00FA9AB7" w14:textId="77777777" w:rsidR="00FE6BD7" w:rsidRPr="00EF587A" w:rsidRDefault="00FE6BD7" w:rsidP="00C81021">
            <w:pPr>
              <w:pStyle w:val="TableText"/>
            </w:pPr>
          </w:p>
        </w:tc>
        <w:tc>
          <w:tcPr>
            <w:tcW w:w="469" w:type="pct"/>
            <w:vMerge/>
          </w:tcPr>
          <w:p w14:paraId="290E16E7" w14:textId="77777777" w:rsidR="00FE6BD7" w:rsidRPr="009A1DE7" w:rsidRDefault="00FE6BD7" w:rsidP="00C81021">
            <w:pPr>
              <w:pStyle w:val="TableText"/>
              <w:numPr>
                <w:ilvl w:val="0"/>
                <w:numId w:val="3"/>
              </w:numPr>
              <w:ind w:left="226" w:hanging="180"/>
            </w:pPr>
          </w:p>
        </w:tc>
        <w:tc>
          <w:tcPr>
            <w:tcW w:w="438" w:type="pct"/>
            <w:vMerge/>
          </w:tcPr>
          <w:p w14:paraId="1C916D25" w14:textId="77777777" w:rsidR="00FE6BD7" w:rsidRPr="009A1DE7" w:rsidRDefault="00FE6BD7" w:rsidP="00C81021">
            <w:pPr>
              <w:pStyle w:val="TableText"/>
            </w:pPr>
          </w:p>
        </w:tc>
        <w:tc>
          <w:tcPr>
            <w:tcW w:w="874" w:type="pct"/>
            <w:vMerge/>
          </w:tcPr>
          <w:p w14:paraId="1214DF87" w14:textId="77777777" w:rsidR="00FE6BD7" w:rsidRPr="009A1DE7" w:rsidRDefault="00FE6BD7" w:rsidP="00C81021">
            <w:pPr>
              <w:pStyle w:val="TableText"/>
            </w:pPr>
          </w:p>
        </w:tc>
        <w:tc>
          <w:tcPr>
            <w:tcW w:w="751" w:type="pct"/>
            <w:vMerge/>
          </w:tcPr>
          <w:p w14:paraId="45CFE6EB" w14:textId="77777777" w:rsidR="00FE6BD7" w:rsidRPr="009A1DE7" w:rsidRDefault="00FE6BD7" w:rsidP="00C81021">
            <w:pPr>
              <w:pStyle w:val="TableText"/>
            </w:pPr>
          </w:p>
        </w:tc>
        <w:tc>
          <w:tcPr>
            <w:tcW w:w="719" w:type="pct"/>
            <w:vMerge/>
          </w:tcPr>
          <w:p w14:paraId="53DA8F49" w14:textId="77777777" w:rsidR="00FE6BD7" w:rsidRPr="009A1DE7" w:rsidRDefault="00FE6BD7" w:rsidP="00C81021">
            <w:pPr>
              <w:pStyle w:val="TableText"/>
            </w:pPr>
          </w:p>
        </w:tc>
        <w:tc>
          <w:tcPr>
            <w:tcW w:w="532" w:type="pct"/>
            <w:vMerge/>
          </w:tcPr>
          <w:p w14:paraId="02B7D7D0"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1DEF671"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41A12984" w14:textId="77777777" w:rsidR="00FE6BD7" w:rsidRPr="00EE4BD6" w:rsidRDefault="00FE6BD7" w:rsidP="00C81021">
            <w:pPr>
              <w:pStyle w:val="TableText"/>
            </w:pPr>
          </w:p>
        </w:tc>
      </w:tr>
      <w:tr w:rsidR="00FE6BD7" w:rsidRPr="00EF587A" w14:paraId="71B57972" w14:textId="77777777" w:rsidTr="00F97A1E">
        <w:trPr>
          <w:cantSplit/>
          <w:trHeight w:val="560"/>
        </w:trPr>
        <w:tc>
          <w:tcPr>
            <w:tcW w:w="436" w:type="pct"/>
            <w:vMerge/>
          </w:tcPr>
          <w:p w14:paraId="66415C5C" w14:textId="77777777" w:rsidR="00FE6BD7" w:rsidRPr="00EF587A" w:rsidRDefault="00FE6BD7" w:rsidP="00C81021">
            <w:pPr>
              <w:pStyle w:val="TableText"/>
            </w:pPr>
          </w:p>
        </w:tc>
        <w:tc>
          <w:tcPr>
            <w:tcW w:w="469" w:type="pct"/>
            <w:vMerge/>
          </w:tcPr>
          <w:p w14:paraId="74811195" w14:textId="77777777" w:rsidR="00FE6BD7" w:rsidRPr="00EF587A" w:rsidRDefault="00FE6BD7" w:rsidP="00C81021">
            <w:pPr>
              <w:pStyle w:val="TableText"/>
            </w:pPr>
          </w:p>
        </w:tc>
        <w:tc>
          <w:tcPr>
            <w:tcW w:w="438" w:type="pct"/>
            <w:vMerge/>
          </w:tcPr>
          <w:p w14:paraId="168C6B01" w14:textId="77777777" w:rsidR="00FE6BD7" w:rsidRPr="00EF587A" w:rsidRDefault="00FE6BD7" w:rsidP="00C81021">
            <w:pPr>
              <w:pStyle w:val="TableText"/>
            </w:pPr>
          </w:p>
        </w:tc>
        <w:tc>
          <w:tcPr>
            <w:tcW w:w="874" w:type="pct"/>
            <w:vMerge/>
          </w:tcPr>
          <w:p w14:paraId="23F1D22B" w14:textId="77777777" w:rsidR="00FE6BD7" w:rsidRPr="00EF587A" w:rsidRDefault="00FE6BD7" w:rsidP="00C81021">
            <w:pPr>
              <w:pStyle w:val="TableText"/>
            </w:pPr>
          </w:p>
        </w:tc>
        <w:tc>
          <w:tcPr>
            <w:tcW w:w="751" w:type="pct"/>
            <w:vMerge/>
          </w:tcPr>
          <w:p w14:paraId="0F187612" w14:textId="77777777" w:rsidR="00FE6BD7" w:rsidRPr="00EF587A" w:rsidRDefault="00FE6BD7" w:rsidP="00C81021">
            <w:pPr>
              <w:pStyle w:val="TableText"/>
            </w:pPr>
          </w:p>
        </w:tc>
        <w:tc>
          <w:tcPr>
            <w:tcW w:w="719" w:type="pct"/>
            <w:vMerge/>
          </w:tcPr>
          <w:p w14:paraId="387637BA" w14:textId="77777777" w:rsidR="00FE6BD7" w:rsidRPr="00EF587A" w:rsidRDefault="00FE6BD7" w:rsidP="00C81021">
            <w:pPr>
              <w:pStyle w:val="TableText"/>
            </w:pPr>
          </w:p>
        </w:tc>
        <w:tc>
          <w:tcPr>
            <w:tcW w:w="532" w:type="pct"/>
            <w:vMerge/>
          </w:tcPr>
          <w:p w14:paraId="2A44B456" w14:textId="77777777" w:rsidR="00FE6BD7" w:rsidRPr="00EF587A" w:rsidRDefault="00FE6BD7" w:rsidP="00C81021">
            <w:pPr>
              <w:pStyle w:val="TableText"/>
            </w:pPr>
          </w:p>
        </w:tc>
        <w:tc>
          <w:tcPr>
            <w:tcW w:w="345" w:type="pct"/>
            <w:shd w:val="clear" w:color="auto" w:fill="F2F2F2" w:themeFill="background1" w:themeFillShade="F2"/>
          </w:tcPr>
          <w:p w14:paraId="28C711F3"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78084E6C" w14:textId="77777777" w:rsidR="00FE6BD7" w:rsidRPr="00EF587A" w:rsidRDefault="00FE6BD7" w:rsidP="00C81021">
            <w:pPr>
              <w:pStyle w:val="TableText"/>
            </w:pPr>
          </w:p>
        </w:tc>
      </w:tr>
      <w:tr w:rsidR="00FE6BD7" w:rsidRPr="00EE4BD6" w14:paraId="736EB33F" w14:textId="77777777" w:rsidTr="00F97A1E">
        <w:trPr>
          <w:cantSplit/>
        </w:trPr>
        <w:tc>
          <w:tcPr>
            <w:tcW w:w="5000" w:type="pct"/>
            <w:gridSpan w:val="9"/>
            <w:shd w:val="clear" w:color="auto" w:fill="D9E2F3" w:themeFill="accent5" w:themeFillTint="33"/>
          </w:tcPr>
          <w:p w14:paraId="5A010020" w14:textId="77777777" w:rsidR="00FE6BD7" w:rsidRPr="00ED339A" w:rsidRDefault="00FE6BD7" w:rsidP="00C81021">
            <w:pPr>
              <w:pStyle w:val="TableText"/>
              <w:rPr>
                <w:sz w:val="8"/>
                <w:szCs w:val="8"/>
              </w:rPr>
            </w:pPr>
          </w:p>
        </w:tc>
      </w:tr>
      <w:tr w:rsidR="00EB07D3" w:rsidRPr="00EE4BD6" w14:paraId="346E8F4C" w14:textId="77777777" w:rsidTr="00F97A1E">
        <w:trPr>
          <w:cantSplit/>
          <w:trHeight w:val="444"/>
        </w:trPr>
        <w:tc>
          <w:tcPr>
            <w:tcW w:w="436" w:type="pct"/>
            <w:vMerge w:val="restart"/>
            <w:vAlign w:val="center"/>
          </w:tcPr>
          <w:p w14:paraId="78DF801A" w14:textId="079D1A4E" w:rsidR="00EB07D3" w:rsidRPr="00F77313" w:rsidRDefault="00EB07D3" w:rsidP="00EB07D3">
            <w:pPr>
              <w:pStyle w:val="TableText"/>
              <w:jc w:val="center"/>
              <w:rPr>
                <w:b/>
                <w:bCs/>
              </w:rPr>
            </w:pPr>
            <w:r w:rsidRPr="00EB07D3">
              <w:rPr>
                <w:b/>
                <w:bCs/>
              </w:rPr>
              <w:t>Billing Statements</w:t>
            </w:r>
          </w:p>
        </w:tc>
        <w:tc>
          <w:tcPr>
            <w:tcW w:w="469" w:type="pct"/>
            <w:vMerge w:val="restart"/>
          </w:tcPr>
          <w:p w14:paraId="31426E57" w14:textId="49CC93D9" w:rsidR="00EB07D3" w:rsidRPr="009A1DE7" w:rsidRDefault="00EB07D3" w:rsidP="00EB07D3">
            <w:pPr>
              <w:pStyle w:val="TableText"/>
              <w:numPr>
                <w:ilvl w:val="0"/>
                <w:numId w:val="3"/>
              </w:numPr>
              <w:ind w:left="226" w:hanging="180"/>
            </w:pPr>
            <w:r w:rsidRPr="00E71A8D">
              <w:t>Since the report parameters include the ability to specify individual Billing Types it is possible to reveal more targeted information.</w:t>
            </w:r>
          </w:p>
        </w:tc>
        <w:tc>
          <w:tcPr>
            <w:tcW w:w="438" w:type="pct"/>
            <w:vMerge w:val="restart"/>
          </w:tcPr>
          <w:p w14:paraId="5C8FD40C" w14:textId="4850CDD7" w:rsidR="00EB07D3" w:rsidRPr="009A1DE7" w:rsidRDefault="00EB07D3" w:rsidP="00EB07D3">
            <w:pPr>
              <w:pStyle w:val="TableText"/>
            </w:pPr>
            <w:r w:rsidRPr="00E71A8D">
              <w:t>Billing</w:t>
            </w:r>
          </w:p>
        </w:tc>
        <w:tc>
          <w:tcPr>
            <w:tcW w:w="874" w:type="pct"/>
            <w:vMerge w:val="restart"/>
          </w:tcPr>
          <w:p w14:paraId="14C6C566" w14:textId="5EF57B0F" w:rsidR="00EB07D3" w:rsidRPr="009A1DE7" w:rsidRDefault="00EB07D3" w:rsidP="00EB07D3">
            <w:pPr>
              <w:pStyle w:val="TableText"/>
            </w:pPr>
            <w:r w:rsidRPr="00E71A8D">
              <w:t>Billing Statements are generated to present a patient with services that have been rendered and any balance that has remained unpaid.</w:t>
            </w:r>
          </w:p>
        </w:tc>
        <w:tc>
          <w:tcPr>
            <w:tcW w:w="751" w:type="pct"/>
            <w:vMerge w:val="restart"/>
          </w:tcPr>
          <w:p w14:paraId="0A7ED302" w14:textId="77777777" w:rsidR="00EB07D3" w:rsidRDefault="00EB07D3" w:rsidP="00EB07D3">
            <w:pPr>
              <w:pStyle w:val="TableText"/>
              <w:keepNext/>
              <w:keepLines/>
              <w:numPr>
                <w:ilvl w:val="0"/>
                <w:numId w:val="2"/>
              </w:numPr>
              <w:ind w:left="232" w:hanging="180"/>
            </w:pPr>
            <w:r w:rsidRPr="00E71A8D">
              <w:rPr>
                <w:u w:val="single"/>
              </w:rPr>
              <w:t>Office Manager</w:t>
            </w:r>
            <w:r w:rsidRPr="00E71A8D">
              <w:t>:  Filters are used to focus on balances that are overdue and collectible.</w:t>
            </w:r>
          </w:p>
          <w:p w14:paraId="3E719E10" w14:textId="77777777" w:rsidR="00EB07D3" w:rsidRDefault="00EB07D3" w:rsidP="00EB07D3">
            <w:pPr>
              <w:pStyle w:val="TableText"/>
              <w:keepNext/>
              <w:keepLines/>
              <w:numPr>
                <w:ilvl w:val="0"/>
                <w:numId w:val="2"/>
              </w:numPr>
              <w:ind w:left="232" w:hanging="180"/>
            </w:pPr>
            <w:r w:rsidRPr="00E71A8D">
              <w:rPr>
                <w:u w:val="single"/>
              </w:rPr>
              <w:t>Ledger</w:t>
            </w:r>
            <w:r w:rsidRPr="00E71A8D">
              <w:t>:  Proper allocation of payments.</w:t>
            </w:r>
          </w:p>
          <w:p w14:paraId="288FA941" w14:textId="27C99758" w:rsidR="00EB07D3" w:rsidRPr="009A1DE7" w:rsidRDefault="00EB07D3" w:rsidP="00EB07D3">
            <w:pPr>
              <w:pStyle w:val="TableText"/>
              <w:numPr>
                <w:ilvl w:val="0"/>
                <w:numId w:val="2"/>
              </w:numPr>
              <w:ind w:left="232" w:hanging="180"/>
            </w:pPr>
            <w:r w:rsidRPr="00E71A8D">
              <w:rPr>
                <w:u w:val="single"/>
              </w:rPr>
              <w:t>DXOne</w:t>
            </w:r>
            <w:r>
              <w:rPr>
                <w:u w:val="single"/>
              </w:rPr>
              <w:t xml:space="preserve"> Reporting</w:t>
            </w:r>
            <w:r w:rsidRPr="00E71A8D">
              <w:t>:  Reviewing aging and suspended credit report prior to running billing statements to ensure accuracy of patient balances.</w:t>
            </w:r>
          </w:p>
        </w:tc>
        <w:tc>
          <w:tcPr>
            <w:tcW w:w="719" w:type="pct"/>
            <w:vMerge w:val="restart"/>
          </w:tcPr>
          <w:p w14:paraId="2A5CFC3B" w14:textId="7BFFCD4C" w:rsidR="00EB07D3" w:rsidRPr="00EF587A" w:rsidRDefault="00EB07D3" w:rsidP="00EB07D3">
            <w:pPr>
              <w:pStyle w:val="TableText"/>
            </w:pPr>
            <w:r w:rsidRPr="00E71A8D">
              <w:t>Managing revenue cycle processes within Dentrix Enterprise ensures patient accounts are reviewed for unpaid balances.  Generation of billing statements enables the opportunity to communicate balances owed on accounts following treatment and insurance payments</w:t>
            </w:r>
            <w:r>
              <w:t>.</w:t>
            </w:r>
          </w:p>
        </w:tc>
        <w:tc>
          <w:tcPr>
            <w:tcW w:w="532" w:type="pct"/>
            <w:vMerge w:val="restart"/>
          </w:tcPr>
          <w:p w14:paraId="30316A3F" w14:textId="77777777" w:rsidR="00EB07D3" w:rsidRDefault="00EB07D3" w:rsidP="00EB07D3">
            <w:pPr>
              <w:pStyle w:val="TableText"/>
              <w:numPr>
                <w:ilvl w:val="0"/>
                <w:numId w:val="1"/>
              </w:numPr>
              <w:ind w:left="187" w:hanging="187"/>
            </w:pPr>
            <w:r w:rsidRPr="00E71A8D">
              <w:t>Revenue Cycle</w:t>
            </w:r>
          </w:p>
          <w:p w14:paraId="4C452033" w14:textId="72C5C647" w:rsidR="00EB07D3" w:rsidRPr="00EF587A" w:rsidRDefault="00EB07D3" w:rsidP="00EB07D3">
            <w:pPr>
              <w:pStyle w:val="TableText"/>
              <w:numPr>
                <w:ilvl w:val="0"/>
                <w:numId w:val="1"/>
              </w:numPr>
              <w:spacing w:after="0"/>
              <w:ind w:left="187" w:hanging="187"/>
            </w:pPr>
            <w:r w:rsidRPr="00E71A8D">
              <w:t>Reports Reference</w:t>
            </w:r>
            <w:r>
              <w:t>*</w:t>
            </w:r>
          </w:p>
        </w:tc>
        <w:tc>
          <w:tcPr>
            <w:tcW w:w="345" w:type="pct"/>
            <w:shd w:val="clear" w:color="auto" w:fill="F2F2F2" w:themeFill="background1" w:themeFillShade="F2"/>
          </w:tcPr>
          <w:p w14:paraId="12F12A48" w14:textId="77777777" w:rsidR="00EB07D3" w:rsidRPr="00EE4BD6" w:rsidRDefault="00EB07D3" w:rsidP="00EB07D3">
            <w:pPr>
              <w:pStyle w:val="TableText"/>
            </w:pPr>
            <w:r w:rsidRPr="001F26DF">
              <w:t>Date Reviewed</w:t>
            </w:r>
            <w:r>
              <w:t>:</w:t>
            </w:r>
          </w:p>
        </w:tc>
        <w:tc>
          <w:tcPr>
            <w:tcW w:w="436" w:type="pct"/>
            <w:shd w:val="clear" w:color="auto" w:fill="F2F2F2" w:themeFill="background1" w:themeFillShade="F2"/>
          </w:tcPr>
          <w:p w14:paraId="48EFD942" w14:textId="77777777" w:rsidR="00EB07D3" w:rsidRPr="00EE4BD6" w:rsidRDefault="00EB07D3" w:rsidP="00EB07D3">
            <w:pPr>
              <w:pStyle w:val="TableText"/>
            </w:pPr>
          </w:p>
        </w:tc>
      </w:tr>
      <w:tr w:rsidR="00FE6BD7" w:rsidRPr="00EE4BD6" w14:paraId="4F0D0D74" w14:textId="77777777" w:rsidTr="00F97A1E">
        <w:trPr>
          <w:cantSplit/>
          <w:trHeight w:val="444"/>
        </w:trPr>
        <w:tc>
          <w:tcPr>
            <w:tcW w:w="436" w:type="pct"/>
            <w:vMerge/>
          </w:tcPr>
          <w:p w14:paraId="107C13AE" w14:textId="77777777" w:rsidR="00FE6BD7" w:rsidRPr="00EF587A" w:rsidRDefault="00FE6BD7" w:rsidP="00C81021">
            <w:pPr>
              <w:pStyle w:val="TableText"/>
            </w:pPr>
          </w:p>
        </w:tc>
        <w:tc>
          <w:tcPr>
            <w:tcW w:w="469" w:type="pct"/>
            <w:vMerge/>
          </w:tcPr>
          <w:p w14:paraId="030BAF1D" w14:textId="77777777" w:rsidR="00FE6BD7" w:rsidRPr="009A1DE7" w:rsidRDefault="00FE6BD7" w:rsidP="00C81021">
            <w:pPr>
              <w:pStyle w:val="TableText"/>
              <w:numPr>
                <w:ilvl w:val="0"/>
                <w:numId w:val="3"/>
              </w:numPr>
              <w:ind w:left="226" w:hanging="180"/>
            </w:pPr>
          </w:p>
        </w:tc>
        <w:tc>
          <w:tcPr>
            <w:tcW w:w="438" w:type="pct"/>
            <w:vMerge/>
          </w:tcPr>
          <w:p w14:paraId="7249A826" w14:textId="77777777" w:rsidR="00FE6BD7" w:rsidRPr="009A1DE7" w:rsidRDefault="00FE6BD7" w:rsidP="00C81021">
            <w:pPr>
              <w:pStyle w:val="TableText"/>
            </w:pPr>
          </w:p>
        </w:tc>
        <w:tc>
          <w:tcPr>
            <w:tcW w:w="874" w:type="pct"/>
            <w:vMerge/>
          </w:tcPr>
          <w:p w14:paraId="0EC4B7FD" w14:textId="77777777" w:rsidR="00FE6BD7" w:rsidRPr="009A1DE7" w:rsidRDefault="00FE6BD7" w:rsidP="00C81021">
            <w:pPr>
              <w:pStyle w:val="TableText"/>
            </w:pPr>
          </w:p>
        </w:tc>
        <w:tc>
          <w:tcPr>
            <w:tcW w:w="751" w:type="pct"/>
            <w:vMerge/>
          </w:tcPr>
          <w:p w14:paraId="2BD32AF8" w14:textId="77777777" w:rsidR="00FE6BD7" w:rsidRPr="009A1DE7" w:rsidRDefault="00FE6BD7" w:rsidP="00C81021">
            <w:pPr>
              <w:pStyle w:val="TableText"/>
            </w:pPr>
          </w:p>
        </w:tc>
        <w:tc>
          <w:tcPr>
            <w:tcW w:w="719" w:type="pct"/>
            <w:vMerge/>
          </w:tcPr>
          <w:p w14:paraId="5F243F90" w14:textId="77777777" w:rsidR="00FE6BD7" w:rsidRPr="009A1DE7" w:rsidRDefault="00FE6BD7" w:rsidP="00C81021">
            <w:pPr>
              <w:pStyle w:val="TableText"/>
            </w:pPr>
          </w:p>
        </w:tc>
        <w:tc>
          <w:tcPr>
            <w:tcW w:w="532" w:type="pct"/>
            <w:vMerge/>
          </w:tcPr>
          <w:p w14:paraId="0CA75E7E"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BE0BFD3"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482BB008" w14:textId="77777777" w:rsidR="00FE6BD7" w:rsidRPr="00EE4BD6" w:rsidRDefault="00FE6BD7" w:rsidP="00C81021">
            <w:pPr>
              <w:pStyle w:val="TableText"/>
            </w:pPr>
          </w:p>
        </w:tc>
      </w:tr>
      <w:tr w:rsidR="00FE6BD7" w:rsidRPr="00EE4BD6" w14:paraId="5D02CA8B" w14:textId="77777777" w:rsidTr="00F97A1E">
        <w:trPr>
          <w:cantSplit/>
          <w:trHeight w:val="444"/>
        </w:trPr>
        <w:tc>
          <w:tcPr>
            <w:tcW w:w="436" w:type="pct"/>
            <w:vMerge/>
          </w:tcPr>
          <w:p w14:paraId="42CA0038" w14:textId="77777777" w:rsidR="00FE6BD7" w:rsidRPr="00EF587A" w:rsidRDefault="00FE6BD7" w:rsidP="00C81021">
            <w:pPr>
              <w:pStyle w:val="TableText"/>
            </w:pPr>
          </w:p>
        </w:tc>
        <w:tc>
          <w:tcPr>
            <w:tcW w:w="469" w:type="pct"/>
            <w:vMerge/>
          </w:tcPr>
          <w:p w14:paraId="5A773F75" w14:textId="77777777" w:rsidR="00FE6BD7" w:rsidRPr="009A1DE7" w:rsidRDefault="00FE6BD7" w:rsidP="00C81021">
            <w:pPr>
              <w:pStyle w:val="TableText"/>
              <w:numPr>
                <w:ilvl w:val="0"/>
                <w:numId w:val="3"/>
              </w:numPr>
              <w:ind w:left="226" w:hanging="180"/>
            </w:pPr>
          </w:p>
        </w:tc>
        <w:tc>
          <w:tcPr>
            <w:tcW w:w="438" w:type="pct"/>
            <w:vMerge/>
          </w:tcPr>
          <w:p w14:paraId="2BCA408D" w14:textId="77777777" w:rsidR="00FE6BD7" w:rsidRPr="009A1DE7" w:rsidRDefault="00FE6BD7" w:rsidP="00C81021">
            <w:pPr>
              <w:pStyle w:val="TableText"/>
            </w:pPr>
          </w:p>
        </w:tc>
        <w:tc>
          <w:tcPr>
            <w:tcW w:w="874" w:type="pct"/>
            <w:vMerge/>
          </w:tcPr>
          <w:p w14:paraId="091B1AEC" w14:textId="77777777" w:rsidR="00FE6BD7" w:rsidRPr="009A1DE7" w:rsidRDefault="00FE6BD7" w:rsidP="00C81021">
            <w:pPr>
              <w:pStyle w:val="TableText"/>
            </w:pPr>
          </w:p>
        </w:tc>
        <w:tc>
          <w:tcPr>
            <w:tcW w:w="751" w:type="pct"/>
            <w:vMerge/>
          </w:tcPr>
          <w:p w14:paraId="6FE47DF6" w14:textId="77777777" w:rsidR="00FE6BD7" w:rsidRPr="009A1DE7" w:rsidRDefault="00FE6BD7" w:rsidP="00C81021">
            <w:pPr>
              <w:pStyle w:val="TableText"/>
            </w:pPr>
          </w:p>
        </w:tc>
        <w:tc>
          <w:tcPr>
            <w:tcW w:w="719" w:type="pct"/>
            <w:vMerge/>
          </w:tcPr>
          <w:p w14:paraId="2BC14958" w14:textId="77777777" w:rsidR="00FE6BD7" w:rsidRPr="009A1DE7" w:rsidRDefault="00FE6BD7" w:rsidP="00C81021">
            <w:pPr>
              <w:pStyle w:val="TableText"/>
            </w:pPr>
          </w:p>
        </w:tc>
        <w:tc>
          <w:tcPr>
            <w:tcW w:w="532" w:type="pct"/>
            <w:vMerge/>
          </w:tcPr>
          <w:p w14:paraId="31277BED"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2CA0D76"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2C7343F5" w14:textId="77777777" w:rsidR="00FE6BD7" w:rsidRPr="00EE4BD6" w:rsidRDefault="00FE6BD7" w:rsidP="00C81021">
            <w:pPr>
              <w:pStyle w:val="TableText"/>
            </w:pPr>
          </w:p>
        </w:tc>
      </w:tr>
      <w:tr w:rsidR="00FE6BD7" w:rsidRPr="00EE4BD6" w14:paraId="7C521982" w14:textId="77777777" w:rsidTr="00F97A1E">
        <w:trPr>
          <w:cantSplit/>
          <w:trHeight w:val="444"/>
        </w:trPr>
        <w:tc>
          <w:tcPr>
            <w:tcW w:w="436" w:type="pct"/>
            <w:vMerge/>
          </w:tcPr>
          <w:p w14:paraId="4F212DB5" w14:textId="77777777" w:rsidR="00FE6BD7" w:rsidRPr="00EF587A" w:rsidRDefault="00FE6BD7" w:rsidP="00C81021">
            <w:pPr>
              <w:pStyle w:val="TableText"/>
            </w:pPr>
          </w:p>
        </w:tc>
        <w:tc>
          <w:tcPr>
            <w:tcW w:w="469" w:type="pct"/>
            <w:vMerge/>
          </w:tcPr>
          <w:p w14:paraId="46E35238" w14:textId="77777777" w:rsidR="00FE6BD7" w:rsidRPr="009A1DE7" w:rsidRDefault="00FE6BD7" w:rsidP="00C81021">
            <w:pPr>
              <w:pStyle w:val="TableText"/>
              <w:numPr>
                <w:ilvl w:val="0"/>
                <w:numId w:val="3"/>
              </w:numPr>
              <w:ind w:left="226" w:hanging="180"/>
            </w:pPr>
          </w:p>
        </w:tc>
        <w:tc>
          <w:tcPr>
            <w:tcW w:w="438" w:type="pct"/>
            <w:vMerge/>
          </w:tcPr>
          <w:p w14:paraId="19D6038A" w14:textId="77777777" w:rsidR="00FE6BD7" w:rsidRPr="009A1DE7" w:rsidRDefault="00FE6BD7" w:rsidP="00C81021">
            <w:pPr>
              <w:pStyle w:val="TableText"/>
            </w:pPr>
          </w:p>
        </w:tc>
        <w:tc>
          <w:tcPr>
            <w:tcW w:w="874" w:type="pct"/>
            <w:vMerge/>
          </w:tcPr>
          <w:p w14:paraId="42528CC4" w14:textId="77777777" w:rsidR="00FE6BD7" w:rsidRPr="009A1DE7" w:rsidRDefault="00FE6BD7" w:rsidP="00C81021">
            <w:pPr>
              <w:pStyle w:val="TableText"/>
            </w:pPr>
          </w:p>
        </w:tc>
        <w:tc>
          <w:tcPr>
            <w:tcW w:w="751" w:type="pct"/>
            <w:vMerge/>
          </w:tcPr>
          <w:p w14:paraId="73EF078D" w14:textId="77777777" w:rsidR="00FE6BD7" w:rsidRPr="009A1DE7" w:rsidRDefault="00FE6BD7" w:rsidP="00C81021">
            <w:pPr>
              <w:pStyle w:val="TableText"/>
            </w:pPr>
          </w:p>
        </w:tc>
        <w:tc>
          <w:tcPr>
            <w:tcW w:w="719" w:type="pct"/>
            <w:vMerge/>
          </w:tcPr>
          <w:p w14:paraId="3401AFF3" w14:textId="77777777" w:rsidR="00FE6BD7" w:rsidRPr="009A1DE7" w:rsidRDefault="00FE6BD7" w:rsidP="00C81021">
            <w:pPr>
              <w:pStyle w:val="TableText"/>
            </w:pPr>
          </w:p>
        </w:tc>
        <w:tc>
          <w:tcPr>
            <w:tcW w:w="532" w:type="pct"/>
            <w:vMerge/>
          </w:tcPr>
          <w:p w14:paraId="3FC7BD57"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CB7980E"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5A514F0A" w14:textId="77777777" w:rsidR="00FE6BD7" w:rsidRPr="00EE4BD6" w:rsidRDefault="00FE6BD7" w:rsidP="00C81021">
            <w:pPr>
              <w:pStyle w:val="TableText"/>
            </w:pPr>
          </w:p>
        </w:tc>
      </w:tr>
      <w:tr w:rsidR="00FE6BD7" w:rsidRPr="00EF587A" w14:paraId="12EF6F76" w14:textId="77777777" w:rsidTr="00F97A1E">
        <w:trPr>
          <w:cantSplit/>
          <w:trHeight w:val="444"/>
        </w:trPr>
        <w:tc>
          <w:tcPr>
            <w:tcW w:w="436" w:type="pct"/>
            <w:vMerge/>
          </w:tcPr>
          <w:p w14:paraId="74A97920" w14:textId="77777777" w:rsidR="00FE6BD7" w:rsidRPr="00EF587A" w:rsidRDefault="00FE6BD7" w:rsidP="00C81021">
            <w:pPr>
              <w:pStyle w:val="TableText"/>
            </w:pPr>
          </w:p>
        </w:tc>
        <w:tc>
          <w:tcPr>
            <w:tcW w:w="469" w:type="pct"/>
            <w:vMerge/>
          </w:tcPr>
          <w:p w14:paraId="2498A5DB" w14:textId="77777777" w:rsidR="00FE6BD7" w:rsidRPr="00EF587A" w:rsidRDefault="00FE6BD7" w:rsidP="00C81021">
            <w:pPr>
              <w:pStyle w:val="TableText"/>
            </w:pPr>
          </w:p>
        </w:tc>
        <w:tc>
          <w:tcPr>
            <w:tcW w:w="438" w:type="pct"/>
            <w:vMerge/>
          </w:tcPr>
          <w:p w14:paraId="0F1F8553" w14:textId="77777777" w:rsidR="00FE6BD7" w:rsidRPr="00EF587A" w:rsidRDefault="00FE6BD7" w:rsidP="00C81021">
            <w:pPr>
              <w:pStyle w:val="TableText"/>
            </w:pPr>
          </w:p>
        </w:tc>
        <w:tc>
          <w:tcPr>
            <w:tcW w:w="874" w:type="pct"/>
            <w:vMerge/>
          </w:tcPr>
          <w:p w14:paraId="474A6E8F" w14:textId="77777777" w:rsidR="00FE6BD7" w:rsidRPr="00EF587A" w:rsidRDefault="00FE6BD7" w:rsidP="00C81021">
            <w:pPr>
              <w:pStyle w:val="TableText"/>
            </w:pPr>
          </w:p>
        </w:tc>
        <w:tc>
          <w:tcPr>
            <w:tcW w:w="751" w:type="pct"/>
            <w:vMerge/>
          </w:tcPr>
          <w:p w14:paraId="0D8040A4" w14:textId="77777777" w:rsidR="00FE6BD7" w:rsidRPr="00EF587A" w:rsidRDefault="00FE6BD7" w:rsidP="00C81021">
            <w:pPr>
              <w:pStyle w:val="TableText"/>
            </w:pPr>
          </w:p>
        </w:tc>
        <w:tc>
          <w:tcPr>
            <w:tcW w:w="719" w:type="pct"/>
            <w:vMerge/>
          </w:tcPr>
          <w:p w14:paraId="0C3C7B25" w14:textId="77777777" w:rsidR="00FE6BD7" w:rsidRPr="00EF587A" w:rsidRDefault="00FE6BD7" w:rsidP="00C81021">
            <w:pPr>
              <w:pStyle w:val="TableText"/>
            </w:pPr>
          </w:p>
        </w:tc>
        <w:tc>
          <w:tcPr>
            <w:tcW w:w="532" w:type="pct"/>
            <w:vMerge/>
          </w:tcPr>
          <w:p w14:paraId="074CEA53" w14:textId="77777777" w:rsidR="00FE6BD7" w:rsidRPr="00EF587A" w:rsidRDefault="00FE6BD7" w:rsidP="00C81021">
            <w:pPr>
              <w:pStyle w:val="TableText"/>
            </w:pPr>
          </w:p>
        </w:tc>
        <w:tc>
          <w:tcPr>
            <w:tcW w:w="345" w:type="pct"/>
            <w:shd w:val="clear" w:color="auto" w:fill="F2F2F2" w:themeFill="background1" w:themeFillShade="F2"/>
          </w:tcPr>
          <w:p w14:paraId="2CC62841"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4902FEA2" w14:textId="77777777" w:rsidR="00FE6BD7" w:rsidRPr="00EF587A" w:rsidRDefault="00FE6BD7" w:rsidP="00C81021">
            <w:pPr>
              <w:pStyle w:val="TableText"/>
            </w:pPr>
          </w:p>
        </w:tc>
      </w:tr>
      <w:tr w:rsidR="00FE6BD7" w:rsidRPr="00EE4BD6" w14:paraId="6BDA400D" w14:textId="77777777" w:rsidTr="00F97A1E">
        <w:trPr>
          <w:cantSplit/>
        </w:trPr>
        <w:tc>
          <w:tcPr>
            <w:tcW w:w="5000" w:type="pct"/>
            <w:gridSpan w:val="9"/>
            <w:shd w:val="clear" w:color="auto" w:fill="D9E2F3" w:themeFill="accent5" w:themeFillTint="33"/>
          </w:tcPr>
          <w:p w14:paraId="0693B6D8" w14:textId="77777777" w:rsidR="00FE6BD7" w:rsidRPr="00ED339A" w:rsidRDefault="00FE6BD7" w:rsidP="00C81021">
            <w:pPr>
              <w:pStyle w:val="TableText"/>
              <w:rPr>
                <w:sz w:val="8"/>
                <w:szCs w:val="8"/>
              </w:rPr>
            </w:pPr>
          </w:p>
        </w:tc>
      </w:tr>
      <w:tr w:rsidR="00EB07D3" w:rsidRPr="00EE4BD6" w14:paraId="2ED05137" w14:textId="77777777" w:rsidTr="00F97A1E">
        <w:trPr>
          <w:cantSplit/>
          <w:trHeight w:val="554"/>
        </w:trPr>
        <w:tc>
          <w:tcPr>
            <w:tcW w:w="436" w:type="pct"/>
            <w:vMerge w:val="restart"/>
            <w:vAlign w:val="center"/>
          </w:tcPr>
          <w:p w14:paraId="2ED82CC8" w14:textId="2E948ED9" w:rsidR="00EB07D3" w:rsidRPr="00F77313" w:rsidRDefault="00EB07D3" w:rsidP="00EB07D3">
            <w:pPr>
              <w:pStyle w:val="TableText"/>
              <w:pageBreakBefore/>
              <w:jc w:val="center"/>
              <w:rPr>
                <w:b/>
                <w:bCs/>
              </w:rPr>
            </w:pPr>
            <w:r w:rsidRPr="00EB07D3">
              <w:rPr>
                <w:b/>
                <w:bCs/>
              </w:rPr>
              <w:lastRenderedPageBreak/>
              <w:t>Adjustment Summary Report</w:t>
            </w:r>
          </w:p>
        </w:tc>
        <w:tc>
          <w:tcPr>
            <w:tcW w:w="469" w:type="pct"/>
            <w:vMerge w:val="restart"/>
          </w:tcPr>
          <w:p w14:paraId="363ACA73" w14:textId="3267EBBC" w:rsidR="00EB07D3" w:rsidRPr="009A1DE7" w:rsidRDefault="00EB07D3" w:rsidP="00EB07D3">
            <w:pPr>
              <w:pStyle w:val="TableText"/>
              <w:numPr>
                <w:ilvl w:val="0"/>
                <w:numId w:val="3"/>
              </w:numPr>
              <w:ind w:left="226" w:hanging="180"/>
            </w:pPr>
            <w:r w:rsidRPr="00E71A8D">
              <w:t>This report displays a list of adjustments applied in the EDR Ledger.  Among the parameters available in the report are all or specific adjustment types along with all or selected providers.</w:t>
            </w:r>
          </w:p>
        </w:tc>
        <w:tc>
          <w:tcPr>
            <w:tcW w:w="438" w:type="pct"/>
            <w:vMerge w:val="restart"/>
          </w:tcPr>
          <w:p w14:paraId="087576CC" w14:textId="57CB5C25" w:rsidR="00EB07D3" w:rsidRPr="009A1DE7" w:rsidRDefault="00EB07D3" w:rsidP="00EB07D3">
            <w:pPr>
              <w:pStyle w:val="TableText"/>
            </w:pPr>
            <w:r w:rsidRPr="00E71A8D">
              <w:t>Dental Chief, CAC</w:t>
            </w:r>
          </w:p>
        </w:tc>
        <w:tc>
          <w:tcPr>
            <w:tcW w:w="874" w:type="pct"/>
            <w:vMerge w:val="restart"/>
          </w:tcPr>
          <w:p w14:paraId="1D5B1B7F" w14:textId="2F9AD0E8" w:rsidR="00EB07D3" w:rsidRPr="009A1DE7" w:rsidRDefault="00EB07D3" w:rsidP="00EB07D3">
            <w:pPr>
              <w:pStyle w:val="TableText"/>
            </w:pPr>
            <w:r w:rsidRPr="00E71A8D">
              <w:t>Among the purposes for examining data includes over-use of a "generic" adjustment types that could be further broken down into more specific adjustment types for better tracking.</w:t>
            </w:r>
          </w:p>
        </w:tc>
        <w:tc>
          <w:tcPr>
            <w:tcW w:w="751" w:type="pct"/>
            <w:vMerge w:val="restart"/>
          </w:tcPr>
          <w:p w14:paraId="614D2979" w14:textId="77777777" w:rsidR="00EB07D3" w:rsidRDefault="00EB07D3" w:rsidP="00EB07D3">
            <w:pPr>
              <w:pStyle w:val="TableText"/>
              <w:keepNext/>
              <w:keepLines/>
              <w:numPr>
                <w:ilvl w:val="0"/>
                <w:numId w:val="2"/>
              </w:numPr>
              <w:ind w:left="232" w:hanging="180"/>
            </w:pPr>
            <w:r w:rsidRPr="00E71A8D">
              <w:rPr>
                <w:u w:val="single"/>
              </w:rPr>
              <w:t>Office Manager</w:t>
            </w:r>
            <w:r w:rsidRPr="00E71A8D">
              <w:t xml:space="preserve">:  Appropriate staff members have been allowed security rights to add Adjustments </w:t>
            </w:r>
            <w:proofErr w:type="gramStart"/>
            <w:r w:rsidRPr="00E71A8D">
              <w:t>in</w:t>
            </w:r>
            <w:proofErr w:type="gramEnd"/>
            <w:r w:rsidRPr="00E71A8D">
              <w:t xml:space="preserve"> the EDR ledger after in-depth training of the cause and effect of entering adjustments.</w:t>
            </w:r>
          </w:p>
          <w:p w14:paraId="683CF4F3" w14:textId="77777777" w:rsidR="00EB07D3" w:rsidRDefault="00EB07D3" w:rsidP="00EB07D3">
            <w:pPr>
              <w:pStyle w:val="TableText"/>
              <w:keepNext/>
              <w:keepLines/>
              <w:numPr>
                <w:ilvl w:val="0"/>
                <w:numId w:val="2"/>
              </w:numPr>
              <w:ind w:left="232" w:hanging="180"/>
            </w:pPr>
            <w:r w:rsidRPr="00E71A8D">
              <w:t>Set up and use of adjustment type definitions that reflect detailed reporting needs.</w:t>
            </w:r>
          </w:p>
          <w:p w14:paraId="4B3A9122" w14:textId="058E00FF" w:rsidR="00EB07D3" w:rsidRPr="009A1DE7" w:rsidRDefault="00EB07D3" w:rsidP="00EB07D3">
            <w:pPr>
              <w:pStyle w:val="TableText"/>
              <w:numPr>
                <w:ilvl w:val="0"/>
                <w:numId w:val="2"/>
              </w:numPr>
              <w:ind w:left="232" w:hanging="180"/>
            </w:pPr>
            <w:r w:rsidRPr="00E71A8D">
              <w:rPr>
                <w:u w:val="single"/>
              </w:rPr>
              <w:t>Ledger</w:t>
            </w:r>
            <w:r w:rsidRPr="00E71A8D">
              <w:t>:  Application of adjustments to patient account Ledgers.</w:t>
            </w:r>
          </w:p>
        </w:tc>
        <w:tc>
          <w:tcPr>
            <w:tcW w:w="719" w:type="pct"/>
            <w:vMerge w:val="restart"/>
          </w:tcPr>
          <w:p w14:paraId="20DE8F75" w14:textId="685D9F88" w:rsidR="00EB07D3" w:rsidRPr="00EF587A" w:rsidRDefault="00C831AA" w:rsidP="00EB07D3">
            <w:pPr>
              <w:pStyle w:val="TableText"/>
            </w:pPr>
            <w:r w:rsidRPr="00E71A8D">
              <w:t>Not reviewing the information on the Adjustment Summary Report leaves questions about adjustment use unidentified and unresolved.</w:t>
            </w:r>
          </w:p>
        </w:tc>
        <w:tc>
          <w:tcPr>
            <w:tcW w:w="532" w:type="pct"/>
            <w:vMerge w:val="restart"/>
          </w:tcPr>
          <w:p w14:paraId="66075892" w14:textId="77777777" w:rsidR="00C831AA" w:rsidRDefault="00C831AA" w:rsidP="00C831AA">
            <w:pPr>
              <w:pStyle w:val="TableText"/>
              <w:numPr>
                <w:ilvl w:val="0"/>
                <w:numId w:val="1"/>
              </w:numPr>
              <w:ind w:left="187" w:hanging="187"/>
            </w:pPr>
            <w:r>
              <w:t>Database Design</w:t>
            </w:r>
          </w:p>
          <w:p w14:paraId="42DDB893" w14:textId="77777777" w:rsidR="00C831AA" w:rsidRDefault="00C831AA" w:rsidP="00C831AA">
            <w:pPr>
              <w:pStyle w:val="TableText"/>
              <w:numPr>
                <w:ilvl w:val="0"/>
                <w:numId w:val="1"/>
              </w:numPr>
              <w:ind w:left="187" w:hanging="187"/>
            </w:pPr>
            <w:r w:rsidRPr="00E71A8D">
              <w:t>Revenue Cycle</w:t>
            </w:r>
          </w:p>
          <w:p w14:paraId="153247A2" w14:textId="4EFEA995" w:rsidR="00EB07D3" w:rsidRPr="00EF587A" w:rsidRDefault="00C831AA" w:rsidP="00C831AA">
            <w:pPr>
              <w:pStyle w:val="TableText"/>
              <w:numPr>
                <w:ilvl w:val="0"/>
                <w:numId w:val="1"/>
              </w:numPr>
              <w:spacing w:after="0"/>
              <w:ind w:left="187" w:hanging="187"/>
            </w:pPr>
            <w:r w:rsidRPr="00E71A8D">
              <w:t>Reports Reference</w:t>
            </w:r>
            <w:r>
              <w:t>*</w:t>
            </w:r>
          </w:p>
        </w:tc>
        <w:tc>
          <w:tcPr>
            <w:tcW w:w="345" w:type="pct"/>
            <w:shd w:val="clear" w:color="auto" w:fill="F2F2F2" w:themeFill="background1" w:themeFillShade="F2"/>
          </w:tcPr>
          <w:p w14:paraId="44F2DA4F" w14:textId="77777777" w:rsidR="00EB07D3" w:rsidRPr="00EE4BD6" w:rsidRDefault="00EB07D3" w:rsidP="00EB07D3">
            <w:pPr>
              <w:pStyle w:val="TableText"/>
            </w:pPr>
            <w:r w:rsidRPr="001F26DF">
              <w:t>Date Reviewed</w:t>
            </w:r>
            <w:r>
              <w:t>:</w:t>
            </w:r>
          </w:p>
        </w:tc>
        <w:tc>
          <w:tcPr>
            <w:tcW w:w="436" w:type="pct"/>
            <w:shd w:val="clear" w:color="auto" w:fill="F2F2F2" w:themeFill="background1" w:themeFillShade="F2"/>
          </w:tcPr>
          <w:p w14:paraId="33ADD4FA" w14:textId="77777777" w:rsidR="00EB07D3" w:rsidRPr="00EE4BD6" w:rsidRDefault="00EB07D3" w:rsidP="00EB07D3">
            <w:pPr>
              <w:pStyle w:val="TableText"/>
            </w:pPr>
          </w:p>
        </w:tc>
      </w:tr>
      <w:tr w:rsidR="00FE6BD7" w:rsidRPr="00EE4BD6" w14:paraId="589070DF" w14:textId="77777777" w:rsidTr="00F97A1E">
        <w:trPr>
          <w:cantSplit/>
          <w:trHeight w:val="554"/>
        </w:trPr>
        <w:tc>
          <w:tcPr>
            <w:tcW w:w="436" w:type="pct"/>
            <w:vMerge/>
          </w:tcPr>
          <w:p w14:paraId="08C86F05" w14:textId="77777777" w:rsidR="00FE6BD7" w:rsidRPr="00EF587A" w:rsidRDefault="00FE6BD7" w:rsidP="00C81021">
            <w:pPr>
              <w:pStyle w:val="TableText"/>
            </w:pPr>
          </w:p>
        </w:tc>
        <w:tc>
          <w:tcPr>
            <w:tcW w:w="469" w:type="pct"/>
            <w:vMerge/>
          </w:tcPr>
          <w:p w14:paraId="0C57C399" w14:textId="77777777" w:rsidR="00FE6BD7" w:rsidRPr="009A1DE7" w:rsidRDefault="00FE6BD7" w:rsidP="00C81021">
            <w:pPr>
              <w:pStyle w:val="TableText"/>
              <w:numPr>
                <w:ilvl w:val="0"/>
                <w:numId w:val="3"/>
              </w:numPr>
              <w:ind w:left="226" w:hanging="180"/>
            </w:pPr>
          </w:p>
        </w:tc>
        <w:tc>
          <w:tcPr>
            <w:tcW w:w="438" w:type="pct"/>
            <w:vMerge/>
          </w:tcPr>
          <w:p w14:paraId="1DF78193" w14:textId="77777777" w:rsidR="00FE6BD7" w:rsidRPr="009A1DE7" w:rsidRDefault="00FE6BD7" w:rsidP="00C81021">
            <w:pPr>
              <w:pStyle w:val="TableText"/>
            </w:pPr>
          </w:p>
        </w:tc>
        <w:tc>
          <w:tcPr>
            <w:tcW w:w="874" w:type="pct"/>
            <w:vMerge/>
          </w:tcPr>
          <w:p w14:paraId="3B32B8B3" w14:textId="77777777" w:rsidR="00FE6BD7" w:rsidRPr="009A1DE7" w:rsidRDefault="00FE6BD7" w:rsidP="00C81021">
            <w:pPr>
              <w:pStyle w:val="TableText"/>
            </w:pPr>
          </w:p>
        </w:tc>
        <w:tc>
          <w:tcPr>
            <w:tcW w:w="751" w:type="pct"/>
            <w:vMerge/>
          </w:tcPr>
          <w:p w14:paraId="23E46BC4" w14:textId="77777777" w:rsidR="00FE6BD7" w:rsidRPr="009A1DE7" w:rsidRDefault="00FE6BD7" w:rsidP="00C81021">
            <w:pPr>
              <w:pStyle w:val="TableText"/>
            </w:pPr>
          </w:p>
        </w:tc>
        <w:tc>
          <w:tcPr>
            <w:tcW w:w="719" w:type="pct"/>
            <w:vMerge/>
          </w:tcPr>
          <w:p w14:paraId="0D0715A6" w14:textId="77777777" w:rsidR="00FE6BD7" w:rsidRPr="009A1DE7" w:rsidRDefault="00FE6BD7" w:rsidP="00C81021">
            <w:pPr>
              <w:pStyle w:val="TableText"/>
            </w:pPr>
          </w:p>
        </w:tc>
        <w:tc>
          <w:tcPr>
            <w:tcW w:w="532" w:type="pct"/>
            <w:vMerge/>
          </w:tcPr>
          <w:p w14:paraId="63D633CE"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2B8E5003"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0DA04554" w14:textId="77777777" w:rsidR="00FE6BD7" w:rsidRPr="00EE4BD6" w:rsidRDefault="00FE6BD7" w:rsidP="00C81021">
            <w:pPr>
              <w:pStyle w:val="TableText"/>
            </w:pPr>
          </w:p>
        </w:tc>
      </w:tr>
      <w:tr w:rsidR="00FE6BD7" w:rsidRPr="00EE4BD6" w14:paraId="788142D4" w14:textId="77777777" w:rsidTr="00F97A1E">
        <w:trPr>
          <w:cantSplit/>
          <w:trHeight w:val="555"/>
        </w:trPr>
        <w:tc>
          <w:tcPr>
            <w:tcW w:w="436" w:type="pct"/>
            <w:vMerge/>
          </w:tcPr>
          <w:p w14:paraId="3846EE2F" w14:textId="77777777" w:rsidR="00FE6BD7" w:rsidRPr="00EF587A" w:rsidRDefault="00FE6BD7" w:rsidP="00C81021">
            <w:pPr>
              <w:pStyle w:val="TableText"/>
            </w:pPr>
          </w:p>
        </w:tc>
        <w:tc>
          <w:tcPr>
            <w:tcW w:w="469" w:type="pct"/>
            <w:vMerge/>
          </w:tcPr>
          <w:p w14:paraId="142C4C61" w14:textId="77777777" w:rsidR="00FE6BD7" w:rsidRPr="009A1DE7" w:rsidRDefault="00FE6BD7" w:rsidP="00C81021">
            <w:pPr>
              <w:pStyle w:val="TableText"/>
              <w:numPr>
                <w:ilvl w:val="0"/>
                <w:numId w:val="3"/>
              </w:numPr>
              <w:ind w:left="226" w:hanging="180"/>
            </w:pPr>
          </w:p>
        </w:tc>
        <w:tc>
          <w:tcPr>
            <w:tcW w:w="438" w:type="pct"/>
            <w:vMerge/>
          </w:tcPr>
          <w:p w14:paraId="027AEDC6" w14:textId="77777777" w:rsidR="00FE6BD7" w:rsidRPr="009A1DE7" w:rsidRDefault="00FE6BD7" w:rsidP="00C81021">
            <w:pPr>
              <w:pStyle w:val="TableText"/>
            </w:pPr>
          </w:p>
        </w:tc>
        <w:tc>
          <w:tcPr>
            <w:tcW w:w="874" w:type="pct"/>
            <w:vMerge/>
          </w:tcPr>
          <w:p w14:paraId="410071D0" w14:textId="77777777" w:rsidR="00FE6BD7" w:rsidRPr="009A1DE7" w:rsidRDefault="00FE6BD7" w:rsidP="00C81021">
            <w:pPr>
              <w:pStyle w:val="TableText"/>
            </w:pPr>
          </w:p>
        </w:tc>
        <w:tc>
          <w:tcPr>
            <w:tcW w:w="751" w:type="pct"/>
            <w:vMerge/>
          </w:tcPr>
          <w:p w14:paraId="491B0AD6" w14:textId="77777777" w:rsidR="00FE6BD7" w:rsidRPr="009A1DE7" w:rsidRDefault="00FE6BD7" w:rsidP="00C81021">
            <w:pPr>
              <w:pStyle w:val="TableText"/>
            </w:pPr>
          </w:p>
        </w:tc>
        <w:tc>
          <w:tcPr>
            <w:tcW w:w="719" w:type="pct"/>
            <w:vMerge/>
          </w:tcPr>
          <w:p w14:paraId="2D7B8F28" w14:textId="77777777" w:rsidR="00FE6BD7" w:rsidRPr="009A1DE7" w:rsidRDefault="00FE6BD7" w:rsidP="00C81021">
            <w:pPr>
              <w:pStyle w:val="TableText"/>
            </w:pPr>
          </w:p>
        </w:tc>
        <w:tc>
          <w:tcPr>
            <w:tcW w:w="532" w:type="pct"/>
            <w:vMerge/>
          </w:tcPr>
          <w:p w14:paraId="782FBC15"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A4F6791"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3344FBEB" w14:textId="77777777" w:rsidR="00FE6BD7" w:rsidRPr="00EE4BD6" w:rsidRDefault="00FE6BD7" w:rsidP="00C81021">
            <w:pPr>
              <w:pStyle w:val="TableText"/>
            </w:pPr>
          </w:p>
        </w:tc>
      </w:tr>
      <w:tr w:rsidR="00FE6BD7" w:rsidRPr="00EE4BD6" w14:paraId="280ED3F2" w14:textId="77777777" w:rsidTr="00F97A1E">
        <w:trPr>
          <w:cantSplit/>
          <w:trHeight w:val="554"/>
        </w:trPr>
        <w:tc>
          <w:tcPr>
            <w:tcW w:w="436" w:type="pct"/>
            <w:vMerge/>
          </w:tcPr>
          <w:p w14:paraId="11EDC4C4" w14:textId="77777777" w:rsidR="00FE6BD7" w:rsidRPr="00EF587A" w:rsidRDefault="00FE6BD7" w:rsidP="00C81021">
            <w:pPr>
              <w:pStyle w:val="TableText"/>
            </w:pPr>
          </w:p>
        </w:tc>
        <w:tc>
          <w:tcPr>
            <w:tcW w:w="469" w:type="pct"/>
            <w:vMerge/>
          </w:tcPr>
          <w:p w14:paraId="69A24F85" w14:textId="77777777" w:rsidR="00FE6BD7" w:rsidRPr="009A1DE7" w:rsidRDefault="00FE6BD7" w:rsidP="00C81021">
            <w:pPr>
              <w:pStyle w:val="TableText"/>
              <w:numPr>
                <w:ilvl w:val="0"/>
                <w:numId w:val="3"/>
              </w:numPr>
              <w:ind w:left="226" w:hanging="180"/>
            </w:pPr>
          </w:p>
        </w:tc>
        <w:tc>
          <w:tcPr>
            <w:tcW w:w="438" w:type="pct"/>
            <w:vMerge/>
          </w:tcPr>
          <w:p w14:paraId="12D183A0" w14:textId="77777777" w:rsidR="00FE6BD7" w:rsidRPr="009A1DE7" w:rsidRDefault="00FE6BD7" w:rsidP="00C81021">
            <w:pPr>
              <w:pStyle w:val="TableText"/>
            </w:pPr>
          </w:p>
        </w:tc>
        <w:tc>
          <w:tcPr>
            <w:tcW w:w="874" w:type="pct"/>
            <w:vMerge/>
          </w:tcPr>
          <w:p w14:paraId="0AB35098" w14:textId="77777777" w:rsidR="00FE6BD7" w:rsidRPr="009A1DE7" w:rsidRDefault="00FE6BD7" w:rsidP="00C81021">
            <w:pPr>
              <w:pStyle w:val="TableText"/>
            </w:pPr>
          </w:p>
        </w:tc>
        <w:tc>
          <w:tcPr>
            <w:tcW w:w="751" w:type="pct"/>
            <w:vMerge/>
          </w:tcPr>
          <w:p w14:paraId="1C2784ED" w14:textId="77777777" w:rsidR="00FE6BD7" w:rsidRPr="009A1DE7" w:rsidRDefault="00FE6BD7" w:rsidP="00C81021">
            <w:pPr>
              <w:pStyle w:val="TableText"/>
            </w:pPr>
          </w:p>
        </w:tc>
        <w:tc>
          <w:tcPr>
            <w:tcW w:w="719" w:type="pct"/>
            <w:vMerge/>
          </w:tcPr>
          <w:p w14:paraId="33234A4C" w14:textId="77777777" w:rsidR="00FE6BD7" w:rsidRPr="009A1DE7" w:rsidRDefault="00FE6BD7" w:rsidP="00C81021">
            <w:pPr>
              <w:pStyle w:val="TableText"/>
            </w:pPr>
          </w:p>
        </w:tc>
        <w:tc>
          <w:tcPr>
            <w:tcW w:w="532" w:type="pct"/>
            <w:vMerge/>
          </w:tcPr>
          <w:p w14:paraId="6BE6030C"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720FE176"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664960AE" w14:textId="77777777" w:rsidR="00FE6BD7" w:rsidRPr="00EE4BD6" w:rsidRDefault="00FE6BD7" w:rsidP="00C81021">
            <w:pPr>
              <w:pStyle w:val="TableText"/>
            </w:pPr>
          </w:p>
        </w:tc>
      </w:tr>
      <w:tr w:rsidR="00FE6BD7" w:rsidRPr="00EF587A" w14:paraId="7F5BF812" w14:textId="77777777" w:rsidTr="00F97A1E">
        <w:trPr>
          <w:cantSplit/>
          <w:trHeight w:val="555"/>
        </w:trPr>
        <w:tc>
          <w:tcPr>
            <w:tcW w:w="436" w:type="pct"/>
            <w:vMerge/>
          </w:tcPr>
          <w:p w14:paraId="5BE5B17F" w14:textId="77777777" w:rsidR="00FE6BD7" w:rsidRPr="00EF587A" w:rsidRDefault="00FE6BD7" w:rsidP="00C81021">
            <w:pPr>
              <w:pStyle w:val="TableText"/>
            </w:pPr>
          </w:p>
        </w:tc>
        <w:tc>
          <w:tcPr>
            <w:tcW w:w="469" w:type="pct"/>
            <w:vMerge/>
          </w:tcPr>
          <w:p w14:paraId="15D73306" w14:textId="77777777" w:rsidR="00FE6BD7" w:rsidRPr="00EF587A" w:rsidRDefault="00FE6BD7" w:rsidP="00C81021">
            <w:pPr>
              <w:pStyle w:val="TableText"/>
            </w:pPr>
          </w:p>
        </w:tc>
        <w:tc>
          <w:tcPr>
            <w:tcW w:w="438" w:type="pct"/>
            <w:vMerge/>
          </w:tcPr>
          <w:p w14:paraId="7BCD3781" w14:textId="77777777" w:rsidR="00FE6BD7" w:rsidRPr="00EF587A" w:rsidRDefault="00FE6BD7" w:rsidP="00C81021">
            <w:pPr>
              <w:pStyle w:val="TableText"/>
            </w:pPr>
          </w:p>
        </w:tc>
        <w:tc>
          <w:tcPr>
            <w:tcW w:w="874" w:type="pct"/>
            <w:vMerge/>
          </w:tcPr>
          <w:p w14:paraId="0AD75743" w14:textId="77777777" w:rsidR="00FE6BD7" w:rsidRPr="00EF587A" w:rsidRDefault="00FE6BD7" w:rsidP="00C81021">
            <w:pPr>
              <w:pStyle w:val="TableText"/>
            </w:pPr>
          </w:p>
        </w:tc>
        <w:tc>
          <w:tcPr>
            <w:tcW w:w="751" w:type="pct"/>
            <w:vMerge/>
          </w:tcPr>
          <w:p w14:paraId="023B6183" w14:textId="77777777" w:rsidR="00FE6BD7" w:rsidRPr="00EF587A" w:rsidRDefault="00FE6BD7" w:rsidP="00C81021">
            <w:pPr>
              <w:pStyle w:val="TableText"/>
            </w:pPr>
          </w:p>
        </w:tc>
        <w:tc>
          <w:tcPr>
            <w:tcW w:w="719" w:type="pct"/>
            <w:vMerge/>
          </w:tcPr>
          <w:p w14:paraId="3B188C99" w14:textId="77777777" w:rsidR="00FE6BD7" w:rsidRPr="00EF587A" w:rsidRDefault="00FE6BD7" w:rsidP="00C81021">
            <w:pPr>
              <w:pStyle w:val="TableText"/>
            </w:pPr>
          </w:p>
        </w:tc>
        <w:tc>
          <w:tcPr>
            <w:tcW w:w="532" w:type="pct"/>
            <w:vMerge/>
          </w:tcPr>
          <w:p w14:paraId="37D6914B" w14:textId="77777777" w:rsidR="00FE6BD7" w:rsidRPr="00EF587A" w:rsidRDefault="00FE6BD7" w:rsidP="00C81021">
            <w:pPr>
              <w:pStyle w:val="TableText"/>
            </w:pPr>
          </w:p>
        </w:tc>
        <w:tc>
          <w:tcPr>
            <w:tcW w:w="345" w:type="pct"/>
            <w:shd w:val="clear" w:color="auto" w:fill="F2F2F2" w:themeFill="background1" w:themeFillShade="F2"/>
          </w:tcPr>
          <w:p w14:paraId="3D90AE35"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7277F76D" w14:textId="77777777" w:rsidR="00FE6BD7" w:rsidRPr="00EF587A" w:rsidRDefault="00FE6BD7" w:rsidP="00C81021">
            <w:pPr>
              <w:pStyle w:val="TableText"/>
            </w:pPr>
          </w:p>
        </w:tc>
      </w:tr>
      <w:tr w:rsidR="00FE6BD7" w:rsidRPr="00EE4BD6" w14:paraId="30B676DC" w14:textId="77777777" w:rsidTr="00F97A1E">
        <w:trPr>
          <w:cantSplit/>
        </w:trPr>
        <w:tc>
          <w:tcPr>
            <w:tcW w:w="5000" w:type="pct"/>
            <w:gridSpan w:val="9"/>
            <w:shd w:val="clear" w:color="auto" w:fill="D9E2F3" w:themeFill="accent5" w:themeFillTint="33"/>
          </w:tcPr>
          <w:p w14:paraId="0648C4E7" w14:textId="77777777" w:rsidR="00FE6BD7" w:rsidRPr="00ED339A" w:rsidRDefault="00FE6BD7" w:rsidP="00C81021">
            <w:pPr>
              <w:pStyle w:val="TableText"/>
              <w:rPr>
                <w:sz w:val="8"/>
                <w:szCs w:val="8"/>
              </w:rPr>
            </w:pPr>
          </w:p>
        </w:tc>
      </w:tr>
      <w:tr w:rsidR="00C831AA" w:rsidRPr="00EE4BD6" w14:paraId="4D79BD46" w14:textId="77777777" w:rsidTr="00F97A1E">
        <w:trPr>
          <w:cantSplit/>
          <w:trHeight w:val="489"/>
        </w:trPr>
        <w:tc>
          <w:tcPr>
            <w:tcW w:w="436" w:type="pct"/>
            <w:vMerge w:val="restart"/>
            <w:vAlign w:val="center"/>
          </w:tcPr>
          <w:p w14:paraId="62FA9E73" w14:textId="10224093" w:rsidR="00C831AA" w:rsidRPr="00F77313" w:rsidRDefault="00C831AA" w:rsidP="00C831AA">
            <w:pPr>
              <w:pStyle w:val="TableText"/>
              <w:jc w:val="center"/>
              <w:rPr>
                <w:b/>
                <w:bCs/>
              </w:rPr>
            </w:pPr>
            <w:r w:rsidRPr="00C831AA">
              <w:rPr>
                <w:b/>
                <w:bCs/>
              </w:rPr>
              <w:t>Production Summary Report</w:t>
            </w:r>
          </w:p>
        </w:tc>
        <w:tc>
          <w:tcPr>
            <w:tcW w:w="469" w:type="pct"/>
            <w:vMerge w:val="restart"/>
          </w:tcPr>
          <w:p w14:paraId="439D9B63" w14:textId="6EB66915" w:rsidR="00C831AA" w:rsidRPr="009A1DE7" w:rsidRDefault="00C831AA" w:rsidP="00C831AA">
            <w:pPr>
              <w:pStyle w:val="TableText"/>
              <w:numPr>
                <w:ilvl w:val="0"/>
                <w:numId w:val="3"/>
              </w:numPr>
              <w:ind w:left="226" w:hanging="180"/>
            </w:pPr>
            <w:r w:rsidRPr="00C0452F">
              <w:t>This report displays a list of Procedure in the EDR Ledger.  Among the parameters available in the report are all or specific procedure codes along with all or selected providers.</w:t>
            </w:r>
          </w:p>
        </w:tc>
        <w:tc>
          <w:tcPr>
            <w:tcW w:w="438" w:type="pct"/>
            <w:vMerge w:val="restart"/>
          </w:tcPr>
          <w:p w14:paraId="105EF73D" w14:textId="66EA2AAF" w:rsidR="00C831AA" w:rsidRPr="009A1DE7" w:rsidRDefault="00C831AA" w:rsidP="00C831AA">
            <w:pPr>
              <w:pStyle w:val="TableText"/>
            </w:pPr>
            <w:r w:rsidRPr="00C0452F">
              <w:t>Dental Chief, CAC</w:t>
            </w:r>
          </w:p>
        </w:tc>
        <w:tc>
          <w:tcPr>
            <w:tcW w:w="874" w:type="pct"/>
            <w:vMerge w:val="restart"/>
          </w:tcPr>
          <w:p w14:paraId="263FA392" w14:textId="407476AF" w:rsidR="00C831AA" w:rsidRPr="009A1DE7" w:rsidRDefault="00C831AA" w:rsidP="00C831AA">
            <w:pPr>
              <w:pStyle w:val="TableText"/>
            </w:pPr>
            <w:r w:rsidRPr="00C0452F">
              <w:t>Among the purposes for examining data includes identification of high and low volume procedures to allow for proper staffing based on productivity though adjustment of more or less providers needed based on volume.</w:t>
            </w:r>
          </w:p>
        </w:tc>
        <w:tc>
          <w:tcPr>
            <w:tcW w:w="751" w:type="pct"/>
            <w:vMerge w:val="restart"/>
          </w:tcPr>
          <w:p w14:paraId="7272EBA8" w14:textId="4EF9DBC2" w:rsidR="00C831AA" w:rsidRPr="009A1DE7" w:rsidRDefault="00C831AA" w:rsidP="00C831AA">
            <w:pPr>
              <w:pStyle w:val="TableText"/>
              <w:numPr>
                <w:ilvl w:val="0"/>
                <w:numId w:val="2"/>
              </w:numPr>
              <w:ind w:left="232" w:hanging="180"/>
            </w:pPr>
            <w:r w:rsidRPr="00C0452F">
              <w:rPr>
                <w:u w:val="single"/>
              </w:rPr>
              <w:t>Ledger</w:t>
            </w:r>
            <w:r w:rsidRPr="00C0452F">
              <w:t>:  All visits are documented with a procedure/service code daily.  If inaccuracies are identified they were not properly address in daily and weekly check list.</w:t>
            </w:r>
          </w:p>
        </w:tc>
        <w:tc>
          <w:tcPr>
            <w:tcW w:w="719" w:type="pct"/>
            <w:vMerge w:val="restart"/>
          </w:tcPr>
          <w:p w14:paraId="3DC78125" w14:textId="4CA4C42D" w:rsidR="00C831AA" w:rsidRPr="00EF587A" w:rsidRDefault="00C831AA" w:rsidP="00C831AA">
            <w:pPr>
              <w:pStyle w:val="TableText"/>
            </w:pPr>
            <w:r w:rsidRPr="00C0452F">
              <w:t>Not reviewing the information on the Production Summary Report leaves questions about procedure code use and the risk for unidentified staffing needs based on volume of patient services.</w:t>
            </w:r>
          </w:p>
        </w:tc>
        <w:tc>
          <w:tcPr>
            <w:tcW w:w="532" w:type="pct"/>
            <w:vMerge w:val="restart"/>
          </w:tcPr>
          <w:p w14:paraId="0F22A071" w14:textId="77777777" w:rsidR="00C831AA" w:rsidRDefault="00C831AA" w:rsidP="00C831AA">
            <w:pPr>
              <w:pStyle w:val="TableText"/>
              <w:numPr>
                <w:ilvl w:val="0"/>
                <w:numId w:val="1"/>
              </w:numPr>
              <w:ind w:left="187" w:hanging="187"/>
            </w:pPr>
            <w:r>
              <w:t>Database Design</w:t>
            </w:r>
          </w:p>
          <w:p w14:paraId="3E71BB55" w14:textId="77777777" w:rsidR="00C831AA" w:rsidRDefault="00C831AA" w:rsidP="00C831AA">
            <w:pPr>
              <w:pStyle w:val="TableText"/>
              <w:numPr>
                <w:ilvl w:val="0"/>
                <w:numId w:val="1"/>
              </w:numPr>
              <w:ind w:left="187" w:hanging="187"/>
            </w:pPr>
            <w:r w:rsidRPr="00E71A8D">
              <w:t>Revenue Cycle</w:t>
            </w:r>
          </w:p>
          <w:p w14:paraId="29B23EB0" w14:textId="2C2C9322" w:rsidR="00C831AA" w:rsidRPr="00EF587A" w:rsidRDefault="00C831AA" w:rsidP="00C831AA">
            <w:pPr>
              <w:pStyle w:val="TableText"/>
              <w:numPr>
                <w:ilvl w:val="0"/>
                <w:numId w:val="1"/>
              </w:numPr>
              <w:spacing w:after="0"/>
              <w:ind w:left="187" w:hanging="187"/>
            </w:pPr>
            <w:r w:rsidRPr="00E71A8D">
              <w:t>Reports Reference</w:t>
            </w:r>
            <w:r>
              <w:t>*</w:t>
            </w:r>
          </w:p>
        </w:tc>
        <w:tc>
          <w:tcPr>
            <w:tcW w:w="345" w:type="pct"/>
            <w:shd w:val="clear" w:color="auto" w:fill="F2F2F2" w:themeFill="background1" w:themeFillShade="F2"/>
          </w:tcPr>
          <w:p w14:paraId="361B9C09" w14:textId="77777777" w:rsidR="00C831AA" w:rsidRPr="00EE4BD6" w:rsidRDefault="00C831AA" w:rsidP="00C831AA">
            <w:pPr>
              <w:pStyle w:val="TableText"/>
            </w:pPr>
            <w:r w:rsidRPr="001F26DF">
              <w:t>Date Reviewed</w:t>
            </w:r>
            <w:r>
              <w:t>:</w:t>
            </w:r>
          </w:p>
        </w:tc>
        <w:tc>
          <w:tcPr>
            <w:tcW w:w="436" w:type="pct"/>
            <w:shd w:val="clear" w:color="auto" w:fill="F2F2F2" w:themeFill="background1" w:themeFillShade="F2"/>
          </w:tcPr>
          <w:p w14:paraId="5C3DE4A7" w14:textId="77777777" w:rsidR="00C831AA" w:rsidRPr="00EE4BD6" w:rsidRDefault="00C831AA" w:rsidP="00C831AA">
            <w:pPr>
              <w:pStyle w:val="TableText"/>
            </w:pPr>
          </w:p>
        </w:tc>
      </w:tr>
      <w:tr w:rsidR="00FE6BD7" w:rsidRPr="00EE4BD6" w14:paraId="2F8D67F4" w14:textId="77777777" w:rsidTr="00F97A1E">
        <w:trPr>
          <w:cantSplit/>
          <w:trHeight w:val="489"/>
        </w:trPr>
        <w:tc>
          <w:tcPr>
            <w:tcW w:w="436" w:type="pct"/>
            <w:vMerge/>
          </w:tcPr>
          <w:p w14:paraId="525F01C4" w14:textId="77777777" w:rsidR="00FE6BD7" w:rsidRPr="00EF587A" w:rsidRDefault="00FE6BD7" w:rsidP="00C81021">
            <w:pPr>
              <w:pStyle w:val="TableText"/>
            </w:pPr>
          </w:p>
        </w:tc>
        <w:tc>
          <w:tcPr>
            <w:tcW w:w="469" w:type="pct"/>
            <w:vMerge/>
          </w:tcPr>
          <w:p w14:paraId="21D3A627" w14:textId="77777777" w:rsidR="00FE6BD7" w:rsidRPr="009A1DE7" w:rsidRDefault="00FE6BD7" w:rsidP="00C81021">
            <w:pPr>
              <w:pStyle w:val="TableText"/>
              <w:numPr>
                <w:ilvl w:val="0"/>
                <w:numId w:val="3"/>
              </w:numPr>
              <w:ind w:left="226" w:hanging="180"/>
            </w:pPr>
          </w:p>
        </w:tc>
        <w:tc>
          <w:tcPr>
            <w:tcW w:w="438" w:type="pct"/>
            <w:vMerge/>
          </w:tcPr>
          <w:p w14:paraId="4F99F9DD" w14:textId="77777777" w:rsidR="00FE6BD7" w:rsidRPr="009A1DE7" w:rsidRDefault="00FE6BD7" w:rsidP="00C81021">
            <w:pPr>
              <w:pStyle w:val="TableText"/>
            </w:pPr>
          </w:p>
        </w:tc>
        <w:tc>
          <w:tcPr>
            <w:tcW w:w="874" w:type="pct"/>
            <w:vMerge/>
          </w:tcPr>
          <w:p w14:paraId="61136900" w14:textId="77777777" w:rsidR="00FE6BD7" w:rsidRPr="009A1DE7" w:rsidRDefault="00FE6BD7" w:rsidP="00C81021">
            <w:pPr>
              <w:pStyle w:val="TableText"/>
            </w:pPr>
          </w:p>
        </w:tc>
        <w:tc>
          <w:tcPr>
            <w:tcW w:w="751" w:type="pct"/>
            <w:vMerge/>
          </w:tcPr>
          <w:p w14:paraId="40B01D69" w14:textId="77777777" w:rsidR="00FE6BD7" w:rsidRPr="009A1DE7" w:rsidRDefault="00FE6BD7" w:rsidP="00C81021">
            <w:pPr>
              <w:pStyle w:val="TableText"/>
            </w:pPr>
          </w:p>
        </w:tc>
        <w:tc>
          <w:tcPr>
            <w:tcW w:w="719" w:type="pct"/>
            <w:vMerge/>
          </w:tcPr>
          <w:p w14:paraId="3F651B03" w14:textId="77777777" w:rsidR="00FE6BD7" w:rsidRPr="009A1DE7" w:rsidRDefault="00FE6BD7" w:rsidP="00C81021">
            <w:pPr>
              <w:pStyle w:val="TableText"/>
            </w:pPr>
          </w:p>
        </w:tc>
        <w:tc>
          <w:tcPr>
            <w:tcW w:w="532" w:type="pct"/>
            <w:vMerge/>
          </w:tcPr>
          <w:p w14:paraId="24CA2213"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798A0086"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3E431BC7" w14:textId="77777777" w:rsidR="00FE6BD7" w:rsidRPr="00EE4BD6" w:rsidRDefault="00FE6BD7" w:rsidP="00C81021">
            <w:pPr>
              <w:pStyle w:val="TableText"/>
            </w:pPr>
          </w:p>
        </w:tc>
      </w:tr>
      <w:tr w:rsidR="00FE6BD7" w:rsidRPr="00EE4BD6" w14:paraId="60631035" w14:textId="77777777" w:rsidTr="00F97A1E">
        <w:trPr>
          <w:cantSplit/>
          <w:trHeight w:val="490"/>
        </w:trPr>
        <w:tc>
          <w:tcPr>
            <w:tcW w:w="436" w:type="pct"/>
            <w:vMerge/>
          </w:tcPr>
          <w:p w14:paraId="5ED9BA21" w14:textId="77777777" w:rsidR="00FE6BD7" w:rsidRPr="00EF587A" w:rsidRDefault="00FE6BD7" w:rsidP="00C81021">
            <w:pPr>
              <w:pStyle w:val="TableText"/>
            </w:pPr>
          </w:p>
        </w:tc>
        <w:tc>
          <w:tcPr>
            <w:tcW w:w="469" w:type="pct"/>
            <w:vMerge/>
          </w:tcPr>
          <w:p w14:paraId="61C6708F" w14:textId="77777777" w:rsidR="00FE6BD7" w:rsidRPr="009A1DE7" w:rsidRDefault="00FE6BD7" w:rsidP="00C81021">
            <w:pPr>
              <w:pStyle w:val="TableText"/>
              <w:numPr>
                <w:ilvl w:val="0"/>
                <w:numId w:val="3"/>
              </w:numPr>
              <w:ind w:left="226" w:hanging="180"/>
            </w:pPr>
          </w:p>
        </w:tc>
        <w:tc>
          <w:tcPr>
            <w:tcW w:w="438" w:type="pct"/>
            <w:vMerge/>
          </w:tcPr>
          <w:p w14:paraId="14D8FF5C" w14:textId="77777777" w:rsidR="00FE6BD7" w:rsidRPr="009A1DE7" w:rsidRDefault="00FE6BD7" w:rsidP="00C81021">
            <w:pPr>
              <w:pStyle w:val="TableText"/>
            </w:pPr>
          </w:p>
        </w:tc>
        <w:tc>
          <w:tcPr>
            <w:tcW w:w="874" w:type="pct"/>
            <w:vMerge/>
          </w:tcPr>
          <w:p w14:paraId="63C924FE" w14:textId="77777777" w:rsidR="00FE6BD7" w:rsidRPr="009A1DE7" w:rsidRDefault="00FE6BD7" w:rsidP="00C81021">
            <w:pPr>
              <w:pStyle w:val="TableText"/>
            </w:pPr>
          </w:p>
        </w:tc>
        <w:tc>
          <w:tcPr>
            <w:tcW w:w="751" w:type="pct"/>
            <w:vMerge/>
          </w:tcPr>
          <w:p w14:paraId="369D036F" w14:textId="77777777" w:rsidR="00FE6BD7" w:rsidRPr="009A1DE7" w:rsidRDefault="00FE6BD7" w:rsidP="00C81021">
            <w:pPr>
              <w:pStyle w:val="TableText"/>
            </w:pPr>
          </w:p>
        </w:tc>
        <w:tc>
          <w:tcPr>
            <w:tcW w:w="719" w:type="pct"/>
            <w:vMerge/>
          </w:tcPr>
          <w:p w14:paraId="40998706" w14:textId="77777777" w:rsidR="00FE6BD7" w:rsidRPr="009A1DE7" w:rsidRDefault="00FE6BD7" w:rsidP="00C81021">
            <w:pPr>
              <w:pStyle w:val="TableText"/>
            </w:pPr>
          </w:p>
        </w:tc>
        <w:tc>
          <w:tcPr>
            <w:tcW w:w="532" w:type="pct"/>
            <w:vMerge/>
          </w:tcPr>
          <w:p w14:paraId="5CDDD8E1"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5D61890"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41792A93" w14:textId="77777777" w:rsidR="00FE6BD7" w:rsidRPr="00EE4BD6" w:rsidRDefault="00FE6BD7" w:rsidP="00C81021">
            <w:pPr>
              <w:pStyle w:val="TableText"/>
            </w:pPr>
          </w:p>
        </w:tc>
      </w:tr>
      <w:tr w:rsidR="00FE6BD7" w:rsidRPr="00EE4BD6" w14:paraId="59A12993" w14:textId="77777777" w:rsidTr="00F97A1E">
        <w:trPr>
          <w:cantSplit/>
          <w:trHeight w:val="489"/>
        </w:trPr>
        <w:tc>
          <w:tcPr>
            <w:tcW w:w="436" w:type="pct"/>
            <w:vMerge/>
          </w:tcPr>
          <w:p w14:paraId="5371B40B" w14:textId="77777777" w:rsidR="00FE6BD7" w:rsidRPr="00EF587A" w:rsidRDefault="00FE6BD7" w:rsidP="00C81021">
            <w:pPr>
              <w:pStyle w:val="TableText"/>
            </w:pPr>
          </w:p>
        </w:tc>
        <w:tc>
          <w:tcPr>
            <w:tcW w:w="469" w:type="pct"/>
            <w:vMerge/>
          </w:tcPr>
          <w:p w14:paraId="4C14EE53" w14:textId="77777777" w:rsidR="00FE6BD7" w:rsidRPr="009A1DE7" w:rsidRDefault="00FE6BD7" w:rsidP="00C81021">
            <w:pPr>
              <w:pStyle w:val="TableText"/>
              <w:numPr>
                <w:ilvl w:val="0"/>
                <w:numId w:val="3"/>
              </w:numPr>
              <w:ind w:left="226" w:hanging="180"/>
            </w:pPr>
          </w:p>
        </w:tc>
        <w:tc>
          <w:tcPr>
            <w:tcW w:w="438" w:type="pct"/>
            <w:vMerge/>
          </w:tcPr>
          <w:p w14:paraId="5A07C84F" w14:textId="77777777" w:rsidR="00FE6BD7" w:rsidRPr="009A1DE7" w:rsidRDefault="00FE6BD7" w:rsidP="00C81021">
            <w:pPr>
              <w:pStyle w:val="TableText"/>
            </w:pPr>
          </w:p>
        </w:tc>
        <w:tc>
          <w:tcPr>
            <w:tcW w:w="874" w:type="pct"/>
            <w:vMerge/>
          </w:tcPr>
          <w:p w14:paraId="779C5696" w14:textId="77777777" w:rsidR="00FE6BD7" w:rsidRPr="009A1DE7" w:rsidRDefault="00FE6BD7" w:rsidP="00C81021">
            <w:pPr>
              <w:pStyle w:val="TableText"/>
            </w:pPr>
          </w:p>
        </w:tc>
        <w:tc>
          <w:tcPr>
            <w:tcW w:w="751" w:type="pct"/>
            <w:vMerge/>
          </w:tcPr>
          <w:p w14:paraId="43B2BB2B" w14:textId="77777777" w:rsidR="00FE6BD7" w:rsidRPr="009A1DE7" w:rsidRDefault="00FE6BD7" w:rsidP="00C81021">
            <w:pPr>
              <w:pStyle w:val="TableText"/>
            </w:pPr>
          </w:p>
        </w:tc>
        <w:tc>
          <w:tcPr>
            <w:tcW w:w="719" w:type="pct"/>
            <w:vMerge/>
          </w:tcPr>
          <w:p w14:paraId="3AC33212" w14:textId="77777777" w:rsidR="00FE6BD7" w:rsidRPr="009A1DE7" w:rsidRDefault="00FE6BD7" w:rsidP="00C81021">
            <w:pPr>
              <w:pStyle w:val="TableText"/>
            </w:pPr>
          </w:p>
        </w:tc>
        <w:tc>
          <w:tcPr>
            <w:tcW w:w="532" w:type="pct"/>
            <w:vMerge/>
          </w:tcPr>
          <w:p w14:paraId="6D64A105"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8823DC5"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47887945" w14:textId="77777777" w:rsidR="00FE6BD7" w:rsidRPr="00EE4BD6" w:rsidRDefault="00FE6BD7" w:rsidP="00C81021">
            <w:pPr>
              <w:pStyle w:val="TableText"/>
            </w:pPr>
          </w:p>
        </w:tc>
      </w:tr>
      <w:tr w:rsidR="00FE6BD7" w:rsidRPr="00EF587A" w14:paraId="5F91822F" w14:textId="77777777" w:rsidTr="00F97A1E">
        <w:trPr>
          <w:cantSplit/>
          <w:trHeight w:val="490"/>
        </w:trPr>
        <w:tc>
          <w:tcPr>
            <w:tcW w:w="436" w:type="pct"/>
            <w:vMerge/>
          </w:tcPr>
          <w:p w14:paraId="16C4E09E" w14:textId="77777777" w:rsidR="00FE6BD7" w:rsidRPr="00EF587A" w:rsidRDefault="00FE6BD7" w:rsidP="00C81021">
            <w:pPr>
              <w:pStyle w:val="TableText"/>
            </w:pPr>
          </w:p>
        </w:tc>
        <w:tc>
          <w:tcPr>
            <w:tcW w:w="469" w:type="pct"/>
            <w:vMerge/>
          </w:tcPr>
          <w:p w14:paraId="19E9DCAD" w14:textId="77777777" w:rsidR="00FE6BD7" w:rsidRPr="00EF587A" w:rsidRDefault="00FE6BD7" w:rsidP="00C81021">
            <w:pPr>
              <w:pStyle w:val="TableText"/>
            </w:pPr>
          </w:p>
        </w:tc>
        <w:tc>
          <w:tcPr>
            <w:tcW w:w="438" w:type="pct"/>
            <w:vMerge/>
          </w:tcPr>
          <w:p w14:paraId="3BC39311" w14:textId="77777777" w:rsidR="00FE6BD7" w:rsidRPr="00EF587A" w:rsidRDefault="00FE6BD7" w:rsidP="00C81021">
            <w:pPr>
              <w:pStyle w:val="TableText"/>
            </w:pPr>
          </w:p>
        </w:tc>
        <w:tc>
          <w:tcPr>
            <w:tcW w:w="874" w:type="pct"/>
            <w:vMerge/>
          </w:tcPr>
          <w:p w14:paraId="58EDD22F" w14:textId="77777777" w:rsidR="00FE6BD7" w:rsidRPr="00EF587A" w:rsidRDefault="00FE6BD7" w:rsidP="00C81021">
            <w:pPr>
              <w:pStyle w:val="TableText"/>
            </w:pPr>
          </w:p>
        </w:tc>
        <w:tc>
          <w:tcPr>
            <w:tcW w:w="751" w:type="pct"/>
            <w:vMerge/>
          </w:tcPr>
          <w:p w14:paraId="36A53B34" w14:textId="77777777" w:rsidR="00FE6BD7" w:rsidRPr="00EF587A" w:rsidRDefault="00FE6BD7" w:rsidP="00C81021">
            <w:pPr>
              <w:pStyle w:val="TableText"/>
            </w:pPr>
          </w:p>
        </w:tc>
        <w:tc>
          <w:tcPr>
            <w:tcW w:w="719" w:type="pct"/>
            <w:vMerge/>
          </w:tcPr>
          <w:p w14:paraId="7BDD0378" w14:textId="77777777" w:rsidR="00FE6BD7" w:rsidRPr="00EF587A" w:rsidRDefault="00FE6BD7" w:rsidP="00C81021">
            <w:pPr>
              <w:pStyle w:val="TableText"/>
            </w:pPr>
          </w:p>
        </w:tc>
        <w:tc>
          <w:tcPr>
            <w:tcW w:w="532" w:type="pct"/>
            <w:vMerge/>
          </w:tcPr>
          <w:p w14:paraId="68DAFAAB" w14:textId="77777777" w:rsidR="00FE6BD7" w:rsidRPr="00EF587A" w:rsidRDefault="00FE6BD7" w:rsidP="00C81021">
            <w:pPr>
              <w:pStyle w:val="TableText"/>
            </w:pPr>
          </w:p>
        </w:tc>
        <w:tc>
          <w:tcPr>
            <w:tcW w:w="345" w:type="pct"/>
            <w:shd w:val="clear" w:color="auto" w:fill="F2F2F2" w:themeFill="background1" w:themeFillShade="F2"/>
          </w:tcPr>
          <w:p w14:paraId="33CF5780"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345C9A20" w14:textId="77777777" w:rsidR="00FE6BD7" w:rsidRPr="00EF587A" w:rsidRDefault="00FE6BD7" w:rsidP="00C81021">
            <w:pPr>
              <w:pStyle w:val="TableText"/>
            </w:pPr>
          </w:p>
        </w:tc>
      </w:tr>
      <w:tr w:rsidR="00FE6BD7" w:rsidRPr="00EE4BD6" w14:paraId="5AA2DB5C" w14:textId="77777777" w:rsidTr="00F97A1E">
        <w:trPr>
          <w:cantSplit/>
        </w:trPr>
        <w:tc>
          <w:tcPr>
            <w:tcW w:w="5000" w:type="pct"/>
            <w:gridSpan w:val="9"/>
            <w:shd w:val="clear" w:color="auto" w:fill="D9E2F3" w:themeFill="accent5" w:themeFillTint="33"/>
          </w:tcPr>
          <w:p w14:paraId="6C3C26A1" w14:textId="77777777" w:rsidR="00FE6BD7" w:rsidRPr="00ED339A" w:rsidRDefault="00FE6BD7" w:rsidP="00C81021">
            <w:pPr>
              <w:pStyle w:val="TableText"/>
              <w:rPr>
                <w:sz w:val="8"/>
                <w:szCs w:val="8"/>
              </w:rPr>
            </w:pPr>
          </w:p>
        </w:tc>
      </w:tr>
      <w:tr w:rsidR="00C831AA" w:rsidRPr="00EE4BD6" w14:paraId="143D4D54" w14:textId="77777777" w:rsidTr="00F97A1E">
        <w:trPr>
          <w:cantSplit/>
          <w:trHeight w:val="489"/>
        </w:trPr>
        <w:tc>
          <w:tcPr>
            <w:tcW w:w="436" w:type="pct"/>
            <w:vMerge w:val="restart"/>
            <w:vAlign w:val="center"/>
          </w:tcPr>
          <w:p w14:paraId="34C62F6A" w14:textId="2C7AE192" w:rsidR="00C831AA" w:rsidRPr="00F77313" w:rsidRDefault="00C831AA" w:rsidP="00C831AA">
            <w:pPr>
              <w:pStyle w:val="TableText"/>
              <w:pageBreakBefore/>
              <w:jc w:val="center"/>
              <w:rPr>
                <w:b/>
                <w:bCs/>
              </w:rPr>
            </w:pPr>
            <w:r w:rsidRPr="00C831AA">
              <w:rPr>
                <w:b/>
                <w:bCs/>
              </w:rPr>
              <w:lastRenderedPageBreak/>
              <w:t>Payment Summary Report</w:t>
            </w:r>
          </w:p>
        </w:tc>
        <w:tc>
          <w:tcPr>
            <w:tcW w:w="469" w:type="pct"/>
            <w:vMerge w:val="restart"/>
          </w:tcPr>
          <w:p w14:paraId="3215CAED" w14:textId="342F0C62" w:rsidR="00C831AA" w:rsidRPr="009A1DE7" w:rsidRDefault="00C831AA" w:rsidP="00C831AA">
            <w:pPr>
              <w:pStyle w:val="TableText"/>
              <w:numPr>
                <w:ilvl w:val="0"/>
                <w:numId w:val="3"/>
              </w:numPr>
              <w:ind w:left="226" w:hanging="180"/>
            </w:pPr>
            <w:r w:rsidRPr="00C0452F">
              <w:t>This report displays a list of Payment Types in the EDR Ledger.  Among the parameters available in the report are all or specific payment types along with all or selected providers.</w:t>
            </w:r>
          </w:p>
        </w:tc>
        <w:tc>
          <w:tcPr>
            <w:tcW w:w="438" w:type="pct"/>
            <w:vMerge w:val="restart"/>
          </w:tcPr>
          <w:p w14:paraId="0916C2A3" w14:textId="0BFADBB4" w:rsidR="00C831AA" w:rsidRPr="009A1DE7" w:rsidRDefault="00C831AA" w:rsidP="00C831AA">
            <w:pPr>
              <w:pStyle w:val="TableText"/>
            </w:pPr>
            <w:r w:rsidRPr="00C0452F">
              <w:t>Dental Chief, CAC</w:t>
            </w:r>
          </w:p>
        </w:tc>
        <w:tc>
          <w:tcPr>
            <w:tcW w:w="874" w:type="pct"/>
            <w:vMerge w:val="restart"/>
          </w:tcPr>
          <w:p w14:paraId="4935A734" w14:textId="31CB4289" w:rsidR="00C831AA" w:rsidRPr="009A1DE7" w:rsidRDefault="00C831AA" w:rsidP="00C831AA">
            <w:pPr>
              <w:pStyle w:val="TableText"/>
            </w:pPr>
            <w:r w:rsidRPr="00C0452F">
              <w:t>Among the purposes for examining data includes identification of high and low volume payment types.</w:t>
            </w:r>
          </w:p>
        </w:tc>
        <w:tc>
          <w:tcPr>
            <w:tcW w:w="751" w:type="pct"/>
            <w:vMerge w:val="restart"/>
          </w:tcPr>
          <w:p w14:paraId="2A5C5460" w14:textId="5DC459CF" w:rsidR="00C831AA" w:rsidRPr="009A1DE7" w:rsidRDefault="00C831AA" w:rsidP="00C831AA">
            <w:pPr>
              <w:pStyle w:val="TableText"/>
              <w:numPr>
                <w:ilvl w:val="0"/>
                <w:numId w:val="2"/>
              </w:numPr>
              <w:ind w:left="232" w:hanging="180"/>
            </w:pPr>
            <w:r w:rsidRPr="00C0452F">
              <w:rPr>
                <w:u w:val="single"/>
              </w:rPr>
              <w:t>Ledger</w:t>
            </w:r>
            <w:r w:rsidRPr="00C0452F">
              <w:t>:  All payments properly labeled and posted in a timely manner.  If inaccuracies are identified they were not properly address in daily and weekly check list.</w:t>
            </w:r>
          </w:p>
        </w:tc>
        <w:tc>
          <w:tcPr>
            <w:tcW w:w="719" w:type="pct"/>
            <w:vMerge w:val="restart"/>
          </w:tcPr>
          <w:p w14:paraId="331DC297" w14:textId="150160C9" w:rsidR="00C831AA" w:rsidRPr="00EF587A" w:rsidRDefault="00C831AA" w:rsidP="00C831AA">
            <w:pPr>
              <w:pStyle w:val="TableText"/>
            </w:pPr>
            <w:r w:rsidRPr="00C0452F">
              <w:t>Not reviewing the information on the Payment Summary Report leaves questions about payment type use unidentified and unresolved.</w:t>
            </w:r>
          </w:p>
        </w:tc>
        <w:tc>
          <w:tcPr>
            <w:tcW w:w="532" w:type="pct"/>
            <w:vMerge w:val="restart"/>
          </w:tcPr>
          <w:p w14:paraId="065B8EBD" w14:textId="77777777" w:rsidR="00C831AA" w:rsidRDefault="00C831AA" w:rsidP="00C831AA">
            <w:pPr>
              <w:pStyle w:val="TableText"/>
              <w:numPr>
                <w:ilvl w:val="0"/>
                <w:numId w:val="1"/>
              </w:numPr>
              <w:ind w:left="187" w:hanging="187"/>
            </w:pPr>
            <w:r>
              <w:t>Database Design</w:t>
            </w:r>
          </w:p>
          <w:p w14:paraId="017F989E" w14:textId="77777777" w:rsidR="00C831AA" w:rsidRDefault="00C831AA" w:rsidP="00C831AA">
            <w:pPr>
              <w:pStyle w:val="TableText"/>
              <w:numPr>
                <w:ilvl w:val="0"/>
                <w:numId w:val="1"/>
              </w:numPr>
              <w:ind w:left="187" w:hanging="187"/>
            </w:pPr>
            <w:r w:rsidRPr="00E71A8D">
              <w:t>Revenue Cycle</w:t>
            </w:r>
          </w:p>
          <w:p w14:paraId="17BEDAEC" w14:textId="170EA278" w:rsidR="00C831AA" w:rsidRPr="00EF587A" w:rsidRDefault="00C831AA" w:rsidP="00C831AA">
            <w:pPr>
              <w:pStyle w:val="TableText"/>
              <w:numPr>
                <w:ilvl w:val="0"/>
                <w:numId w:val="1"/>
              </w:numPr>
              <w:spacing w:after="0"/>
              <w:ind w:left="187" w:hanging="187"/>
            </w:pPr>
            <w:r w:rsidRPr="00E71A8D">
              <w:t>Reports Reference</w:t>
            </w:r>
            <w:r>
              <w:t>*</w:t>
            </w:r>
          </w:p>
        </w:tc>
        <w:tc>
          <w:tcPr>
            <w:tcW w:w="345" w:type="pct"/>
            <w:shd w:val="clear" w:color="auto" w:fill="F2F2F2" w:themeFill="background1" w:themeFillShade="F2"/>
          </w:tcPr>
          <w:p w14:paraId="0FE14ED4" w14:textId="77777777" w:rsidR="00C831AA" w:rsidRPr="00EE4BD6" w:rsidRDefault="00C831AA" w:rsidP="00C831AA">
            <w:pPr>
              <w:pStyle w:val="TableText"/>
            </w:pPr>
            <w:r w:rsidRPr="001F26DF">
              <w:t>Date Reviewed</w:t>
            </w:r>
            <w:r>
              <w:t>:</w:t>
            </w:r>
          </w:p>
        </w:tc>
        <w:tc>
          <w:tcPr>
            <w:tcW w:w="436" w:type="pct"/>
            <w:shd w:val="clear" w:color="auto" w:fill="F2F2F2" w:themeFill="background1" w:themeFillShade="F2"/>
          </w:tcPr>
          <w:p w14:paraId="5199CC3E" w14:textId="77777777" w:rsidR="00C831AA" w:rsidRPr="00EE4BD6" w:rsidRDefault="00C831AA" w:rsidP="00C831AA">
            <w:pPr>
              <w:pStyle w:val="TableText"/>
            </w:pPr>
          </w:p>
        </w:tc>
      </w:tr>
      <w:tr w:rsidR="00FE6BD7" w:rsidRPr="00EE4BD6" w14:paraId="7DC61E1D" w14:textId="77777777" w:rsidTr="00F97A1E">
        <w:trPr>
          <w:cantSplit/>
          <w:trHeight w:val="489"/>
        </w:trPr>
        <w:tc>
          <w:tcPr>
            <w:tcW w:w="436" w:type="pct"/>
            <w:vMerge/>
          </w:tcPr>
          <w:p w14:paraId="0ECC4B16" w14:textId="77777777" w:rsidR="00FE6BD7" w:rsidRPr="00EF587A" w:rsidRDefault="00FE6BD7" w:rsidP="00C81021">
            <w:pPr>
              <w:pStyle w:val="TableText"/>
            </w:pPr>
          </w:p>
        </w:tc>
        <w:tc>
          <w:tcPr>
            <w:tcW w:w="469" w:type="pct"/>
            <w:vMerge/>
          </w:tcPr>
          <w:p w14:paraId="4E694DFA" w14:textId="77777777" w:rsidR="00FE6BD7" w:rsidRPr="009A1DE7" w:rsidRDefault="00FE6BD7" w:rsidP="00C81021">
            <w:pPr>
              <w:pStyle w:val="TableText"/>
              <w:numPr>
                <w:ilvl w:val="0"/>
                <w:numId w:val="3"/>
              </w:numPr>
              <w:ind w:left="226" w:hanging="180"/>
            </w:pPr>
          </w:p>
        </w:tc>
        <w:tc>
          <w:tcPr>
            <w:tcW w:w="438" w:type="pct"/>
            <w:vMerge/>
          </w:tcPr>
          <w:p w14:paraId="38E1587F" w14:textId="77777777" w:rsidR="00FE6BD7" w:rsidRPr="009A1DE7" w:rsidRDefault="00FE6BD7" w:rsidP="00C81021">
            <w:pPr>
              <w:pStyle w:val="TableText"/>
            </w:pPr>
          </w:p>
        </w:tc>
        <w:tc>
          <w:tcPr>
            <w:tcW w:w="874" w:type="pct"/>
            <w:vMerge/>
          </w:tcPr>
          <w:p w14:paraId="380CD076" w14:textId="77777777" w:rsidR="00FE6BD7" w:rsidRPr="009A1DE7" w:rsidRDefault="00FE6BD7" w:rsidP="00C81021">
            <w:pPr>
              <w:pStyle w:val="TableText"/>
            </w:pPr>
          </w:p>
        </w:tc>
        <w:tc>
          <w:tcPr>
            <w:tcW w:w="751" w:type="pct"/>
            <w:vMerge/>
          </w:tcPr>
          <w:p w14:paraId="5EA60DEA" w14:textId="77777777" w:rsidR="00FE6BD7" w:rsidRPr="009A1DE7" w:rsidRDefault="00FE6BD7" w:rsidP="00C81021">
            <w:pPr>
              <w:pStyle w:val="TableText"/>
            </w:pPr>
          </w:p>
        </w:tc>
        <w:tc>
          <w:tcPr>
            <w:tcW w:w="719" w:type="pct"/>
            <w:vMerge/>
          </w:tcPr>
          <w:p w14:paraId="2370BC0D" w14:textId="77777777" w:rsidR="00FE6BD7" w:rsidRPr="009A1DE7" w:rsidRDefault="00FE6BD7" w:rsidP="00C81021">
            <w:pPr>
              <w:pStyle w:val="TableText"/>
            </w:pPr>
          </w:p>
        </w:tc>
        <w:tc>
          <w:tcPr>
            <w:tcW w:w="532" w:type="pct"/>
            <w:vMerge/>
          </w:tcPr>
          <w:p w14:paraId="36EB03BC"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70FB01EF"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68862854" w14:textId="77777777" w:rsidR="00FE6BD7" w:rsidRPr="00EE4BD6" w:rsidRDefault="00FE6BD7" w:rsidP="00C81021">
            <w:pPr>
              <w:pStyle w:val="TableText"/>
            </w:pPr>
          </w:p>
        </w:tc>
      </w:tr>
      <w:tr w:rsidR="00FE6BD7" w:rsidRPr="00EE4BD6" w14:paraId="34971029" w14:textId="77777777" w:rsidTr="00F97A1E">
        <w:trPr>
          <w:cantSplit/>
          <w:trHeight w:val="490"/>
        </w:trPr>
        <w:tc>
          <w:tcPr>
            <w:tcW w:w="436" w:type="pct"/>
            <w:vMerge/>
          </w:tcPr>
          <w:p w14:paraId="347E4B8D" w14:textId="77777777" w:rsidR="00FE6BD7" w:rsidRPr="00EF587A" w:rsidRDefault="00FE6BD7" w:rsidP="00C81021">
            <w:pPr>
              <w:pStyle w:val="TableText"/>
            </w:pPr>
          </w:p>
        </w:tc>
        <w:tc>
          <w:tcPr>
            <w:tcW w:w="469" w:type="pct"/>
            <w:vMerge/>
          </w:tcPr>
          <w:p w14:paraId="6C25345D" w14:textId="77777777" w:rsidR="00FE6BD7" w:rsidRPr="009A1DE7" w:rsidRDefault="00FE6BD7" w:rsidP="00C81021">
            <w:pPr>
              <w:pStyle w:val="TableText"/>
              <w:numPr>
                <w:ilvl w:val="0"/>
                <w:numId w:val="3"/>
              </w:numPr>
              <w:ind w:left="226" w:hanging="180"/>
            </w:pPr>
          </w:p>
        </w:tc>
        <w:tc>
          <w:tcPr>
            <w:tcW w:w="438" w:type="pct"/>
            <w:vMerge/>
          </w:tcPr>
          <w:p w14:paraId="6A56D350" w14:textId="77777777" w:rsidR="00FE6BD7" w:rsidRPr="009A1DE7" w:rsidRDefault="00FE6BD7" w:rsidP="00C81021">
            <w:pPr>
              <w:pStyle w:val="TableText"/>
            </w:pPr>
          </w:p>
        </w:tc>
        <w:tc>
          <w:tcPr>
            <w:tcW w:w="874" w:type="pct"/>
            <w:vMerge/>
          </w:tcPr>
          <w:p w14:paraId="1FF583E6" w14:textId="77777777" w:rsidR="00FE6BD7" w:rsidRPr="009A1DE7" w:rsidRDefault="00FE6BD7" w:rsidP="00C81021">
            <w:pPr>
              <w:pStyle w:val="TableText"/>
            </w:pPr>
          </w:p>
        </w:tc>
        <w:tc>
          <w:tcPr>
            <w:tcW w:w="751" w:type="pct"/>
            <w:vMerge/>
          </w:tcPr>
          <w:p w14:paraId="28D1CE3F" w14:textId="77777777" w:rsidR="00FE6BD7" w:rsidRPr="009A1DE7" w:rsidRDefault="00FE6BD7" w:rsidP="00C81021">
            <w:pPr>
              <w:pStyle w:val="TableText"/>
            </w:pPr>
          </w:p>
        </w:tc>
        <w:tc>
          <w:tcPr>
            <w:tcW w:w="719" w:type="pct"/>
            <w:vMerge/>
          </w:tcPr>
          <w:p w14:paraId="13E20980" w14:textId="77777777" w:rsidR="00FE6BD7" w:rsidRPr="009A1DE7" w:rsidRDefault="00FE6BD7" w:rsidP="00C81021">
            <w:pPr>
              <w:pStyle w:val="TableText"/>
            </w:pPr>
          </w:p>
        </w:tc>
        <w:tc>
          <w:tcPr>
            <w:tcW w:w="532" w:type="pct"/>
            <w:vMerge/>
          </w:tcPr>
          <w:p w14:paraId="61933955"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80B56CE"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160E1061" w14:textId="77777777" w:rsidR="00FE6BD7" w:rsidRPr="00EE4BD6" w:rsidRDefault="00FE6BD7" w:rsidP="00C81021">
            <w:pPr>
              <w:pStyle w:val="TableText"/>
            </w:pPr>
          </w:p>
        </w:tc>
      </w:tr>
      <w:tr w:rsidR="00FE6BD7" w:rsidRPr="00EE4BD6" w14:paraId="388E150D" w14:textId="77777777" w:rsidTr="00F97A1E">
        <w:trPr>
          <w:cantSplit/>
          <w:trHeight w:val="489"/>
        </w:trPr>
        <w:tc>
          <w:tcPr>
            <w:tcW w:w="436" w:type="pct"/>
            <w:vMerge/>
          </w:tcPr>
          <w:p w14:paraId="2253D435" w14:textId="77777777" w:rsidR="00FE6BD7" w:rsidRPr="00EF587A" w:rsidRDefault="00FE6BD7" w:rsidP="00C81021">
            <w:pPr>
              <w:pStyle w:val="TableText"/>
            </w:pPr>
          </w:p>
        </w:tc>
        <w:tc>
          <w:tcPr>
            <w:tcW w:w="469" w:type="pct"/>
            <w:vMerge/>
          </w:tcPr>
          <w:p w14:paraId="0500AA88" w14:textId="77777777" w:rsidR="00FE6BD7" w:rsidRPr="009A1DE7" w:rsidRDefault="00FE6BD7" w:rsidP="00C81021">
            <w:pPr>
              <w:pStyle w:val="TableText"/>
              <w:numPr>
                <w:ilvl w:val="0"/>
                <w:numId w:val="3"/>
              </w:numPr>
              <w:ind w:left="226" w:hanging="180"/>
            </w:pPr>
          </w:p>
        </w:tc>
        <w:tc>
          <w:tcPr>
            <w:tcW w:w="438" w:type="pct"/>
            <w:vMerge/>
          </w:tcPr>
          <w:p w14:paraId="059ADC81" w14:textId="77777777" w:rsidR="00FE6BD7" w:rsidRPr="009A1DE7" w:rsidRDefault="00FE6BD7" w:rsidP="00C81021">
            <w:pPr>
              <w:pStyle w:val="TableText"/>
            </w:pPr>
          </w:p>
        </w:tc>
        <w:tc>
          <w:tcPr>
            <w:tcW w:w="874" w:type="pct"/>
            <w:vMerge/>
          </w:tcPr>
          <w:p w14:paraId="210A0414" w14:textId="77777777" w:rsidR="00FE6BD7" w:rsidRPr="009A1DE7" w:rsidRDefault="00FE6BD7" w:rsidP="00C81021">
            <w:pPr>
              <w:pStyle w:val="TableText"/>
            </w:pPr>
          </w:p>
        </w:tc>
        <w:tc>
          <w:tcPr>
            <w:tcW w:w="751" w:type="pct"/>
            <w:vMerge/>
          </w:tcPr>
          <w:p w14:paraId="184B241F" w14:textId="77777777" w:rsidR="00FE6BD7" w:rsidRPr="009A1DE7" w:rsidRDefault="00FE6BD7" w:rsidP="00C81021">
            <w:pPr>
              <w:pStyle w:val="TableText"/>
            </w:pPr>
          </w:p>
        </w:tc>
        <w:tc>
          <w:tcPr>
            <w:tcW w:w="719" w:type="pct"/>
            <w:vMerge/>
          </w:tcPr>
          <w:p w14:paraId="15B57D39" w14:textId="77777777" w:rsidR="00FE6BD7" w:rsidRPr="009A1DE7" w:rsidRDefault="00FE6BD7" w:rsidP="00C81021">
            <w:pPr>
              <w:pStyle w:val="TableText"/>
            </w:pPr>
          </w:p>
        </w:tc>
        <w:tc>
          <w:tcPr>
            <w:tcW w:w="532" w:type="pct"/>
            <w:vMerge/>
          </w:tcPr>
          <w:p w14:paraId="6E91C3E1"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9147636"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5107EFF9" w14:textId="77777777" w:rsidR="00FE6BD7" w:rsidRPr="00EE4BD6" w:rsidRDefault="00FE6BD7" w:rsidP="00C81021">
            <w:pPr>
              <w:pStyle w:val="TableText"/>
            </w:pPr>
          </w:p>
        </w:tc>
      </w:tr>
      <w:tr w:rsidR="00FE6BD7" w:rsidRPr="00EF587A" w14:paraId="1A0489F5" w14:textId="77777777" w:rsidTr="00F97A1E">
        <w:trPr>
          <w:cantSplit/>
          <w:trHeight w:val="490"/>
        </w:trPr>
        <w:tc>
          <w:tcPr>
            <w:tcW w:w="436" w:type="pct"/>
            <w:vMerge/>
          </w:tcPr>
          <w:p w14:paraId="3DCA5549" w14:textId="77777777" w:rsidR="00FE6BD7" w:rsidRPr="00EF587A" w:rsidRDefault="00FE6BD7" w:rsidP="00C81021">
            <w:pPr>
              <w:pStyle w:val="TableText"/>
            </w:pPr>
          </w:p>
        </w:tc>
        <w:tc>
          <w:tcPr>
            <w:tcW w:w="469" w:type="pct"/>
            <w:vMerge/>
          </w:tcPr>
          <w:p w14:paraId="1636A8E4" w14:textId="77777777" w:rsidR="00FE6BD7" w:rsidRPr="00EF587A" w:rsidRDefault="00FE6BD7" w:rsidP="00C81021">
            <w:pPr>
              <w:pStyle w:val="TableText"/>
            </w:pPr>
          </w:p>
        </w:tc>
        <w:tc>
          <w:tcPr>
            <w:tcW w:w="438" w:type="pct"/>
            <w:vMerge/>
          </w:tcPr>
          <w:p w14:paraId="49F9DE5C" w14:textId="77777777" w:rsidR="00FE6BD7" w:rsidRPr="00EF587A" w:rsidRDefault="00FE6BD7" w:rsidP="00C81021">
            <w:pPr>
              <w:pStyle w:val="TableText"/>
            </w:pPr>
          </w:p>
        </w:tc>
        <w:tc>
          <w:tcPr>
            <w:tcW w:w="874" w:type="pct"/>
            <w:vMerge/>
          </w:tcPr>
          <w:p w14:paraId="11D45DB8" w14:textId="77777777" w:rsidR="00FE6BD7" w:rsidRPr="00EF587A" w:rsidRDefault="00FE6BD7" w:rsidP="00C81021">
            <w:pPr>
              <w:pStyle w:val="TableText"/>
            </w:pPr>
          </w:p>
        </w:tc>
        <w:tc>
          <w:tcPr>
            <w:tcW w:w="751" w:type="pct"/>
            <w:vMerge/>
          </w:tcPr>
          <w:p w14:paraId="1B1C1DB5" w14:textId="77777777" w:rsidR="00FE6BD7" w:rsidRPr="00EF587A" w:rsidRDefault="00FE6BD7" w:rsidP="00C81021">
            <w:pPr>
              <w:pStyle w:val="TableText"/>
            </w:pPr>
          </w:p>
        </w:tc>
        <w:tc>
          <w:tcPr>
            <w:tcW w:w="719" w:type="pct"/>
            <w:vMerge/>
          </w:tcPr>
          <w:p w14:paraId="20AC75A2" w14:textId="77777777" w:rsidR="00FE6BD7" w:rsidRPr="00EF587A" w:rsidRDefault="00FE6BD7" w:rsidP="00C81021">
            <w:pPr>
              <w:pStyle w:val="TableText"/>
            </w:pPr>
          </w:p>
        </w:tc>
        <w:tc>
          <w:tcPr>
            <w:tcW w:w="532" w:type="pct"/>
            <w:vMerge/>
          </w:tcPr>
          <w:p w14:paraId="13298944" w14:textId="77777777" w:rsidR="00FE6BD7" w:rsidRPr="00EF587A" w:rsidRDefault="00FE6BD7" w:rsidP="00C81021">
            <w:pPr>
              <w:pStyle w:val="TableText"/>
            </w:pPr>
          </w:p>
        </w:tc>
        <w:tc>
          <w:tcPr>
            <w:tcW w:w="345" w:type="pct"/>
            <w:shd w:val="clear" w:color="auto" w:fill="F2F2F2" w:themeFill="background1" w:themeFillShade="F2"/>
          </w:tcPr>
          <w:p w14:paraId="3B83BF22"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4848557D" w14:textId="77777777" w:rsidR="00FE6BD7" w:rsidRPr="00EF587A" w:rsidRDefault="00FE6BD7" w:rsidP="00C81021">
            <w:pPr>
              <w:pStyle w:val="TableText"/>
            </w:pPr>
          </w:p>
        </w:tc>
      </w:tr>
      <w:tr w:rsidR="00FE6BD7" w:rsidRPr="00EE4BD6" w14:paraId="52B96E5E" w14:textId="77777777" w:rsidTr="00F97A1E">
        <w:trPr>
          <w:cantSplit/>
        </w:trPr>
        <w:tc>
          <w:tcPr>
            <w:tcW w:w="5000" w:type="pct"/>
            <w:gridSpan w:val="9"/>
            <w:shd w:val="clear" w:color="auto" w:fill="D9E2F3" w:themeFill="accent5" w:themeFillTint="33"/>
          </w:tcPr>
          <w:p w14:paraId="3B2D44E9" w14:textId="77777777" w:rsidR="00FE6BD7" w:rsidRPr="00ED339A" w:rsidRDefault="00FE6BD7" w:rsidP="00C81021">
            <w:pPr>
              <w:pStyle w:val="TableText"/>
              <w:rPr>
                <w:sz w:val="8"/>
                <w:szCs w:val="8"/>
              </w:rPr>
            </w:pPr>
          </w:p>
        </w:tc>
      </w:tr>
      <w:tr w:rsidR="00C831AA" w:rsidRPr="00EE4BD6" w14:paraId="47E5E3C2" w14:textId="77777777" w:rsidTr="00F97A1E">
        <w:trPr>
          <w:cantSplit/>
          <w:trHeight w:val="428"/>
        </w:trPr>
        <w:tc>
          <w:tcPr>
            <w:tcW w:w="436" w:type="pct"/>
            <w:vMerge w:val="restart"/>
            <w:vAlign w:val="center"/>
          </w:tcPr>
          <w:p w14:paraId="2ECBF02E" w14:textId="2FE48BF1" w:rsidR="00C831AA" w:rsidRPr="00F77313" w:rsidRDefault="00C831AA" w:rsidP="00C831AA">
            <w:pPr>
              <w:pStyle w:val="TableText"/>
              <w:jc w:val="center"/>
              <w:rPr>
                <w:b/>
                <w:bCs/>
              </w:rPr>
            </w:pPr>
            <w:r w:rsidRPr="00C831AA">
              <w:rPr>
                <w:b/>
                <w:bCs/>
              </w:rPr>
              <w:t>Practice Analysis</w:t>
            </w:r>
          </w:p>
        </w:tc>
        <w:tc>
          <w:tcPr>
            <w:tcW w:w="469" w:type="pct"/>
            <w:vMerge w:val="restart"/>
          </w:tcPr>
          <w:p w14:paraId="60C9DAFE" w14:textId="587E5F31" w:rsidR="00C831AA" w:rsidRPr="009A1DE7" w:rsidRDefault="00C831AA" w:rsidP="00C831AA">
            <w:pPr>
              <w:pStyle w:val="TableText"/>
              <w:numPr>
                <w:ilvl w:val="0"/>
                <w:numId w:val="3"/>
              </w:numPr>
              <w:ind w:left="226" w:hanging="180"/>
            </w:pPr>
            <w:r w:rsidRPr="00C0452F">
              <w:t>Previous Month</w:t>
            </w:r>
          </w:p>
        </w:tc>
        <w:tc>
          <w:tcPr>
            <w:tcW w:w="438" w:type="pct"/>
            <w:vMerge w:val="restart"/>
          </w:tcPr>
          <w:p w14:paraId="3AE32AA6" w14:textId="0316CD25" w:rsidR="00C831AA" w:rsidRPr="009A1DE7" w:rsidRDefault="00C831AA" w:rsidP="00C831AA">
            <w:pPr>
              <w:pStyle w:val="TableText"/>
            </w:pPr>
            <w:r w:rsidRPr="00C0452F">
              <w:t>Dental Chief, CAC</w:t>
            </w:r>
          </w:p>
        </w:tc>
        <w:tc>
          <w:tcPr>
            <w:tcW w:w="874" w:type="pct"/>
            <w:vMerge w:val="restart"/>
          </w:tcPr>
          <w:p w14:paraId="37E7FD1E" w14:textId="1CC8BEF6" w:rsidR="00C831AA" w:rsidRPr="009A1DE7" w:rsidRDefault="00C831AA" w:rsidP="00C831AA">
            <w:pPr>
              <w:pStyle w:val="TableText"/>
            </w:pPr>
            <w:r w:rsidRPr="00C0452F">
              <w:t>View the practices financial situation from a high level.  Total Production, collection, adjustments, and age of balances.</w:t>
            </w:r>
          </w:p>
        </w:tc>
        <w:tc>
          <w:tcPr>
            <w:tcW w:w="751" w:type="pct"/>
            <w:vMerge w:val="restart"/>
          </w:tcPr>
          <w:p w14:paraId="5C52B7E3" w14:textId="77777777" w:rsidR="00C831AA" w:rsidRDefault="00C831AA" w:rsidP="00C831AA">
            <w:pPr>
              <w:pStyle w:val="TableText"/>
              <w:keepNext/>
              <w:keepLines/>
              <w:numPr>
                <w:ilvl w:val="0"/>
                <w:numId w:val="2"/>
              </w:numPr>
              <w:ind w:left="232" w:hanging="180"/>
            </w:pPr>
            <w:r w:rsidRPr="00C0452F">
              <w:t>All daily and weekly reports have been verified accurate.</w:t>
            </w:r>
          </w:p>
          <w:p w14:paraId="59E6476E" w14:textId="6C656C1C" w:rsidR="00C831AA" w:rsidRPr="009A1DE7" w:rsidRDefault="00C831AA" w:rsidP="00C831AA">
            <w:pPr>
              <w:pStyle w:val="TableText"/>
              <w:numPr>
                <w:ilvl w:val="0"/>
                <w:numId w:val="2"/>
              </w:numPr>
              <w:ind w:left="232" w:hanging="180"/>
            </w:pPr>
            <w:r w:rsidRPr="00C0452F">
              <w:t>Review daily and weekly reports and audits for outliers and inaccuracies.  Reinforce standard operating process through reinforcement training.</w:t>
            </w:r>
          </w:p>
        </w:tc>
        <w:tc>
          <w:tcPr>
            <w:tcW w:w="719" w:type="pct"/>
            <w:vMerge w:val="restart"/>
          </w:tcPr>
          <w:p w14:paraId="724F3780" w14:textId="210C6CE4" w:rsidR="00C831AA" w:rsidRPr="00EF587A" w:rsidRDefault="00C831AA" w:rsidP="00C831AA">
            <w:pPr>
              <w:pStyle w:val="TableText"/>
            </w:pPr>
            <w:r w:rsidRPr="00C0452F">
              <w:t>The Practice Analysis Report is intended to provide a high overview of clinic health for production, collections, and overall patient transactions.  Without review of this report, there are likely to be gaps in practice health awareness.</w:t>
            </w:r>
          </w:p>
        </w:tc>
        <w:tc>
          <w:tcPr>
            <w:tcW w:w="532" w:type="pct"/>
            <w:vMerge w:val="restart"/>
          </w:tcPr>
          <w:p w14:paraId="641122F5" w14:textId="0A9A2128" w:rsidR="00C831AA" w:rsidRPr="00EF587A" w:rsidRDefault="00C831AA" w:rsidP="00C831AA">
            <w:pPr>
              <w:pStyle w:val="TableText"/>
              <w:numPr>
                <w:ilvl w:val="0"/>
                <w:numId w:val="1"/>
              </w:numPr>
              <w:spacing w:after="0"/>
              <w:ind w:left="187" w:hanging="187"/>
            </w:pPr>
            <w:r w:rsidRPr="00E71A8D">
              <w:t>Reports Reference</w:t>
            </w:r>
            <w:r>
              <w:t>*</w:t>
            </w:r>
          </w:p>
        </w:tc>
        <w:tc>
          <w:tcPr>
            <w:tcW w:w="345" w:type="pct"/>
            <w:shd w:val="clear" w:color="auto" w:fill="F2F2F2" w:themeFill="background1" w:themeFillShade="F2"/>
          </w:tcPr>
          <w:p w14:paraId="0076FBC8" w14:textId="77777777" w:rsidR="00C831AA" w:rsidRPr="00EE4BD6" w:rsidRDefault="00C831AA" w:rsidP="00C831AA">
            <w:pPr>
              <w:pStyle w:val="TableText"/>
            </w:pPr>
            <w:r w:rsidRPr="001F26DF">
              <w:t>Date Reviewed</w:t>
            </w:r>
            <w:r>
              <w:t>:</w:t>
            </w:r>
          </w:p>
        </w:tc>
        <w:tc>
          <w:tcPr>
            <w:tcW w:w="436" w:type="pct"/>
            <w:shd w:val="clear" w:color="auto" w:fill="F2F2F2" w:themeFill="background1" w:themeFillShade="F2"/>
          </w:tcPr>
          <w:p w14:paraId="6FA5D4E9" w14:textId="77777777" w:rsidR="00C831AA" w:rsidRPr="00EE4BD6" w:rsidRDefault="00C831AA" w:rsidP="00C831AA">
            <w:pPr>
              <w:pStyle w:val="TableText"/>
            </w:pPr>
          </w:p>
        </w:tc>
      </w:tr>
      <w:tr w:rsidR="00FE6BD7" w:rsidRPr="00EE4BD6" w14:paraId="17E7ACA0" w14:textId="77777777" w:rsidTr="00F97A1E">
        <w:trPr>
          <w:cantSplit/>
          <w:trHeight w:val="428"/>
        </w:trPr>
        <w:tc>
          <w:tcPr>
            <w:tcW w:w="436" w:type="pct"/>
            <w:vMerge/>
          </w:tcPr>
          <w:p w14:paraId="595F6B42" w14:textId="77777777" w:rsidR="00FE6BD7" w:rsidRPr="00EF587A" w:rsidRDefault="00FE6BD7" w:rsidP="00C81021">
            <w:pPr>
              <w:pStyle w:val="TableText"/>
            </w:pPr>
          </w:p>
        </w:tc>
        <w:tc>
          <w:tcPr>
            <w:tcW w:w="469" w:type="pct"/>
            <w:vMerge/>
          </w:tcPr>
          <w:p w14:paraId="3CA29E64" w14:textId="77777777" w:rsidR="00FE6BD7" w:rsidRPr="009A1DE7" w:rsidRDefault="00FE6BD7" w:rsidP="00C81021">
            <w:pPr>
              <w:pStyle w:val="TableText"/>
              <w:numPr>
                <w:ilvl w:val="0"/>
                <w:numId w:val="3"/>
              </w:numPr>
              <w:ind w:left="226" w:hanging="180"/>
            </w:pPr>
          </w:p>
        </w:tc>
        <w:tc>
          <w:tcPr>
            <w:tcW w:w="438" w:type="pct"/>
            <w:vMerge/>
          </w:tcPr>
          <w:p w14:paraId="45A32CE2" w14:textId="77777777" w:rsidR="00FE6BD7" w:rsidRPr="009A1DE7" w:rsidRDefault="00FE6BD7" w:rsidP="00C81021">
            <w:pPr>
              <w:pStyle w:val="TableText"/>
            </w:pPr>
          </w:p>
        </w:tc>
        <w:tc>
          <w:tcPr>
            <w:tcW w:w="874" w:type="pct"/>
            <w:vMerge/>
          </w:tcPr>
          <w:p w14:paraId="1FFDA9AD" w14:textId="77777777" w:rsidR="00FE6BD7" w:rsidRPr="009A1DE7" w:rsidRDefault="00FE6BD7" w:rsidP="00C81021">
            <w:pPr>
              <w:pStyle w:val="TableText"/>
            </w:pPr>
          </w:p>
        </w:tc>
        <w:tc>
          <w:tcPr>
            <w:tcW w:w="751" w:type="pct"/>
            <w:vMerge/>
          </w:tcPr>
          <w:p w14:paraId="616327F0" w14:textId="77777777" w:rsidR="00FE6BD7" w:rsidRPr="009A1DE7" w:rsidRDefault="00FE6BD7" w:rsidP="00C81021">
            <w:pPr>
              <w:pStyle w:val="TableText"/>
            </w:pPr>
          </w:p>
        </w:tc>
        <w:tc>
          <w:tcPr>
            <w:tcW w:w="719" w:type="pct"/>
            <w:vMerge/>
          </w:tcPr>
          <w:p w14:paraId="34001714" w14:textId="77777777" w:rsidR="00FE6BD7" w:rsidRPr="009A1DE7" w:rsidRDefault="00FE6BD7" w:rsidP="00C81021">
            <w:pPr>
              <w:pStyle w:val="TableText"/>
            </w:pPr>
          </w:p>
        </w:tc>
        <w:tc>
          <w:tcPr>
            <w:tcW w:w="532" w:type="pct"/>
            <w:vMerge/>
          </w:tcPr>
          <w:p w14:paraId="02821B88"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466EBE6"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0B74B8F1" w14:textId="77777777" w:rsidR="00FE6BD7" w:rsidRPr="00EE4BD6" w:rsidRDefault="00FE6BD7" w:rsidP="00C81021">
            <w:pPr>
              <w:pStyle w:val="TableText"/>
            </w:pPr>
          </w:p>
        </w:tc>
      </w:tr>
      <w:tr w:rsidR="00FE6BD7" w:rsidRPr="00EE4BD6" w14:paraId="46E20B01" w14:textId="77777777" w:rsidTr="00F97A1E">
        <w:trPr>
          <w:cantSplit/>
          <w:trHeight w:val="428"/>
        </w:trPr>
        <w:tc>
          <w:tcPr>
            <w:tcW w:w="436" w:type="pct"/>
            <w:vMerge/>
          </w:tcPr>
          <w:p w14:paraId="2DD63D02" w14:textId="77777777" w:rsidR="00FE6BD7" w:rsidRPr="00EF587A" w:rsidRDefault="00FE6BD7" w:rsidP="00C81021">
            <w:pPr>
              <w:pStyle w:val="TableText"/>
            </w:pPr>
          </w:p>
        </w:tc>
        <w:tc>
          <w:tcPr>
            <w:tcW w:w="469" w:type="pct"/>
            <w:vMerge/>
          </w:tcPr>
          <w:p w14:paraId="0EEF4920" w14:textId="77777777" w:rsidR="00FE6BD7" w:rsidRPr="009A1DE7" w:rsidRDefault="00FE6BD7" w:rsidP="00C81021">
            <w:pPr>
              <w:pStyle w:val="TableText"/>
              <w:numPr>
                <w:ilvl w:val="0"/>
                <w:numId w:val="3"/>
              </w:numPr>
              <w:ind w:left="226" w:hanging="180"/>
            </w:pPr>
          </w:p>
        </w:tc>
        <w:tc>
          <w:tcPr>
            <w:tcW w:w="438" w:type="pct"/>
            <w:vMerge/>
          </w:tcPr>
          <w:p w14:paraId="0CD50A79" w14:textId="77777777" w:rsidR="00FE6BD7" w:rsidRPr="009A1DE7" w:rsidRDefault="00FE6BD7" w:rsidP="00C81021">
            <w:pPr>
              <w:pStyle w:val="TableText"/>
            </w:pPr>
          </w:p>
        </w:tc>
        <w:tc>
          <w:tcPr>
            <w:tcW w:w="874" w:type="pct"/>
            <w:vMerge/>
          </w:tcPr>
          <w:p w14:paraId="63FF801F" w14:textId="77777777" w:rsidR="00FE6BD7" w:rsidRPr="009A1DE7" w:rsidRDefault="00FE6BD7" w:rsidP="00C81021">
            <w:pPr>
              <w:pStyle w:val="TableText"/>
            </w:pPr>
          </w:p>
        </w:tc>
        <w:tc>
          <w:tcPr>
            <w:tcW w:w="751" w:type="pct"/>
            <w:vMerge/>
          </w:tcPr>
          <w:p w14:paraId="5BE31FFE" w14:textId="77777777" w:rsidR="00FE6BD7" w:rsidRPr="009A1DE7" w:rsidRDefault="00FE6BD7" w:rsidP="00C81021">
            <w:pPr>
              <w:pStyle w:val="TableText"/>
            </w:pPr>
          </w:p>
        </w:tc>
        <w:tc>
          <w:tcPr>
            <w:tcW w:w="719" w:type="pct"/>
            <w:vMerge/>
          </w:tcPr>
          <w:p w14:paraId="334F4158" w14:textId="77777777" w:rsidR="00FE6BD7" w:rsidRPr="009A1DE7" w:rsidRDefault="00FE6BD7" w:rsidP="00C81021">
            <w:pPr>
              <w:pStyle w:val="TableText"/>
            </w:pPr>
          </w:p>
        </w:tc>
        <w:tc>
          <w:tcPr>
            <w:tcW w:w="532" w:type="pct"/>
            <w:vMerge/>
          </w:tcPr>
          <w:p w14:paraId="028AA04B"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1B341020"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375B5BEB" w14:textId="77777777" w:rsidR="00FE6BD7" w:rsidRPr="00EE4BD6" w:rsidRDefault="00FE6BD7" w:rsidP="00C81021">
            <w:pPr>
              <w:pStyle w:val="TableText"/>
            </w:pPr>
          </w:p>
        </w:tc>
      </w:tr>
      <w:tr w:rsidR="00FE6BD7" w:rsidRPr="00EE4BD6" w14:paraId="78425E3E" w14:textId="77777777" w:rsidTr="00F97A1E">
        <w:trPr>
          <w:cantSplit/>
          <w:trHeight w:val="428"/>
        </w:trPr>
        <w:tc>
          <w:tcPr>
            <w:tcW w:w="436" w:type="pct"/>
            <w:vMerge/>
          </w:tcPr>
          <w:p w14:paraId="68CD0DE3" w14:textId="77777777" w:rsidR="00FE6BD7" w:rsidRPr="00EF587A" w:rsidRDefault="00FE6BD7" w:rsidP="00C81021">
            <w:pPr>
              <w:pStyle w:val="TableText"/>
            </w:pPr>
          </w:p>
        </w:tc>
        <w:tc>
          <w:tcPr>
            <w:tcW w:w="469" w:type="pct"/>
            <w:vMerge/>
          </w:tcPr>
          <w:p w14:paraId="1D9AA638" w14:textId="77777777" w:rsidR="00FE6BD7" w:rsidRPr="009A1DE7" w:rsidRDefault="00FE6BD7" w:rsidP="00C81021">
            <w:pPr>
              <w:pStyle w:val="TableText"/>
              <w:numPr>
                <w:ilvl w:val="0"/>
                <w:numId w:val="3"/>
              </w:numPr>
              <w:ind w:left="226" w:hanging="180"/>
            </w:pPr>
          </w:p>
        </w:tc>
        <w:tc>
          <w:tcPr>
            <w:tcW w:w="438" w:type="pct"/>
            <w:vMerge/>
          </w:tcPr>
          <w:p w14:paraId="50E76345" w14:textId="77777777" w:rsidR="00FE6BD7" w:rsidRPr="009A1DE7" w:rsidRDefault="00FE6BD7" w:rsidP="00C81021">
            <w:pPr>
              <w:pStyle w:val="TableText"/>
            </w:pPr>
          </w:p>
        </w:tc>
        <w:tc>
          <w:tcPr>
            <w:tcW w:w="874" w:type="pct"/>
            <w:vMerge/>
          </w:tcPr>
          <w:p w14:paraId="57D83F5B" w14:textId="77777777" w:rsidR="00FE6BD7" w:rsidRPr="009A1DE7" w:rsidRDefault="00FE6BD7" w:rsidP="00C81021">
            <w:pPr>
              <w:pStyle w:val="TableText"/>
            </w:pPr>
          </w:p>
        </w:tc>
        <w:tc>
          <w:tcPr>
            <w:tcW w:w="751" w:type="pct"/>
            <w:vMerge/>
          </w:tcPr>
          <w:p w14:paraId="1E03787A" w14:textId="77777777" w:rsidR="00FE6BD7" w:rsidRPr="009A1DE7" w:rsidRDefault="00FE6BD7" w:rsidP="00C81021">
            <w:pPr>
              <w:pStyle w:val="TableText"/>
            </w:pPr>
          </w:p>
        </w:tc>
        <w:tc>
          <w:tcPr>
            <w:tcW w:w="719" w:type="pct"/>
            <w:vMerge/>
          </w:tcPr>
          <w:p w14:paraId="0631A1D0" w14:textId="77777777" w:rsidR="00FE6BD7" w:rsidRPr="009A1DE7" w:rsidRDefault="00FE6BD7" w:rsidP="00C81021">
            <w:pPr>
              <w:pStyle w:val="TableText"/>
            </w:pPr>
          </w:p>
        </w:tc>
        <w:tc>
          <w:tcPr>
            <w:tcW w:w="532" w:type="pct"/>
            <w:vMerge/>
          </w:tcPr>
          <w:p w14:paraId="39195299"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1B828D9A"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7A7F1480" w14:textId="77777777" w:rsidR="00FE6BD7" w:rsidRPr="00EE4BD6" w:rsidRDefault="00FE6BD7" w:rsidP="00C81021">
            <w:pPr>
              <w:pStyle w:val="TableText"/>
            </w:pPr>
          </w:p>
        </w:tc>
      </w:tr>
      <w:tr w:rsidR="00FE6BD7" w:rsidRPr="00EF587A" w14:paraId="6AFEE103" w14:textId="77777777" w:rsidTr="00F97A1E">
        <w:trPr>
          <w:cantSplit/>
          <w:trHeight w:val="428"/>
        </w:trPr>
        <w:tc>
          <w:tcPr>
            <w:tcW w:w="436" w:type="pct"/>
            <w:vMerge/>
          </w:tcPr>
          <w:p w14:paraId="25267885" w14:textId="77777777" w:rsidR="00FE6BD7" w:rsidRPr="00EF587A" w:rsidRDefault="00FE6BD7" w:rsidP="00C81021">
            <w:pPr>
              <w:pStyle w:val="TableText"/>
            </w:pPr>
          </w:p>
        </w:tc>
        <w:tc>
          <w:tcPr>
            <w:tcW w:w="469" w:type="pct"/>
            <w:vMerge/>
          </w:tcPr>
          <w:p w14:paraId="4FEA53DE" w14:textId="77777777" w:rsidR="00FE6BD7" w:rsidRPr="00EF587A" w:rsidRDefault="00FE6BD7" w:rsidP="00C81021">
            <w:pPr>
              <w:pStyle w:val="TableText"/>
            </w:pPr>
          </w:p>
        </w:tc>
        <w:tc>
          <w:tcPr>
            <w:tcW w:w="438" w:type="pct"/>
            <w:vMerge/>
          </w:tcPr>
          <w:p w14:paraId="6BA04569" w14:textId="77777777" w:rsidR="00FE6BD7" w:rsidRPr="00EF587A" w:rsidRDefault="00FE6BD7" w:rsidP="00C81021">
            <w:pPr>
              <w:pStyle w:val="TableText"/>
            </w:pPr>
          </w:p>
        </w:tc>
        <w:tc>
          <w:tcPr>
            <w:tcW w:w="874" w:type="pct"/>
            <w:vMerge/>
          </w:tcPr>
          <w:p w14:paraId="7E93BE35" w14:textId="77777777" w:rsidR="00FE6BD7" w:rsidRPr="00EF587A" w:rsidRDefault="00FE6BD7" w:rsidP="00C81021">
            <w:pPr>
              <w:pStyle w:val="TableText"/>
            </w:pPr>
          </w:p>
        </w:tc>
        <w:tc>
          <w:tcPr>
            <w:tcW w:w="751" w:type="pct"/>
            <w:vMerge/>
          </w:tcPr>
          <w:p w14:paraId="04F4FB35" w14:textId="77777777" w:rsidR="00FE6BD7" w:rsidRPr="00EF587A" w:rsidRDefault="00FE6BD7" w:rsidP="00C81021">
            <w:pPr>
              <w:pStyle w:val="TableText"/>
            </w:pPr>
          </w:p>
        </w:tc>
        <w:tc>
          <w:tcPr>
            <w:tcW w:w="719" w:type="pct"/>
            <w:vMerge/>
          </w:tcPr>
          <w:p w14:paraId="4555CEC9" w14:textId="77777777" w:rsidR="00FE6BD7" w:rsidRPr="00EF587A" w:rsidRDefault="00FE6BD7" w:rsidP="00C81021">
            <w:pPr>
              <w:pStyle w:val="TableText"/>
            </w:pPr>
          </w:p>
        </w:tc>
        <w:tc>
          <w:tcPr>
            <w:tcW w:w="532" w:type="pct"/>
            <w:vMerge/>
          </w:tcPr>
          <w:p w14:paraId="07EAC725" w14:textId="77777777" w:rsidR="00FE6BD7" w:rsidRPr="00EF587A" w:rsidRDefault="00FE6BD7" w:rsidP="00C81021">
            <w:pPr>
              <w:pStyle w:val="TableText"/>
            </w:pPr>
          </w:p>
        </w:tc>
        <w:tc>
          <w:tcPr>
            <w:tcW w:w="345" w:type="pct"/>
            <w:shd w:val="clear" w:color="auto" w:fill="F2F2F2" w:themeFill="background1" w:themeFillShade="F2"/>
          </w:tcPr>
          <w:p w14:paraId="54E68CEA"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2BB8C8DF" w14:textId="77777777" w:rsidR="00FE6BD7" w:rsidRPr="00EF587A" w:rsidRDefault="00FE6BD7" w:rsidP="00C81021">
            <w:pPr>
              <w:pStyle w:val="TableText"/>
            </w:pPr>
          </w:p>
        </w:tc>
      </w:tr>
      <w:tr w:rsidR="00FE6BD7" w:rsidRPr="00EE4BD6" w14:paraId="760A1B4F" w14:textId="77777777" w:rsidTr="00F97A1E">
        <w:trPr>
          <w:cantSplit/>
        </w:trPr>
        <w:tc>
          <w:tcPr>
            <w:tcW w:w="5000" w:type="pct"/>
            <w:gridSpan w:val="9"/>
            <w:shd w:val="clear" w:color="auto" w:fill="D9E2F3" w:themeFill="accent5" w:themeFillTint="33"/>
          </w:tcPr>
          <w:p w14:paraId="4F0B0D4D" w14:textId="77777777" w:rsidR="00FE6BD7" w:rsidRPr="00ED339A" w:rsidRDefault="00FE6BD7" w:rsidP="00C81021">
            <w:pPr>
              <w:pStyle w:val="TableText"/>
              <w:rPr>
                <w:sz w:val="8"/>
                <w:szCs w:val="8"/>
              </w:rPr>
            </w:pPr>
          </w:p>
        </w:tc>
      </w:tr>
      <w:tr w:rsidR="00C831AA" w:rsidRPr="00EE4BD6" w14:paraId="127DD0B4" w14:textId="77777777" w:rsidTr="00F97A1E">
        <w:trPr>
          <w:cantSplit/>
          <w:trHeight w:val="428"/>
        </w:trPr>
        <w:tc>
          <w:tcPr>
            <w:tcW w:w="436" w:type="pct"/>
            <w:vMerge w:val="restart"/>
            <w:vAlign w:val="center"/>
          </w:tcPr>
          <w:p w14:paraId="7CC6ABD1" w14:textId="2D9671AB" w:rsidR="00C831AA" w:rsidRPr="00F77313" w:rsidRDefault="00C831AA" w:rsidP="00C831AA">
            <w:pPr>
              <w:pStyle w:val="TableText"/>
              <w:pageBreakBefore/>
              <w:jc w:val="center"/>
              <w:rPr>
                <w:b/>
                <w:bCs/>
              </w:rPr>
            </w:pPr>
            <w:r w:rsidRPr="00C831AA">
              <w:rPr>
                <w:b/>
                <w:bCs/>
              </w:rPr>
              <w:lastRenderedPageBreak/>
              <w:t>Suspended Credits Report</w:t>
            </w:r>
          </w:p>
        </w:tc>
        <w:tc>
          <w:tcPr>
            <w:tcW w:w="469" w:type="pct"/>
            <w:vMerge w:val="restart"/>
          </w:tcPr>
          <w:p w14:paraId="6CBA7685" w14:textId="48C16D98" w:rsidR="00C831AA" w:rsidRPr="009A1DE7" w:rsidRDefault="00C831AA" w:rsidP="00C831AA">
            <w:pPr>
              <w:pStyle w:val="TableText"/>
              <w:numPr>
                <w:ilvl w:val="0"/>
                <w:numId w:val="3"/>
              </w:numPr>
              <w:ind w:left="226" w:hanging="180"/>
            </w:pPr>
            <w:r w:rsidRPr="00C0452F">
              <w:t>This report lists any payments or credits that have been suspended in the patient's ledger.</w:t>
            </w:r>
          </w:p>
        </w:tc>
        <w:tc>
          <w:tcPr>
            <w:tcW w:w="438" w:type="pct"/>
            <w:vMerge w:val="restart"/>
          </w:tcPr>
          <w:p w14:paraId="4861C76C" w14:textId="3F962A8C" w:rsidR="00C831AA" w:rsidRPr="009A1DE7" w:rsidRDefault="00C831AA" w:rsidP="00C831AA">
            <w:pPr>
              <w:pStyle w:val="TableText"/>
            </w:pPr>
            <w:r w:rsidRPr="00C0452F">
              <w:t>CAC / Billing Manager</w:t>
            </w:r>
          </w:p>
        </w:tc>
        <w:tc>
          <w:tcPr>
            <w:tcW w:w="874" w:type="pct"/>
            <w:vMerge w:val="restart"/>
          </w:tcPr>
          <w:p w14:paraId="6A2C64DB" w14:textId="7EEB1DE3" w:rsidR="00C831AA" w:rsidRPr="009A1DE7" w:rsidRDefault="00C831AA" w:rsidP="00C831AA">
            <w:pPr>
              <w:pStyle w:val="TableText"/>
            </w:pPr>
            <w:r w:rsidRPr="00C0452F">
              <w:t xml:space="preserve">Line item accounting is the accounting principle used in the EDR.  When a payment or credit adjustment exceeds the patient's balance, it cannot be allocated so it is "suspended".  There are both automated and manual ways of handling these unallocated suspended credits.  Reviewing the Suspended Credits Report allows discovery and resolve of accounts that have unallocated funds.  </w:t>
            </w:r>
          </w:p>
        </w:tc>
        <w:tc>
          <w:tcPr>
            <w:tcW w:w="751" w:type="pct"/>
            <w:vMerge w:val="restart"/>
          </w:tcPr>
          <w:p w14:paraId="1CE69649" w14:textId="77777777" w:rsidR="00C831AA" w:rsidRDefault="00C831AA" w:rsidP="00C831AA">
            <w:pPr>
              <w:pStyle w:val="TableText"/>
              <w:keepNext/>
              <w:keepLines/>
              <w:numPr>
                <w:ilvl w:val="0"/>
                <w:numId w:val="2"/>
              </w:numPr>
              <w:ind w:left="232" w:hanging="180"/>
            </w:pPr>
            <w:r w:rsidRPr="00C0452F">
              <w:rPr>
                <w:u w:val="single"/>
              </w:rPr>
              <w:t>Ledger</w:t>
            </w:r>
            <w:r w:rsidRPr="00C0452F">
              <w:t>:  Fees are being charged and payments/adjustments are being posted.  Allocate payments when payment is made.</w:t>
            </w:r>
          </w:p>
          <w:p w14:paraId="4426119B" w14:textId="55203C12" w:rsidR="00C831AA" w:rsidRPr="009A1DE7" w:rsidRDefault="00C831AA" w:rsidP="00C831AA">
            <w:pPr>
              <w:pStyle w:val="TableText"/>
              <w:numPr>
                <w:ilvl w:val="0"/>
                <w:numId w:val="2"/>
              </w:numPr>
              <w:ind w:left="232" w:hanging="180"/>
            </w:pPr>
            <w:r w:rsidRPr="00C0452F">
              <w:t>Maintain fee schedules and insurance coverage to ensure proper payment allocation.</w:t>
            </w:r>
          </w:p>
        </w:tc>
        <w:tc>
          <w:tcPr>
            <w:tcW w:w="719" w:type="pct"/>
            <w:vMerge w:val="restart"/>
          </w:tcPr>
          <w:p w14:paraId="037E3E4E" w14:textId="0F472426" w:rsidR="00C831AA" w:rsidRPr="00EF587A" w:rsidRDefault="00C831AA" w:rsidP="00C831AA">
            <w:pPr>
              <w:pStyle w:val="TableText"/>
            </w:pPr>
            <w:r w:rsidRPr="00C0452F">
              <w:t>Not using the Suspended Credits Report to identify unallocated funds leaves revenue unrecognized by way of application to patient balances/procedures.  Until the suspended credits are allocated, the provider will not "get credit" for collection of these funds as the payments have not been posted.</w:t>
            </w:r>
          </w:p>
        </w:tc>
        <w:tc>
          <w:tcPr>
            <w:tcW w:w="532" w:type="pct"/>
            <w:vMerge w:val="restart"/>
          </w:tcPr>
          <w:p w14:paraId="64DEAF70" w14:textId="77777777" w:rsidR="00C831AA" w:rsidRDefault="00C831AA" w:rsidP="00C831AA">
            <w:pPr>
              <w:pStyle w:val="TableText"/>
              <w:numPr>
                <w:ilvl w:val="0"/>
                <w:numId w:val="1"/>
              </w:numPr>
              <w:ind w:left="187" w:hanging="187"/>
            </w:pPr>
            <w:r>
              <w:t>Revenue Cycle</w:t>
            </w:r>
          </w:p>
          <w:p w14:paraId="1D28E565" w14:textId="4DFD4BA1" w:rsidR="00C831AA" w:rsidRPr="00EF587A" w:rsidRDefault="00C831AA" w:rsidP="00C831AA">
            <w:pPr>
              <w:pStyle w:val="TableText"/>
              <w:numPr>
                <w:ilvl w:val="0"/>
                <w:numId w:val="1"/>
              </w:numPr>
              <w:spacing w:after="0"/>
              <w:ind w:left="187" w:hanging="187"/>
            </w:pPr>
            <w:r w:rsidRPr="00E71A8D">
              <w:t>Reports Reference</w:t>
            </w:r>
            <w:r>
              <w:t>*</w:t>
            </w:r>
          </w:p>
        </w:tc>
        <w:tc>
          <w:tcPr>
            <w:tcW w:w="345" w:type="pct"/>
            <w:shd w:val="clear" w:color="auto" w:fill="F2F2F2" w:themeFill="background1" w:themeFillShade="F2"/>
          </w:tcPr>
          <w:p w14:paraId="44F509DD" w14:textId="77777777" w:rsidR="00C831AA" w:rsidRPr="00EE4BD6" w:rsidRDefault="00C831AA" w:rsidP="00C831AA">
            <w:pPr>
              <w:pStyle w:val="TableText"/>
            </w:pPr>
            <w:r w:rsidRPr="001F26DF">
              <w:t>Date Reviewed</w:t>
            </w:r>
            <w:r>
              <w:t>:</w:t>
            </w:r>
          </w:p>
        </w:tc>
        <w:tc>
          <w:tcPr>
            <w:tcW w:w="436" w:type="pct"/>
            <w:shd w:val="clear" w:color="auto" w:fill="F2F2F2" w:themeFill="background1" w:themeFillShade="F2"/>
          </w:tcPr>
          <w:p w14:paraId="078849A4" w14:textId="77777777" w:rsidR="00C831AA" w:rsidRPr="00EE4BD6" w:rsidRDefault="00C831AA" w:rsidP="00C831AA">
            <w:pPr>
              <w:pStyle w:val="TableText"/>
            </w:pPr>
          </w:p>
        </w:tc>
      </w:tr>
      <w:tr w:rsidR="00FE6BD7" w:rsidRPr="00EE4BD6" w14:paraId="49D14209" w14:textId="77777777" w:rsidTr="00F97A1E">
        <w:trPr>
          <w:cantSplit/>
          <w:trHeight w:val="428"/>
        </w:trPr>
        <w:tc>
          <w:tcPr>
            <w:tcW w:w="436" w:type="pct"/>
            <w:vMerge/>
          </w:tcPr>
          <w:p w14:paraId="7FBC3EBC" w14:textId="77777777" w:rsidR="00FE6BD7" w:rsidRPr="00EF587A" w:rsidRDefault="00FE6BD7" w:rsidP="00C81021">
            <w:pPr>
              <w:pStyle w:val="TableText"/>
            </w:pPr>
          </w:p>
        </w:tc>
        <w:tc>
          <w:tcPr>
            <w:tcW w:w="469" w:type="pct"/>
            <w:vMerge/>
          </w:tcPr>
          <w:p w14:paraId="73BFBF16" w14:textId="77777777" w:rsidR="00FE6BD7" w:rsidRPr="009A1DE7" w:rsidRDefault="00FE6BD7" w:rsidP="00C81021">
            <w:pPr>
              <w:pStyle w:val="TableText"/>
              <w:numPr>
                <w:ilvl w:val="0"/>
                <w:numId w:val="3"/>
              </w:numPr>
              <w:ind w:left="226" w:hanging="180"/>
            </w:pPr>
          </w:p>
        </w:tc>
        <w:tc>
          <w:tcPr>
            <w:tcW w:w="438" w:type="pct"/>
            <w:vMerge/>
          </w:tcPr>
          <w:p w14:paraId="1E129486" w14:textId="77777777" w:rsidR="00FE6BD7" w:rsidRPr="009A1DE7" w:rsidRDefault="00FE6BD7" w:rsidP="00C81021">
            <w:pPr>
              <w:pStyle w:val="TableText"/>
            </w:pPr>
          </w:p>
        </w:tc>
        <w:tc>
          <w:tcPr>
            <w:tcW w:w="874" w:type="pct"/>
            <w:vMerge/>
          </w:tcPr>
          <w:p w14:paraId="49D890F3" w14:textId="77777777" w:rsidR="00FE6BD7" w:rsidRPr="009A1DE7" w:rsidRDefault="00FE6BD7" w:rsidP="00C81021">
            <w:pPr>
              <w:pStyle w:val="TableText"/>
            </w:pPr>
          </w:p>
        </w:tc>
        <w:tc>
          <w:tcPr>
            <w:tcW w:w="751" w:type="pct"/>
            <w:vMerge/>
          </w:tcPr>
          <w:p w14:paraId="143DA3EE" w14:textId="77777777" w:rsidR="00FE6BD7" w:rsidRPr="009A1DE7" w:rsidRDefault="00FE6BD7" w:rsidP="00C81021">
            <w:pPr>
              <w:pStyle w:val="TableText"/>
            </w:pPr>
          </w:p>
        </w:tc>
        <w:tc>
          <w:tcPr>
            <w:tcW w:w="719" w:type="pct"/>
            <w:vMerge/>
          </w:tcPr>
          <w:p w14:paraId="1BC69949" w14:textId="77777777" w:rsidR="00FE6BD7" w:rsidRPr="009A1DE7" w:rsidRDefault="00FE6BD7" w:rsidP="00C81021">
            <w:pPr>
              <w:pStyle w:val="TableText"/>
            </w:pPr>
          </w:p>
        </w:tc>
        <w:tc>
          <w:tcPr>
            <w:tcW w:w="532" w:type="pct"/>
            <w:vMerge/>
          </w:tcPr>
          <w:p w14:paraId="2CF3455C"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BB8AAF9"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4683D00C" w14:textId="77777777" w:rsidR="00FE6BD7" w:rsidRPr="00EE4BD6" w:rsidRDefault="00FE6BD7" w:rsidP="00C81021">
            <w:pPr>
              <w:pStyle w:val="TableText"/>
            </w:pPr>
          </w:p>
        </w:tc>
      </w:tr>
      <w:tr w:rsidR="00FE6BD7" w:rsidRPr="00EE4BD6" w14:paraId="59ED8AA6" w14:textId="77777777" w:rsidTr="00F97A1E">
        <w:trPr>
          <w:cantSplit/>
          <w:trHeight w:val="428"/>
        </w:trPr>
        <w:tc>
          <w:tcPr>
            <w:tcW w:w="436" w:type="pct"/>
            <w:vMerge/>
          </w:tcPr>
          <w:p w14:paraId="7BDF3FC3" w14:textId="77777777" w:rsidR="00FE6BD7" w:rsidRPr="00EF587A" w:rsidRDefault="00FE6BD7" w:rsidP="00C81021">
            <w:pPr>
              <w:pStyle w:val="TableText"/>
            </w:pPr>
          </w:p>
        </w:tc>
        <w:tc>
          <w:tcPr>
            <w:tcW w:w="469" w:type="pct"/>
            <w:vMerge/>
          </w:tcPr>
          <w:p w14:paraId="3E9E1CA4" w14:textId="77777777" w:rsidR="00FE6BD7" w:rsidRPr="009A1DE7" w:rsidRDefault="00FE6BD7" w:rsidP="00C81021">
            <w:pPr>
              <w:pStyle w:val="TableText"/>
              <w:numPr>
                <w:ilvl w:val="0"/>
                <w:numId w:val="3"/>
              </w:numPr>
              <w:ind w:left="226" w:hanging="180"/>
            </w:pPr>
          </w:p>
        </w:tc>
        <w:tc>
          <w:tcPr>
            <w:tcW w:w="438" w:type="pct"/>
            <w:vMerge/>
          </w:tcPr>
          <w:p w14:paraId="52BDA2B5" w14:textId="77777777" w:rsidR="00FE6BD7" w:rsidRPr="009A1DE7" w:rsidRDefault="00FE6BD7" w:rsidP="00C81021">
            <w:pPr>
              <w:pStyle w:val="TableText"/>
            </w:pPr>
          </w:p>
        </w:tc>
        <w:tc>
          <w:tcPr>
            <w:tcW w:w="874" w:type="pct"/>
            <w:vMerge/>
          </w:tcPr>
          <w:p w14:paraId="5017DF82" w14:textId="77777777" w:rsidR="00FE6BD7" w:rsidRPr="009A1DE7" w:rsidRDefault="00FE6BD7" w:rsidP="00C81021">
            <w:pPr>
              <w:pStyle w:val="TableText"/>
            </w:pPr>
          </w:p>
        </w:tc>
        <w:tc>
          <w:tcPr>
            <w:tcW w:w="751" w:type="pct"/>
            <w:vMerge/>
          </w:tcPr>
          <w:p w14:paraId="3EE64B54" w14:textId="77777777" w:rsidR="00FE6BD7" w:rsidRPr="009A1DE7" w:rsidRDefault="00FE6BD7" w:rsidP="00C81021">
            <w:pPr>
              <w:pStyle w:val="TableText"/>
            </w:pPr>
          </w:p>
        </w:tc>
        <w:tc>
          <w:tcPr>
            <w:tcW w:w="719" w:type="pct"/>
            <w:vMerge/>
          </w:tcPr>
          <w:p w14:paraId="23E4ABD6" w14:textId="77777777" w:rsidR="00FE6BD7" w:rsidRPr="009A1DE7" w:rsidRDefault="00FE6BD7" w:rsidP="00C81021">
            <w:pPr>
              <w:pStyle w:val="TableText"/>
            </w:pPr>
          </w:p>
        </w:tc>
        <w:tc>
          <w:tcPr>
            <w:tcW w:w="532" w:type="pct"/>
            <w:vMerge/>
          </w:tcPr>
          <w:p w14:paraId="16A0EDD0"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6CFF976"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63A206D8" w14:textId="77777777" w:rsidR="00FE6BD7" w:rsidRPr="00EE4BD6" w:rsidRDefault="00FE6BD7" w:rsidP="00C81021">
            <w:pPr>
              <w:pStyle w:val="TableText"/>
            </w:pPr>
          </w:p>
        </w:tc>
      </w:tr>
      <w:tr w:rsidR="00FE6BD7" w:rsidRPr="00EE4BD6" w14:paraId="586CDAE7" w14:textId="77777777" w:rsidTr="00F97A1E">
        <w:trPr>
          <w:cantSplit/>
          <w:trHeight w:val="428"/>
        </w:trPr>
        <w:tc>
          <w:tcPr>
            <w:tcW w:w="436" w:type="pct"/>
            <w:vMerge/>
          </w:tcPr>
          <w:p w14:paraId="08ECD7A7" w14:textId="77777777" w:rsidR="00FE6BD7" w:rsidRPr="00EF587A" w:rsidRDefault="00FE6BD7" w:rsidP="00C81021">
            <w:pPr>
              <w:pStyle w:val="TableText"/>
            </w:pPr>
          </w:p>
        </w:tc>
        <w:tc>
          <w:tcPr>
            <w:tcW w:w="469" w:type="pct"/>
            <w:vMerge/>
          </w:tcPr>
          <w:p w14:paraId="0119D0E1" w14:textId="77777777" w:rsidR="00FE6BD7" w:rsidRPr="009A1DE7" w:rsidRDefault="00FE6BD7" w:rsidP="00C81021">
            <w:pPr>
              <w:pStyle w:val="TableText"/>
              <w:numPr>
                <w:ilvl w:val="0"/>
                <w:numId w:val="3"/>
              </w:numPr>
              <w:ind w:left="226" w:hanging="180"/>
            </w:pPr>
          </w:p>
        </w:tc>
        <w:tc>
          <w:tcPr>
            <w:tcW w:w="438" w:type="pct"/>
            <w:vMerge/>
          </w:tcPr>
          <w:p w14:paraId="566EE57C" w14:textId="77777777" w:rsidR="00FE6BD7" w:rsidRPr="009A1DE7" w:rsidRDefault="00FE6BD7" w:rsidP="00C81021">
            <w:pPr>
              <w:pStyle w:val="TableText"/>
            </w:pPr>
          </w:p>
        </w:tc>
        <w:tc>
          <w:tcPr>
            <w:tcW w:w="874" w:type="pct"/>
            <w:vMerge/>
          </w:tcPr>
          <w:p w14:paraId="7766A428" w14:textId="77777777" w:rsidR="00FE6BD7" w:rsidRPr="009A1DE7" w:rsidRDefault="00FE6BD7" w:rsidP="00C81021">
            <w:pPr>
              <w:pStyle w:val="TableText"/>
            </w:pPr>
          </w:p>
        </w:tc>
        <w:tc>
          <w:tcPr>
            <w:tcW w:w="751" w:type="pct"/>
            <w:vMerge/>
          </w:tcPr>
          <w:p w14:paraId="37B47D3B" w14:textId="77777777" w:rsidR="00FE6BD7" w:rsidRPr="009A1DE7" w:rsidRDefault="00FE6BD7" w:rsidP="00C81021">
            <w:pPr>
              <w:pStyle w:val="TableText"/>
            </w:pPr>
          </w:p>
        </w:tc>
        <w:tc>
          <w:tcPr>
            <w:tcW w:w="719" w:type="pct"/>
            <w:vMerge/>
          </w:tcPr>
          <w:p w14:paraId="22350D16" w14:textId="77777777" w:rsidR="00FE6BD7" w:rsidRPr="009A1DE7" w:rsidRDefault="00FE6BD7" w:rsidP="00C81021">
            <w:pPr>
              <w:pStyle w:val="TableText"/>
            </w:pPr>
          </w:p>
        </w:tc>
        <w:tc>
          <w:tcPr>
            <w:tcW w:w="532" w:type="pct"/>
            <w:vMerge/>
          </w:tcPr>
          <w:p w14:paraId="6843D7DC"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DBD0F15"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28F84B48" w14:textId="77777777" w:rsidR="00FE6BD7" w:rsidRPr="00EE4BD6" w:rsidRDefault="00FE6BD7" w:rsidP="00C81021">
            <w:pPr>
              <w:pStyle w:val="TableText"/>
            </w:pPr>
          </w:p>
        </w:tc>
      </w:tr>
      <w:tr w:rsidR="00FE6BD7" w:rsidRPr="00EF587A" w14:paraId="0382E5EB" w14:textId="77777777" w:rsidTr="00F97A1E">
        <w:trPr>
          <w:cantSplit/>
          <w:trHeight w:val="428"/>
        </w:trPr>
        <w:tc>
          <w:tcPr>
            <w:tcW w:w="436" w:type="pct"/>
            <w:vMerge/>
          </w:tcPr>
          <w:p w14:paraId="6316B046" w14:textId="77777777" w:rsidR="00FE6BD7" w:rsidRPr="00EF587A" w:rsidRDefault="00FE6BD7" w:rsidP="00C81021">
            <w:pPr>
              <w:pStyle w:val="TableText"/>
            </w:pPr>
          </w:p>
        </w:tc>
        <w:tc>
          <w:tcPr>
            <w:tcW w:w="469" w:type="pct"/>
            <w:vMerge/>
          </w:tcPr>
          <w:p w14:paraId="78755DE5" w14:textId="77777777" w:rsidR="00FE6BD7" w:rsidRPr="00EF587A" w:rsidRDefault="00FE6BD7" w:rsidP="00C81021">
            <w:pPr>
              <w:pStyle w:val="TableText"/>
            </w:pPr>
          </w:p>
        </w:tc>
        <w:tc>
          <w:tcPr>
            <w:tcW w:w="438" w:type="pct"/>
            <w:vMerge/>
          </w:tcPr>
          <w:p w14:paraId="49A00CAE" w14:textId="77777777" w:rsidR="00FE6BD7" w:rsidRPr="00EF587A" w:rsidRDefault="00FE6BD7" w:rsidP="00C81021">
            <w:pPr>
              <w:pStyle w:val="TableText"/>
            </w:pPr>
          </w:p>
        </w:tc>
        <w:tc>
          <w:tcPr>
            <w:tcW w:w="874" w:type="pct"/>
            <w:vMerge/>
          </w:tcPr>
          <w:p w14:paraId="1C135E08" w14:textId="77777777" w:rsidR="00FE6BD7" w:rsidRPr="00EF587A" w:rsidRDefault="00FE6BD7" w:rsidP="00C81021">
            <w:pPr>
              <w:pStyle w:val="TableText"/>
            </w:pPr>
          </w:p>
        </w:tc>
        <w:tc>
          <w:tcPr>
            <w:tcW w:w="751" w:type="pct"/>
            <w:vMerge/>
          </w:tcPr>
          <w:p w14:paraId="2E0B252F" w14:textId="77777777" w:rsidR="00FE6BD7" w:rsidRPr="00EF587A" w:rsidRDefault="00FE6BD7" w:rsidP="00C81021">
            <w:pPr>
              <w:pStyle w:val="TableText"/>
            </w:pPr>
          </w:p>
        </w:tc>
        <w:tc>
          <w:tcPr>
            <w:tcW w:w="719" w:type="pct"/>
            <w:vMerge/>
          </w:tcPr>
          <w:p w14:paraId="7C9E5277" w14:textId="77777777" w:rsidR="00FE6BD7" w:rsidRPr="00EF587A" w:rsidRDefault="00FE6BD7" w:rsidP="00C81021">
            <w:pPr>
              <w:pStyle w:val="TableText"/>
            </w:pPr>
          </w:p>
        </w:tc>
        <w:tc>
          <w:tcPr>
            <w:tcW w:w="532" w:type="pct"/>
            <w:vMerge/>
          </w:tcPr>
          <w:p w14:paraId="60CE89A1" w14:textId="77777777" w:rsidR="00FE6BD7" w:rsidRPr="00EF587A" w:rsidRDefault="00FE6BD7" w:rsidP="00C81021">
            <w:pPr>
              <w:pStyle w:val="TableText"/>
            </w:pPr>
          </w:p>
        </w:tc>
        <w:tc>
          <w:tcPr>
            <w:tcW w:w="345" w:type="pct"/>
            <w:shd w:val="clear" w:color="auto" w:fill="F2F2F2" w:themeFill="background1" w:themeFillShade="F2"/>
          </w:tcPr>
          <w:p w14:paraId="6E82BCA1"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288B4FD8" w14:textId="77777777" w:rsidR="00FE6BD7" w:rsidRPr="00EF587A" w:rsidRDefault="00FE6BD7" w:rsidP="00C81021">
            <w:pPr>
              <w:pStyle w:val="TableText"/>
            </w:pPr>
          </w:p>
        </w:tc>
      </w:tr>
      <w:tr w:rsidR="00FE6BD7" w:rsidRPr="00EE4BD6" w14:paraId="567BD8C6" w14:textId="77777777" w:rsidTr="00F97A1E">
        <w:trPr>
          <w:cantSplit/>
        </w:trPr>
        <w:tc>
          <w:tcPr>
            <w:tcW w:w="5000" w:type="pct"/>
            <w:gridSpan w:val="9"/>
            <w:shd w:val="clear" w:color="auto" w:fill="D9E2F3" w:themeFill="accent5" w:themeFillTint="33"/>
          </w:tcPr>
          <w:p w14:paraId="4FBB10AF" w14:textId="77777777" w:rsidR="00FE6BD7" w:rsidRPr="00ED339A" w:rsidRDefault="00FE6BD7" w:rsidP="00C81021">
            <w:pPr>
              <w:pStyle w:val="TableText"/>
              <w:rPr>
                <w:sz w:val="10"/>
                <w:szCs w:val="10"/>
              </w:rPr>
            </w:pPr>
          </w:p>
        </w:tc>
      </w:tr>
      <w:tr w:rsidR="00C831AA" w:rsidRPr="00EE4BD6" w14:paraId="7CC5D070" w14:textId="77777777" w:rsidTr="00F97A1E">
        <w:trPr>
          <w:cantSplit/>
          <w:trHeight w:val="428"/>
        </w:trPr>
        <w:tc>
          <w:tcPr>
            <w:tcW w:w="436" w:type="pct"/>
            <w:vMerge w:val="restart"/>
            <w:vAlign w:val="center"/>
          </w:tcPr>
          <w:p w14:paraId="6837FD8B" w14:textId="1969FFE7" w:rsidR="00C831AA" w:rsidRPr="00F77313" w:rsidRDefault="00C831AA" w:rsidP="00C831AA">
            <w:pPr>
              <w:pStyle w:val="TableText"/>
              <w:jc w:val="center"/>
              <w:rPr>
                <w:b/>
                <w:bCs/>
              </w:rPr>
            </w:pPr>
            <w:r w:rsidRPr="00C831AA">
              <w:rPr>
                <w:b/>
                <w:bCs/>
              </w:rPr>
              <w:t>Insurance Transaction Analysis</w:t>
            </w:r>
          </w:p>
        </w:tc>
        <w:tc>
          <w:tcPr>
            <w:tcW w:w="469" w:type="pct"/>
            <w:vMerge w:val="restart"/>
          </w:tcPr>
          <w:p w14:paraId="4706A0A0" w14:textId="496AC2C1" w:rsidR="00C831AA" w:rsidRPr="009A1DE7" w:rsidRDefault="00C831AA" w:rsidP="00C831AA">
            <w:pPr>
              <w:pStyle w:val="TableText"/>
              <w:numPr>
                <w:ilvl w:val="0"/>
                <w:numId w:val="3"/>
              </w:numPr>
              <w:ind w:left="226" w:hanging="180"/>
            </w:pPr>
            <w:r w:rsidRPr="00C0452F">
              <w:t>Previous Month</w:t>
            </w:r>
          </w:p>
        </w:tc>
        <w:tc>
          <w:tcPr>
            <w:tcW w:w="438" w:type="pct"/>
            <w:vMerge w:val="restart"/>
          </w:tcPr>
          <w:p w14:paraId="644CFFE0" w14:textId="1FBE3CA8" w:rsidR="00C831AA" w:rsidRPr="009A1DE7" w:rsidRDefault="00C831AA" w:rsidP="00C831AA">
            <w:pPr>
              <w:pStyle w:val="TableText"/>
            </w:pPr>
            <w:r w:rsidRPr="00C0452F">
              <w:t>Billing Manager</w:t>
            </w:r>
          </w:p>
        </w:tc>
        <w:tc>
          <w:tcPr>
            <w:tcW w:w="874" w:type="pct"/>
            <w:vMerge w:val="restart"/>
          </w:tcPr>
          <w:p w14:paraId="790127D6" w14:textId="6029CB00" w:rsidR="00C831AA" w:rsidRPr="009A1DE7" w:rsidRDefault="00C831AA" w:rsidP="00C831AA">
            <w:pPr>
              <w:pStyle w:val="TableText"/>
            </w:pPr>
            <w:r w:rsidRPr="00C0452F">
              <w:t>Produce a highly customizable report which identifies how insurance plans are reimbursing.</w:t>
            </w:r>
          </w:p>
        </w:tc>
        <w:tc>
          <w:tcPr>
            <w:tcW w:w="751" w:type="pct"/>
            <w:vMerge w:val="restart"/>
          </w:tcPr>
          <w:p w14:paraId="3E5DB443" w14:textId="77777777" w:rsidR="00C831AA" w:rsidRDefault="00C831AA" w:rsidP="00C831AA">
            <w:pPr>
              <w:pStyle w:val="TableText"/>
              <w:keepNext/>
              <w:keepLines/>
              <w:numPr>
                <w:ilvl w:val="0"/>
                <w:numId w:val="2"/>
              </w:numPr>
              <w:ind w:left="232" w:hanging="180"/>
            </w:pPr>
            <w:r w:rsidRPr="00C0452F">
              <w:rPr>
                <w:u w:val="single"/>
              </w:rPr>
              <w:t>Ledger</w:t>
            </w:r>
            <w:r w:rsidRPr="00C0452F">
              <w:t>:  All Insurance payments and adjustments are properly posted in a timely manner.</w:t>
            </w:r>
          </w:p>
          <w:p w14:paraId="3C62396C" w14:textId="2BD95272" w:rsidR="00C831AA" w:rsidRPr="009A1DE7" w:rsidRDefault="00C831AA" w:rsidP="00C831AA">
            <w:pPr>
              <w:pStyle w:val="TableText"/>
              <w:numPr>
                <w:ilvl w:val="0"/>
                <w:numId w:val="2"/>
              </w:numPr>
              <w:ind w:left="232" w:hanging="180"/>
            </w:pPr>
            <w:r w:rsidRPr="00C0452F">
              <w:t>Review daily and weekly reports and audits for outliers and inaccuracies.  Reinforce standard operating process through reinforcement training.</w:t>
            </w:r>
          </w:p>
        </w:tc>
        <w:tc>
          <w:tcPr>
            <w:tcW w:w="719" w:type="pct"/>
            <w:vMerge w:val="restart"/>
          </w:tcPr>
          <w:p w14:paraId="1F41C7AB" w14:textId="5B908047" w:rsidR="00C831AA" w:rsidRPr="00EF587A" w:rsidRDefault="00C831AA" w:rsidP="00C831AA">
            <w:pPr>
              <w:pStyle w:val="TableText"/>
            </w:pPr>
            <w:r w:rsidRPr="00C0452F">
              <w:t>The Insurance Transaction Analysis is intended to provide a detailed account of insurance transactions reimbursements and adjustments.  Without review of this report, there are likely to be gaps in fully understanding the historical and future implications for insurance based transactions.</w:t>
            </w:r>
          </w:p>
        </w:tc>
        <w:tc>
          <w:tcPr>
            <w:tcW w:w="532" w:type="pct"/>
            <w:vMerge w:val="restart"/>
          </w:tcPr>
          <w:p w14:paraId="1107EB58" w14:textId="77777777" w:rsidR="00C831AA" w:rsidRDefault="00C831AA" w:rsidP="00C831AA">
            <w:pPr>
              <w:pStyle w:val="TableText"/>
              <w:numPr>
                <w:ilvl w:val="0"/>
                <w:numId w:val="1"/>
              </w:numPr>
              <w:ind w:left="187" w:hanging="187"/>
            </w:pPr>
            <w:r>
              <w:t>Revenue Cycle</w:t>
            </w:r>
          </w:p>
          <w:p w14:paraId="3995A005" w14:textId="77DC5805" w:rsidR="00C831AA" w:rsidRPr="00EF587A" w:rsidRDefault="00C831AA" w:rsidP="00C831AA">
            <w:pPr>
              <w:pStyle w:val="TableText"/>
              <w:numPr>
                <w:ilvl w:val="0"/>
                <w:numId w:val="1"/>
              </w:numPr>
              <w:spacing w:after="0"/>
              <w:ind w:left="187" w:hanging="187"/>
            </w:pPr>
            <w:r w:rsidRPr="00E71A8D">
              <w:t>Reports Reference</w:t>
            </w:r>
            <w:r>
              <w:t>*</w:t>
            </w:r>
          </w:p>
        </w:tc>
        <w:tc>
          <w:tcPr>
            <w:tcW w:w="345" w:type="pct"/>
            <w:shd w:val="clear" w:color="auto" w:fill="F2F2F2" w:themeFill="background1" w:themeFillShade="F2"/>
          </w:tcPr>
          <w:p w14:paraId="3C28C2CC" w14:textId="77777777" w:rsidR="00C831AA" w:rsidRPr="00EE4BD6" w:rsidRDefault="00C831AA" w:rsidP="00C831AA">
            <w:pPr>
              <w:pStyle w:val="TableText"/>
            </w:pPr>
            <w:r w:rsidRPr="001F26DF">
              <w:t>Date Reviewed</w:t>
            </w:r>
            <w:r>
              <w:t>:</w:t>
            </w:r>
          </w:p>
        </w:tc>
        <w:tc>
          <w:tcPr>
            <w:tcW w:w="436" w:type="pct"/>
            <w:shd w:val="clear" w:color="auto" w:fill="F2F2F2" w:themeFill="background1" w:themeFillShade="F2"/>
          </w:tcPr>
          <w:p w14:paraId="02C5E3EE" w14:textId="77777777" w:rsidR="00C831AA" w:rsidRPr="00EE4BD6" w:rsidRDefault="00C831AA" w:rsidP="00C831AA">
            <w:pPr>
              <w:pStyle w:val="TableText"/>
            </w:pPr>
          </w:p>
        </w:tc>
      </w:tr>
      <w:tr w:rsidR="00FE6BD7" w:rsidRPr="00EE4BD6" w14:paraId="71230EA2" w14:textId="77777777" w:rsidTr="00F97A1E">
        <w:trPr>
          <w:cantSplit/>
          <w:trHeight w:val="428"/>
        </w:trPr>
        <w:tc>
          <w:tcPr>
            <w:tcW w:w="436" w:type="pct"/>
            <w:vMerge/>
          </w:tcPr>
          <w:p w14:paraId="4BDA549F" w14:textId="77777777" w:rsidR="00FE6BD7" w:rsidRPr="00EF587A" w:rsidRDefault="00FE6BD7" w:rsidP="00C81021">
            <w:pPr>
              <w:pStyle w:val="TableText"/>
            </w:pPr>
          </w:p>
        </w:tc>
        <w:tc>
          <w:tcPr>
            <w:tcW w:w="469" w:type="pct"/>
            <w:vMerge/>
          </w:tcPr>
          <w:p w14:paraId="11ED32F4" w14:textId="77777777" w:rsidR="00FE6BD7" w:rsidRPr="009A1DE7" w:rsidRDefault="00FE6BD7" w:rsidP="00C81021">
            <w:pPr>
              <w:pStyle w:val="TableText"/>
              <w:numPr>
                <w:ilvl w:val="0"/>
                <w:numId w:val="3"/>
              </w:numPr>
              <w:ind w:left="226" w:hanging="180"/>
            </w:pPr>
          </w:p>
        </w:tc>
        <w:tc>
          <w:tcPr>
            <w:tcW w:w="438" w:type="pct"/>
            <w:vMerge/>
          </w:tcPr>
          <w:p w14:paraId="53C8704A" w14:textId="77777777" w:rsidR="00FE6BD7" w:rsidRPr="009A1DE7" w:rsidRDefault="00FE6BD7" w:rsidP="00C81021">
            <w:pPr>
              <w:pStyle w:val="TableText"/>
            </w:pPr>
          </w:p>
        </w:tc>
        <w:tc>
          <w:tcPr>
            <w:tcW w:w="874" w:type="pct"/>
            <w:vMerge/>
          </w:tcPr>
          <w:p w14:paraId="4B88A2D2" w14:textId="77777777" w:rsidR="00FE6BD7" w:rsidRPr="009A1DE7" w:rsidRDefault="00FE6BD7" w:rsidP="00C81021">
            <w:pPr>
              <w:pStyle w:val="TableText"/>
            </w:pPr>
          </w:p>
        </w:tc>
        <w:tc>
          <w:tcPr>
            <w:tcW w:w="751" w:type="pct"/>
            <w:vMerge/>
          </w:tcPr>
          <w:p w14:paraId="53DB2742" w14:textId="77777777" w:rsidR="00FE6BD7" w:rsidRPr="009A1DE7" w:rsidRDefault="00FE6BD7" w:rsidP="00C81021">
            <w:pPr>
              <w:pStyle w:val="TableText"/>
            </w:pPr>
          </w:p>
        </w:tc>
        <w:tc>
          <w:tcPr>
            <w:tcW w:w="719" w:type="pct"/>
            <w:vMerge/>
          </w:tcPr>
          <w:p w14:paraId="197DE812" w14:textId="77777777" w:rsidR="00FE6BD7" w:rsidRPr="009A1DE7" w:rsidRDefault="00FE6BD7" w:rsidP="00C81021">
            <w:pPr>
              <w:pStyle w:val="TableText"/>
            </w:pPr>
          </w:p>
        </w:tc>
        <w:tc>
          <w:tcPr>
            <w:tcW w:w="532" w:type="pct"/>
            <w:vMerge/>
          </w:tcPr>
          <w:p w14:paraId="0E3CACE5"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8C18311"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42CDEDA8" w14:textId="77777777" w:rsidR="00FE6BD7" w:rsidRPr="00EE4BD6" w:rsidRDefault="00FE6BD7" w:rsidP="00C81021">
            <w:pPr>
              <w:pStyle w:val="TableText"/>
            </w:pPr>
          </w:p>
        </w:tc>
      </w:tr>
      <w:tr w:rsidR="00FE6BD7" w:rsidRPr="00EE4BD6" w14:paraId="151EE6AC" w14:textId="77777777" w:rsidTr="00F97A1E">
        <w:trPr>
          <w:cantSplit/>
          <w:trHeight w:val="428"/>
        </w:trPr>
        <w:tc>
          <w:tcPr>
            <w:tcW w:w="436" w:type="pct"/>
            <w:vMerge/>
          </w:tcPr>
          <w:p w14:paraId="68F55D6D" w14:textId="77777777" w:rsidR="00FE6BD7" w:rsidRPr="00EF587A" w:rsidRDefault="00FE6BD7" w:rsidP="00C81021">
            <w:pPr>
              <w:pStyle w:val="TableText"/>
            </w:pPr>
          </w:p>
        </w:tc>
        <w:tc>
          <w:tcPr>
            <w:tcW w:w="469" w:type="pct"/>
            <w:vMerge/>
          </w:tcPr>
          <w:p w14:paraId="280E131D" w14:textId="77777777" w:rsidR="00FE6BD7" w:rsidRPr="009A1DE7" w:rsidRDefault="00FE6BD7" w:rsidP="00C81021">
            <w:pPr>
              <w:pStyle w:val="TableText"/>
              <w:numPr>
                <w:ilvl w:val="0"/>
                <w:numId w:val="3"/>
              </w:numPr>
              <w:ind w:left="226" w:hanging="180"/>
            </w:pPr>
          </w:p>
        </w:tc>
        <w:tc>
          <w:tcPr>
            <w:tcW w:w="438" w:type="pct"/>
            <w:vMerge/>
          </w:tcPr>
          <w:p w14:paraId="3F000452" w14:textId="77777777" w:rsidR="00FE6BD7" w:rsidRPr="009A1DE7" w:rsidRDefault="00FE6BD7" w:rsidP="00C81021">
            <w:pPr>
              <w:pStyle w:val="TableText"/>
            </w:pPr>
          </w:p>
        </w:tc>
        <w:tc>
          <w:tcPr>
            <w:tcW w:w="874" w:type="pct"/>
            <w:vMerge/>
          </w:tcPr>
          <w:p w14:paraId="7EB28DE2" w14:textId="77777777" w:rsidR="00FE6BD7" w:rsidRPr="009A1DE7" w:rsidRDefault="00FE6BD7" w:rsidP="00C81021">
            <w:pPr>
              <w:pStyle w:val="TableText"/>
            </w:pPr>
          </w:p>
        </w:tc>
        <w:tc>
          <w:tcPr>
            <w:tcW w:w="751" w:type="pct"/>
            <w:vMerge/>
          </w:tcPr>
          <w:p w14:paraId="22FA1DF9" w14:textId="77777777" w:rsidR="00FE6BD7" w:rsidRPr="009A1DE7" w:rsidRDefault="00FE6BD7" w:rsidP="00C81021">
            <w:pPr>
              <w:pStyle w:val="TableText"/>
            </w:pPr>
          </w:p>
        </w:tc>
        <w:tc>
          <w:tcPr>
            <w:tcW w:w="719" w:type="pct"/>
            <w:vMerge/>
          </w:tcPr>
          <w:p w14:paraId="705CB17F" w14:textId="77777777" w:rsidR="00FE6BD7" w:rsidRPr="009A1DE7" w:rsidRDefault="00FE6BD7" w:rsidP="00C81021">
            <w:pPr>
              <w:pStyle w:val="TableText"/>
            </w:pPr>
          </w:p>
        </w:tc>
        <w:tc>
          <w:tcPr>
            <w:tcW w:w="532" w:type="pct"/>
            <w:vMerge/>
          </w:tcPr>
          <w:p w14:paraId="2F123F63"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A168251"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7C9256F5" w14:textId="77777777" w:rsidR="00FE6BD7" w:rsidRPr="00EE4BD6" w:rsidRDefault="00FE6BD7" w:rsidP="00C81021">
            <w:pPr>
              <w:pStyle w:val="TableText"/>
            </w:pPr>
          </w:p>
        </w:tc>
      </w:tr>
      <w:tr w:rsidR="00FE6BD7" w:rsidRPr="00EE4BD6" w14:paraId="69E6AC13" w14:textId="77777777" w:rsidTr="00F97A1E">
        <w:trPr>
          <w:cantSplit/>
          <w:trHeight w:val="428"/>
        </w:trPr>
        <w:tc>
          <w:tcPr>
            <w:tcW w:w="436" w:type="pct"/>
            <w:vMerge/>
          </w:tcPr>
          <w:p w14:paraId="5D841D17" w14:textId="77777777" w:rsidR="00FE6BD7" w:rsidRPr="00EF587A" w:rsidRDefault="00FE6BD7" w:rsidP="00C81021">
            <w:pPr>
              <w:pStyle w:val="TableText"/>
            </w:pPr>
          </w:p>
        </w:tc>
        <w:tc>
          <w:tcPr>
            <w:tcW w:w="469" w:type="pct"/>
            <w:vMerge/>
          </w:tcPr>
          <w:p w14:paraId="305CD592" w14:textId="77777777" w:rsidR="00FE6BD7" w:rsidRPr="009A1DE7" w:rsidRDefault="00FE6BD7" w:rsidP="00C81021">
            <w:pPr>
              <w:pStyle w:val="TableText"/>
              <w:numPr>
                <w:ilvl w:val="0"/>
                <w:numId w:val="3"/>
              </w:numPr>
              <w:ind w:left="226" w:hanging="180"/>
            </w:pPr>
          </w:p>
        </w:tc>
        <w:tc>
          <w:tcPr>
            <w:tcW w:w="438" w:type="pct"/>
            <w:vMerge/>
          </w:tcPr>
          <w:p w14:paraId="747A1030" w14:textId="77777777" w:rsidR="00FE6BD7" w:rsidRPr="009A1DE7" w:rsidRDefault="00FE6BD7" w:rsidP="00C81021">
            <w:pPr>
              <w:pStyle w:val="TableText"/>
            </w:pPr>
          </w:p>
        </w:tc>
        <w:tc>
          <w:tcPr>
            <w:tcW w:w="874" w:type="pct"/>
            <w:vMerge/>
          </w:tcPr>
          <w:p w14:paraId="09CBEC97" w14:textId="77777777" w:rsidR="00FE6BD7" w:rsidRPr="009A1DE7" w:rsidRDefault="00FE6BD7" w:rsidP="00C81021">
            <w:pPr>
              <w:pStyle w:val="TableText"/>
            </w:pPr>
          </w:p>
        </w:tc>
        <w:tc>
          <w:tcPr>
            <w:tcW w:w="751" w:type="pct"/>
            <w:vMerge/>
          </w:tcPr>
          <w:p w14:paraId="6F4006BD" w14:textId="77777777" w:rsidR="00FE6BD7" w:rsidRPr="009A1DE7" w:rsidRDefault="00FE6BD7" w:rsidP="00C81021">
            <w:pPr>
              <w:pStyle w:val="TableText"/>
            </w:pPr>
          </w:p>
        </w:tc>
        <w:tc>
          <w:tcPr>
            <w:tcW w:w="719" w:type="pct"/>
            <w:vMerge/>
          </w:tcPr>
          <w:p w14:paraId="064F6F1C" w14:textId="77777777" w:rsidR="00FE6BD7" w:rsidRPr="009A1DE7" w:rsidRDefault="00FE6BD7" w:rsidP="00C81021">
            <w:pPr>
              <w:pStyle w:val="TableText"/>
            </w:pPr>
          </w:p>
        </w:tc>
        <w:tc>
          <w:tcPr>
            <w:tcW w:w="532" w:type="pct"/>
            <w:vMerge/>
          </w:tcPr>
          <w:p w14:paraId="30662EC2"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B1C9B0C"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7374FBA4" w14:textId="77777777" w:rsidR="00FE6BD7" w:rsidRPr="00EE4BD6" w:rsidRDefault="00FE6BD7" w:rsidP="00C81021">
            <w:pPr>
              <w:pStyle w:val="TableText"/>
            </w:pPr>
          </w:p>
        </w:tc>
      </w:tr>
      <w:tr w:rsidR="00FE6BD7" w:rsidRPr="00EF587A" w14:paraId="1026AE03" w14:textId="77777777" w:rsidTr="00F97A1E">
        <w:trPr>
          <w:cantSplit/>
          <w:trHeight w:val="428"/>
        </w:trPr>
        <w:tc>
          <w:tcPr>
            <w:tcW w:w="436" w:type="pct"/>
            <w:vMerge/>
          </w:tcPr>
          <w:p w14:paraId="51644B83" w14:textId="77777777" w:rsidR="00FE6BD7" w:rsidRPr="00EF587A" w:rsidRDefault="00FE6BD7" w:rsidP="00C81021">
            <w:pPr>
              <w:pStyle w:val="TableText"/>
            </w:pPr>
          </w:p>
        </w:tc>
        <w:tc>
          <w:tcPr>
            <w:tcW w:w="469" w:type="pct"/>
            <w:vMerge/>
          </w:tcPr>
          <w:p w14:paraId="0FB1CF0A" w14:textId="77777777" w:rsidR="00FE6BD7" w:rsidRPr="00EF587A" w:rsidRDefault="00FE6BD7" w:rsidP="00C81021">
            <w:pPr>
              <w:pStyle w:val="TableText"/>
            </w:pPr>
          </w:p>
        </w:tc>
        <w:tc>
          <w:tcPr>
            <w:tcW w:w="438" w:type="pct"/>
            <w:vMerge/>
          </w:tcPr>
          <w:p w14:paraId="33605C12" w14:textId="77777777" w:rsidR="00FE6BD7" w:rsidRPr="00EF587A" w:rsidRDefault="00FE6BD7" w:rsidP="00C81021">
            <w:pPr>
              <w:pStyle w:val="TableText"/>
            </w:pPr>
          </w:p>
        </w:tc>
        <w:tc>
          <w:tcPr>
            <w:tcW w:w="874" w:type="pct"/>
            <w:vMerge/>
          </w:tcPr>
          <w:p w14:paraId="12B8E32D" w14:textId="77777777" w:rsidR="00FE6BD7" w:rsidRPr="00EF587A" w:rsidRDefault="00FE6BD7" w:rsidP="00C81021">
            <w:pPr>
              <w:pStyle w:val="TableText"/>
            </w:pPr>
          </w:p>
        </w:tc>
        <w:tc>
          <w:tcPr>
            <w:tcW w:w="751" w:type="pct"/>
            <w:vMerge/>
          </w:tcPr>
          <w:p w14:paraId="59EFF782" w14:textId="77777777" w:rsidR="00FE6BD7" w:rsidRPr="00EF587A" w:rsidRDefault="00FE6BD7" w:rsidP="00C81021">
            <w:pPr>
              <w:pStyle w:val="TableText"/>
            </w:pPr>
          </w:p>
        </w:tc>
        <w:tc>
          <w:tcPr>
            <w:tcW w:w="719" w:type="pct"/>
            <w:vMerge/>
          </w:tcPr>
          <w:p w14:paraId="65F71EF9" w14:textId="77777777" w:rsidR="00FE6BD7" w:rsidRPr="00EF587A" w:rsidRDefault="00FE6BD7" w:rsidP="00C81021">
            <w:pPr>
              <w:pStyle w:val="TableText"/>
            </w:pPr>
          </w:p>
        </w:tc>
        <w:tc>
          <w:tcPr>
            <w:tcW w:w="532" w:type="pct"/>
            <w:vMerge/>
          </w:tcPr>
          <w:p w14:paraId="546C341C" w14:textId="77777777" w:rsidR="00FE6BD7" w:rsidRPr="00EF587A" w:rsidRDefault="00FE6BD7" w:rsidP="00C81021">
            <w:pPr>
              <w:pStyle w:val="TableText"/>
            </w:pPr>
          </w:p>
        </w:tc>
        <w:tc>
          <w:tcPr>
            <w:tcW w:w="345" w:type="pct"/>
            <w:shd w:val="clear" w:color="auto" w:fill="F2F2F2" w:themeFill="background1" w:themeFillShade="F2"/>
          </w:tcPr>
          <w:p w14:paraId="56180776"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72E32C48" w14:textId="77777777" w:rsidR="00FE6BD7" w:rsidRPr="00EF587A" w:rsidRDefault="00FE6BD7" w:rsidP="00C81021">
            <w:pPr>
              <w:pStyle w:val="TableText"/>
            </w:pPr>
          </w:p>
        </w:tc>
      </w:tr>
      <w:tr w:rsidR="00FE6BD7" w:rsidRPr="00EE4BD6" w14:paraId="6FFD8862" w14:textId="77777777" w:rsidTr="00F97A1E">
        <w:trPr>
          <w:cantSplit/>
        </w:trPr>
        <w:tc>
          <w:tcPr>
            <w:tcW w:w="5000" w:type="pct"/>
            <w:gridSpan w:val="9"/>
            <w:shd w:val="clear" w:color="auto" w:fill="D9E2F3" w:themeFill="accent5" w:themeFillTint="33"/>
          </w:tcPr>
          <w:p w14:paraId="36EE5346" w14:textId="77777777" w:rsidR="00FE6BD7" w:rsidRPr="00ED339A" w:rsidRDefault="00FE6BD7" w:rsidP="00C81021">
            <w:pPr>
              <w:pStyle w:val="TableText"/>
              <w:rPr>
                <w:sz w:val="10"/>
                <w:szCs w:val="10"/>
              </w:rPr>
            </w:pPr>
          </w:p>
        </w:tc>
      </w:tr>
      <w:tr w:rsidR="00C831AA" w:rsidRPr="00EE4BD6" w14:paraId="45F016B0" w14:textId="77777777" w:rsidTr="00F97A1E">
        <w:trPr>
          <w:cantSplit/>
          <w:trHeight w:val="916"/>
        </w:trPr>
        <w:tc>
          <w:tcPr>
            <w:tcW w:w="436" w:type="pct"/>
            <w:vMerge w:val="restart"/>
            <w:vAlign w:val="center"/>
          </w:tcPr>
          <w:p w14:paraId="6C65FD47" w14:textId="6BD4C193" w:rsidR="00C831AA" w:rsidRPr="00F77313" w:rsidRDefault="00C831AA" w:rsidP="00C831AA">
            <w:pPr>
              <w:pStyle w:val="TableText"/>
              <w:pageBreakBefore/>
              <w:jc w:val="center"/>
              <w:rPr>
                <w:b/>
                <w:bCs/>
              </w:rPr>
            </w:pPr>
            <w:r w:rsidRPr="00C831AA">
              <w:rPr>
                <w:b/>
                <w:bCs/>
              </w:rPr>
              <w:lastRenderedPageBreak/>
              <w:t>Audit Reports Combined</w:t>
            </w:r>
          </w:p>
        </w:tc>
        <w:tc>
          <w:tcPr>
            <w:tcW w:w="469" w:type="pct"/>
            <w:vMerge w:val="restart"/>
          </w:tcPr>
          <w:p w14:paraId="3B16694E" w14:textId="77777777" w:rsidR="00C831AA" w:rsidRDefault="00C831AA" w:rsidP="00C831AA">
            <w:pPr>
              <w:pStyle w:val="TableText"/>
              <w:keepNext/>
              <w:keepLines/>
              <w:numPr>
                <w:ilvl w:val="0"/>
                <w:numId w:val="3"/>
              </w:numPr>
              <w:ind w:left="230" w:hanging="187"/>
            </w:pPr>
            <w:r>
              <w:t>Filters include selection of all patients or designated patient name.</w:t>
            </w:r>
          </w:p>
          <w:p w14:paraId="65D2ACDA" w14:textId="77777777" w:rsidR="00C831AA" w:rsidRDefault="00C831AA" w:rsidP="00C831AA">
            <w:pPr>
              <w:pStyle w:val="TableText"/>
              <w:keepNext/>
              <w:keepLines/>
              <w:numPr>
                <w:ilvl w:val="0"/>
                <w:numId w:val="3"/>
              </w:numPr>
              <w:ind w:left="230" w:hanging="187"/>
            </w:pPr>
            <w:r>
              <w:t>There is a Sort By feature that allows selection of the following:</w:t>
            </w:r>
          </w:p>
          <w:p w14:paraId="5E3E0707" w14:textId="77777777" w:rsidR="00C831AA" w:rsidRDefault="00C831AA" w:rsidP="00C831AA">
            <w:pPr>
              <w:pStyle w:val="TableText"/>
              <w:keepNext/>
              <w:keepLines/>
              <w:numPr>
                <w:ilvl w:val="1"/>
                <w:numId w:val="3"/>
              </w:numPr>
              <w:ind w:left="489" w:hanging="187"/>
            </w:pPr>
            <w:r>
              <w:t>Date/Time</w:t>
            </w:r>
          </w:p>
          <w:p w14:paraId="0CA07D99" w14:textId="77777777" w:rsidR="00C831AA" w:rsidRDefault="00C831AA" w:rsidP="00C831AA">
            <w:pPr>
              <w:pStyle w:val="TableText"/>
              <w:keepNext/>
              <w:keepLines/>
              <w:numPr>
                <w:ilvl w:val="1"/>
                <w:numId w:val="3"/>
              </w:numPr>
              <w:ind w:left="489" w:hanging="187"/>
            </w:pPr>
            <w:r>
              <w:t>User</w:t>
            </w:r>
          </w:p>
          <w:p w14:paraId="03FF1933" w14:textId="77777777" w:rsidR="00C831AA" w:rsidRDefault="00C831AA" w:rsidP="00C831AA">
            <w:pPr>
              <w:pStyle w:val="TableText"/>
              <w:keepNext/>
              <w:keepLines/>
              <w:numPr>
                <w:ilvl w:val="1"/>
                <w:numId w:val="3"/>
              </w:numPr>
              <w:ind w:left="489" w:hanging="187"/>
            </w:pPr>
            <w:r>
              <w:t>Patient Name</w:t>
            </w:r>
          </w:p>
          <w:p w14:paraId="1FB2795E" w14:textId="6C7658FF" w:rsidR="00C831AA" w:rsidRPr="009A1DE7" w:rsidRDefault="00C831AA" w:rsidP="00C831AA">
            <w:pPr>
              <w:pStyle w:val="TableText"/>
              <w:numPr>
                <w:ilvl w:val="0"/>
                <w:numId w:val="3"/>
              </w:numPr>
              <w:ind w:left="226" w:hanging="180"/>
            </w:pPr>
            <w:r>
              <w:t>Action Type</w:t>
            </w:r>
          </w:p>
        </w:tc>
        <w:tc>
          <w:tcPr>
            <w:tcW w:w="438" w:type="pct"/>
            <w:vMerge w:val="restart"/>
          </w:tcPr>
          <w:p w14:paraId="1CE6C645" w14:textId="13411391" w:rsidR="00C831AA" w:rsidRPr="009A1DE7" w:rsidRDefault="00C831AA" w:rsidP="00C831AA">
            <w:pPr>
              <w:pStyle w:val="TableText"/>
            </w:pPr>
            <w:r w:rsidRPr="00C0452F">
              <w:t>Dental Chief, CAC</w:t>
            </w:r>
          </w:p>
        </w:tc>
        <w:tc>
          <w:tcPr>
            <w:tcW w:w="874" w:type="pct"/>
            <w:vMerge w:val="restart"/>
          </w:tcPr>
          <w:p w14:paraId="42986EED" w14:textId="77777777" w:rsidR="00C831AA" w:rsidRDefault="00C831AA" w:rsidP="00C831AA">
            <w:pPr>
              <w:pStyle w:val="TableText"/>
              <w:keepNext/>
              <w:keepLines/>
            </w:pPr>
            <w:r>
              <w:t xml:space="preserve">This report identifies users who have performed the following Changes or Actions:  Inserted / Modified or Deleted Procedures, </w:t>
            </w:r>
          </w:p>
          <w:p w14:paraId="6CE45E59" w14:textId="77777777" w:rsidR="00C831AA" w:rsidRDefault="00C831AA" w:rsidP="00C831AA">
            <w:pPr>
              <w:pStyle w:val="TableText"/>
              <w:keepNext/>
              <w:keepLines/>
            </w:pPr>
            <w:r>
              <w:t>Patient Information Accessed, Printed Patient Reports, Patient Health Exchange Export and Data Accessed.</w:t>
            </w:r>
          </w:p>
          <w:p w14:paraId="5C51049B" w14:textId="10047DE3" w:rsidR="00C831AA" w:rsidRPr="009A1DE7" w:rsidRDefault="00C831AA" w:rsidP="00C831AA">
            <w:pPr>
              <w:pStyle w:val="TableText"/>
            </w:pPr>
            <w:r>
              <w:t>Among the purposes of performing this audit:  may reveal an indication of those users who may have rights that are "too generous" for their roles and/or help define those users who consistently make mistakes and may need reinforcement training.  Users accessing patient records when there is no clinical / business reason to do so may also be monitored.</w:t>
            </w:r>
          </w:p>
        </w:tc>
        <w:tc>
          <w:tcPr>
            <w:tcW w:w="751" w:type="pct"/>
            <w:vMerge w:val="restart"/>
          </w:tcPr>
          <w:p w14:paraId="2B2A8959" w14:textId="175E2331" w:rsidR="00C831AA" w:rsidRPr="009A1DE7" w:rsidRDefault="00C831AA" w:rsidP="00C831AA">
            <w:pPr>
              <w:pStyle w:val="TableText"/>
              <w:numPr>
                <w:ilvl w:val="0"/>
                <w:numId w:val="2"/>
              </w:numPr>
              <w:ind w:left="232" w:hanging="180"/>
            </w:pPr>
            <w:r w:rsidRPr="00C0452F">
              <w:rPr>
                <w:u w:val="single"/>
              </w:rPr>
              <w:t>Office Manager</w:t>
            </w:r>
            <w:r w:rsidRPr="00C0452F">
              <w:t>:  Password Securities are in place for each team member who uses the EDR.  Set up security groups to ensure access is limited to job responsibility needs.</w:t>
            </w:r>
          </w:p>
        </w:tc>
        <w:tc>
          <w:tcPr>
            <w:tcW w:w="719" w:type="pct"/>
            <w:vMerge w:val="restart"/>
          </w:tcPr>
          <w:p w14:paraId="307B4750" w14:textId="77777777" w:rsidR="00C831AA" w:rsidRDefault="00C831AA" w:rsidP="00C831AA">
            <w:pPr>
              <w:pStyle w:val="TableText"/>
            </w:pPr>
            <w:r>
              <w:t xml:space="preserve">Not using the Audit-Combined Report leaves the site in a vulnerable position regarding the security of patient information. </w:t>
            </w:r>
          </w:p>
          <w:p w14:paraId="046B946B" w14:textId="77777777" w:rsidR="00C831AA" w:rsidRDefault="00C831AA" w:rsidP="00C831AA">
            <w:pPr>
              <w:pStyle w:val="TableText"/>
            </w:pPr>
            <w:r>
              <w:t>Since there are very specific situations where Patient Information Accessed are and are not allowed, monitoring this user access is essential.  And use of printed or exported patient information functionality must be monitored so that PHI is not leaving the facility.</w:t>
            </w:r>
          </w:p>
          <w:p w14:paraId="19E3E969" w14:textId="2E2983DF" w:rsidR="00C831AA" w:rsidRPr="00EF587A" w:rsidRDefault="00C831AA" w:rsidP="00C831AA">
            <w:pPr>
              <w:pStyle w:val="TableText"/>
            </w:pPr>
            <w:r>
              <w:t>If there is a user(s) who is excessively editing completed procedures, the reasons behind this must be explored (it could be a simple need for more/individual training or it could be something else altogether).</w:t>
            </w:r>
          </w:p>
        </w:tc>
        <w:tc>
          <w:tcPr>
            <w:tcW w:w="532" w:type="pct"/>
            <w:vMerge w:val="restart"/>
          </w:tcPr>
          <w:p w14:paraId="2AA03B4C" w14:textId="77777777" w:rsidR="00C831AA" w:rsidRDefault="00C831AA" w:rsidP="00C831AA">
            <w:pPr>
              <w:pStyle w:val="TableText"/>
              <w:numPr>
                <w:ilvl w:val="0"/>
                <w:numId w:val="1"/>
              </w:numPr>
              <w:ind w:left="187" w:hanging="187"/>
            </w:pPr>
            <w:r>
              <w:t>Database Design</w:t>
            </w:r>
          </w:p>
          <w:p w14:paraId="600F9C43" w14:textId="77777777" w:rsidR="00C831AA" w:rsidRDefault="00C831AA" w:rsidP="00C831AA">
            <w:pPr>
              <w:pStyle w:val="TableText"/>
              <w:numPr>
                <w:ilvl w:val="0"/>
                <w:numId w:val="1"/>
              </w:numPr>
              <w:ind w:left="187" w:hanging="187"/>
            </w:pPr>
            <w:r>
              <w:t>Patient Records</w:t>
            </w:r>
          </w:p>
          <w:p w14:paraId="51EAA562" w14:textId="77777777" w:rsidR="00C831AA" w:rsidRDefault="00C831AA" w:rsidP="00C831AA">
            <w:pPr>
              <w:pStyle w:val="TableText"/>
              <w:numPr>
                <w:ilvl w:val="0"/>
                <w:numId w:val="1"/>
              </w:numPr>
              <w:ind w:left="187" w:hanging="187"/>
            </w:pPr>
            <w:r>
              <w:t>Clinical Records</w:t>
            </w:r>
          </w:p>
          <w:p w14:paraId="577E1EF6" w14:textId="31D781C9" w:rsidR="00C831AA" w:rsidRPr="00EF587A" w:rsidRDefault="00C831AA" w:rsidP="00C831AA">
            <w:pPr>
              <w:pStyle w:val="TableText"/>
              <w:numPr>
                <w:ilvl w:val="0"/>
                <w:numId w:val="1"/>
              </w:numPr>
              <w:spacing w:after="0"/>
              <w:ind w:left="187" w:hanging="187"/>
            </w:pPr>
            <w:r>
              <w:t>Reports Reference*</w:t>
            </w:r>
          </w:p>
        </w:tc>
        <w:tc>
          <w:tcPr>
            <w:tcW w:w="345" w:type="pct"/>
            <w:shd w:val="clear" w:color="auto" w:fill="F2F2F2" w:themeFill="background1" w:themeFillShade="F2"/>
          </w:tcPr>
          <w:p w14:paraId="1C769797" w14:textId="77777777" w:rsidR="00C831AA" w:rsidRPr="00EE4BD6" w:rsidRDefault="00C831AA" w:rsidP="00C831AA">
            <w:pPr>
              <w:pStyle w:val="TableText"/>
            </w:pPr>
            <w:r w:rsidRPr="001F26DF">
              <w:t>Date Reviewed</w:t>
            </w:r>
            <w:r>
              <w:t>:</w:t>
            </w:r>
          </w:p>
        </w:tc>
        <w:tc>
          <w:tcPr>
            <w:tcW w:w="436" w:type="pct"/>
            <w:shd w:val="clear" w:color="auto" w:fill="F2F2F2" w:themeFill="background1" w:themeFillShade="F2"/>
          </w:tcPr>
          <w:p w14:paraId="0CA235A1" w14:textId="77777777" w:rsidR="00C831AA" w:rsidRPr="00EE4BD6" w:rsidRDefault="00C831AA" w:rsidP="00C831AA">
            <w:pPr>
              <w:pStyle w:val="TableText"/>
            </w:pPr>
          </w:p>
        </w:tc>
      </w:tr>
      <w:tr w:rsidR="00FE6BD7" w:rsidRPr="00EE4BD6" w14:paraId="0A13DE1A" w14:textId="77777777" w:rsidTr="00F97A1E">
        <w:trPr>
          <w:cantSplit/>
          <w:trHeight w:val="916"/>
        </w:trPr>
        <w:tc>
          <w:tcPr>
            <w:tcW w:w="436" w:type="pct"/>
            <w:vMerge/>
          </w:tcPr>
          <w:p w14:paraId="26A3366E" w14:textId="77777777" w:rsidR="00FE6BD7" w:rsidRPr="00EF587A" w:rsidRDefault="00FE6BD7" w:rsidP="00C81021">
            <w:pPr>
              <w:pStyle w:val="TableText"/>
            </w:pPr>
          </w:p>
        </w:tc>
        <w:tc>
          <w:tcPr>
            <w:tcW w:w="469" w:type="pct"/>
            <w:vMerge/>
          </w:tcPr>
          <w:p w14:paraId="5E6BE14B" w14:textId="77777777" w:rsidR="00FE6BD7" w:rsidRPr="009A1DE7" w:rsidRDefault="00FE6BD7" w:rsidP="00C81021">
            <w:pPr>
              <w:pStyle w:val="TableText"/>
              <w:numPr>
                <w:ilvl w:val="0"/>
                <w:numId w:val="3"/>
              </w:numPr>
              <w:ind w:left="226" w:hanging="180"/>
            </w:pPr>
          </w:p>
        </w:tc>
        <w:tc>
          <w:tcPr>
            <w:tcW w:w="438" w:type="pct"/>
            <w:vMerge/>
          </w:tcPr>
          <w:p w14:paraId="6BAED116" w14:textId="77777777" w:rsidR="00FE6BD7" w:rsidRPr="009A1DE7" w:rsidRDefault="00FE6BD7" w:rsidP="00C81021">
            <w:pPr>
              <w:pStyle w:val="TableText"/>
            </w:pPr>
          </w:p>
        </w:tc>
        <w:tc>
          <w:tcPr>
            <w:tcW w:w="874" w:type="pct"/>
            <w:vMerge/>
          </w:tcPr>
          <w:p w14:paraId="2C9826D7" w14:textId="77777777" w:rsidR="00FE6BD7" w:rsidRPr="009A1DE7" w:rsidRDefault="00FE6BD7" w:rsidP="00C81021">
            <w:pPr>
              <w:pStyle w:val="TableText"/>
            </w:pPr>
          </w:p>
        </w:tc>
        <w:tc>
          <w:tcPr>
            <w:tcW w:w="751" w:type="pct"/>
            <w:vMerge/>
          </w:tcPr>
          <w:p w14:paraId="6416C4AB" w14:textId="77777777" w:rsidR="00FE6BD7" w:rsidRPr="009A1DE7" w:rsidRDefault="00FE6BD7" w:rsidP="00C81021">
            <w:pPr>
              <w:pStyle w:val="TableText"/>
            </w:pPr>
          </w:p>
        </w:tc>
        <w:tc>
          <w:tcPr>
            <w:tcW w:w="719" w:type="pct"/>
            <w:vMerge/>
          </w:tcPr>
          <w:p w14:paraId="5883C7A9" w14:textId="77777777" w:rsidR="00FE6BD7" w:rsidRPr="009A1DE7" w:rsidRDefault="00FE6BD7" w:rsidP="00C81021">
            <w:pPr>
              <w:pStyle w:val="TableText"/>
            </w:pPr>
          </w:p>
        </w:tc>
        <w:tc>
          <w:tcPr>
            <w:tcW w:w="532" w:type="pct"/>
            <w:vMerge/>
          </w:tcPr>
          <w:p w14:paraId="528F7BAE"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588A185"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45A946F4" w14:textId="77777777" w:rsidR="00FE6BD7" w:rsidRPr="00EE4BD6" w:rsidRDefault="00FE6BD7" w:rsidP="00C81021">
            <w:pPr>
              <w:pStyle w:val="TableText"/>
            </w:pPr>
          </w:p>
        </w:tc>
      </w:tr>
      <w:tr w:rsidR="00FE6BD7" w:rsidRPr="00EE4BD6" w14:paraId="4756E9BF" w14:textId="77777777" w:rsidTr="00F97A1E">
        <w:trPr>
          <w:cantSplit/>
          <w:trHeight w:val="916"/>
        </w:trPr>
        <w:tc>
          <w:tcPr>
            <w:tcW w:w="436" w:type="pct"/>
            <w:vMerge/>
          </w:tcPr>
          <w:p w14:paraId="373C4EA8" w14:textId="77777777" w:rsidR="00FE6BD7" w:rsidRPr="00EF587A" w:rsidRDefault="00FE6BD7" w:rsidP="00C81021">
            <w:pPr>
              <w:pStyle w:val="TableText"/>
            </w:pPr>
          </w:p>
        </w:tc>
        <w:tc>
          <w:tcPr>
            <w:tcW w:w="469" w:type="pct"/>
            <w:vMerge/>
          </w:tcPr>
          <w:p w14:paraId="1FA25A40" w14:textId="77777777" w:rsidR="00FE6BD7" w:rsidRPr="009A1DE7" w:rsidRDefault="00FE6BD7" w:rsidP="00C81021">
            <w:pPr>
              <w:pStyle w:val="TableText"/>
              <w:numPr>
                <w:ilvl w:val="0"/>
                <w:numId w:val="3"/>
              </w:numPr>
              <w:ind w:left="226" w:hanging="180"/>
            </w:pPr>
          </w:p>
        </w:tc>
        <w:tc>
          <w:tcPr>
            <w:tcW w:w="438" w:type="pct"/>
            <w:vMerge/>
          </w:tcPr>
          <w:p w14:paraId="326D0D36" w14:textId="77777777" w:rsidR="00FE6BD7" w:rsidRPr="009A1DE7" w:rsidRDefault="00FE6BD7" w:rsidP="00C81021">
            <w:pPr>
              <w:pStyle w:val="TableText"/>
            </w:pPr>
          </w:p>
        </w:tc>
        <w:tc>
          <w:tcPr>
            <w:tcW w:w="874" w:type="pct"/>
            <w:vMerge/>
          </w:tcPr>
          <w:p w14:paraId="1CA0A0CB" w14:textId="77777777" w:rsidR="00FE6BD7" w:rsidRPr="009A1DE7" w:rsidRDefault="00FE6BD7" w:rsidP="00C81021">
            <w:pPr>
              <w:pStyle w:val="TableText"/>
            </w:pPr>
          </w:p>
        </w:tc>
        <w:tc>
          <w:tcPr>
            <w:tcW w:w="751" w:type="pct"/>
            <w:vMerge/>
          </w:tcPr>
          <w:p w14:paraId="59454CDC" w14:textId="77777777" w:rsidR="00FE6BD7" w:rsidRPr="009A1DE7" w:rsidRDefault="00FE6BD7" w:rsidP="00C81021">
            <w:pPr>
              <w:pStyle w:val="TableText"/>
            </w:pPr>
          </w:p>
        </w:tc>
        <w:tc>
          <w:tcPr>
            <w:tcW w:w="719" w:type="pct"/>
            <w:vMerge/>
          </w:tcPr>
          <w:p w14:paraId="52A267D7" w14:textId="77777777" w:rsidR="00FE6BD7" w:rsidRPr="009A1DE7" w:rsidRDefault="00FE6BD7" w:rsidP="00C81021">
            <w:pPr>
              <w:pStyle w:val="TableText"/>
            </w:pPr>
          </w:p>
        </w:tc>
        <w:tc>
          <w:tcPr>
            <w:tcW w:w="532" w:type="pct"/>
            <w:vMerge/>
          </w:tcPr>
          <w:p w14:paraId="3B768DBB"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E28049E"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7045F863" w14:textId="77777777" w:rsidR="00FE6BD7" w:rsidRPr="00EE4BD6" w:rsidRDefault="00FE6BD7" w:rsidP="00C81021">
            <w:pPr>
              <w:pStyle w:val="TableText"/>
            </w:pPr>
          </w:p>
        </w:tc>
      </w:tr>
      <w:tr w:rsidR="00FE6BD7" w:rsidRPr="00EE4BD6" w14:paraId="45760BD9" w14:textId="77777777" w:rsidTr="00F97A1E">
        <w:trPr>
          <w:cantSplit/>
          <w:trHeight w:val="916"/>
        </w:trPr>
        <w:tc>
          <w:tcPr>
            <w:tcW w:w="436" w:type="pct"/>
            <w:vMerge/>
          </w:tcPr>
          <w:p w14:paraId="6C5220EC" w14:textId="77777777" w:rsidR="00FE6BD7" w:rsidRPr="00EF587A" w:rsidRDefault="00FE6BD7" w:rsidP="00C81021">
            <w:pPr>
              <w:pStyle w:val="TableText"/>
            </w:pPr>
          </w:p>
        </w:tc>
        <w:tc>
          <w:tcPr>
            <w:tcW w:w="469" w:type="pct"/>
            <w:vMerge/>
          </w:tcPr>
          <w:p w14:paraId="25C5E417" w14:textId="77777777" w:rsidR="00FE6BD7" w:rsidRPr="009A1DE7" w:rsidRDefault="00FE6BD7" w:rsidP="00C81021">
            <w:pPr>
              <w:pStyle w:val="TableText"/>
              <w:numPr>
                <w:ilvl w:val="0"/>
                <w:numId w:val="3"/>
              </w:numPr>
              <w:ind w:left="226" w:hanging="180"/>
            </w:pPr>
          </w:p>
        </w:tc>
        <w:tc>
          <w:tcPr>
            <w:tcW w:w="438" w:type="pct"/>
            <w:vMerge/>
          </w:tcPr>
          <w:p w14:paraId="33CBFEA1" w14:textId="77777777" w:rsidR="00FE6BD7" w:rsidRPr="009A1DE7" w:rsidRDefault="00FE6BD7" w:rsidP="00C81021">
            <w:pPr>
              <w:pStyle w:val="TableText"/>
            </w:pPr>
          </w:p>
        </w:tc>
        <w:tc>
          <w:tcPr>
            <w:tcW w:w="874" w:type="pct"/>
            <w:vMerge/>
          </w:tcPr>
          <w:p w14:paraId="33F429C6" w14:textId="77777777" w:rsidR="00FE6BD7" w:rsidRPr="009A1DE7" w:rsidRDefault="00FE6BD7" w:rsidP="00C81021">
            <w:pPr>
              <w:pStyle w:val="TableText"/>
            </w:pPr>
          </w:p>
        </w:tc>
        <w:tc>
          <w:tcPr>
            <w:tcW w:w="751" w:type="pct"/>
            <w:vMerge/>
          </w:tcPr>
          <w:p w14:paraId="38F36F1E" w14:textId="77777777" w:rsidR="00FE6BD7" w:rsidRPr="009A1DE7" w:rsidRDefault="00FE6BD7" w:rsidP="00C81021">
            <w:pPr>
              <w:pStyle w:val="TableText"/>
            </w:pPr>
          </w:p>
        </w:tc>
        <w:tc>
          <w:tcPr>
            <w:tcW w:w="719" w:type="pct"/>
            <w:vMerge/>
          </w:tcPr>
          <w:p w14:paraId="6DFA91BC" w14:textId="77777777" w:rsidR="00FE6BD7" w:rsidRPr="009A1DE7" w:rsidRDefault="00FE6BD7" w:rsidP="00C81021">
            <w:pPr>
              <w:pStyle w:val="TableText"/>
            </w:pPr>
          </w:p>
        </w:tc>
        <w:tc>
          <w:tcPr>
            <w:tcW w:w="532" w:type="pct"/>
            <w:vMerge/>
          </w:tcPr>
          <w:p w14:paraId="40B5D035"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1A016549"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429767CD" w14:textId="77777777" w:rsidR="00FE6BD7" w:rsidRPr="00EE4BD6" w:rsidRDefault="00FE6BD7" w:rsidP="00C81021">
            <w:pPr>
              <w:pStyle w:val="TableText"/>
            </w:pPr>
          </w:p>
        </w:tc>
      </w:tr>
      <w:tr w:rsidR="00FE6BD7" w:rsidRPr="00EF587A" w14:paraId="027167A0" w14:textId="77777777" w:rsidTr="00F97A1E">
        <w:trPr>
          <w:cantSplit/>
          <w:trHeight w:val="916"/>
        </w:trPr>
        <w:tc>
          <w:tcPr>
            <w:tcW w:w="436" w:type="pct"/>
            <w:vMerge/>
          </w:tcPr>
          <w:p w14:paraId="5CB15EA5" w14:textId="77777777" w:rsidR="00FE6BD7" w:rsidRPr="00EF587A" w:rsidRDefault="00FE6BD7" w:rsidP="00C81021">
            <w:pPr>
              <w:pStyle w:val="TableText"/>
            </w:pPr>
          </w:p>
        </w:tc>
        <w:tc>
          <w:tcPr>
            <w:tcW w:w="469" w:type="pct"/>
            <w:vMerge/>
          </w:tcPr>
          <w:p w14:paraId="1B88BF7A" w14:textId="77777777" w:rsidR="00FE6BD7" w:rsidRPr="00EF587A" w:rsidRDefault="00FE6BD7" w:rsidP="00C81021">
            <w:pPr>
              <w:pStyle w:val="TableText"/>
            </w:pPr>
          </w:p>
        </w:tc>
        <w:tc>
          <w:tcPr>
            <w:tcW w:w="438" w:type="pct"/>
            <w:vMerge/>
          </w:tcPr>
          <w:p w14:paraId="6826757F" w14:textId="77777777" w:rsidR="00FE6BD7" w:rsidRPr="00EF587A" w:rsidRDefault="00FE6BD7" w:rsidP="00C81021">
            <w:pPr>
              <w:pStyle w:val="TableText"/>
            </w:pPr>
          </w:p>
        </w:tc>
        <w:tc>
          <w:tcPr>
            <w:tcW w:w="874" w:type="pct"/>
            <w:vMerge/>
          </w:tcPr>
          <w:p w14:paraId="26768299" w14:textId="77777777" w:rsidR="00FE6BD7" w:rsidRPr="00EF587A" w:rsidRDefault="00FE6BD7" w:rsidP="00C81021">
            <w:pPr>
              <w:pStyle w:val="TableText"/>
            </w:pPr>
          </w:p>
        </w:tc>
        <w:tc>
          <w:tcPr>
            <w:tcW w:w="751" w:type="pct"/>
            <w:vMerge/>
          </w:tcPr>
          <w:p w14:paraId="2B7CEBEB" w14:textId="77777777" w:rsidR="00FE6BD7" w:rsidRPr="00EF587A" w:rsidRDefault="00FE6BD7" w:rsidP="00C81021">
            <w:pPr>
              <w:pStyle w:val="TableText"/>
            </w:pPr>
          </w:p>
        </w:tc>
        <w:tc>
          <w:tcPr>
            <w:tcW w:w="719" w:type="pct"/>
            <w:vMerge/>
          </w:tcPr>
          <w:p w14:paraId="72736305" w14:textId="77777777" w:rsidR="00FE6BD7" w:rsidRPr="00EF587A" w:rsidRDefault="00FE6BD7" w:rsidP="00C81021">
            <w:pPr>
              <w:pStyle w:val="TableText"/>
            </w:pPr>
          </w:p>
        </w:tc>
        <w:tc>
          <w:tcPr>
            <w:tcW w:w="532" w:type="pct"/>
            <w:vMerge/>
          </w:tcPr>
          <w:p w14:paraId="4FAAB00D" w14:textId="77777777" w:rsidR="00FE6BD7" w:rsidRPr="00EF587A" w:rsidRDefault="00FE6BD7" w:rsidP="00C81021">
            <w:pPr>
              <w:pStyle w:val="TableText"/>
            </w:pPr>
          </w:p>
        </w:tc>
        <w:tc>
          <w:tcPr>
            <w:tcW w:w="345" w:type="pct"/>
            <w:shd w:val="clear" w:color="auto" w:fill="F2F2F2" w:themeFill="background1" w:themeFillShade="F2"/>
          </w:tcPr>
          <w:p w14:paraId="6230B8AA"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022938B7" w14:textId="77777777" w:rsidR="00FE6BD7" w:rsidRPr="00EF587A" w:rsidRDefault="00FE6BD7" w:rsidP="00C81021">
            <w:pPr>
              <w:pStyle w:val="TableText"/>
            </w:pPr>
          </w:p>
        </w:tc>
      </w:tr>
      <w:tr w:rsidR="00FE6BD7" w:rsidRPr="00EE4BD6" w14:paraId="67508812" w14:textId="77777777" w:rsidTr="00F97A1E">
        <w:trPr>
          <w:cantSplit/>
        </w:trPr>
        <w:tc>
          <w:tcPr>
            <w:tcW w:w="5000" w:type="pct"/>
            <w:gridSpan w:val="9"/>
            <w:shd w:val="clear" w:color="auto" w:fill="D9E2F3" w:themeFill="accent5" w:themeFillTint="33"/>
          </w:tcPr>
          <w:p w14:paraId="53A11FDF" w14:textId="77777777" w:rsidR="00FE6BD7" w:rsidRPr="00ED339A" w:rsidRDefault="00FE6BD7" w:rsidP="00C81021">
            <w:pPr>
              <w:pStyle w:val="TableText"/>
              <w:rPr>
                <w:sz w:val="12"/>
                <w:szCs w:val="12"/>
              </w:rPr>
            </w:pPr>
          </w:p>
        </w:tc>
      </w:tr>
      <w:tr w:rsidR="00C831AA" w:rsidRPr="00EE4BD6" w14:paraId="145ED6CD" w14:textId="77777777" w:rsidTr="00F97A1E">
        <w:trPr>
          <w:cantSplit/>
          <w:trHeight w:val="724"/>
        </w:trPr>
        <w:tc>
          <w:tcPr>
            <w:tcW w:w="436" w:type="pct"/>
            <w:vMerge w:val="restart"/>
            <w:vAlign w:val="center"/>
          </w:tcPr>
          <w:p w14:paraId="1780F97A" w14:textId="5DB8E3AA" w:rsidR="00C831AA" w:rsidRPr="00F77313" w:rsidRDefault="00C831AA" w:rsidP="0088333F">
            <w:pPr>
              <w:pStyle w:val="TableText"/>
              <w:keepNext/>
              <w:keepLines/>
              <w:jc w:val="center"/>
              <w:rPr>
                <w:b/>
                <w:bCs/>
              </w:rPr>
            </w:pPr>
            <w:r w:rsidRPr="00C831AA">
              <w:rPr>
                <w:b/>
                <w:bCs/>
              </w:rPr>
              <w:lastRenderedPageBreak/>
              <w:t>Audit Reports Transaction</w:t>
            </w:r>
          </w:p>
        </w:tc>
        <w:tc>
          <w:tcPr>
            <w:tcW w:w="469" w:type="pct"/>
            <w:vMerge w:val="restart"/>
          </w:tcPr>
          <w:p w14:paraId="2B05C7A3" w14:textId="77777777" w:rsidR="00C831AA" w:rsidRDefault="00C831AA" w:rsidP="0088333F">
            <w:pPr>
              <w:pStyle w:val="TableText"/>
              <w:keepNext/>
              <w:keepLines/>
              <w:numPr>
                <w:ilvl w:val="0"/>
                <w:numId w:val="3"/>
              </w:numPr>
              <w:ind w:left="230" w:hanging="187"/>
            </w:pPr>
            <w:r>
              <w:t>Filters include selection of all patients or designated patient name.</w:t>
            </w:r>
          </w:p>
          <w:p w14:paraId="17C88FCF" w14:textId="77777777" w:rsidR="00C831AA" w:rsidRDefault="00C831AA" w:rsidP="0088333F">
            <w:pPr>
              <w:pStyle w:val="TableText"/>
              <w:keepNext/>
              <w:keepLines/>
              <w:numPr>
                <w:ilvl w:val="0"/>
                <w:numId w:val="3"/>
              </w:numPr>
              <w:ind w:left="230" w:hanging="187"/>
            </w:pPr>
            <w:r>
              <w:t>There is a Sort By feature that allows selection of the following:</w:t>
            </w:r>
          </w:p>
          <w:p w14:paraId="0441B8A4" w14:textId="77777777" w:rsidR="00C831AA" w:rsidRDefault="00C831AA" w:rsidP="0088333F">
            <w:pPr>
              <w:pStyle w:val="TableText"/>
              <w:keepNext/>
              <w:keepLines/>
              <w:numPr>
                <w:ilvl w:val="1"/>
                <w:numId w:val="3"/>
              </w:numPr>
              <w:ind w:left="489" w:hanging="187"/>
            </w:pPr>
            <w:r>
              <w:t>Date/Time Changed</w:t>
            </w:r>
          </w:p>
          <w:p w14:paraId="68552725" w14:textId="77777777" w:rsidR="00C831AA" w:rsidRDefault="00C831AA" w:rsidP="0088333F">
            <w:pPr>
              <w:pStyle w:val="TableText"/>
              <w:keepNext/>
              <w:keepLines/>
              <w:numPr>
                <w:ilvl w:val="1"/>
                <w:numId w:val="3"/>
              </w:numPr>
              <w:ind w:left="489" w:hanging="187"/>
            </w:pPr>
            <w:r>
              <w:t>User Changed</w:t>
            </w:r>
          </w:p>
          <w:p w14:paraId="25CB9FCB" w14:textId="77777777" w:rsidR="00C831AA" w:rsidRDefault="00C831AA" w:rsidP="0088333F">
            <w:pPr>
              <w:pStyle w:val="TableText"/>
              <w:keepNext/>
              <w:keepLines/>
              <w:numPr>
                <w:ilvl w:val="1"/>
                <w:numId w:val="3"/>
              </w:numPr>
              <w:ind w:left="489" w:hanging="187"/>
            </w:pPr>
            <w:r>
              <w:t>Patient Name</w:t>
            </w:r>
          </w:p>
          <w:p w14:paraId="49EF761E" w14:textId="0FBDF110" w:rsidR="00C831AA" w:rsidRPr="009A1DE7" w:rsidRDefault="00C831AA" w:rsidP="0088333F">
            <w:pPr>
              <w:pStyle w:val="TableText"/>
              <w:keepNext/>
              <w:keepLines/>
              <w:numPr>
                <w:ilvl w:val="0"/>
                <w:numId w:val="3"/>
              </w:numPr>
              <w:ind w:left="226" w:hanging="180"/>
            </w:pPr>
            <w:r>
              <w:t>Action Type</w:t>
            </w:r>
          </w:p>
        </w:tc>
        <w:tc>
          <w:tcPr>
            <w:tcW w:w="438" w:type="pct"/>
            <w:vMerge w:val="restart"/>
          </w:tcPr>
          <w:p w14:paraId="02932A9A" w14:textId="04D59CC7" w:rsidR="00C831AA" w:rsidRPr="009A1DE7" w:rsidRDefault="00C831AA" w:rsidP="0088333F">
            <w:pPr>
              <w:pStyle w:val="TableText"/>
              <w:keepNext/>
              <w:keepLines/>
            </w:pPr>
            <w:r w:rsidRPr="001A2A9F">
              <w:t>Dental Chief, CAC</w:t>
            </w:r>
          </w:p>
        </w:tc>
        <w:tc>
          <w:tcPr>
            <w:tcW w:w="874" w:type="pct"/>
            <w:vMerge w:val="restart"/>
          </w:tcPr>
          <w:p w14:paraId="11EC26FB" w14:textId="77777777" w:rsidR="00C831AA" w:rsidRDefault="00C831AA" w:rsidP="0088333F">
            <w:pPr>
              <w:pStyle w:val="TableText"/>
              <w:keepNext/>
              <w:keepLines/>
            </w:pPr>
            <w:r>
              <w:t>This report identifies changes to:  Completed Procedures, Guarantor Payments, Insurance Payments, Adjustments</w:t>
            </w:r>
          </w:p>
          <w:p w14:paraId="62D61748" w14:textId="2BA036DD" w:rsidR="00C831AA" w:rsidRPr="009A1DE7" w:rsidRDefault="00C831AA" w:rsidP="0088333F">
            <w:pPr>
              <w:pStyle w:val="TableText"/>
              <w:keepNext/>
              <w:keepLines/>
            </w:pPr>
            <w:r>
              <w:t>Among the purposes for using this report to identify these changes would be to pinpoint user deficiencies in their EDR skill-set for setting complete procedures and for posting payments and adjustments.</w:t>
            </w:r>
          </w:p>
        </w:tc>
        <w:tc>
          <w:tcPr>
            <w:tcW w:w="751" w:type="pct"/>
            <w:vMerge w:val="restart"/>
          </w:tcPr>
          <w:p w14:paraId="3C65814B" w14:textId="77777777" w:rsidR="00C831AA" w:rsidRDefault="00C831AA" w:rsidP="0088333F">
            <w:pPr>
              <w:pStyle w:val="TableText"/>
              <w:keepNext/>
              <w:keepLines/>
              <w:numPr>
                <w:ilvl w:val="0"/>
                <w:numId w:val="2"/>
              </w:numPr>
              <w:ind w:left="232" w:hanging="180"/>
            </w:pPr>
            <w:r w:rsidRPr="001A2A9F">
              <w:t>Site is using EDR for Revenue Cycle Management (i.e. billing insurance claims)</w:t>
            </w:r>
          </w:p>
          <w:p w14:paraId="4A480DFC" w14:textId="1D1DFF40" w:rsidR="00C831AA" w:rsidRPr="009A1DE7" w:rsidRDefault="00C831AA" w:rsidP="0088333F">
            <w:pPr>
              <w:pStyle w:val="TableText"/>
              <w:keepNext/>
              <w:keepLines/>
              <w:numPr>
                <w:ilvl w:val="0"/>
                <w:numId w:val="2"/>
              </w:numPr>
              <w:ind w:left="232" w:hanging="180"/>
            </w:pPr>
            <w:r w:rsidRPr="001A2A9F">
              <w:rPr>
                <w:u w:val="single"/>
              </w:rPr>
              <w:t>Office Manager</w:t>
            </w:r>
            <w:r w:rsidRPr="001A2A9F">
              <w:t>:  Password Securities are in place for each team member who uses the EDR.  Set up security groups to ensure access is limited to job responsibility needs.  The ability to make changes to Completed Procedures, Guarantor Payments, Insurance Payments and Adjustments must be limited to those whose roles absolutely require this access.</w:t>
            </w:r>
          </w:p>
        </w:tc>
        <w:tc>
          <w:tcPr>
            <w:tcW w:w="719" w:type="pct"/>
            <w:vMerge w:val="restart"/>
          </w:tcPr>
          <w:p w14:paraId="7BFE258F" w14:textId="77777777" w:rsidR="009D3E7C" w:rsidRDefault="009D3E7C" w:rsidP="0088333F">
            <w:pPr>
              <w:pStyle w:val="TableText"/>
              <w:keepNext/>
              <w:keepLines/>
            </w:pPr>
            <w:r>
              <w:t xml:space="preserve">Not using the Audit Report - Transactions to identify changes to financial transactions leaves the site in a vulnerable position regarding the security - and accuracy - of patient charges, payments and adjustments. </w:t>
            </w:r>
          </w:p>
          <w:p w14:paraId="494D4B72" w14:textId="5FF3CDC4" w:rsidR="00C831AA" w:rsidRPr="00EF587A" w:rsidRDefault="009D3E7C" w:rsidP="0088333F">
            <w:pPr>
              <w:pStyle w:val="TableText"/>
              <w:keepNext/>
              <w:keepLines/>
            </w:pPr>
            <w:r>
              <w:t>If there are previously unidentified reasons for needed changes to transactions, accountability must be in place.  So not monitoring this information - and not exploring reasons behind changes - will leave the clinic open to costly errors.</w:t>
            </w:r>
          </w:p>
        </w:tc>
        <w:tc>
          <w:tcPr>
            <w:tcW w:w="532" w:type="pct"/>
            <w:vMerge w:val="restart"/>
          </w:tcPr>
          <w:p w14:paraId="70CEA220" w14:textId="77777777" w:rsidR="009D3E7C" w:rsidRDefault="009D3E7C" w:rsidP="0088333F">
            <w:pPr>
              <w:pStyle w:val="TableText"/>
              <w:keepNext/>
              <w:keepLines/>
              <w:numPr>
                <w:ilvl w:val="0"/>
                <w:numId w:val="1"/>
              </w:numPr>
              <w:ind w:left="187" w:hanging="187"/>
            </w:pPr>
            <w:r>
              <w:t>Database Design</w:t>
            </w:r>
          </w:p>
          <w:p w14:paraId="422E8E9A" w14:textId="77777777" w:rsidR="009D3E7C" w:rsidRDefault="009D3E7C" w:rsidP="0088333F">
            <w:pPr>
              <w:pStyle w:val="TableText"/>
              <w:keepNext/>
              <w:keepLines/>
              <w:numPr>
                <w:ilvl w:val="0"/>
                <w:numId w:val="1"/>
              </w:numPr>
              <w:ind w:left="187" w:hanging="187"/>
            </w:pPr>
            <w:r>
              <w:t>Revenue Cycle</w:t>
            </w:r>
          </w:p>
          <w:p w14:paraId="35543885" w14:textId="0F216FDB" w:rsidR="00C831AA" w:rsidRPr="00EF587A" w:rsidRDefault="009D3E7C" w:rsidP="0088333F">
            <w:pPr>
              <w:pStyle w:val="TableText"/>
              <w:keepNext/>
              <w:keepLines/>
              <w:numPr>
                <w:ilvl w:val="0"/>
                <w:numId w:val="1"/>
              </w:numPr>
              <w:spacing w:after="0"/>
              <w:ind w:left="187" w:hanging="187"/>
            </w:pPr>
            <w:r>
              <w:t>Reports Reference*</w:t>
            </w:r>
          </w:p>
        </w:tc>
        <w:tc>
          <w:tcPr>
            <w:tcW w:w="345" w:type="pct"/>
            <w:shd w:val="clear" w:color="auto" w:fill="F2F2F2" w:themeFill="background1" w:themeFillShade="F2"/>
          </w:tcPr>
          <w:p w14:paraId="7B091390" w14:textId="77777777" w:rsidR="00C831AA" w:rsidRPr="00EE4BD6" w:rsidRDefault="00C831AA" w:rsidP="0088333F">
            <w:pPr>
              <w:pStyle w:val="TableText"/>
              <w:keepNext/>
              <w:keepLines/>
            </w:pPr>
            <w:r w:rsidRPr="001F26DF">
              <w:t>Date Reviewed</w:t>
            </w:r>
            <w:r>
              <w:t>:</w:t>
            </w:r>
          </w:p>
        </w:tc>
        <w:tc>
          <w:tcPr>
            <w:tcW w:w="436" w:type="pct"/>
            <w:shd w:val="clear" w:color="auto" w:fill="F2F2F2" w:themeFill="background1" w:themeFillShade="F2"/>
          </w:tcPr>
          <w:p w14:paraId="264085EF" w14:textId="77777777" w:rsidR="00C831AA" w:rsidRPr="00EE4BD6" w:rsidRDefault="00C831AA" w:rsidP="0088333F">
            <w:pPr>
              <w:pStyle w:val="TableText"/>
              <w:keepNext/>
              <w:keepLines/>
            </w:pPr>
          </w:p>
        </w:tc>
      </w:tr>
      <w:tr w:rsidR="00FE6BD7" w:rsidRPr="00EE4BD6" w14:paraId="4D7C28F7" w14:textId="77777777" w:rsidTr="00F97A1E">
        <w:trPr>
          <w:cantSplit/>
          <w:trHeight w:val="724"/>
        </w:trPr>
        <w:tc>
          <w:tcPr>
            <w:tcW w:w="436" w:type="pct"/>
            <w:vMerge/>
          </w:tcPr>
          <w:p w14:paraId="15633A10" w14:textId="77777777" w:rsidR="00FE6BD7" w:rsidRPr="00EF587A" w:rsidRDefault="00FE6BD7" w:rsidP="0088333F">
            <w:pPr>
              <w:pStyle w:val="TableText"/>
              <w:keepNext/>
              <w:keepLines/>
            </w:pPr>
          </w:p>
        </w:tc>
        <w:tc>
          <w:tcPr>
            <w:tcW w:w="469" w:type="pct"/>
            <w:vMerge/>
          </w:tcPr>
          <w:p w14:paraId="1AB72526" w14:textId="77777777" w:rsidR="00FE6BD7" w:rsidRPr="009A1DE7" w:rsidRDefault="00FE6BD7" w:rsidP="0088333F">
            <w:pPr>
              <w:pStyle w:val="TableText"/>
              <w:keepNext/>
              <w:keepLines/>
              <w:numPr>
                <w:ilvl w:val="0"/>
                <w:numId w:val="3"/>
              </w:numPr>
              <w:ind w:left="226" w:hanging="180"/>
            </w:pPr>
          </w:p>
        </w:tc>
        <w:tc>
          <w:tcPr>
            <w:tcW w:w="438" w:type="pct"/>
            <w:vMerge/>
          </w:tcPr>
          <w:p w14:paraId="7F18D228" w14:textId="77777777" w:rsidR="00FE6BD7" w:rsidRPr="009A1DE7" w:rsidRDefault="00FE6BD7" w:rsidP="0088333F">
            <w:pPr>
              <w:pStyle w:val="TableText"/>
              <w:keepNext/>
              <w:keepLines/>
            </w:pPr>
          </w:p>
        </w:tc>
        <w:tc>
          <w:tcPr>
            <w:tcW w:w="874" w:type="pct"/>
            <w:vMerge/>
          </w:tcPr>
          <w:p w14:paraId="764340F0" w14:textId="77777777" w:rsidR="00FE6BD7" w:rsidRPr="009A1DE7" w:rsidRDefault="00FE6BD7" w:rsidP="0088333F">
            <w:pPr>
              <w:pStyle w:val="TableText"/>
              <w:keepNext/>
              <w:keepLines/>
            </w:pPr>
          </w:p>
        </w:tc>
        <w:tc>
          <w:tcPr>
            <w:tcW w:w="751" w:type="pct"/>
            <w:vMerge/>
          </w:tcPr>
          <w:p w14:paraId="0D1F337F" w14:textId="77777777" w:rsidR="00FE6BD7" w:rsidRPr="009A1DE7" w:rsidRDefault="00FE6BD7" w:rsidP="0088333F">
            <w:pPr>
              <w:pStyle w:val="TableText"/>
              <w:keepNext/>
              <w:keepLines/>
            </w:pPr>
          </w:p>
        </w:tc>
        <w:tc>
          <w:tcPr>
            <w:tcW w:w="719" w:type="pct"/>
            <w:vMerge/>
          </w:tcPr>
          <w:p w14:paraId="01074FCE" w14:textId="77777777" w:rsidR="00FE6BD7" w:rsidRPr="009A1DE7" w:rsidRDefault="00FE6BD7" w:rsidP="0088333F">
            <w:pPr>
              <w:pStyle w:val="TableText"/>
              <w:keepNext/>
              <w:keepLines/>
            </w:pPr>
          </w:p>
        </w:tc>
        <w:tc>
          <w:tcPr>
            <w:tcW w:w="532" w:type="pct"/>
            <w:vMerge/>
          </w:tcPr>
          <w:p w14:paraId="108D3BF3" w14:textId="77777777" w:rsidR="00FE6BD7" w:rsidRPr="009A1DE7" w:rsidRDefault="00FE6BD7" w:rsidP="0088333F">
            <w:pPr>
              <w:pStyle w:val="TableText"/>
              <w:keepNext/>
              <w:keepLines/>
              <w:numPr>
                <w:ilvl w:val="0"/>
                <w:numId w:val="1"/>
              </w:numPr>
              <w:spacing w:after="0"/>
              <w:ind w:left="187" w:hanging="187"/>
            </w:pPr>
          </w:p>
        </w:tc>
        <w:tc>
          <w:tcPr>
            <w:tcW w:w="345" w:type="pct"/>
            <w:shd w:val="clear" w:color="auto" w:fill="F2F2F2" w:themeFill="background1" w:themeFillShade="F2"/>
          </w:tcPr>
          <w:p w14:paraId="15418FE7" w14:textId="77777777" w:rsidR="00FE6BD7" w:rsidRPr="00EE4BD6" w:rsidRDefault="00FE6BD7" w:rsidP="0088333F">
            <w:pPr>
              <w:pStyle w:val="TableText"/>
              <w:keepNext/>
              <w:keepLines/>
            </w:pPr>
            <w:r w:rsidRPr="009A1DE7">
              <w:t>Assigned Individual</w:t>
            </w:r>
            <w:r>
              <w:t>:</w:t>
            </w:r>
          </w:p>
        </w:tc>
        <w:tc>
          <w:tcPr>
            <w:tcW w:w="436" w:type="pct"/>
            <w:shd w:val="clear" w:color="auto" w:fill="F2F2F2" w:themeFill="background1" w:themeFillShade="F2"/>
          </w:tcPr>
          <w:p w14:paraId="0F3A5FDC" w14:textId="77777777" w:rsidR="00FE6BD7" w:rsidRPr="00EE4BD6" w:rsidRDefault="00FE6BD7" w:rsidP="0088333F">
            <w:pPr>
              <w:pStyle w:val="TableText"/>
              <w:keepNext/>
              <w:keepLines/>
            </w:pPr>
          </w:p>
        </w:tc>
      </w:tr>
      <w:tr w:rsidR="00FE6BD7" w:rsidRPr="00EE4BD6" w14:paraId="54F3FCD4" w14:textId="77777777" w:rsidTr="00F97A1E">
        <w:trPr>
          <w:cantSplit/>
          <w:trHeight w:val="724"/>
        </w:trPr>
        <w:tc>
          <w:tcPr>
            <w:tcW w:w="436" w:type="pct"/>
            <w:vMerge/>
          </w:tcPr>
          <w:p w14:paraId="2F3C6A1B" w14:textId="77777777" w:rsidR="00FE6BD7" w:rsidRPr="00EF587A" w:rsidRDefault="00FE6BD7" w:rsidP="0088333F">
            <w:pPr>
              <w:pStyle w:val="TableText"/>
              <w:keepNext/>
              <w:keepLines/>
            </w:pPr>
          </w:p>
        </w:tc>
        <w:tc>
          <w:tcPr>
            <w:tcW w:w="469" w:type="pct"/>
            <w:vMerge/>
          </w:tcPr>
          <w:p w14:paraId="3BBF4BDA" w14:textId="77777777" w:rsidR="00FE6BD7" w:rsidRPr="009A1DE7" w:rsidRDefault="00FE6BD7" w:rsidP="0088333F">
            <w:pPr>
              <w:pStyle w:val="TableText"/>
              <w:keepNext/>
              <w:keepLines/>
              <w:numPr>
                <w:ilvl w:val="0"/>
                <w:numId w:val="3"/>
              </w:numPr>
              <w:ind w:left="226" w:hanging="180"/>
            </w:pPr>
          </w:p>
        </w:tc>
        <w:tc>
          <w:tcPr>
            <w:tcW w:w="438" w:type="pct"/>
            <w:vMerge/>
          </w:tcPr>
          <w:p w14:paraId="34CDACF5" w14:textId="77777777" w:rsidR="00FE6BD7" w:rsidRPr="009A1DE7" w:rsidRDefault="00FE6BD7" w:rsidP="0088333F">
            <w:pPr>
              <w:pStyle w:val="TableText"/>
              <w:keepNext/>
              <w:keepLines/>
            </w:pPr>
          </w:p>
        </w:tc>
        <w:tc>
          <w:tcPr>
            <w:tcW w:w="874" w:type="pct"/>
            <w:vMerge/>
          </w:tcPr>
          <w:p w14:paraId="517106C6" w14:textId="77777777" w:rsidR="00FE6BD7" w:rsidRPr="009A1DE7" w:rsidRDefault="00FE6BD7" w:rsidP="0088333F">
            <w:pPr>
              <w:pStyle w:val="TableText"/>
              <w:keepNext/>
              <w:keepLines/>
            </w:pPr>
          </w:p>
        </w:tc>
        <w:tc>
          <w:tcPr>
            <w:tcW w:w="751" w:type="pct"/>
            <w:vMerge/>
          </w:tcPr>
          <w:p w14:paraId="781DB69D" w14:textId="77777777" w:rsidR="00FE6BD7" w:rsidRPr="009A1DE7" w:rsidRDefault="00FE6BD7" w:rsidP="0088333F">
            <w:pPr>
              <w:pStyle w:val="TableText"/>
              <w:keepNext/>
              <w:keepLines/>
            </w:pPr>
          </w:p>
        </w:tc>
        <w:tc>
          <w:tcPr>
            <w:tcW w:w="719" w:type="pct"/>
            <w:vMerge/>
          </w:tcPr>
          <w:p w14:paraId="26F39953" w14:textId="77777777" w:rsidR="00FE6BD7" w:rsidRPr="009A1DE7" w:rsidRDefault="00FE6BD7" w:rsidP="0088333F">
            <w:pPr>
              <w:pStyle w:val="TableText"/>
              <w:keepNext/>
              <w:keepLines/>
            </w:pPr>
          </w:p>
        </w:tc>
        <w:tc>
          <w:tcPr>
            <w:tcW w:w="532" w:type="pct"/>
            <w:vMerge/>
          </w:tcPr>
          <w:p w14:paraId="6A4DDB64" w14:textId="77777777" w:rsidR="00FE6BD7" w:rsidRPr="009A1DE7" w:rsidRDefault="00FE6BD7" w:rsidP="0088333F">
            <w:pPr>
              <w:pStyle w:val="TableText"/>
              <w:keepNext/>
              <w:keepLines/>
              <w:numPr>
                <w:ilvl w:val="0"/>
                <w:numId w:val="1"/>
              </w:numPr>
              <w:spacing w:after="0"/>
              <w:ind w:left="187" w:hanging="187"/>
            </w:pPr>
          </w:p>
        </w:tc>
        <w:tc>
          <w:tcPr>
            <w:tcW w:w="345" w:type="pct"/>
            <w:shd w:val="clear" w:color="auto" w:fill="F2F2F2" w:themeFill="background1" w:themeFillShade="F2"/>
          </w:tcPr>
          <w:p w14:paraId="47E68E27" w14:textId="77777777" w:rsidR="00FE6BD7" w:rsidRPr="00EE4BD6" w:rsidRDefault="00FE6BD7" w:rsidP="0088333F">
            <w:pPr>
              <w:pStyle w:val="TableText"/>
              <w:keepNext/>
              <w:keepLines/>
            </w:pPr>
            <w:r w:rsidRPr="009A1DE7">
              <w:t>Actions Required</w:t>
            </w:r>
            <w:r>
              <w:t>:</w:t>
            </w:r>
          </w:p>
        </w:tc>
        <w:tc>
          <w:tcPr>
            <w:tcW w:w="436" w:type="pct"/>
            <w:shd w:val="clear" w:color="auto" w:fill="F2F2F2" w:themeFill="background1" w:themeFillShade="F2"/>
          </w:tcPr>
          <w:p w14:paraId="72E84D8D" w14:textId="77777777" w:rsidR="00FE6BD7" w:rsidRPr="00EE4BD6" w:rsidRDefault="00FE6BD7" w:rsidP="0088333F">
            <w:pPr>
              <w:pStyle w:val="TableText"/>
              <w:keepNext/>
              <w:keepLines/>
            </w:pPr>
          </w:p>
        </w:tc>
      </w:tr>
      <w:tr w:rsidR="00FE6BD7" w:rsidRPr="00EE4BD6" w14:paraId="46B7F178" w14:textId="77777777" w:rsidTr="00F97A1E">
        <w:trPr>
          <w:cantSplit/>
          <w:trHeight w:val="724"/>
        </w:trPr>
        <w:tc>
          <w:tcPr>
            <w:tcW w:w="436" w:type="pct"/>
            <w:vMerge/>
          </w:tcPr>
          <w:p w14:paraId="2F372C5B" w14:textId="77777777" w:rsidR="00FE6BD7" w:rsidRPr="00EF587A" w:rsidRDefault="00FE6BD7" w:rsidP="00C81021">
            <w:pPr>
              <w:pStyle w:val="TableText"/>
            </w:pPr>
          </w:p>
        </w:tc>
        <w:tc>
          <w:tcPr>
            <w:tcW w:w="469" w:type="pct"/>
            <w:vMerge/>
          </w:tcPr>
          <w:p w14:paraId="72AD62A4" w14:textId="77777777" w:rsidR="00FE6BD7" w:rsidRPr="009A1DE7" w:rsidRDefault="00FE6BD7" w:rsidP="00C81021">
            <w:pPr>
              <w:pStyle w:val="TableText"/>
              <w:numPr>
                <w:ilvl w:val="0"/>
                <w:numId w:val="3"/>
              </w:numPr>
              <w:ind w:left="226" w:hanging="180"/>
            </w:pPr>
          </w:p>
        </w:tc>
        <w:tc>
          <w:tcPr>
            <w:tcW w:w="438" w:type="pct"/>
            <w:vMerge/>
          </w:tcPr>
          <w:p w14:paraId="00AE27A4" w14:textId="77777777" w:rsidR="00FE6BD7" w:rsidRPr="009A1DE7" w:rsidRDefault="00FE6BD7" w:rsidP="00C81021">
            <w:pPr>
              <w:pStyle w:val="TableText"/>
            </w:pPr>
          </w:p>
        </w:tc>
        <w:tc>
          <w:tcPr>
            <w:tcW w:w="874" w:type="pct"/>
            <w:vMerge/>
          </w:tcPr>
          <w:p w14:paraId="34336E02" w14:textId="77777777" w:rsidR="00FE6BD7" w:rsidRPr="009A1DE7" w:rsidRDefault="00FE6BD7" w:rsidP="00C81021">
            <w:pPr>
              <w:pStyle w:val="TableText"/>
            </w:pPr>
          </w:p>
        </w:tc>
        <w:tc>
          <w:tcPr>
            <w:tcW w:w="751" w:type="pct"/>
            <w:vMerge/>
          </w:tcPr>
          <w:p w14:paraId="34101BBE" w14:textId="77777777" w:rsidR="00FE6BD7" w:rsidRPr="009A1DE7" w:rsidRDefault="00FE6BD7" w:rsidP="00C81021">
            <w:pPr>
              <w:pStyle w:val="TableText"/>
            </w:pPr>
          </w:p>
        </w:tc>
        <w:tc>
          <w:tcPr>
            <w:tcW w:w="719" w:type="pct"/>
            <w:vMerge/>
          </w:tcPr>
          <w:p w14:paraId="69052545" w14:textId="77777777" w:rsidR="00FE6BD7" w:rsidRPr="009A1DE7" w:rsidRDefault="00FE6BD7" w:rsidP="00C81021">
            <w:pPr>
              <w:pStyle w:val="TableText"/>
            </w:pPr>
          </w:p>
        </w:tc>
        <w:tc>
          <w:tcPr>
            <w:tcW w:w="532" w:type="pct"/>
            <w:vMerge/>
          </w:tcPr>
          <w:p w14:paraId="0573B714"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3431E62"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00F15E36" w14:textId="77777777" w:rsidR="00FE6BD7" w:rsidRPr="00EE4BD6" w:rsidRDefault="00FE6BD7" w:rsidP="00C81021">
            <w:pPr>
              <w:pStyle w:val="TableText"/>
            </w:pPr>
          </w:p>
        </w:tc>
      </w:tr>
      <w:tr w:rsidR="00FE6BD7" w:rsidRPr="00EF587A" w14:paraId="19B509C8" w14:textId="77777777" w:rsidTr="00F97A1E">
        <w:trPr>
          <w:cantSplit/>
          <w:trHeight w:val="725"/>
        </w:trPr>
        <w:tc>
          <w:tcPr>
            <w:tcW w:w="436" w:type="pct"/>
            <w:vMerge/>
          </w:tcPr>
          <w:p w14:paraId="19B756BF" w14:textId="77777777" w:rsidR="00FE6BD7" w:rsidRPr="00EF587A" w:rsidRDefault="00FE6BD7" w:rsidP="00C81021">
            <w:pPr>
              <w:pStyle w:val="TableText"/>
            </w:pPr>
          </w:p>
        </w:tc>
        <w:tc>
          <w:tcPr>
            <w:tcW w:w="469" w:type="pct"/>
            <w:vMerge/>
          </w:tcPr>
          <w:p w14:paraId="2987ADA3" w14:textId="77777777" w:rsidR="00FE6BD7" w:rsidRPr="00EF587A" w:rsidRDefault="00FE6BD7" w:rsidP="00C81021">
            <w:pPr>
              <w:pStyle w:val="TableText"/>
            </w:pPr>
          </w:p>
        </w:tc>
        <w:tc>
          <w:tcPr>
            <w:tcW w:w="438" w:type="pct"/>
            <w:vMerge/>
          </w:tcPr>
          <w:p w14:paraId="551D0E4B" w14:textId="77777777" w:rsidR="00FE6BD7" w:rsidRPr="00EF587A" w:rsidRDefault="00FE6BD7" w:rsidP="00C81021">
            <w:pPr>
              <w:pStyle w:val="TableText"/>
            </w:pPr>
          </w:p>
        </w:tc>
        <w:tc>
          <w:tcPr>
            <w:tcW w:w="874" w:type="pct"/>
            <w:vMerge/>
          </w:tcPr>
          <w:p w14:paraId="56BA4968" w14:textId="77777777" w:rsidR="00FE6BD7" w:rsidRPr="00EF587A" w:rsidRDefault="00FE6BD7" w:rsidP="00C81021">
            <w:pPr>
              <w:pStyle w:val="TableText"/>
            </w:pPr>
          </w:p>
        </w:tc>
        <w:tc>
          <w:tcPr>
            <w:tcW w:w="751" w:type="pct"/>
            <w:vMerge/>
          </w:tcPr>
          <w:p w14:paraId="439F05C7" w14:textId="77777777" w:rsidR="00FE6BD7" w:rsidRPr="00EF587A" w:rsidRDefault="00FE6BD7" w:rsidP="00C81021">
            <w:pPr>
              <w:pStyle w:val="TableText"/>
            </w:pPr>
          </w:p>
        </w:tc>
        <w:tc>
          <w:tcPr>
            <w:tcW w:w="719" w:type="pct"/>
            <w:vMerge/>
          </w:tcPr>
          <w:p w14:paraId="46AD8BD1" w14:textId="77777777" w:rsidR="00FE6BD7" w:rsidRPr="00EF587A" w:rsidRDefault="00FE6BD7" w:rsidP="00C81021">
            <w:pPr>
              <w:pStyle w:val="TableText"/>
            </w:pPr>
          </w:p>
        </w:tc>
        <w:tc>
          <w:tcPr>
            <w:tcW w:w="532" w:type="pct"/>
            <w:vMerge/>
          </w:tcPr>
          <w:p w14:paraId="0AD9B9AE" w14:textId="77777777" w:rsidR="00FE6BD7" w:rsidRPr="00EF587A" w:rsidRDefault="00FE6BD7" w:rsidP="00C81021">
            <w:pPr>
              <w:pStyle w:val="TableText"/>
            </w:pPr>
          </w:p>
        </w:tc>
        <w:tc>
          <w:tcPr>
            <w:tcW w:w="345" w:type="pct"/>
            <w:shd w:val="clear" w:color="auto" w:fill="F2F2F2" w:themeFill="background1" w:themeFillShade="F2"/>
          </w:tcPr>
          <w:p w14:paraId="5DB4F923"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02C6A503" w14:textId="77777777" w:rsidR="00FE6BD7" w:rsidRPr="00EF587A" w:rsidRDefault="00FE6BD7" w:rsidP="00C81021">
            <w:pPr>
              <w:pStyle w:val="TableText"/>
            </w:pPr>
          </w:p>
        </w:tc>
      </w:tr>
      <w:tr w:rsidR="00FE6BD7" w:rsidRPr="00EE4BD6" w14:paraId="5EFD15D7" w14:textId="77777777" w:rsidTr="00F97A1E">
        <w:trPr>
          <w:cantSplit/>
        </w:trPr>
        <w:tc>
          <w:tcPr>
            <w:tcW w:w="5000" w:type="pct"/>
            <w:gridSpan w:val="9"/>
            <w:shd w:val="clear" w:color="auto" w:fill="D9E2F3" w:themeFill="accent5" w:themeFillTint="33"/>
          </w:tcPr>
          <w:p w14:paraId="5144FF25" w14:textId="77777777" w:rsidR="00FE6BD7" w:rsidRPr="00ED339A" w:rsidRDefault="00FE6BD7" w:rsidP="00C81021">
            <w:pPr>
              <w:pStyle w:val="TableText"/>
              <w:rPr>
                <w:sz w:val="8"/>
                <w:szCs w:val="8"/>
              </w:rPr>
            </w:pPr>
          </w:p>
        </w:tc>
      </w:tr>
      <w:tr w:rsidR="009D3E7C" w:rsidRPr="00EE4BD6" w14:paraId="1B55F68F" w14:textId="77777777" w:rsidTr="00F97A1E">
        <w:trPr>
          <w:cantSplit/>
          <w:trHeight w:val="554"/>
        </w:trPr>
        <w:tc>
          <w:tcPr>
            <w:tcW w:w="436" w:type="pct"/>
            <w:vMerge w:val="restart"/>
            <w:vAlign w:val="center"/>
          </w:tcPr>
          <w:p w14:paraId="2E3BCC6C" w14:textId="6EF42C6F" w:rsidR="009D3E7C" w:rsidRPr="00F77313" w:rsidRDefault="009D3E7C" w:rsidP="009D3E7C">
            <w:pPr>
              <w:pStyle w:val="TableText"/>
              <w:jc w:val="center"/>
              <w:rPr>
                <w:b/>
                <w:bCs/>
              </w:rPr>
            </w:pPr>
            <w:r w:rsidRPr="009D3E7C">
              <w:rPr>
                <w:b/>
                <w:bCs/>
              </w:rPr>
              <w:t>Reminder Cards Letter Merge</w:t>
            </w:r>
          </w:p>
        </w:tc>
        <w:tc>
          <w:tcPr>
            <w:tcW w:w="469" w:type="pct"/>
            <w:vMerge w:val="restart"/>
          </w:tcPr>
          <w:p w14:paraId="5DC3EAC4" w14:textId="77777777" w:rsidR="009D3E7C" w:rsidRDefault="009D3E7C" w:rsidP="009D3E7C">
            <w:pPr>
              <w:pStyle w:val="TableText"/>
              <w:keepNext/>
              <w:keepLines/>
            </w:pPr>
            <w:r>
              <w:t>Appt. Reminders for:</w:t>
            </w:r>
          </w:p>
          <w:p w14:paraId="40124C6D" w14:textId="77777777" w:rsidR="009D3E7C" w:rsidRDefault="009D3E7C" w:rsidP="009D3E7C">
            <w:pPr>
              <w:pStyle w:val="TableText"/>
              <w:keepNext/>
              <w:keepLines/>
              <w:numPr>
                <w:ilvl w:val="0"/>
                <w:numId w:val="3"/>
              </w:numPr>
              <w:ind w:left="230" w:hanging="187"/>
            </w:pPr>
            <w:r w:rsidRPr="001A2A9F">
              <w:t xml:space="preserve">Continuing Care - Patients who are due but not </w:t>
            </w:r>
            <w:proofErr w:type="gramStart"/>
            <w:r w:rsidRPr="001A2A9F">
              <w:t>appointed</w:t>
            </w:r>
            <w:proofErr w:type="gramEnd"/>
          </w:p>
          <w:p w14:paraId="471E139D" w14:textId="190AC8AB" w:rsidR="009D3E7C" w:rsidRPr="009A1DE7" w:rsidRDefault="009D3E7C" w:rsidP="009D3E7C">
            <w:pPr>
              <w:pStyle w:val="TableText"/>
              <w:numPr>
                <w:ilvl w:val="0"/>
                <w:numId w:val="3"/>
              </w:numPr>
              <w:ind w:left="226" w:hanging="180"/>
            </w:pPr>
            <w:r w:rsidRPr="001A2A9F">
              <w:t>Continuing Care - Patients who are scheduled</w:t>
            </w:r>
          </w:p>
        </w:tc>
        <w:tc>
          <w:tcPr>
            <w:tcW w:w="438" w:type="pct"/>
            <w:vMerge w:val="restart"/>
          </w:tcPr>
          <w:p w14:paraId="67E359B4" w14:textId="4DC0FE25" w:rsidR="009D3E7C" w:rsidRPr="009A1DE7" w:rsidRDefault="009D3E7C" w:rsidP="009D3E7C">
            <w:pPr>
              <w:pStyle w:val="TableText"/>
            </w:pPr>
            <w:r w:rsidRPr="001A2A9F">
              <w:t>Front Desk/Scheduler</w:t>
            </w:r>
          </w:p>
        </w:tc>
        <w:tc>
          <w:tcPr>
            <w:tcW w:w="874" w:type="pct"/>
            <w:vMerge w:val="restart"/>
          </w:tcPr>
          <w:p w14:paraId="7FE2A9DA" w14:textId="3A6B9741" w:rsidR="009D3E7C" w:rsidRDefault="009D3E7C" w:rsidP="009D3E7C">
            <w:pPr>
              <w:pStyle w:val="TableText"/>
              <w:keepNext/>
              <w:keepLines/>
            </w:pPr>
            <w:r>
              <w:t>Reminder cards may be generated using the Letter Merge functionality in Office Manager (MS Word integration with EDR).</w:t>
            </w:r>
          </w:p>
          <w:p w14:paraId="17F54F45" w14:textId="359B1D49" w:rsidR="009D3E7C" w:rsidRPr="009A1DE7" w:rsidRDefault="009D3E7C" w:rsidP="009D3E7C">
            <w:pPr>
              <w:pStyle w:val="TableText"/>
            </w:pPr>
            <w:r>
              <w:t>used  in addition to scheduling assistant call list</w:t>
            </w:r>
          </w:p>
        </w:tc>
        <w:tc>
          <w:tcPr>
            <w:tcW w:w="751" w:type="pct"/>
            <w:vMerge w:val="restart"/>
          </w:tcPr>
          <w:p w14:paraId="1ABF548F" w14:textId="55772F91" w:rsidR="009D3E7C" w:rsidRDefault="009D3E7C" w:rsidP="009D3E7C">
            <w:pPr>
              <w:pStyle w:val="TableText"/>
              <w:keepNext/>
              <w:keepLines/>
              <w:numPr>
                <w:ilvl w:val="0"/>
                <w:numId w:val="2"/>
              </w:numPr>
              <w:ind w:left="245" w:hanging="187"/>
            </w:pPr>
            <w:r w:rsidRPr="001A2A9F">
              <w:rPr>
                <w:u w:val="single"/>
              </w:rPr>
              <w:t>Office Manager</w:t>
            </w:r>
            <w:r>
              <w:t>:  Continuing Care types are set up and attached to appropriate procedure codes.</w:t>
            </w:r>
          </w:p>
          <w:p w14:paraId="391BC006" w14:textId="77777777" w:rsidR="009D3E7C" w:rsidRDefault="009D3E7C" w:rsidP="009D3E7C">
            <w:pPr>
              <w:pStyle w:val="TableText"/>
              <w:keepNext/>
              <w:keepLines/>
              <w:numPr>
                <w:ilvl w:val="0"/>
                <w:numId w:val="2"/>
              </w:numPr>
              <w:ind w:left="245" w:hanging="187"/>
            </w:pPr>
            <w:r w:rsidRPr="001A2A9F">
              <w:rPr>
                <w:u w:val="single"/>
              </w:rPr>
              <w:t>Appointment Book</w:t>
            </w:r>
            <w:r>
              <w:t>:  Continuing Care is attached to Patient appointments scheduled (procedure codes must be used in the Appt. Reasons).</w:t>
            </w:r>
          </w:p>
          <w:p w14:paraId="38EECDBA" w14:textId="78A28A5B" w:rsidR="009D3E7C" w:rsidRPr="009A1DE7" w:rsidRDefault="009D3E7C" w:rsidP="009D3E7C">
            <w:pPr>
              <w:pStyle w:val="TableText"/>
              <w:numPr>
                <w:ilvl w:val="0"/>
                <w:numId w:val="2"/>
              </w:numPr>
              <w:ind w:left="232" w:hanging="180"/>
            </w:pPr>
            <w:r w:rsidRPr="001A2A9F">
              <w:rPr>
                <w:u w:val="single"/>
              </w:rPr>
              <w:t>Family File</w:t>
            </w:r>
            <w:r>
              <w:t>:  Continuing Care attached to patient file with correct frequency and due date.</w:t>
            </w:r>
          </w:p>
        </w:tc>
        <w:tc>
          <w:tcPr>
            <w:tcW w:w="719" w:type="pct"/>
            <w:vMerge w:val="restart"/>
          </w:tcPr>
          <w:p w14:paraId="3C57333C" w14:textId="2C9FDFAE" w:rsidR="009D3E7C" w:rsidRPr="00EF587A" w:rsidRDefault="009D3E7C" w:rsidP="009D3E7C">
            <w:pPr>
              <w:pStyle w:val="TableText"/>
            </w:pPr>
            <w:r w:rsidRPr="001A2A9F">
              <w:t>Not using cards as a means of reminding patients of either their scheduled appointments or of the need to contact the clinic to schedule is an avoidable situation that negates meaningful communications with patients.</w:t>
            </w:r>
          </w:p>
        </w:tc>
        <w:tc>
          <w:tcPr>
            <w:tcW w:w="532" w:type="pct"/>
            <w:vMerge w:val="restart"/>
          </w:tcPr>
          <w:p w14:paraId="06ED08BA" w14:textId="77777777" w:rsidR="009D3E7C" w:rsidRDefault="009D3E7C" w:rsidP="009D3E7C">
            <w:pPr>
              <w:pStyle w:val="TableText"/>
              <w:numPr>
                <w:ilvl w:val="0"/>
                <w:numId w:val="1"/>
              </w:numPr>
              <w:ind w:left="187" w:hanging="187"/>
            </w:pPr>
            <w:r>
              <w:t>Database Design</w:t>
            </w:r>
          </w:p>
          <w:p w14:paraId="4E7486BC" w14:textId="77777777" w:rsidR="009D3E7C" w:rsidRDefault="009D3E7C" w:rsidP="009D3E7C">
            <w:pPr>
              <w:pStyle w:val="TableText"/>
              <w:numPr>
                <w:ilvl w:val="0"/>
                <w:numId w:val="1"/>
              </w:numPr>
              <w:ind w:left="187" w:hanging="187"/>
            </w:pPr>
            <w:r>
              <w:t>Patient Records</w:t>
            </w:r>
          </w:p>
          <w:p w14:paraId="78555664" w14:textId="6761B8DB" w:rsidR="009D3E7C" w:rsidRPr="00EF587A" w:rsidRDefault="009D3E7C" w:rsidP="009D3E7C">
            <w:pPr>
              <w:pStyle w:val="TableText"/>
              <w:numPr>
                <w:ilvl w:val="0"/>
                <w:numId w:val="1"/>
              </w:numPr>
              <w:spacing w:after="0"/>
              <w:ind w:left="187" w:hanging="187"/>
            </w:pPr>
            <w:r>
              <w:t>Schedule Optimization</w:t>
            </w:r>
          </w:p>
        </w:tc>
        <w:tc>
          <w:tcPr>
            <w:tcW w:w="345" w:type="pct"/>
            <w:shd w:val="clear" w:color="auto" w:fill="F2F2F2" w:themeFill="background1" w:themeFillShade="F2"/>
          </w:tcPr>
          <w:p w14:paraId="7CE0331C" w14:textId="77777777" w:rsidR="009D3E7C" w:rsidRPr="00EE4BD6" w:rsidRDefault="009D3E7C" w:rsidP="009D3E7C">
            <w:pPr>
              <w:pStyle w:val="TableText"/>
            </w:pPr>
            <w:r w:rsidRPr="001F26DF">
              <w:t>Date Reviewed</w:t>
            </w:r>
            <w:r>
              <w:t>:</w:t>
            </w:r>
          </w:p>
        </w:tc>
        <w:tc>
          <w:tcPr>
            <w:tcW w:w="436" w:type="pct"/>
            <w:shd w:val="clear" w:color="auto" w:fill="F2F2F2" w:themeFill="background1" w:themeFillShade="F2"/>
          </w:tcPr>
          <w:p w14:paraId="4015B1E2" w14:textId="77777777" w:rsidR="009D3E7C" w:rsidRPr="00EE4BD6" w:rsidRDefault="009D3E7C" w:rsidP="009D3E7C">
            <w:pPr>
              <w:pStyle w:val="TableText"/>
            </w:pPr>
          </w:p>
        </w:tc>
      </w:tr>
      <w:tr w:rsidR="00FE6BD7" w:rsidRPr="00EE4BD6" w14:paraId="51979669" w14:textId="77777777" w:rsidTr="00F97A1E">
        <w:trPr>
          <w:cantSplit/>
          <w:trHeight w:val="554"/>
        </w:trPr>
        <w:tc>
          <w:tcPr>
            <w:tcW w:w="436" w:type="pct"/>
            <w:vMerge/>
          </w:tcPr>
          <w:p w14:paraId="4BE07C0E" w14:textId="77777777" w:rsidR="00FE6BD7" w:rsidRPr="00EF587A" w:rsidRDefault="00FE6BD7" w:rsidP="00C81021">
            <w:pPr>
              <w:pStyle w:val="TableText"/>
            </w:pPr>
          </w:p>
        </w:tc>
        <w:tc>
          <w:tcPr>
            <w:tcW w:w="469" w:type="pct"/>
            <w:vMerge/>
          </w:tcPr>
          <w:p w14:paraId="7E03F016" w14:textId="77777777" w:rsidR="00FE6BD7" w:rsidRPr="009A1DE7" w:rsidRDefault="00FE6BD7" w:rsidP="00C81021">
            <w:pPr>
              <w:pStyle w:val="TableText"/>
              <w:numPr>
                <w:ilvl w:val="0"/>
                <w:numId w:val="3"/>
              </w:numPr>
              <w:ind w:left="226" w:hanging="180"/>
            </w:pPr>
          </w:p>
        </w:tc>
        <w:tc>
          <w:tcPr>
            <w:tcW w:w="438" w:type="pct"/>
            <w:vMerge/>
          </w:tcPr>
          <w:p w14:paraId="781E755F" w14:textId="77777777" w:rsidR="00FE6BD7" w:rsidRPr="009A1DE7" w:rsidRDefault="00FE6BD7" w:rsidP="00C81021">
            <w:pPr>
              <w:pStyle w:val="TableText"/>
            </w:pPr>
          </w:p>
        </w:tc>
        <w:tc>
          <w:tcPr>
            <w:tcW w:w="874" w:type="pct"/>
            <w:vMerge/>
          </w:tcPr>
          <w:p w14:paraId="4389C79B" w14:textId="77777777" w:rsidR="00FE6BD7" w:rsidRPr="009A1DE7" w:rsidRDefault="00FE6BD7" w:rsidP="00C81021">
            <w:pPr>
              <w:pStyle w:val="TableText"/>
            </w:pPr>
          </w:p>
        </w:tc>
        <w:tc>
          <w:tcPr>
            <w:tcW w:w="751" w:type="pct"/>
            <w:vMerge/>
          </w:tcPr>
          <w:p w14:paraId="17BB5629" w14:textId="77777777" w:rsidR="00FE6BD7" w:rsidRPr="009A1DE7" w:rsidRDefault="00FE6BD7" w:rsidP="00C81021">
            <w:pPr>
              <w:pStyle w:val="TableText"/>
            </w:pPr>
          </w:p>
        </w:tc>
        <w:tc>
          <w:tcPr>
            <w:tcW w:w="719" w:type="pct"/>
            <w:vMerge/>
          </w:tcPr>
          <w:p w14:paraId="08E51600" w14:textId="77777777" w:rsidR="00FE6BD7" w:rsidRPr="009A1DE7" w:rsidRDefault="00FE6BD7" w:rsidP="00C81021">
            <w:pPr>
              <w:pStyle w:val="TableText"/>
            </w:pPr>
          </w:p>
        </w:tc>
        <w:tc>
          <w:tcPr>
            <w:tcW w:w="532" w:type="pct"/>
            <w:vMerge/>
          </w:tcPr>
          <w:p w14:paraId="5789ACD4"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7B82F02"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4FF05271" w14:textId="77777777" w:rsidR="00FE6BD7" w:rsidRPr="00EE4BD6" w:rsidRDefault="00FE6BD7" w:rsidP="00C81021">
            <w:pPr>
              <w:pStyle w:val="TableText"/>
            </w:pPr>
          </w:p>
        </w:tc>
      </w:tr>
      <w:tr w:rsidR="00FE6BD7" w:rsidRPr="00EE4BD6" w14:paraId="1A0A4DA5" w14:textId="77777777" w:rsidTr="00F97A1E">
        <w:trPr>
          <w:cantSplit/>
          <w:trHeight w:val="555"/>
        </w:trPr>
        <w:tc>
          <w:tcPr>
            <w:tcW w:w="436" w:type="pct"/>
            <w:vMerge/>
          </w:tcPr>
          <w:p w14:paraId="3F72206C" w14:textId="77777777" w:rsidR="00FE6BD7" w:rsidRPr="00EF587A" w:rsidRDefault="00FE6BD7" w:rsidP="00C81021">
            <w:pPr>
              <w:pStyle w:val="TableText"/>
            </w:pPr>
          </w:p>
        </w:tc>
        <w:tc>
          <w:tcPr>
            <w:tcW w:w="469" w:type="pct"/>
            <w:vMerge/>
          </w:tcPr>
          <w:p w14:paraId="1852A6C1" w14:textId="77777777" w:rsidR="00FE6BD7" w:rsidRPr="009A1DE7" w:rsidRDefault="00FE6BD7" w:rsidP="00C81021">
            <w:pPr>
              <w:pStyle w:val="TableText"/>
              <w:numPr>
                <w:ilvl w:val="0"/>
                <w:numId w:val="3"/>
              </w:numPr>
              <w:ind w:left="226" w:hanging="180"/>
            </w:pPr>
          </w:p>
        </w:tc>
        <w:tc>
          <w:tcPr>
            <w:tcW w:w="438" w:type="pct"/>
            <w:vMerge/>
          </w:tcPr>
          <w:p w14:paraId="35D3F396" w14:textId="77777777" w:rsidR="00FE6BD7" w:rsidRPr="009A1DE7" w:rsidRDefault="00FE6BD7" w:rsidP="00C81021">
            <w:pPr>
              <w:pStyle w:val="TableText"/>
            </w:pPr>
          </w:p>
        </w:tc>
        <w:tc>
          <w:tcPr>
            <w:tcW w:w="874" w:type="pct"/>
            <w:vMerge/>
          </w:tcPr>
          <w:p w14:paraId="1F34812F" w14:textId="77777777" w:rsidR="00FE6BD7" w:rsidRPr="009A1DE7" w:rsidRDefault="00FE6BD7" w:rsidP="00C81021">
            <w:pPr>
              <w:pStyle w:val="TableText"/>
            </w:pPr>
          </w:p>
        </w:tc>
        <w:tc>
          <w:tcPr>
            <w:tcW w:w="751" w:type="pct"/>
            <w:vMerge/>
          </w:tcPr>
          <w:p w14:paraId="3C4CAAB0" w14:textId="77777777" w:rsidR="00FE6BD7" w:rsidRPr="009A1DE7" w:rsidRDefault="00FE6BD7" w:rsidP="00C81021">
            <w:pPr>
              <w:pStyle w:val="TableText"/>
            </w:pPr>
          </w:p>
        </w:tc>
        <w:tc>
          <w:tcPr>
            <w:tcW w:w="719" w:type="pct"/>
            <w:vMerge/>
          </w:tcPr>
          <w:p w14:paraId="643CE7C5" w14:textId="77777777" w:rsidR="00FE6BD7" w:rsidRPr="009A1DE7" w:rsidRDefault="00FE6BD7" w:rsidP="00C81021">
            <w:pPr>
              <w:pStyle w:val="TableText"/>
            </w:pPr>
          </w:p>
        </w:tc>
        <w:tc>
          <w:tcPr>
            <w:tcW w:w="532" w:type="pct"/>
            <w:vMerge/>
          </w:tcPr>
          <w:p w14:paraId="0F945580"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8A0B650"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587EF859" w14:textId="77777777" w:rsidR="00FE6BD7" w:rsidRPr="00EE4BD6" w:rsidRDefault="00FE6BD7" w:rsidP="00C81021">
            <w:pPr>
              <w:pStyle w:val="TableText"/>
            </w:pPr>
          </w:p>
        </w:tc>
      </w:tr>
      <w:tr w:rsidR="00FE6BD7" w:rsidRPr="00EE4BD6" w14:paraId="49210A55" w14:textId="77777777" w:rsidTr="00F97A1E">
        <w:trPr>
          <w:cantSplit/>
          <w:trHeight w:val="554"/>
        </w:trPr>
        <w:tc>
          <w:tcPr>
            <w:tcW w:w="436" w:type="pct"/>
            <w:vMerge/>
          </w:tcPr>
          <w:p w14:paraId="18516838" w14:textId="77777777" w:rsidR="00FE6BD7" w:rsidRPr="00EF587A" w:rsidRDefault="00FE6BD7" w:rsidP="00C81021">
            <w:pPr>
              <w:pStyle w:val="TableText"/>
            </w:pPr>
          </w:p>
        </w:tc>
        <w:tc>
          <w:tcPr>
            <w:tcW w:w="469" w:type="pct"/>
            <w:vMerge/>
          </w:tcPr>
          <w:p w14:paraId="0617E571" w14:textId="77777777" w:rsidR="00FE6BD7" w:rsidRPr="009A1DE7" w:rsidRDefault="00FE6BD7" w:rsidP="00C81021">
            <w:pPr>
              <w:pStyle w:val="TableText"/>
              <w:numPr>
                <w:ilvl w:val="0"/>
                <w:numId w:val="3"/>
              </w:numPr>
              <w:ind w:left="226" w:hanging="180"/>
            </w:pPr>
          </w:p>
        </w:tc>
        <w:tc>
          <w:tcPr>
            <w:tcW w:w="438" w:type="pct"/>
            <w:vMerge/>
          </w:tcPr>
          <w:p w14:paraId="5DC9E343" w14:textId="77777777" w:rsidR="00FE6BD7" w:rsidRPr="009A1DE7" w:rsidRDefault="00FE6BD7" w:rsidP="00C81021">
            <w:pPr>
              <w:pStyle w:val="TableText"/>
            </w:pPr>
          </w:p>
        </w:tc>
        <w:tc>
          <w:tcPr>
            <w:tcW w:w="874" w:type="pct"/>
            <w:vMerge/>
          </w:tcPr>
          <w:p w14:paraId="2520588F" w14:textId="77777777" w:rsidR="00FE6BD7" w:rsidRPr="009A1DE7" w:rsidRDefault="00FE6BD7" w:rsidP="00C81021">
            <w:pPr>
              <w:pStyle w:val="TableText"/>
            </w:pPr>
          </w:p>
        </w:tc>
        <w:tc>
          <w:tcPr>
            <w:tcW w:w="751" w:type="pct"/>
            <w:vMerge/>
          </w:tcPr>
          <w:p w14:paraId="64F229E8" w14:textId="77777777" w:rsidR="00FE6BD7" w:rsidRPr="009A1DE7" w:rsidRDefault="00FE6BD7" w:rsidP="00C81021">
            <w:pPr>
              <w:pStyle w:val="TableText"/>
            </w:pPr>
          </w:p>
        </w:tc>
        <w:tc>
          <w:tcPr>
            <w:tcW w:w="719" w:type="pct"/>
            <w:vMerge/>
          </w:tcPr>
          <w:p w14:paraId="393E9FD2" w14:textId="77777777" w:rsidR="00FE6BD7" w:rsidRPr="009A1DE7" w:rsidRDefault="00FE6BD7" w:rsidP="00C81021">
            <w:pPr>
              <w:pStyle w:val="TableText"/>
            </w:pPr>
          </w:p>
        </w:tc>
        <w:tc>
          <w:tcPr>
            <w:tcW w:w="532" w:type="pct"/>
            <w:vMerge/>
          </w:tcPr>
          <w:p w14:paraId="3285FC67"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930CF56"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408F00DE" w14:textId="77777777" w:rsidR="00FE6BD7" w:rsidRPr="00EE4BD6" w:rsidRDefault="00FE6BD7" w:rsidP="00C81021">
            <w:pPr>
              <w:pStyle w:val="TableText"/>
            </w:pPr>
          </w:p>
        </w:tc>
      </w:tr>
      <w:tr w:rsidR="00FE6BD7" w:rsidRPr="00EF587A" w14:paraId="1610A3C5" w14:textId="77777777" w:rsidTr="00F97A1E">
        <w:trPr>
          <w:cantSplit/>
          <w:trHeight w:val="555"/>
        </w:trPr>
        <w:tc>
          <w:tcPr>
            <w:tcW w:w="436" w:type="pct"/>
            <w:vMerge/>
          </w:tcPr>
          <w:p w14:paraId="139635E0" w14:textId="77777777" w:rsidR="00FE6BD7" w:rsidRPr="00EF587A" w:rsidRDefault="00FE6BD7" w:rsidP="00C81021">
            <w:pPr>
              <w:pStyle w:val="TableText"/>
            </w:pPr>
          </w:p>
        </w:tc>
        <w:tc>
          <w:tcPr>
            <w:tcW w:w="469" w:type="pct"/>
            <w:vMerge/>
          </w:tcPr>
          <w:p w14:paraId="049D816F" w14:textId="77777777" w:rsidR="00FE6BD7" w:rsidRPr="00EF587A" w:rsidRDefault="00FE6BD7" w:rsidP="00C81021">
            <w:pPr>
              <w:pStyle w:val="TableText"/>
            </w:pPr>
          </w:p>
        </w:tc>
        <w:tc>
          <w:tcPr>
            <w:tcW w:w="438" w:type="pct"/>
            <w:vMerge/>
          </w:tcPr>
          <w:p w14:paraId="297B3580" w14:textId="77777777" w:rsidR="00FE6BD7" w:rsidRPr="00EF587A" w:rsidRDefault="00FE6BD7" w:rsidP="00C81021">
            <w:pPr>
              <w:pStyle w:val="TableText"/>
            </w:pPr>
          </w:p>
        </w:tc>
        <w:tc>
          <w:tcPr>
            <w:tcW w:w="874" w:type="pct"/>
            <w:vMerge/>
          </w:tcPr>
          <w:p w14:paraId="76C02F7C" w14:textId="77777777" w:rsidR="00FE6BD7" w:rsidRPr="00EF587A" w:rsidRDefault="00FE6BD7" w:rsidP="00C81021">
            <w:pPr>
              <w:pStyle w:val="TableText"/>
            </w:pPr>
          </w:p>
        </w:tc>
        <w:tc>
          <w:tcPr>
            <w:tcW w:w="751" w:type="pct"/>
            <w:vMerge/>
          </w:tcPr>
          <w:p w14:paraId="45EAACE5" w14:textId="77777777" w:rsidR="00FE6BD7" w:rsidRPr="00EF587A" w:rsidRDefault="00FE6BD7" w:rsidP="00C81021">
            <w:pPr>
              <w:pStyle w:val="TableText"/>
            </w:pPr>
          </w:p>
        </w:tc>
        <w:tc>
          <w:tcPr>
            <w:tcW w:w="719" w:type="pct"/>
            <w:vMerge/>
          </w:tcPr>
          <w:p w14:paraId="56F7A8FA" w14:textId="77777777" w:rsidR="00FE6BD7" w:rsidRPr="00EF587A" w:rsidRDefault="00FE6BD7" w:rsidP="00C81021">
            <w:pPr>
              <w:pStyle w:val="TableText"/>
            </w:pPr>
          </w:p>
        </w:tc>
        <w:tc>
          <w:tcPr>
            <w:tcW w:w="532" w:type="pct"/>
            <w:vMerge/>
          </w:tcPr>
          <w:p w14:paraId="761A6C36" w14:textId="77777777" w:rsidR="00FE6BD7" w:rsidRPr="00EF587A" w:rsidRDefault="00FE6BD7" w:rsidP="00C81021">
            <w:pPr>
              <w:pStyle w:val="TableText"/>
            </w:pPr>
          </w:p>
        </w:tc>
        <w:tc>
          <w:tcPr>
            <w:tcW w:w="345" w:type="pct"/>
            <w:shd w:val="clear" w:color="auto" w:fill="F2F2F2" w:themeFill="background1" w:themeFillShade="F2"/>
          </w:tcPr>
          <w:p w14:paraId="6EB65B4F"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64D9E41A" w14:textId="77777777" w:rsidR="00FE6BD7" w:rsidRPr="00EF587A" w:rsidRDefault="00FE6BD7" w:rsidP="00C81021">
            <w:pPr>
              <w:pStyle w:val="TableText"/>
            </w:pPr>
          </w:p>
        </w:tc>
      </w:tr>
      <w:tr w:rsidR="00FE6BD7" w:rsidRPr="00EE4BD6" w14:paraId="7A8F1622" w14:textId="77777777" w:rsidTr="00F97A1E">
        <w:trPr>
          <w:cantSplit/>
        </w:trPr>
        <w:tc>
          <w:tcPr>
            <w:tcW w:w="5000" w:type="pct"/>
            <w:gridSpan w:val="9"/>
            <w:shd w:val="clear" w:color="auto" w:fill="D9E2F3" w:themeFill="accent5" w:themeFillTint="33"/>
          </w:tcPr>
          <w:p w14:paraId="17678CBE" w14:textId="77777777" w:rsidR="00FE6BD7" w:rsidRPr="00ED339A" w:rsidRDefault="00FE6BD7" w:rsidP="00C81021">
            <w:pPr>
              <w:pStyle w:val="TableText"/>
              <w:rPr>
                <w:sz w:val="8"/>
                <w:szCs w:val="8"/>
              </w:rPr>
            </w:pPr>
          </w:p>
        </w:tc>
      </w:tr>
      <w:tr w:rsidR="009D3E7C" w:rsidRPr="00EE4BD6" w14:paraId="50E08E74" w14:textId="77777777" w:rsidTr="00F97A1E">
        <w:trPr>
          <w:cantSplit/>
          <w:trHeight w:val="654"/>
        </w:trPr>
        <w:tc>
          <w:tcPr>
            <w:tcW w:w="436" w:type="pct"/>
            <w:vMerge w:val="restart"/>
            <w:vAlign w:val="center"/>
          </w:tcPr>
          <w:p w14:paraId="5E5110A2" w14:textId="75779A3C" w:rsidR="009D3E7C" w:rsidRPr="00F77313" w:rsidRDefault="009D3E7C" w:rsidP="0088333F">
            <w:pPr>
              <w:pStyle w:val="TableText"/>
              <w:keepNext/>
              <w:keepLines/>
              <w:jc w:val="center"/>
              <w:rPr>
                <w:b/>
                <w:bCs/>
              </w:rPr>
            </w:pPr>
            <w:r w:rsidRPr="009D3E7C">
              <w:rPr>
                <w:b/>
                <w:bCs/>
              </w:rPr>
              <w:lastRenderedPageBreak/>
              <w:t>Data Base Backup</w:t>
            </w:r>
          </w:p>
        </w:tc>
        <w:tc>
          <w:tcPr>
            <w:tcW w:w="469" w:type="pct"/>
            <w:vMerge w:val="restart"/>
          </w:tcPr>
          <w:p w14:paraId="66F80179" w14:textId="33441494" w:rsidR="009D3E7C" w:rsidRPr="009D3E7C" w:rsidRDefault="009D3E7C" w:rsidP="0088333F">
            <w:pPr>
              <w:pStyle w:val="TableText"/>
              <w:keepNext/>
              <w:keepLines/>
            </w:pPr>
            <w:r>
              <w:t>N/A</w:t>
            </w:r>
          </w:p>
        </w:tc>
        <w:tc>
          <w:tcPr>
            <w:tcW w:w="438" w:type="pct"/>
            <w:vMerge w:val="restart"/>
          </w:tcPr>
          <w:p w14:paraId="535D6B01" w14:textId="6EFE5B07" w:rsidR="009D3E7C" w:rsidRPr="009A1DE7" w:rsidRDefault="009D3E7C" w:rsidP="0088333F">
            <w:pPr>
              <w:pStyle w:val="TableText"/>
              <w:keepNext/>
              <w:keepLines/>
            </w:pPr>
            <w:r w:rsidRPr="001A2A9F">
              <w:t>CAC/IT</w:t>
            </w:r>
          </w:p>
        </w:tc>
        <w:tc>
          <w:tcPr>
            <w:tcW w:w="874" w:type="pct"/>
            <w:vMerge w:val="restart"/>
          </w:tcPr>
          <w:p w14:paraId="2EF71168" w14:textId="77777777" w:rsidR="009D3E7C" w:rsidRDefault="009D3E7C" w:rsidP="0088333F">
            <w:pPr>
              <w:pStyle w:val="TableText"/>
              <w:keepNext/>
              <w:keepLines/>
            </w:pPr>
            <w:r>
              <w:t>The data in your Dentrix Enterprise database is one of your most valuable resources used in managing your dental business.</w:t>
            </w:r>
          </w:p>
          <w:p w14:paraId="576391FB" w14:textId="77777777" w:rsidR="009D3E7C" w:rsidRDefault="009D3E7C" w:rsidP="0088333F">
            <w:pPr>
              <w:pStyle w:val="TableText"/>
              <w:keepNext/>
              <w:keepLines/>
            </w:pPr>
            <w:r>
              <w:t>In order to protect your investment, a disaster recovery plan needs to be developed, implemented,</w:t>
            </w:r>
          </w:p>
          <w:p w14:paraId="41DEDC5B" w14:textId="21E423CD" w:rsidR="009D3E7C" w:rsidRPr="009A1DE7" w:rsidRDefault="009D3E7C" w:rsidP="0088333F">
            <w:pPr>
              <w:pStyle w:val="TableText"/>
              <w:keepNext/>
              <w:keepLines/>
            </w:pPr>
            <w:r>
              <w:t>maintained, and tested.</w:t>
            </w:r>
          </w:p>
        </w:tc>
        <w:tc>
          <w:tcPr>
            <w:tcW w:w="751" w:type="pct"/>
            <w:vMerge w:val="restart"/>
          </w:tcPr>
          <w:p w14:paraId="483E2C3D" w14:textId="77777777" w:rsidR="009D3E7C" w:rsidRDefault="009D3E7C" w:rsidP="0088333F">
            <w:pPr>
              <w:pStyle w:val="TableText"/>
              <w:keepNext/>
              <w:keepLines/>
              <w:numPr>
                <w:ilvl w:val="0"/>
                <w:numId w:val="2"/>
              </w:numPr>
              <w:ind w:left="232" w:hanging="180"/>
            </w:pPr>
            <w:r w:rsidRPr="001A2A9F">
              <w:t>It is recommended that your DBA should be a MCITP Database Administrator (Microsoft Certified IT)</w:t>
            </w:r>
          </w:p>
          <w:p w14:paraId="1DB8647B" w14:textId="143405EA" w:rsidR="009D3E7C" w:rsidRPr="009A1DE7" w:rsidRDefault="009D3E7C" w:rsidP="0088333F">
            <w:pPr>
              <w:pStyle w:val="TableText"/>
              <w:keepNext/>
              <w:keepLines/>
              <w:numPr>
                <w:ilvl w:val="0"/>
                <w:numId w:val="2"/>
              </w:numPr>
              <w:ind w:left="232" w:hanging="180"/>
            </w:pPr>
            <w:r w:rsidRPr="001A2A9F">
              <w:t>Professional Database Administrator) or MCM (Microsoft Certified Master) for MS SQL Server. A trained</w:t>
            </w:r>
            <w:r>
              <w:t xml:space="preserve"> </w:t>
            </w:r>
            <w:r w:rsidRPr="001A2A9F">
              <w:t>and qualified MCM or MCITP Database Administrator will already know how to accomplish the tasks</w:t>
            </w:r>
          </w:p>
        </w:tc>
        <w:tc>
          <w:tcPr>
            <w:tcW w:w="719" w:type="pct"/>
            <w:vMerge w:val="restart"/>
          </w:tcPr>
          <w:p w14:paraId="45F378DB" w14:textId="6E9743A9" w:rsidR="009D3E7C" w:rsidRPr="00EF587A" w:rsidRDefault="009D3E7C" w:rsidP="0088333F">
            <w:pPr>
              <w:pStyle w:val="TableText"/>
              <w:keepNext/>
              <w:keepLines/>
            </w:pPr>
            <w:r>
              <w:t>Not having a data backup can be an extremely costly event in a situation where there is a hardware malfunction with the server, causing potentially significant data loss and down time.</w:t>
            </w:r>
          </w:p>
        </w:tc>
        <w:tc>
          <w:tcPr>
            <w:tcW w:w="532" w:type="pct"/>
            <w:vMerge w:val="restart"/>
          </w:tcPr>
          <w:p w14:paraId="28704FEA" w14:textId="2F07E47F" w:rsidR="009D3E7C" w:rsidRPr="009D3E7C" w:rsidRDefault="009D3E7C" w:rsidP="0088333F">
            <w:pPr>
              <w:pStyle w:val="TableText"/>
              <w:keepNext/>
              <w:keepLines/>
            </w:pPr>
            <w:r>
              <w:t>N/A</w:t>
            </w:r>
          </w:p>
        </w:tc>
        <w:tc>
          <w:tcPr>
            <w:tcW w:w="345" w:type="pct"/>
            <w:shd w:val="clear" w:color="auto" w:fill="F2F2F2" w:themeFill="background1" w:themeFillShade="F2"/>
          </w:tcPr>
          <w:p w14:paraId="77B67C20" w14:textId="77777777" w:rsidR="009D3E7C" w:rsidRPr="00EE4BD6" w:rsidRDefault="009D3E7C" w:rsidP="0088333F">
            <w:pPr>
              <w:pStyle w:val="TableText"/>
              <w:keepNext/>
              <w:keepLines/>
            </w:pPr>
            <w:r w:rsidRPr="001F26DF">
              <w:t>Date Reviewed</w:t>
            </w:r>
            <w:r>
              <w:t>:</w:t>
            </w:r>
          </w:p>
        </w:tc>
        <w:tc>
          <w:tcPr>
            <w:tcW w:w="436" w:type="pct"/>
            <w:shd w:val="clear" w:color="auto" w:fill="F2F2F2" w:themeFill="background1" w:themeFillShade="F2"/>
          </w:tcPr>
          <w:p w14:paraId="2EC4D9B4" w14:textId="77777777" w:rsidR="009D3E7C" w:rsidRPr="00EE4BD6" w:rsidRDefault="009D3E7C" w:rsidP="0088333F">
            <w:pPr>
              <w:pStyle w:val="TableText"/>
              <w:keepNext/>
              <w:keepLines/>
            </w:pPr>
          </w:p>
        </w:tc>
      </w:tr>
      <w:tr w:rsidR="00FE6BD7" w:rsidRPr="00EE4BD6" w14:paraId="73E6F4D4" w14:textId="77777777" w:rsidTr="00F97A1E">
        <w:trPr>
          <w:cantSplit/>
          <w:trHeight w:val="654"/>
        </w:trPr>
        <w:tc>
          <w:tcPr>
            <w:tcW w:w="436" w:type="pct"/>
            <w:vMerge/>
          </w:tcPr>
          <w:p w14:paraId="51C5DD98" w14:textId="77777777" w:rsidR="00FE6BD7" w:rsidRPr="00EF587A" w:rsidRDefault="00FE6BD7" w:rsidP="00C81021">
            <w:pPr>
              <w:pStyle w:val="TableText"/>
            </w:pPr>
          </w:p>
        </w:tc>
        <w:tc>
          <w:tcPr>
            <w:tcW w:w="469" w:type="pct"/>
            <w:vMerge/>
          </w:tcPr>
          <w:p w14:paraId="2ED2E7D0" w14:textId="77777777" w:rsidR="00FE6BD7" w:rsidRPr="009A1DE7" w:rsidRDefault="00FE6BD7" w:rsidP="00C81021">
            <w:pPr>
              <w:pStyle w:val="TableText"/>
              <w:numPr>
                <w:ilvl w:val="0"/>
                <w:numId w:val="3"/>
              </w:numPr>
              <w:ind w:left="226" w:hanging="180"/>
            </w:pPr>
          </w:p>
        </w:tc>
        <w:tc>
          <w:tcPr>
            <w:tcW w:w="438" w:type="pct"/>
            <w:vMerge/>
          </w:tcPr>
          <w:p w14:paraId="6C13D700" w14:textId="77777777" w:rsidR="00FE6BD7" w:rsidRPr="009A1DE7" w:rsidRDefault="00FE6BD7" w:rsidP="00C81021">
            <w:pPr>
              <w:pStyle w:val="TableText"/>
            </w:pPr>
          </w:p>
        </w:tc>
        <w:tc>
          <w:tcPr>
            <w:tcW w:w="874" w:type="pct"/>
            <w:vMerge/>
          </w:tcPr>
          <w:p w14:paraId="502BFCEE" w14:textId="77777777" w:rsidR="00FE6BD7" w:rsidRPr="009A1DE7" w:rsidRDefault="00FE6BD7" w:rsidP="00C81021">
            <w:pPr>
              <w:pStyle w:val="TableText"/>
            </w:pPr>
          </w:p>
        </w:tc>
        <w:tc>
          <w:tcPr>
            <w:tcW w:w="751" w:type="pct"/>
            <w:vMerge/>
          </w:tcPr>
          <w:p w14:paraId="42931FE3" w14:textId="77777777" w:rsidR="00FE6BD7" w:rsidRPr="009A1DE7" w:rsidRDefault="00FE6BD7" w:rsidP="00C81021">
            <w:pPr>
              <w:pStyle w:val="TableText"/>
            </w:pPr>
          </w:p>
        </w:tc>
        <w:tc>
          <w:tcPr>
            <w:tcW w:w="719" w:type="pct"/>
            <w:vMerge/>
          </w:tcPr>
          <w:p w14:paraId="213B10BF" w14:textId="77777777" w:rsidR="00FE6BD7" w:rsidRPr="009A1DE7" w:rsidRDefault="00FE6BD7" w:rsidP="00C81021">
            <w:pPr>
              <w:pStyle w:val="TableText"/>
            </w:pPr>
          </w:p>
        </w:tc>
        <w:tc>
          <w:tcPr>
            <w:tcW w:w="532" w:type="pct"/>
            <w:vMerge/>
          </w:tcPr>
          <w:p w14:paraId="71FE3B96"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140DF48"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70C2954F" w14:textId="77777777" w:rsidR="00FE6BD7" w:rsidRPr="00EE4BD6" w:rsidRDefault="00FE6BD7" w:rsidP="00C81021">
            <w:pPr>
              <w:pStyle w:val="TableText"/>
            </w:pPr>
          </w:p>
        </w:tc>
      </w:tr>
      <w:tr w:rsidR="00FE6BD7" w:rsidRPr="00EE4BD6" w14:paraId="59C22800" w14:textId="77777777" w:rsidTr="00F97A1E">
        <w:trPr>
          <w:cantSplit/>
          <w:trHeight w:val="654"/>
        </w:trPr>
        <w:tc>
          <w:tcPr>
            <w:tcW w:w="436" w:type="pct"/>
            <w:vMerge/>
          </w:tcPr>
          <w:p w14:paraId="7E4B500A" w14:textId="77777777" w:rsidR="00FE6BD7" w:rsidRPr="00EF587A" w:rsidRDefault="00FE6BD7" w:rsidP="00C81021">
            <w:pPr>
              <w:pStyle w:val="TableText"/>
            </w:pPr>
          </w:p>
        </w:tc>
        <w:tc>
          <w:tcPr>
            <w:tcW w:w="469" w:type="pct"/>
            <w:vMerge/>
          </w:tcPr>
          <w:p w14:paraId="2A4A868C" w14:textId="77777777" w:rsidR="00FE6BD7" w:rsidRPr="009A1DE7" w:rsidRDefault="00FE6BD7" w:rsidP="00C81021">
            <w:pPr>
              <w:pStyle w:val="TableText"/>
              <w:numPr>
                <w:ilvl w:val="0"/>
                <w:numId w:val="3"/>
              </w:numPr>
              <w:ind w:left="226" w:hanging="180"/>
            </w:pPr>
          </w:p>
        </w:tc>
        <w:tc>
          <w:tcPr>
            <w:tcW w:w="438" w:type="pct"/>
            <w:vMerge/>
          </w:tcPr>
          <w:p w14:paraId="08186687" w14:textId="77777777" w:rsidR="00FE6BD7" w:rsidRPr="009A1DE7" w:rsidRDefault="00FE6BD7" w:rsidP="00C81021">
            <w:pPr>
              <w:pStyle w:val="TableText"/>
            </w:pPr>
          </w:p>
        </w:tc>
        <w:tc>
          <w:tcPr>
            <w:tcW w:w="874" w:type="pct"/>
            <w:vMerge/>
          </w:tcPr>
          <w:p w14:paraId="2B220F54" w14:textId="77777777" w:rsidR="00FE6BD7" w:rsidRPr="009A1DE7" w:rsidRDefault="00FE6BD7" w:rsidP="00C81021">
            <w:pPr>
              <w:pStyle w:val="TableText"/>
            </w:pPr>
          </w:p>
        </w:tc>
        <w:tc>
          <w:tcPr>
            <w:tcW w:w="751" w:type="pct"/>
            <w:vMerge/>
          </w:tcPr>
          <w:p w14:paraId="54B2CB87" w14:textId="77777777" w:rsidR="00FE6BD7" w:rsidRPr="009A1DE7" w:rsidRDefault="00FE6BD7" w:rsidP="00C81021">
            <w:pPr>
              <w:pStyle w:val="TableText"/>
            </w:pPr>
          </w:p>
        </w:tc>
        <w:tc>
          <w:tcPr>
            <w:tcW w:w="719" w:type="pct"/>
            <w:vMerge/>
          </w:tcPr>
          <w:p w14:paraId="6A36D4DB" w14:textId="77777777" w:rsidR="00FE6BD7" w:rsidRPr="009A1DE7" w:rsidRDefault="00FE6BD7" w:rsidP="00C81021">
            <w:pPr>
              <w:pStyle w:val="TableText"/>
            </w:pPr>
          </w:p>
        </w:tc>
        <w:tc>
          <w:tcPr>
            <w:tcW w:w="532" w:type="pct"/>
            <w:vMerge/>
          </w:tcPr>
          <w:p w14:paraId="5490B517"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E8023E6"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24EE01A7" w14:textId="77777777" w:rsidR="00FE6BD7" w:rsidRPr="00EE4BD6" w:rsidRDefault="00FE6BD7" w:rsidP="00C81021">
            <w:pPr>
              <w:pStyle w:val="TableText"/>
            </w:pPr>
          </w:p>
        </w:tc>
      </w:tr>
      <w:tr w:rsidR="00FE6BD7" w:rsidRPr="00EE4BD6" w14:paraId="0E502266" w14:textId="77777777" w:rsidTr="00F97A1E">
        <w:trPr>
          <w:cantSplit/>
          <w:trHeight w:val="654"/>
        </w:trPr>
        <w:tc>
          <w:tcPr>
            <w:tcW w:w="436" w:type="pct"/>
            <w:vMerge/>
          </w:tcPr>
          <w:p w14:paraId="08857B05" w14:textId="77777777" w:rsidR="00FE6BD7" w:rsidRPr="00EF587A" w:rsidRDefault="00FE6BD7" w:rsidP="00C81021">
            <w:pPr>
              <w:pStyle w:val="TableText"/>
            </w:pPr>
          </w:p>
        </w:tc>
        <w:tc>
          <w:tcPr>
            <w:tcW w:w="469" w:type="pct"/>
            <w:vMerge/>
          </w:tcPr>
          <w:p w14:paraId="03CD1B54" w14:textId="77777777" w:rsidR="00FE6BD7" w:rsidRPr="009A1DE7" w:rsidRDefault="00FE6BD7" w:rsidP="00C81021">
            <w:pPr>
              <w:pStyle w:val="TableText"/>
              <w:numPr>
                <w:ilvl w:val="0"/>
                <w:numId w:val="3"/>
              </w:numPr>
              <w:ind w:left="226" w:hanging="180"/>
            </w:pPr>
          </w:p>
        </w:tc>
        <w:tc>
          <w:tcPr>
            <w:tcW w:w="438" w:type="pct"/>
            <w:vMerge/>
          </w:tcPr>
          <w:p w14:paraId="6E9E14F1" w14:textId="77777777" w:rsidR="00FE6BD7" w:rsidRPr="009A1DE7" w:rsidRDefault="00FE6BD7" w:rsidP="00C81021">
            <w:pPr>
              <w:pStyle w:val="TableText"/>
            </w:pPr>
          </w:p>
        </w:tc>
        <w:tc>
          <w:tcPr>
            <w:tcW w:w="874" w:type="pct"/>
            <w:vMerge/>
          </w:tcPr>
          <w:p w14:paraId="419660EE" w14:textId="77777777" w:rsidR="00FE6BD7" w:rsidRPr="009A1DE7" w:rsidRDefault="00FE6BD7" w:rsidP="00C81021">
            <w:pPr>
              <w:pStyle w:val="TableText"/>
            </w:pPr>
          </w:p>
        </w:tc>
        <w:tc>
          <w:tcPr>
            <w:tcW w:w="751" w:type="pct"/>
            <w:vMerge/>
          </w:tcPr>
          <w:p w14:paraId="41115C35" w14:textId="77777777" w:rsidR="00FE6BD7" w:rsidRPr="009A1DE7" w:rsidRDefault="00FE6BD7" w:rsidP="00C81021">
            <w:pPr>
              <w:pStyle w:val="TableText"/>
            </w:pPr>
          </w:p>
        </w:tc>
        <w:tc>
          <w:tcPr>
            <w:tcW w:w="719" w:type="pct"/>
            <w:vMerge/>
          </w:tcPr>
          <w:p w14:paraId="520B3D9C" w14:textId="77777777" w:rsidR="00FE6BD7" w:rsidRPr="009A1DE7" w:rsidRDefault="00FE6BD7" w:rsidP="00C81021">
            <w:pPr>
              <w:pStyle w:val="TableText"/>
            </w:pPr>
          </w:p>
        </w:tc>
        <w:tc>
          <w:tcPr>
            <w:tcW w:w="532" w:type="pct"/>
            <w:vMerge/>
          </w:tcPr>
          <w:p w14:paraId="14477A24"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15258335"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5B2750B5" w14:textId="77777777" w:rsidR="00FE6BD7" w:rsidRPr="00EE4BD6" w:rsidRDefault="00FE6BD7" w:rsidP="00C81021">
            <w:pPr>
              <w:pStyle w:val="TableText"/>
            </w:pPr>
          </w:p>
        </w:tc>
      </w:tr>
      <w:tr w:rsidR="00FE6BD7" w:rsidRPr="00EF587A" w14:paraId="4F031D07" w14:textId="77777777" w:rsidTr="00F97A1E">
        <w:trPr>
          <w:cantSplit/>
          <w:trHeight w:val="654"/>
        </w:trPr>
        <w:tc>
          <w:tcPr>
            <w:tcW w:w="436" w:type="pct"/>
            <w:vMerge/>
          </w:tcPr>
          <w:p w14:paraId="33445316" w14:textId="77777777" w:rsidR="00FE6BD7" w:rsidRPr="00EF587A" w:rsidRDefault="00FE6BD7" w:rsidP="00C81021">
            <w:pPr>
              <w:pStyle w:val="TableText"/>
            </w:pPr>
          </w:p>
        </w:tc>
        <w:tc>
          <w:tcPr>
            <w:tcW w:w="469" w:type="pct"/>
            <w:vMerge/>
          </w:tcPr>
          <w:p w14:paraId="5F343707" w14:textId="77777777" w:rsidR="00FE6BD7" w:rsidRPr="00EF587A" w:rsidRDefault="00FE6BD7" w:rsidP="00C81021">
            <w:pPr>
              <w:pStyle w:val="TableText"/>
            </w:pPr>
          </w:p>
        </w:tc>
        <w:tc>
          <w:tcPr>
            <w:tcW w:w="438" w:type="pct"/>
            <w:vMerge/>
          </w:tcPr>
          <w:p w14:paraId="712FDEAF" w14:textId="77777777" w:rsidR="00FE6BD7" w:rsidRPr="00EF587A" w:rsidRDefault="00FE6BD7" w:rsidP="00C81021">
            <w:pPr>
              <w:pStyle w:val="TableText"/>
            </w:pPr>
          </w:p>
        </w:tc>
        <w:tc>
          <w:tcPr>
            <w:tcW w:w="874" w:type="pct"/>
            <w:vMerge/>
          </w:tcPr>
          <w:p w14:paraId="547EC2EE" w14:textId="77777777" w:rsidR="00FE6BD7" w:rsidRPr="00EF587A" w:rsidRDefault="00FE6BD7" w:rsidP="00C81021">
            <w:pPr>
              <w:pStyle w:val="TableText"/>
            </w:pPr>
          </w:p>
        </w:tc>
        <w:tc>
          <w:tcPr>
            <w:tcW w:w="751" w:type="pct"/>
            <w:vMerge/>
          </w:tcPr>
          <w:p w14:paraId="1E08F8E8" w14:textId="77777777" w:rsidR="00FE6BD7" w:rsidRPr="00EF587A" w:rsidRDefault="00FE6BD7" w:rsidP="00C81021">
            <w:pPr>
              <w:pStyle w:val="TableText"/>
            </w:pPr>
          </w:p>
        </w:tc>
        <w:tc>
          <w:tcPr>
            <w:tcW w:w="719" w:type="pct"/>
            <w:vMerge/>
          </w:tcPr>
          <w:p w14:paraId="5941AAF4" w14:textId="77777777" w:rsidR="00FE6BD7" w:rsidRPr="00EF587A" w:rsidRDefault="00FE6BD7" w:rsidP="00C81021">
            <w:pPr>
              <w:pStyle w:val="TableText"/>
            </w:pPr>
          </w:p>
        </w:tc>
        <w:tc>
          <w:tcPr>
            <w:tcW w:w="532" w:type="pct"/>
            <w:vMerge/>
          </w:tcPr>
          <w:p w14:paraId="47484834" w14:textId="77777777" w:rsidR="00FE6BD7" w:rsidRPr="00EF587A" w:rsidRDefault="00FE6BD7" w:rsidP="00C81021">
            <w:pPr>
              <w:pStyle w:val="TableText"/>
            </w:pPr>
          </w:p>
        </w:tc>
        <w:tc>
          <w:tcPr>
            <w:tcW w:w="345" w:type="pct"/>
            <w:shd w:val="clear" w:color="auto" w:fill="F2F2F2" w:themeFill="background1" w:themeFillShade="F2"/>
          </w:tcPr>
          <w:p w14:paraId="3B06CC81"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0EE053FF" w14:textId="77777777" w:rsidR="00FE6BD7" w:rsidRPr="00EF587A" w:rsidRDefault="00FE6BD7" w:rsidP="00C81021">
            <w:pPr>
              <w:pStyle w:val="TableText"/>
            </w:pPr>
          </w:p>
        </w:tc>
      </w:tr>
      <w:tr w:rsidR="00FE6BD7" w:rsidRPr="00EE4BD6" w14:paraId="763E2A41" w14:textId="77777777" w:rsidTr="00F97A1E">
        <w:trPr>
          <w:cantSplit/>
        </w:trPr>
        <w:tc>
          <w:tcPr>
            <w:tcW w:w="5000" w:type="pct"/>
            <w:gridSpan w:val="9"/>
            <w:shd w:val="clear" w:color="auto" w:fill="D9E2F3" w:themeFill="accent5" w:themeFillTint="33"/>
          </w:tcPr>
          <w:p w14:paraId="457D62A5" w14:textId="77777777" w:rsidR="00FE6BD7" w:rsidRPr="00ED339A" w:rsidRDefault="00FE6BD7" w:rsidP="00C81021">
            <w:pPr>
              <w:pStyle w:val="TableText"/>
              <w:rPr>
                <w:sz w:val="8"/>
                <w:szCs w:val="8"/>
              </w:rPr>
            </w:pPr>
          </w:p>
        </w:tc>
      </w:tr>
      <w:tr w:rsidR="009D3E7C" w:rsidRPr="00EE4BD6" w14:paraId="6E487860" w14:textId="77777777" w:rsidTr="00F97A1E">
        <w:trPr>
          <w:cantSplit/>
          <w:trHeight w:val="1246"/>
        </w:trPr>
        <w:tc>
          <w:tcPr>
            <w:tcW w:w="436" w:type="pct"/>
            <w:vMerge w:val="restart"/>
            <w:vAlign w:val="center"/>
          </w:tcPr>
          <w:p w14:paraId="49E80968" w14:textId="51B1197A" w:rsidR="009D3E7C" w:rsidRPr="00F77313" w:rsidRDefault="009D3E7C" w:rsidP="00ED339A">
            <w:pPr>
              <w:pStyle w:val="TableText"/>
              <w:keepNext/>
              <w:keepLines/>
              <w:jc w:val="center"/>
              <w:rPr>
                <w:b/>
                <w:bCs/>
              </w:rPr>
            </w:pPr>
            <w:r w:rsidRPr="009D3E7C">
              <w:rPr>
                <w:b/>
                <w:bCs/>
              </w:rPr>
              <w:lastRenderedPageBreak/>
              <w:t>Month End Update</w:t>
            </w:r>
          </w:p>
        </w:tc>
        <w:tc>
          <w:tcPr>
            <w:tcW w:w="469" w:type="pct"/>
            <w:vMerge w:val="restart"/>
          </w:tcPr>
          <w:p w14:paraId="65BDB61E" w14:textId="7F304595" w:rsidR="009D3E7C" w:rsidRPr="009D3E7C" w:rsidRDefault="009D3E7C" w:rsidP="00ED339A">
            <w:pPr>
              <w:pStyle w:val="TableText"/>
              <w:keepNext/>
              <w:keepLines/>
            </w:pPr>
            <w:r>
              <w:t>N/A</w:t>
            </w:r>
          </w:p>
        </w:tc>
        <w:tc>
          <w:tcPr>
            <w:tcW w:w="438" w:type="pct"/>
            <w:vMerge w:val="restart"/>
          </w:tcPr>
          <w:p w14:paraId="3A0086D9" w14:textId="5C40EAC8" w:rsidR="009D3E7C" w:rsidRPr="009A1DE7" w:rsidRDefault="009D3E7C" w:rsidP="00ED339A">
            <w:pPr>
              <w:pStyle w:val="TableText"/>
              <w:keepNext/>
              <w:keepLines/>
            </w:pPr>
            <w:r w:rsidRPr="00C4444C">
              <w:t>CAC / Billing Manager</w:t>
            </w:r>
          </w:p>
        </w:tc>
        <w:tc>
          <w:tcPr>
            <w:tcW w:w="874" w:type="pct"/>
            <w:vMerge w:val="restart"/>
          </w:tcPr>
          <w:p w14:paraId="417BF29E" w14:textId="77777777" w:rsidR="009D3E7C" w:rsidRDefault="009D3E7C" w:rsidP="00ED339A">
            <w:pPr>
              <w:pStyle w:val="TableText"/>
            </w:pPr>
            <w:r>
              <w:t>Running the month-end update is a crucial management routine. The month-end update completes many maintenance tasks important to getting accurate patient data quickly:</w:t>
            </w:r>
          </w:p>
          <w:p w14:paraId="4B1769D2" w14:textId="77777777" w:rsidR="009D3E7C" w:rsidRDefault="009D3E7C" w:rsidP="00ED339A">
            <w:pPr>
              <w:pStyle w:val="TableText"/>
            </w:pPr>
            <w:r>
              <w:t>Aging account balances - Close each month so that account balances will not remain current on your aging reports.</w:t>
            </w:r>
          </w:p>
          <w:p w14:paraId="5C436FA2" w14:textId="77777777" w:rsidR="009D3E7C" w:rsidRDefault="009D3E7C" w:rsidP="00ED339A">
            <w:pPr>
              <w:pStyle w:val="TableText"/>
            </w:pPr>
            <w:r>
              <w:t>Moving procedures to history - All procedures posted during the month being closed will be moved into history, locking out changes and deletions.</w:t>
            </w:r>
          </w:p>
          <w:p w14:paraId="221E8B98" w14:textId="77777777" w:rsidR="009D3E7C" w:rsidRDefault="009D3E7C" w:rsidP="00ED339A">
            <w:pPr>
              <w:pStyle w:val="TableText"/>
            </w:pPr>
            <w:r>
              <w:t>Creating totals records - To speed report generation, Dentrix Enterprise creates a monthly totals record each time a month is closed. Without this monthly record, Dentrix Enterprise must calculate analysis information each time a report is generated, which can greatly slow the report generation process.</w:t>
            </w:r>
          </w:p>
          <w:p w14:paraId="08DE15B9" w14:textId="77777777" w:rsidR="009D3E7C" w:rsidRDefault="009D3E7C" w:rsidP="00ED339A">
            <w:pPr>
              <w:pStyle w:val="TableText"/>
            </w:pPr>
            <w:r>
              <w:t>Resetting insurance benefits (optional) - For all patients who have dental insurance coverage that resets during the month being updated, the benefits used and deductible applied amounts will be reset.</w:t>
            </w:r>
          </w:p>
          <w:p w14:paraId="41420687" w14:textId="4AF402F8" w:rsidR="009D3E7C" w:rsidRPr="009A1DE7" w:rsidRDefault="009D3E7C" w:rsidP="00ED339A">
            <w:pPr>
              <w:pStyle w:val="TableText"/>
            </w:pPr>
            <w:r>
              <w:t>*can be done independent of the month end if needed</w:t>
            </w:r>
          </w:p>
        </w:tc>
        <w:tc>
          <w:tcPr>
            <w:tcW w:w="751" w:type="pct"/>
            <w:vMerge w:val="restart"/>
          </w:tcPr>
          <w:p w14:paraId="0E22B6BE" w14:textId="77777777" w:rsidR="009D3E7C" w:rsidRDefault="009D3E7C" w:rsidP="00ED339A">
            <w:pPr>
              <w:pStyle w:val="TableText"/>
              <w:keepNext/>
              <w:keepLines/>
              <w:numPr>
                <w:ilvl w:val="0"/>
                <w:numId w:val="2"/>
              </w:numPr>
              <w:ind w:left="232" w:hanging="180"/>
            </w:pPr>
            <w:r w:rsidRPr="00C4444C">
              <w:t>You cannot close out the current month. You must wait until the first day of the next month before Dentrix Enterprise will allow you to close out that month (for example, you cannot close out the month of June until the first day of July).</w:t>
            </w:r>
          </w:p>
          <w:p w14:paraId="64C957E9" w14:textId="69683741" w:rsidR="009D3E7C" w:rsidRDefault="009D3E7C" w:rsidP="00ED339A">
            <w:pPr>
              <w:pStyle w:val="TableText"/>
              <w:keepNext/>
              <w:keepLines/>
              <w:numPr>
                <w:ilvl w:val="0"/>
                <w:numId w:val="2"/>
              </w:numPr>
              <w:ind w:left="232" w:hanging="180"/>
            </w:pPr>
            <w:r w:rsidRPr="00C4444C">
              <w:t xml:space="preserve">Everyone must be logged out of </w:t>
            </w:r>
            <w:r w:rsidR="00F97A1E">
              <w:t xml:space="preserve">Dentrix </w:t>
            </w:r>
            <w:r w:rsidRPr="00C4444C">
              <w:t>Enterprise</w:t>
            </w:r>
          </w:p>
          <w:p w14:paraId="1D013EC3" w14:textId="1B3E6B06" w:rsidR="009D3E7C" w:rsidRPr="009A1DE7" w:rsidRDefault="009D3E7C" w:rsidP="00ED339A">
            <w:pPr>
              <w:pStyle w:val="TableText"/>
              <w:keepNext/>
              <w:keepLines/>
              <w:numPr>
                <w:ilvl w:val="0"/>
                <w:numId w:val="2"/>
              </w:numPr>
              <w:ind w:left="232" w:hanging="180"/>
            </w:pPr>
            <w:r w:rsidRPr="00C4444C">
              <w:t>The process includes enabling single user mode, processing the month end update (run time varies based on amount of data), then disabling single user mode.</w:t>
            </w:r>
          </w:p>
        </w:tc>
        <w:tc>
          <w:tcPr>
            <w:tcW w:w="719" w:type="pct"/>
            <w:vMerge w:val="restart"/>
          </w:tcPr>
          <w:p w14:paraId="53D190E3" w14:textId="40ECB5C2" w:rsidR="009D3E7C" w:rsidRPr="00EF587A" w:rsidRDefault="009D3E7C" w:rsidP="00ED339A">
            <w:pPr>
              <w:pStyle w:val="TableText"/>
              <w:keepNext/>
              <w:keepLines/>
            </w:pPr>
            <w:r w:rsidRPr="006375CF">
              <w:t>Without a routine process for the Month End Update, MTD/YTD totals will be inaccurate, insurance benefits will not reset, and ledger items are not locked and are able to be deleted or modified with correct security level.</w:t>
            </w:r>
          </w:p>
        </w:tc>
        <w:tc>
          <w:tcPr>
            <w:tcW w:w="532" w:type="pct"/>
            <w:vMerge w:val="restart"/>
          </w:tcPr>
          <w:p w14:paraId="29B02A56" w14:textId="0A4AD48F" w:rsidR="009D3E7C" w:rsidRPr="009D3E7C" w:rsidRDefault="009D3E7C" w:rsidP="00ED339A">
            <w:pPr>
              <w:pStyle w:val="TableText"/>
              <w:keepNext/>
              <w:keepLines/>
            </w:pPr>
            <w:r>
              <w:t>N/A</w:t>
            </w:r>
          </w:p>
        </w:tc>
        <w:tc>
          <w:tcPr>
            <w:tcW w:w="345" w:type="pct"/>
            <w:shd w:val="clear" w:color="auto" w:fill="F2F2F2" w:themeFill="background1" w:themeFillShade="F2"/>
          </w:tcPr>
          <w:p w14:paraId="6654DEDC" w14:textId="77777777" w:rsidR="009D3E7C" w:rsidRPr="00EE4BD6" w:rsidRDefault="009D3E7C" w:rsidP="00ED339A">
            <w:pPr>
              <w:pStyle w:val="TableText"/>
              <w:keepNext/>
              <w:keepLines/>
            </w:pPr>
            <w:r w:rsidRPr="001F26DF">
              <w:t>Date Reviewed</w:t>
            </w:r>
            <w:r>
              <w:t>:</w:t>
            </w:r>
          </w:p>
        </w:tc>
        <w:tc>
          <w:tcPr>
            <w:tcW w:w="436" w:type="pct"/>
            <w:shd w:val="clear" w:color="auto" w:fill="F2F2F2" w:themeFill="background1" w:themeFillShade="F2"/>
          </w:tcPr>
          <w:p w14:paraId="60F691E9" w14:textId="77777777" w:rsidR="009D3E7C" w:rsidRPr="00EE4BD6" w:rsidRDefault="009D3E7C" w:rsidP="00ED339A">
            <w:pPr>
              <w:pStyle w:val="TableText"/>
              <w:keepNext/>
              <w:keepLines/>
            </w:pPr>
          </w:p>
        </w:tc>
      </w:tr>
      <w:tr w:rsidR="00FE6BD7" w:rsidRPr="00EE4BD6" w14:paraId="73F5BF85" w14:textId="77777777" w:rsidTr="00F97A1E">
        <w:trPr>
          <w:cantSplit/>
          <w:trHeight w:val="1246"/>
        </w:trPr>
        <w:tc>
          <w:tcPr>
            <w:tcW w:w="436" w:type="pct"/>
            <w:vMerge/>
          </w:tcPr>
          <w:p w14:paraId="6D3EE7D1" w14:textId="77777777" w:rsidR="00FE6BD7" w:rsidRPr="00EF587A" w:rsidRDefault="00FE6BD7" w:rsidP="00B36E3D">
            <w:pPr>
              <w:pStyle w:val="TableText"/>
              <w:keepNext/>
              <w:keepLines/>
            </w:pPr>
          </w:p>
        </w:tc>
        <w:tc>
          <w:tcPr>
            <w:tcW w:w="469" w:type="pct"/>
            <w:vMerge/>
          </w:tcPr>
          <w:p w14:paraId="21504154" w14:textId="77777777" w:rsidR="00FE6BD7" w:rsidRPr="009A1DE7" w:rsidRDefault="00FE6BD7" w:rsidP="00B36E3D">
            <w:pPr>
              <w:pStyle w:val="TableText"/>
              <w:keepNext/>
              <w:keepLines/>
              <w:numPr>
                <w:ilvl w:val="0"/>
                <w:numId w:val="3"/>
              </w:numPr>
              <w:ind w:left="226" w:hanging="180"/>
            </w:pPr>
          </w:p>
        </w:tc>
        <w:tc>
          <w:tcPr>
            <w:tcW w:w="438" w:type="pct"/>
            <w:vMerge/>
          </w:tcPr>
          <w:p w14:paraId="1EE6E57F" w14:textId="77777777" w:rsidR="00FE6BD7" w:rsidRPr="009A1DE7" w:rsidRDefault="00FE6BD7" w:rsidP="00B36E3D">
            <w:pPr>
              <w:pStyle w:val="TableText"/>
              <w:keepNext/>
              <w:keepLines/>
            </w:pPr>
          </w:p>
        </w:tc>
        <w:tc>
          <w:tcPr>
            <w:tcW w:w="874" w:type="pct"/>
            <w:vMerge/>
          </w:tcPr>
          <w:p w14:paraId="1AFEF289" w14:textId="77777777" w:rsidR="00FE6BD7" w:rsidRPr="009A1DE7" w:rsidRDefault="00FE6BD7" w:rsidP="00B36E3D">
            <w:pPr>
              <w:pStyle w:val="TableText"/>
              <w:keepNext/>
              <w:keepLines/>
            </w:pPr>
          </w:p>
        </w:tc>
        <w:tc>
          <w:tcPr>
            <w:tcW w:w="751" w:type="pct"/>
            <w:vMerge/>
          </w:tcPr>
          <w:p w14:paraId="41AB2A7E" w14:textId="77777777" w:rsidR="00FE6BD7" w:rsidRPr="009A1DE7" w:rsidRDefault="00FE6BD7" w:rsidP="00B36E3D">
            <w:pPr>
              <w:pStyle w:val="TableText"/>
              <w:keepNext/>
              <w:keepLines/>
            </w:pPr>
          </w:p>
        </w:tc>
        <w:tc>
          <w:tcPr>
            <w:tcW w:w="719" w:type="pct"/>
            <w:vMerge/>
          </w:tcPr>
          <w:p w14:paraId="5E89EA81" w14:textId="77777777" w:rsidR="00FE6BD7" w:rsidRPr="009A1DE7" w:rsidRDefault="00FE6BD7" w:rsidP="00B36E3D">
            <w:pPr>
              <w:pStyle w:val="TableText"/>
              <w:keepNext/>
              <w:keepLines/>
            </w:pPr>
          </w:p>
        </w:tc>
        <w:tc>
          <w:tcPr>
            <w:tcW w:w="532" w:type="pct"/>
            <w:vMerge/>
          </w:tcPr>
          <w:p w14:paraId="6BF642AF" w14:textId="77777777" w:rsidR="00FE6BD7" w:rsidRPr="009A1DE7" w:rsidRDefault="00FE6BD7" w:rsidP="00B36E3D">
            <w:pPr>
              <w:pStyle w:val="TableText"/>
              <w:keepNext/>
              <w:keepLines/>
              <w:numPr>
                <w:ilvl w:val="0"/>
                <w:numId w:val="1"/>
              </w:numPr>
              <w:spacing w:after="0"/>
              <w:ind w:left="187" w:hanging="187"/>
            </w:pPr>
          </w:p>
        </w:tc>
        <w:tc>
          <w:tcPr>
            <w:tcW w:w="345" w:type="pct"/>
            <w:shd w:val="clear" w:color="auto" w:fill="F2F2F2" w:themeFill="background1" w:themeFillShade="F2"/>
          </w:tcPr>
          <w:p w14:paraId="61691C06" w14:textId="77777777" w:rsidR="00FE6BD7" w:rsidRPr="00EE4BD6" w:rsidRDefault="00FE6BD7" w:rsidP="00B36E3D">
            <w:pPr>
              <w:pStyle w:val="TableText"/>
              <w:keepNext/>
              <w:keepLines/>
            </w:pPr>
            <w:r w:rsidRPr="009A1DE7">
              <w:t>Assigned Individual</w:t>
            </w:r>
            <w:r>
              <w:t>:</w:t>
            </w:r>
          </w:p>
        </w:tc>
        <w:tc>
          <w:tcPr>
            <w:tcW w:w="436" w:type="pct"/>
            <w:shd w:val="clear" w:color="auto" w:fill="F2F2F2" w:themeFill="background1" w:themeFillShade="F2"/>
          </w:tcPr>
          <w:p w14:paraId="1864F41D" w14:textId="77777777" w:rsidR="00FE6BD7" w:rsidRPr="00EE4BD6" w:rsidRDefault="00FE6BD7" w:rsidP="00B36E3D">
            <w:pPr>
              <w:pStyle w:val="TableText"/>
              <w:keepNext/>
              <w:keepLines/>
            </w:pPr>
          </w:p>
        </w:tc>
      </w:tr>
      <w:tr w:rsidR="00FE6BD7" w:rsidRPr="00EE4BD6" w14:paraId="4AD1DFEF" w14:textId="77777777" w:rsidTr="00F97A1E">
        <w:trPr>
          <w:cantSplit/>
          <w:trHeight w:val="1246"/>
        </w:trPr>
        <w:tc>
          <w:tcPr>
            <w:tcW w:w="436" w:type="pct"/>
            <w:vMerge/>
          </w:tcPr>
          <w:p w14:paraId="35C139FE" w14:textId="77777777" w:rsidR="00FE6BD7" w:rsidRPr="00EF587A" w:rsidRDefault="00FE6BD7" w:rsidP="00B36E3D">
            <w:pPr>
              <w:pStyle w:val="TableText"/>
              <w:keepNext/>
              <w:keepLines/>
            </w:pPr>
          </w:p>
        </w:tc>
        <w:tc>
          <w:tcPr>
            <w:tcW w:w="469" w:type="pct"/>
            <w:vMerge/>
          </w:tcPr>
          <w:p w14:paraId="50DA95AC" w14:textId="77777777" w:rsidR="00FE6BD7" w:rsidRPr="009A1DE7" w:rsidRDefault="00FE6BD7" w:rsidP="00B36E3D">
            <w:pPr>
              <w:pStyle w:val="TableText"/>
              <w:keepNext/>
              <w:keepLines/>
              <w:numPr>
                <w:ilvl w:val="0"/>
                <w:numId w:val="3"/>
              </w:numPr>
              <w:ind w:left="226" w:hanging="180"/>
            </w:pPr>
          </w:p>
        </w:tc>
        <w:tc>
          <w:tcPr>
            <w:tcW w:w="438" w:type="pct"/>
            <w:vMerge/>
          </w:tcPr>
          <w:p w14:paraId="6CACBD80" w14:textId="77777777" w:rsidR="00FE6BD7" w:rsidRPr="009A1DE7" w:rsidRDefault="00FE6BD7" w:rsidP="00B36E3D">
            <w:pPr>
              <w:pStyle w:val="TableText"/>
              <w:keepNext/>
              <w:keepLines/>
            </w:pPr>
          </w:p>
        </w:tc>
        <w:tc>
          <w:tcPr>
            <w:tcW w:w="874" w:type="pct"/>
            <w:vMerge/>
          </w:tcPr>
          <w:p w14:paraId="39EEC56C" w14:textId="77777777" w:rsidR="00FE6BD7" w:rsidRPr="009A1DE7" w:rsidRDefault="00FE6BD7" w:rsidP="00B36E3D">
            <w:pPr>
              <w:pStyle w:val="TableText"/>
              <w:keepNext/>
              <w:keepLines/>
            </w:pPr>
          </w:p>
        </w:tc>
        <w:tc>
          <w:tcPr>
            <w:tcW w:w="751" w:type="pct"/>
            <w:vMerge/>
          </w:tcPr>
          <w:p w14:paraId="181885B2" w14:textId="77777777" w:rsidR="00FE6BD7" w:rsidRPr="009A1DE7" w:rsidRDefault="00FE6BD7" w:rsidP="00B36E3D">
            <w:pPr>
              <w:pStyle w:val="TableText"/>
              <w:keepNext/>
              <w:keepLines/>
            </w:pPr>
          </w:p>
        </w:tc>
        <w:tc>
          <w:tcPr>
            <w:tcW w:w="719" w:type="pct"/>
            <w:vMerge/>
          </w:tcPr>
          <w:p w14:paraId="7FCDBFBF" w14:textId="77777777" w:rsidR="00FE6BD7" w:rsidRPr="009A1DE7" w:rsidRDefault="00FE6BD7" w:rsidP="00B36E3D">
            <w:pPr>
              <w:pStyle w:val="TableText"/>
              <w:keepNext/>
              <w:keepLines/>
            </w:pPr>
          </w:p>
        </w:tc>
        <w:tc>
          <w:tcPr>
            <w:tcW w:w="532" w:type="pct"/>
            <w:vMerge/>
          </w:tcPr>
          <w:p w14:paraId="13420A89" w14:textId="77777777" w:rsidR="00FE6BD7" w:rsidRPr="009A1DE7" w:rsidRDefault="00FE6BD7" w:rsidP="00B36E3D">
            <w:pPr>
              <w:pStyle w:val="TableText"/>
              <w:keepNext/>
              <w:keepLines/>
              <w:numPr>
                <w:ilvl w:val="0"/>
                <w:numId w:val="1"/>
              </w:numPr>
              <w:spacing w:after="0"/>
              <w:ind w:left="187" w:hanging="187"/>
            </w:pPr>
          </w:p>
        </w:tc>
        <w:tc>
          <w:tcPr>
            <w:tcW w:w="345" w:type="pct"/>
            <w:shd w:val="clear" w:color="auto" w:fill="F2F2F2" w:themeFill="background1" w:themeFillShade="F2"/>
          </w:tcPr>
          <w:p w14:paraId="679ADEE4" w14:textId="77777777" w:rsidR="00FE6BD7" w:rsidRPr="00EE4BD6" w:rsidRDefault="00FE6BD7" w:rsidP="00B36E3D">
            <w:pPr>
              <w:pStyle w:val="TableText"/>
              <w:keepNext/>
              <w:keepLines/>
            </w:pPr>
            <w:r w:rsidRPr="009A1DE7">
              <w:t>Actions Required</w:t>
            </w:r>
            <w:r>
              <w:t>:</w:t>
            </w:r>
          </w:p>
        </w:tc>
        <w:tc>
          <w:tcPr>
            <w:tcW w:w="436" w:type="pct"/>
            <w:shd w:val="clear" w:color="auto" w:fill="F2F2F2" w:themeFill="background1" w:themeFillShade="F2"/>
          </w:tcPr>
          <w:p w14:paraId="3B65C8B7" w14:textId="77777777" w:rsidR="00FE6BD7" w:rsidRPr="00EE4BD6" w:rsidRDefault="00FE6BD7" w:rsidP="00B36E3D">
            <w:pPr>
              <w:pStyle w:val="TableText"/>
              <w:keepNext/>
              <w:keepLines/>
            </w:pPr>
          </w:p>
        </w:tc>
      </w:tr>
      <w:tr w:rsidR="00FE6BD7" w:rsidRPr="00EE4BD6" w14:paraId="5532CC36" w14:textId="77777777" w:rsidTr="00F97A1E">
        <w:trPr>
          <w:cantSplit/>
          <w:trHeight w:val="1246"/>
        </w:trPr>
        <w:tc>
          <w:tcPr>
            <w:tcW w:w="436" w:type="pct"/>
            <w:vMerge/>
          </w:tcPr>
          <w:p w14:paraId="7088AA4A" w14:textId="77777777" w:rsidR="00FE6BD7" w:rsidRPr="00EF587A" w:rsidRDefault="00FE6BD7" w:rsidP="00ED339A">
            <w:pPr>
              <w:pStyle w:val="TableText"/>
              <w:keepNext/>
              <w:keepLines/>
            </w:pPr>
          </w:p>
        </w:tc>
        <w:tc>
          <w:tcPr>
            <w:tcW w:w="469" w:type="pct"/>
            <w:vMerge/>
          </w:tcPr>
          <w:p w14:paraId="45F9CA40" w14:textId="77777777" w:rsidR="00FE6BD7" w:rsidRPr="009A1DE7" w:rsidRDefault="00FE6BD7" w:rsidP="00ED339A">
            <w:pPr>
              <w:pStyle w:val="TableText"/>
              <w:keepNext/>
              <w:keepLines/>
              <w:numPr>
                <w:ilvl w:val="0"/>
                <w:numId w:val="3"/>
              </w:numPr>
              <w:ind w:left="226" w:hanging="180"/>
            </w:pPr>
          </w:p>
        </w:tc>
        <w:tc>
          <w:tcPr>
            <w:tcW w:w="438" w:type="pct"/>
            <w:vMerge/>
          </w:tcPr>
          <w:p w14:paraId="1AD0CC59" w14:textId="77777777" w:rsidR="00FE6BD7" w:rsidRPr="009A1DE7" w:rsidRDefault="00FE6BD7" w:rsidP="00ED339A">
            <w:pPr>
              <w:pStyle w:val="TableText"/>
              <w:keepNext/>
              <w:keepLines/>
            </w:pPr>
          </w:p>
        </w:tc>
        <w:tc>
          <w:tcPr>
            <w:tcW w:w="874" w:type="pct"/>
            <w:vMerge/>
          </w:tcPr>
          <w:p w14:paraId="573C36AA" w14:textId="77777777" w:rsidR="00FE6BD7" w:rsidRPr="009A1DE7" w:rsidRDefault="00FE6BD7" w:rsidP="00ED339A">
            <w:pPr>
              <w:pStyle w:val="TableText"/>
              <w:keepNext/>
              <w:keepLines/>
            </w:pPr>
          </w:p>
        </w:tc>
        <w:tc>
          <w:tcPr>
            <w:tcW w:w="751" w:type="pct"/>
            <w:vMerge/>
          </w:tcPr>
          <w:p w14:paraId="3C0A0AC6" w14:textId="77777777" w:rsidR="00FE6BD7" w:rsidRPr="009A1DE7" w:rsidRDefault="00FE6BD7" w:rsidP="00ED339A">
            <w:pPr>
              <w:pStyle w:val="TableText"/>
              <w:keepNext/>
              <w:keepLines/>
            </w:pPr>
          </w:p>
        </w:tc>
        <w:tc>
          <w:tcPr>
            <w:tcW w:w="719" w:type="pct"/>
            <w:vMerge/>
          </w:tcPr>
          <w:p w14:paraId="684C20CC" w14:textId="77777777" w:rsidR="00FE6BD7" w:rsidRPr="009A1DE7" w:rsidRDefault="00FE6BD7" w:rsidP="00ED339A">
            <w:pPr>
              <w:pStyle w:val="TableText"/>
              <w:keepNext/>
              <w:keepLines/>
            </w:pPr>
          </w:p>
        </w:tc>
        <w:tc>
          <w:tcPr>
            <w:tcW w:w="532" w:type="pct"/>
            <w:vMerge/>
          </w:tcPr>
          <w:p w14:paraId="4B932E44" w14:textId="77777777" w:rsidR="00FE6BD7" w:rsidRPr="009A1DE7" w:rsidRDefault="00FE6BD7" w:rsidP="00ED339A">
            <w:pPr>
              <w:pStyle w:val="TableText"/>
              <w:keepNext/>
              <w:keepLines/>
              <w:numPr>
                <w:ilvl w:val="0"/>
                <w:numId w:val="1"/>
              </w:numPr>
              <w:spacing w:after="0"/>
              <w:ind w:left="187" w:hanging="187"/>
            </w:pPr>
          </w:p>
        </w:tc>
        <w:tc>
          <w:tcPr>
            <w:tcW w:w="345" w:type="pct"/>
            <w:shd w:val="clear" w:color="auto" w:fill="F2F2F2" w:themeFill="background1" w:themeFillShade="F2"/>
          </w:tcPr>
          <w:p w14:paraId="6862BFB7" w14:textId="77777777" w:rsidR="00FE6BD7" w:rsidRPr="00EE4BD6" w:rsidRDefault="00FE6BD7" w:rsidP="00ED339A">
            <w:pPr>
              <w:pStyle w:val="TableText"/>
              <w:keepNext/>
              <w:keepLines/>
            </w:pPr>
            <w:r w:rsidRPr="009A1DE7">
              <w:t>Target Date</w:t>
            </w:r>
            <w:r>
              <w:t>:</w:t>
            </w:r>
          </w:p>
        </w:tc>
        <w:tc>
          <w:tcPr>
            <w:tcW w:w="436" w:type="pct"/>
            <w:shd w:val="clear" w:color="auto" w:fill="F2F2F2" w:themeFill="background1" w:themeFillShade="F2"/>
          </w:tcPr>
          <w:p w14:paraId="2F61C798" w14:textId="77777777" w:rsidR="00FE6BD7" w:rsidRPr="00EE4BD6" w:rsidRDefault="00FE6BD7" w:rsidP="00ED339A">
            <w:pPr>
              <w:pStyle w:val="TableText"/>
              <w:keepNext/>
              <w:keepLines/>
            </w:pPr>
          </w:p>
        </w:tc>
      </w:tr>
      <w:tr w:rsidR="00FE6BD7" w:rsidRPr="00EF587A" w14:paraId="72419660" w14:textId="77777777" w:rsidTr="00F97A1E">
        <w:trPr>
          <w:cantSplit/>
          <w:trHeight w:val="1247"/>
        </w:trPr>
        <w:tc>
          <w:tcPr>
            <w:tcW w:w="436" w:type="pct"/>
            <w:vMerge/>
          </w:tcPr>
          <w:p w14:paraId="18D12416" w14:textId="77777777" w:rsidR="00FE6BD7" w:rsidRPr="00EF587A" w:rsidRDefault="00FE6BD7" w:rsidP="00C81021">
            <w:pPr>
              <w:pStyle w:val="TableText"/>
            </w:pPr>
          </w:p>
        </w:tc>
        <w:tc>
          <w:tcPr>
            <w:tcW w:w="469" w:type="pct"/>
            <w:vMerge/>
          </w:tcPr>
          <w:p w14:paraId="2A622C1F" w14:textId="77777777" w:rsidR="00FE6BD7" w:rsidRPr="00EF587A" w:rsidRDefault="00FE6BD7" w:rsidP="00C81021">
            <w:pPr>
              <w:pStyle w:val="TableText"/>
            </w:pPr>
          </w:p>
        </w:tc>
        <w:tc>
          <w:tcPr>
            <w:tcW w:w="438" w:type="pct"/>
            <w:vMerge/>
          </w:tcPr>
          <w:p w14:paraId="134369B8" w14:textId="77777777" w:rsidR="00FE6BD7" w:rsidRPr="00EF587A" w:rsidRDefault="00FE6BD7" w:rsidP="00C81021">
            <w:pPr>
              <w:pStyle w:val="TableText"/>
            </w:pPr>
          </w:p>
        </w:tc>
        <w:tc>
          <w:tcPr>
            <w:tcW w:w="874" w:type="pct"/>
            <w:vMerge/>
          </w:tcPr>
          <w:p w14:paraId="1C3B8420" w14:textId="77777777" w:rsidR="00FE6BD7" w:rsidRPr="00EF587A" w:rsidRDefault="00FE6BD7" w:rsidP="00C81021">
            <w:pPr>
              <w:pStyle w:val="TableText"/>
            </w:pPr>
          </w:p>
        </w:tc>
        <w:tc>
          <w:tcPr>
            <w:tcW w:w="751" w:type="pct"/>
            <w:vMerge/>
          </w:tcPr>
          <w:p w14:paraId="32486FA8" w14:textId="77777777" w:rsidR="00FE6BD7" w:rsidRPr="00EF587A" w:rsidRDefault="00FE6BD7" w:rsidP="00C81021">
            <w:pPr>
              <w:pStyle w:val="TableText"/>
            </w:pPr>
          </w:p>
        </w:tc>
        <w:tc>
          <w:tcPr>
            <w:tcW w:w="719" w:type="pct"/>
            <w:vMerge/>
          </w:tcPr>
          <w:p w14:paraId="1FF04412" w14:textId="77777777" w:rsidR="00FE6BD7" w:rsidRPr="00EF587A" w:rsidRDefault="00FE6BD7" w:rsidP="00C81021">
            <w:pPr>
              <w:pStyle w:val="TableText"/>
            </w:pPr>
          </w:p>
        </w:tc>
        <w:tc>
          <w:tcPr>
            <w:tcW w:w="532" w:type="pct"/>
            <w:vMerge/>
          </w:tcPr>
          <w:p w14:paraId="5F701751" w14:textId="77777777" w:rsidR="00FE6BD7" w:rsidRPr="00EF587A" w:rsidRDefault="00FE6BD7" w:rsidP="00C81021">
            <w:pPr>
              <w:pStyle w:val="TableText"/>
            </w:pPr>
          </w:p>
        </w:tc>
        <w:tc>
          <w:tcPr>
            <w:tcW w:w="345" w:type="pct"/>
            <w:shd w:val="clear" w:color="auto" w:fill="F2F2F2" w:themeFill="background1" w:themeFillShade="F2"/>
          </w:tcPr>
          <w:p w14:paraId="6A3B61C7"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032309F4" w14:textId="77777777" w:rsidR="00FE6BD7" w:rsidRPr="00EF587A" w:rsidRDefault="00FE6BD7" w:rsidP="00C81021">
            <w:pPr>
              <w:pStyle w:val="TableText"/>
            </w:pPr>
          </w:p>
        </w:tc>
      </w:tr>
    </w:tbl>
    <w:p w14:paraId="6A5B2918" w14:textId="77777777" w:rsidR="00576123" w:rsidRDefault="00576123"/>
    <w:p w14:paraId="1383D9C6" w14:textId="77777777" w:rsidR="00D2666D" w:rsidRDefault="00D2666D" w:rsidP="00FF7C09">
      <w:pPr>
        <w:pStyle w:val="Heading5"/>
        <w:sectPr w:rsidR="00D2666D" w:rsidSect="00AC2560">
          <w:pgSz w:w="15840" w:h="12240" w:orient="landscape"/>
          <w:pgMar w:top="1440" w:right="1440" w:bottom="1440" w:left="1440" w:header="360" w:footer="360" w:gutter="0"/>
          <w:cols w:space="720"/>
          <w:docGrid w:linePitch="299"/>
        </w:sectPr>
      </w:pPr>
    </w:p>
    <w:p w14:paraId="1CE73DBE" w14:textId="77777777" w:rsidR="00045188" w:rsidRDefault="009E678B" w:rsidP="009E678B">
      <w:pPr>
        <w:pStyle w:val="Heading1"/>
      </w:pPr>
      <w:bookmarkStart w:id="27" w:name="_Toc135416590"/>
      <w:bookmarkStart w:id="28" w:name="_Toc135416655"/>
      <w:bookmarkStart w:id="29" w:name="_Toc146183250"/>
      <w:r>
        <w:lastRenderedPageBreak/>
        <w:t>Administrative Reports Checklist</w:t>
      </w:r>
      <w:bookmarkEnd w:id="27"/>
      <w:bookmarkEnd w:id="28"/>
      <w:bookmarkEnd w:id="29"/>
    </w:p>
    <w:p w14:paraId="224CE0F8" w14:textId="713AF251" w:rsidR="00C2272C" w:rsidRDefault="00972BD0" w:rsidP="00972BD0">
      <w:pPr>
        <w:pStyle w:val="BodyText"/>
        <w:spacing w:after="240"/>
      </w:pPr>
      <w:r w:rsidRPr="00972BD0">
        <w:t xml:space="preserve">The </w:t>
      </w:r>
      <w:r w:rsidR="00F976D7">
        <w:t>Administrative Reports checklist</w:t>
      </w:r>
      <w:r w:rsidRPr="00972BD0">
        <w:t xml:space="preserve"> </w:t>
      </w:r>
      <w:r w:rsidR="00941C21">
        <w:t xml:space="preserve">is </w:t>
      </w:r>
      <w:r w:rsidRPr="00972BD0">
        <w:t>a comprehensive list of checks and balances to ensure the accuracy of entries recorded within Dentrix Enterprise</w:t>
      </w:r>
      <w:r w:rsidR="00F976D7">
        <w:t xml:space="preserve"> and</w:t>
      </w:r>
      <w:r w:rsidRPr="00972BD0">
        <w:t xml:space="preserve"> allow </w:t>
      </w:r>
      <w:r w:rsidR="00F976D7">
        <w:t xml:space="preserve">the </w:t>
      </w:r>
      <w:r w:rsidRPr="00972BD0">
        <w:t>tracking and review</w:t>
      </w:r>
      <w:r w:rsidR="00F976D7">
        <w:t>ing</w:t>
      </w:r>
      <w:r w:rsidRPr="00972BD0">
        <w:t xml:space="preserve"> of internal key performance indicators.</w:t>
      </w:r>
      <w:r w:rsidR="00F976D7">
        <w:t xml:space="preserve"> </w:t>
      </w:r>
      <w:r w:rsidR="00C2272C">
        <w:t>Each table of the checklist provides details for performing a task. To complete the task’s objective, be aware of any</w:t>
      </w:r>
      <w:r w:rsidR="00C2272C" w:rsidRPr="00912847">
        <w:t xml:space="preserve"> dependencies</w:t>
      </w:r>
      <w:r w:rsidR="00C2272C">
        <w:t>, and take actions or make</w:t>
      </w:r>
      <w:r w:rsidR="00C2272C" w:rsidRPr="00912847">
        <w:t xml:space="preserve"> corrections if</w:t>
      </w:r>
      <w:r w:rsidR="00C2272C">
        <w:t xml:space="preserve"> </w:t>
      </w:r>
      <w:r w:rsidR="00C2272C" w:rsidRPr="00912847">
        <w:t>the report</w:t>
      </w:r>
      <w:r w:rsidR="00F976D7">
        <w:t xml:space="preserve"> or action</w:t>
      </w:r>
      <w:r w:rsidR="00C2272C" w:rsidRPr="00912847">
        <w:t xml:space="preserve"> does not yield the expected result. </w:t>
      </w:r>
      <w:r w:rsidR="00C2272C">
        <w:t>To record the task’s completion,</w:t>
      </w:r>
      <w:r w:rsidR="00C2272C" w:rsidRPr="00912847">
        <w:t xml:space="preserve"> enter the review date, your name, recommended actions, target date</w:t>
      </w:r>
      <w:r w:rsidR="00C2272C">
        <w:t>,</w:t>
      </w:r>
      <w:r w:rsidR="00C2272C" w:rsidRPr="00912847">
        <w:t xml:space="preserve"> and completion date.</w:t>
      </w:r>
    </w:p>
    <w:tbl>
      <w:tblPr>
        <w:tblStyle w:val="TableGrid"/>
        <w:tblW w:w="129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1586"/>
        <w:gridCol w:w="2504"/>
        <w:gridCol w:w="3411"/>
        <w:gridCol w:w="3294"/>
        <w:gridCol w:w="988"/>
        <w:gridCol w:w="1177"/>
      </w:tblGrid>
      <w:tr w:rsidR="00941C21" w:rsidRPr="00EE4BD6" w14:paraId="2CAE044E" w14:textId="77777777" w:rsidTr="00F97A1E">
        <w:trPr>
          <w:cantSplit/>
          <w:trHeight w:val="595"/>
          <w:tblHeader/>
        </w:trPr>
        <w:tc>
          <w:tcPr>
            <w:tcW w:w="612" w:type="pct"/>
            <w:vAlign w:val="center"/>
          </w:tcPr>
          <w:p w14:paraId="7B84455F" w14:textId="77777777" w:rsidR="00941C21" w:rsidRPr="00912847" w:rsidRDefault="00941C21" w:rsidP="00C81021">
            <w:pPr>
              <w:pStyle w:val="TableText"/>
              <w:jc w:val="center"/>
              <w:rPr>
                <w:b/>
                <w:bCs/>
              </w:rPr>
            </w:pPr>
            <w:r w:rsidRPr="00435784">
              <w:rPr>
                <w:b/>
                <w:bCs/>
              </w:rPr>
              <w:t>Checklist Task / Report</w:t>
            </w:r>
          </w:p>
        </w:tc>
        <w:tc>
          <w:tcPr>
            <w:tcW w:w="966" w:type="pct"/>
            <w:vAlign w:val="center"/>
          </w:tcPr>
          <w:p w14:paraId="4475CDAB" w14:textId="77777777" w:rsidR="00941C21" w:rsidRPr="00912847" w:rsidRDefault="00941C21" w:rsidP="00C81021">
            <w:pPr>
              <w:pStyle w:val="TableText"/>
              <w:jc w:val="center"/>
              <w:rPr>
                <w:b/>
                <w:bCs/>
              </w:rPr>
            </w:pPr>
            <w:r w:rsidRPr="00912847">
              <w:rPr>
                <w:b/>
                <w:bCs/>
              </w:rPr>
              <w:t>Objective</w:t>
            </w:r>
          </w:p>
        </w:tc>
        <w:tc>
          <w:tcPr>
            <w:tcW w:w="1316" w:type="pct"/>
            <w:vAlign w:val="center"/>
          </w:tcPr>
          <w:p w14:paraId="765FE46C" w14:textId="77777777" w:rsidR="00941C21" w:rsidRPr="00912847" w:rsidRDefault="00941C21" w:rsidP="00C81021">
            <w:pPr>
              <w:pStyle w:val="TableText"/>
              <w:jc w:val="center"/>
              <w:rPr>
                <w:b/>
                <w:bCs/>
              </w:rPr>
            </w:pPr>
            <w:r w:rsidRPr="00912847">
              <w:rPr>
                <w:b/>
                <w:bCs/>
              </w:rPr>
              <w:t>Dependencies and Possible Actions or Corrections Needed to Meet Objective</w:t>
            </w:r>
          </w:p>
        </w:tc>
        <w:tc>
          <w:tcPr>
            <w:tcW w:w="1271" w:type="pct"/>
            <w:vAlign w:val="center"/>
          </w:tcPr>
          <w:p w14:paraId="57CAF221" w14:textId="77777777" w:rsidR="00941C21" w:rsidRPr="009A1DE7" w:rsidRDefault="00941C21" w:rsidP="00C81021">
            <w:pPr>
              <w:pStyle w:val="TableText"/>
              <w:jc w:val="center"/>
            </w:pPr>
            <w:r w:rsidRPr="00912847">
              <w:rPr>
                <w:b/>
                <w:bCs/>
              </w:rPr>
              <w:t>Warning</w:t>
            </w:r>
          </w:p>
          <w:p w14:paraId="1FB7AF3C" w14:textId="77777777" w:rsidR="00941C21" w:rsidRPr="009A1DE7" w:rsidRDefault="00941C21" w:rsidP="00C81021">
            <w:pPr>
              <w:pStyle w:val="TableText"/>
              <w:jc w:val="center"/>
            </w:pPr>
            <w:r w:rsidRPr="009A1DE7">
              <w:rPr>
                <w:i/>
                <w:iCs/>
              </w:rPr>
              <w:t>Not following the recommendations may yield the</w:t>
            </w:r>
            <w:r>
              <w:rPr>
                <w:i/>
                <w:iCs/>
              </w:rPr>
              <w:t>se</w:t>
            </w:r>
            <w:r w:rsidRPr="009A1DE7">
              <w:rPr>
                <w:i/>
                <w:iCs/>
              </w:rPr>
              <w:t xml:space="preserve"> unintended results.</w:t>
            </w:r>
          </w:p>
        </w:tc>
        <w:tc>
          <w:tcPr>
            <w:tcW w:w="835" w:type="pct"/>
            <w:gridSpan w:val="2"/>
            <w:shd w:val="clear" w:color="auto" w:fill="F2F2F2" w:themeFill="background1" w:themeFillShade="F2"/>
            <w:vAlign w:val="center"/>
          </w:tcPr>
          <w:p w14:paraId="2651D6E6" w14:textId="77777777" w:rsidR="00941C21" w:rsidRPr="00EF587A" w:rsidRDefault="00941C21" w:rsidP="00C81021">
            <w:pPr>
              <w:pStyle w:val="TableText"/>
              <w:jc w:val="center"/>
              <w:rPr>
                <w:b/>
                <w:bCs/>
              </w:rPr>
            </w:pPr>
            <w:r w:rsidRPr="00EF587A">
              <w:rPr>
                <w:b/>
                <w:bCs/>
              </w:rPr>
              <w:t>Completion</w:t>
            </w:r>
          </w:p>
        </w:tc>
      </w:tr>
      <w:tr w:rsidR="00941C21" w:rsidRPr="00EE4BD6" w14:paraId="15ED055B" w14:textId="77777777" w:rsidTr="00F97A1E">
        <w:trPr>
          <w:cantSplit/>
          <w:trHeight w:val="428"/>
        </w:trPr>
        <w:tc>
          <w:tcPr>
            <w:tcW w:w="612" w:type="pct"/>
            <w:vMerge w:val="restart"/>
            <w:vAlign w:val="center"/>
          </w:tcPr>
          <w:p w14:paraId="2AE7FA81" w14:textId="295EAF81" w:rsidR="00941C21" w:rsidRPr="00F77313" w:rsidRDefault="00941C21" w:rsidP="00941C21">
            <w:pPr>
              <w:pStyle w:val="TableText"/>
              <w:jc w:val="center"/>
              <w:rPr>
                <w:b/>
                <w:bCs/>
              </w:rPr>
            </w:pPr>
            <w:r w:rsidRPr="00941C21">
              <w:rPr>
                <w:b/>
                <w:bCs/>
              </w:rPr>
              <w:t>Patient List</w:t>
            </w:r>
          </w:p>
        </w:tc>
        <w:tc>
          <w:tcPr>
            <w:tcW w:w="966" w:type="pct"/>
            <w:vMerge w:val="restart"/>
          </w:tcPr>
          <w:p w14:paraId="64C4008B" w14:textId="1C64E264" w:rsidR="00941C21" w:rsidRPr="009A1DE7" w:rsidRDefault="00941C21" w:rsidP="00941C21">
            <w:pPr>
              <w:pStyle w:val="TableText"/>
            </w:pPr>
            <w:r w:rsidRPr="006375CF">
              <w:t>To be used to query the database based on many different filters and data output.  This is a List of patients and not a "totaling" type report.</w:t>
            </w:r>
          </w:p>
        </w:tc>
        <w:tc>
          <w:tcPr>
            <w:tcW w:w="1316" w:type="pct"/>
            <w:vMerge w:val="restart"/>
          </w:tcPr>
          <w:p w14:paraId="4E55B35B" w14:textId="654DE0BB" w:rsidR="00941C21" w:rsidRPr="009A1DE7" w:rsidRDefault="00941C21" w:rsidP="00941C21">
            <w:pPr>
              <w:pStyle w:val="TableText"/>
              <w:numPr>
                <w:ilvl w:val="0"/>
                <w:numId w:val="2"/>
              </w:numPr>
              <w:ind w:left="232" w:hanging="180"/>
            </w:pPr>
            <w:r w:rsidRPr="006375CF">
              <w:t>Consistently following the daily, weekly monthly check list to ensure Dentrix Enterprise data is accurate.</w:t>
            </w:r>
          </w:p>
        </w:tc>
        <w:tc>
          <w:tcPr>
            <w:tcW w:w="1271" w:type="pct"/>
            <w:vMerge w:val="restart"/>
          </w:tcPr>
          <w:p w14:paraId="48CE8240" w14:textId="045CFAC0" w:rsidR="00941C21" w:rsidRPr="00EF587A" w:rsidRDefault="00941C21" w:rsidP="00941C21">
            <w:pPr>
              <w:pStyle w:val="TableText"/>
            </w:pPr>
            <w:r w:rsidRPr="006375CF">
              <w:t>Data integrity will not be optimized without routine review of this report.  The simple concept of "garbage in garbage out" applies here to the level of accuracy, knowledge, and system outcomes.</w:t>
            </w:r>
          </w:p>
        </w:tc>
        <w:tc>
          <w:tcPr>
            <w:tcW w:w="381" w:type="pct"/>
            <w:shd w:val="clear" w:color="auto" w:fill="F2F2F2" w:themeFill="background1" w:themeFillShade="F2"/>
          </w:tcPr>
          <w:p w14:paraId="63E7D0DD" w14:textId="77777777" w:rsidR="00941C21" w:rsidRPr="00EE4BD6" w:rsidRDefault="00941C21" w:rsidP="00941C21">
            <w:pPr>
              <w:pStyle w:val="TableText"/>
            </w:pPr>
            <w:r w:rsidRPr="001F26DF">
              <w:t>Date Reviewed</w:t>
            </w:r>
            <w:r>
              <w:t>:</w:t>
            </w:r>
          </w:p>
        </w:tc>
        <w:tc>
          <w:tcPr>
            <w:tcW w:w="454" w:type="pct"/>
            <w:shd w:val="clear" w:color="auto" w:fill="F2F2F2" w:themeFill="background1" w:themeFillShade="F2"/>
          </w:tcPr>
          <w:p w14:paraId="4F449AA1" w14:textId="77777777" w:rsidR="00941C21" w:rsidRPr="00EE4BD6" w:rsidRDefault="00941C21" w:rsidP="00941C21">
            <w:pPr>
              <w:pStyle w:val="TableText"/>
            </w:pPr>
          </w:p>
        </w:tc>
      </w:tr>
      <w:tr w:rsidR="00941C21" w:rsidRPr="00EE4BD6" w14:paraId="42021557" w14:textId="77777777" w:rsidTr="00F97A1E">
        <w:trPr>
          <w:cantSplit/>
          <w:trHeight w:val="428"/>
        </w:trPr>
        <w:tc>
          <w:tcPr>
            <w:tcW w:w="612" w:type="pct"/>
            <w:vMerge/>
          </w:tcPr>
          <w:p w14:paraId="40F338FE" w14:textId="77777777" w:rsidR="00941C21" w:rsidRPr="00EF587A" w:rsidRDefault="00941C21" w:rsidP="00C81021">
            <w:pPr>
              <w:pStyle w:val="TableText"/>
            </w:pPr>
          </w:p>
        </w:tc>
        <w:tc>
          <w:tcPr>
            <w:tcW w:w="966" w:type="pct"/>
            <w:vMerge/>
          </w:tcPr>
          <w:p w14:paraId="14300886" w14:textId="77777777" w:rsidR="00941C21" w:rsidRPr="009A1DE7" w:rsidRDefault="00941C21" w:rsidP="00C81021">
            <w:pPr>
              <w:pStyle w:val="TableText"/>
            </w:pPr>
          </w:p>
        </w:tc>
        <w:tc>
          <w:tcPr>
            <w:tcW w:w="1316" w:type="pct"/>
            <w:vMerge/>
          </w:tcPr>
          <w:p w14:paraId="11C3B986" w14:textId="77777777" w:rsidR="00941C21" w:rsidRPr="009A1DE7" w:rsidRDefault="00941C21" w:rsidP="00C81021">
            <w:pPr>
              <w:pStyle w:val="TableText"/>
            </w:pPr>
          </w:p>
        </w:tc>
        <w:tc>
          <w:tcPr>
            <w:tcW w:w="1271" w:type="pct"/>
            <w:vMerge/>
          </w:tcPr>
          <w:p w14:paraId="1CB1100A" w14:textId="77777777" w:rsidR="00941C21" w:rsidRPr="009A1DE7" w:rsidRDefault="00941C21" w:rsidP="00C81021">
            <w:pPr>
              <w:pStyle w:val="TableText"/>
            </w:pPr>
          </w:p>
        </w:tc>
        <w:tc>
          <w:tcPr>
            <w:tcW w:w="381" w:type="pct"/>
            <w:shd w:val="clear" w:color="auto" w:fill="F2F2F2" w:themeFill="background1" w:themeFillShade="F2"/>
          </w:tcPr>
          <w:p w14:paraId="3DDA15BA"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7280607A" w14:textId="77777777" w:rsidR="00941C21" w:rsidRPr="00EE4BD6" w:rsidRDefault="00941C21" w:rsidP="00C81021">
            <w:pPr>
              <w:pStyle w:val="TableText"/>
            </w:pPr>
          </w:p>
        </w:tc>
      </w:tr>
      <w:tr w:rsidR="00941C21" w:rsidRPr="00EE4BD6" w14:paraId="460FE6B4" w14:textId="77777777" w:rsidTr="00F97A1E">
        <w:trPr>
          <w:cantSplit/>
          <w:trHeight w:val="428"/>
        </w:trPr>
        <w:tc>
          <w:tcPr>
            <w:tcW w:w="612" w:type="pct"/>
            <w:vMerge/>
          </w:tcPr>
          <w:p w14:paraId="64F98F88" w14:textId="77777777" w:rsidR="00941C21" w:rsidRPr="00EF587A" w:rsidRDefault="00941C21" w:rsidP="00C81021">
            <w:pPr>
              <w:pStyle w:val="TableText"/>
            </w:pPr>
          </w:p>
        </w:tc>
        <w:tc>
          <w:tcPr>
            <w:tcW w:w="966" w:type="pct"/>
            <w:vMerge/>
          </w:tcPr>
          <w:p w14:paraId="289A3FD6" w14:textId="77777777" w:rsidR="00941C21" w:rsidRPr="009A1DE7" w:rsidRDefault="00941C21" w:rsidP="00C81021">
            <w:pPr>
              <w:pStyle w:val="TableText"/>
            </w:pPr>
          </w:p>
        </w:tc>
        <w:tc>
          <w:tcPr>
            <w:tcW w:w="1316" w:type="pct"/>
            <w:vMerge/>
          </w:tcPr>
          <w:p w14:paraId="408FD061" w14:textId="77777777" w:rsidR="00941C21" w:rsidRPr="009A1DE7" w:rsidRDefault="00941C21" w:rsidP="00C81021">
            <w:pPr>
              <w:pStyle w:val="TableText"/>
            </w:pPr>
          </w:p>
        </w:tc>
        <w:tc>
          <w:tcPr>
            <w:tcW w:w="1271" w:type="pct"/>
            <w:vMerge/>
          </w:tcPr>
          <w:p w14:paraId="6839F8B2" w14:textId="77777777" w:rsidR="00941C21" w:rsidRPr="009A1DE7" w:rsidRDefault="00941C21" w:rsidP="00C81021">
            <w:pPr>
              <w:pStyle w:val="TableText"/>
            </w:pPr>
          </w:p>
        </w:tc>
        <w:tc>
          <w:tcPr>
            <w:tcW w:w="381" w:type="pct"/>
            <w:shd w:val="clear" w:color="auto" w:fill="F2F2F2" w:themeFill="background1" w:themeFillShade="F2"/>
          </w:tcPr>
          <w:p w14:paraId="02573161"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660E1A32" w14:textId="77777777" w:rsidR="00941C21" w:rsidRPr="00EE4BD6" w:rsidRDefault="00941C21" w:rsidP="00C81021">
            <w:pPr>
              <w:pStyle w:val="TableText"/>
            </w:pPr>
          </w:p>
        </w:tc>
      </w:tr>
      <w:tr w:rsidR="00941C21" w:rsidRPr="00EE4BD6" w14:paraId="2EEC2479" w14:textId="77777777" w:rsidTr="00F97A1E">
        <w:trPr>
          <w:cantSplit/>
          <w:trHeight w:val="428"/>
        </w:trPr>
        <w:tc>
          <w:tcPr>
            <w:tcW w:w="612" w:type="pct"/>
            <w:vMerge/>
          </w:tcPr>
          <w:p w14:paraId="6B125F81" w14:textId="77777777" w:rsidR="00941C21" w:rsidRPr="00EF587A" w:rsidRDefault="00941C21" w:rsidP="00C81021">
            <w:pPr>
              <w:pStyle w:val="TableText"/>
            </w:pPr>
          </w:p>
        </w:tc>
        <w:tc>
          <w:tcPr>
            <w:tcW w:w="966" w:type="pct"/>
            <w:vMerge/>
          </w:tcPr>
          <w:p w14:paraId="6547E4F5" w14:textId="77777777" w:rsidR="00941C21" w:rsidRPr="009A1DE7" w:rsidRDefault="00941C21" w:rsidP="00C81021">
            <w:pPr>
              <w:pStyle w:val="TableText"/>
            </w:pPr>
          </w:p>
        </w:tc>
        <w:tc>
          <w:tcPr>
            <w:tcW w:w="1316" w:type="pct"/>
            <w:vMerge/>
          </w:tcPr>
          <w:p w14:paraId="12277D46" w14:textId="77777777" w:rsidR="00941C21" w:rsidRPr="009A1DE7" w:rsidRDefault="00941C21" w:rsidP="00C81021">
            <w:pPr>
              <w:pStyle w:val="TableText"/>
            </w:pPr>
          </w:p>
        </w:tc>
        <w:tc>
          <w:tcPr>
            <w:tcW w:w="1271" w:type="pct"/>
            <w:vMerge/>
          </w:tcPr>
          <w:p w14:paraId="0FFD99FC" w14:textId="77777777" w:rsidR="00941C21" w:rsidRPr="009A1DE7" w:rsidRDefault="00941C21" w:rsidP="00C81021">
            <w:pPr>
              <w:pStyle w:val="TableText"/>
            </w:pPr>
          </w:p>
        </w:tc>
        <w:tc>
          <w:tcPr>
            <w:tcW w:w="381" w:type="pct"/>
            <w:shd w:val="clear" w:color="auto" w:fill="F2F2F2" w:themeFill="background1" w:themeFillShade="F2"/>
          </w:tcPr>
          <w:p w14:paraId="68F115EB"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03E2CD57" w14:textId="77777777" w:rsidR="00941C21" w:rsidRPr="00EE4BD6" w:rsidRDefault="00941C21" w:rsidP="00C81021">
            <w:pPr>
              <w:pStyle w:val="TableText"/>
            </w:pPr>
          </w:p>
        </w:tc>
      </w:tr>
      <w:tr w:rsidR="00941C21" w:rsidRPr="00EE4BD6" w14:paraId="7630B401" w14:textId="77777777" w:rsidTr="00F97A1E">
        <w:trPr>
          <w:cantSplit/>
          <w:trHeight w:val="428"/>
        </w:trPr>
        <w:tc>
          <w:tcPr>
            <w:tcW w:w="612" w:type="pct"/>
            <w:vMerge/>
          </w:tcPr>
          <w:p w14:paraId="344013B2" w14:textId="77777777" w:rsidR="00941C21" w:rsidRPr="00EF587A" w:rsidRDefault="00941C21" w:rsidP="00C81021">
            <w:pPr>
              <w:pStyle w:val="TableText"/>
            </w:pPr>
          </w:p>
        </w:tc>
        <w:tc>
          <w:tcPr>
            <w:tcW w:w="966" w:type="pct"/>
            <w:vMerge/>
          </w:tcPr>
          <w:p w14:paraId="28693521" w14:textId="77777777" w:rsidR="00941C21" w:rsidRPr="00EF587A" w:rsidRDefault="00941C21" w:rsidP="00C81021">
            <w:pPr>
              <w:pStyle w:val="TableText"/>
            </w:pPr>
          </w:p>
        </w:tc>
        <w:tc>
          <w:tcPr>
            <w:tcW w:w="1316" w:type="pct"/>
            <w:vMerge/>
          </w:tcPr>
          <w:p w14:paraId="6728076E" w14:textId="77777777" w:rsidR="00941C21" w:rsidRPr="00EF587A" w:rsidRDefault="00941C21" w:rsidP="00C81021">
            <w:pPr>
              <w:pStyle w:val="TableText"/>
            </w:pPr>
          </w:p>
        </w:tc>
        <w:tc>
          <w:tcPr>
            <w:tcW w:w="1271" w:type="pct"/>
            <w:vMerge/>
          </w:tcPr>
          <w:p w14:paraId="05B1FC01" w14:textId="77777777" w:rsidR="00941C21" w:rsidRPr="00EF587A" w:rsidRDefault="00941C21" w:rsidP="00C81021">
            <w:pPr>
              <w:pStyle w:val="TableText"/>
            </w:pPr>
          </w:p>
        </w:tc>
        <w:tc>
          <w:tcPr>
            <w:tcW w:w="381" w:type="pct"/>
            <w:shd w:val="clear" w:color="auto" w:fill="F2F2F2" w:themeFill="background1" w:themeFillShade="F2"/>
          </w:tcPr>
          <w:p w14:paraId="39408D24"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7C738134" w14:textId="77777777" w:rsidR="00941C21" w:rsidRPr="00EF587A" w:rsidRDefault="00941C21" w:rsidP="00C81021">
            <w:pPr>
              <w:pStyle w:val="TableText"/>
            </w:pPr>
          </w:p>
        </w:tc>
      </w:tr>
      <w:tr w:rsidR="00587DBC" w:rsidRPr="00EE4BD6" w14:paraId="57EA5F4F" w14:textId="77777777" w:rsidTr="00F97A1E">
        <w:trPr>
          <w:cantSplit/>
          <w:trHeight w:val="91"/>
        </w:trPr>
        <w:tc>
          <w:tcPr>
            <w:tcW w:w="5000" w:type="pct"/>
            <w:gridSpan w:val="6"/>
            <w:shd w:val="clear" w:color="auto" w:fill="D0CECE" w:themeFill="background2" w:themeFillShade="E6"/>
            <w:vAlign w:val="center"/>
          </w:tcPr>
          <w:p w14:paraId="62830882" w14:textId="77777777" w:rsidR="00587DBC" w:rsidRPr="00572499" w:rsidRDefault="00587DBC" w:rsidP="00C81021">
            <w:pPr>
              <w:pStyle w:val="TableText"/>
              <w:rPr>
                <w:sz w:val="8"/>
                <w:szCs w:val="8"/>
              </w:rPr>
            </w:pPr>
          </w:p>
        </w:tc>
      </w:tr>
      <w:tr w:rsidR="00587DBC" w:rsidRPr="00EE4BD6" w14:paraId="7294549B" w14:textId="77777777" w:rsidTr="00F97A1E">
        <w:trPr>
          <w:cantSplit/>
          <w:trHeight w:val="428"/>
        </w:trPr>
        <w:tc>
          <w:tcPr>
            <w:tcW w:w="612" w:type="pct"/>
            <w:vMerge w:val="restart"/>
            <w:vAlign w:val="center"/>
          </w:tcPr>
          <w:p w14:paraId="3D30C7F6" w14:textId="045FB42B" w:rsidR="00587DBC" w:rsidRPr="00F77313" w:rsidRDefault="00587DBC" w:rsidP="00587DBC">
            <w:pPr>
              <w:pStyle w:val="TableText"/>
              <w:jc w:val="center"/>
              <w:rPr>
                <w:b/>
                <w:bCs/>
              </w:rPr>
            </w:pPr>
            <w:r w:rsidRPr="00941C21">
              <w:rPr>
                <w:b/>
                <w:bCs/>
              </w:rPr>
              <w:t>Appointment Statistics</w:t>
            </w:r>
          </w:p>
        </w:tc>
        <w:tc>
          <w:tcPr>
            <w:tcW w:w="966" w:type="pct"/>
            <w:vMerge w:val="restart"/>
          </w:tcPr>
          <w:p w14:paraId="197C7C1D" w14:textId="126B980F" w:rsidR="00587DBC" w:rsidRPr="009A1DE7" w:rsidRDefault="00587DBC" w:rsidP="00587DBC">
            <w:pPr>
              <w:pStyle w:val="TableText"/>
            </w:pPr>
            <w:r w:rsidRPr="006375CF">
              <w:t>Used to identify how long a patient was in an appointment status.  Other statistical information is provided such as Broken appointment count.</w:t>
            </w:r>
          </w:p>
        </w:tc>
        <w:tc>
          <w:tcPr>
            <w:tcW w:w="1316" w:type="pct"/>
            <w:vMerge w:val="restart"/>
          </w:tcPr>
          <w:p w14:paraId="44B5393C" w14:textId="77777777" w:rsidR="00587DBC" w:rsidRDefault="00587DBC" w:rsidP="00587DBC">
            <w:pPr>
              <w:pStyle w:val="TableText"/>
              <w:keepNext/>
              <w:keepLines/>
              <w:numPr>
                <w:ilvl w:val="0"/>
                <w:numId w:val="2"/>
              </w:numPr>
              <w:ind w:left="232" w:hanging="180"/>
            </w:pPr>
            <w:r w:rsidRPr="006375CF">
              <w:t>Set up and use of Appointment status and "late appointment" tracking is active.</w:t>
            </w:r>
          </w:p>
          <w:p w14:paraId="57B229C5" w14:textId="77619F11" w:rsidR="00587DBC" w:rsidRPr="009A1DE7" w:rsidRDefault="00587DBC" w:rsidP="00587DBC">
            <w:pPr>
              <w:pStyle w:val="TableText"/>
              <w:numPr>
                <w:ilvl w:val="0"/>
                <w:numId w:val="2"/>
              </w:numPr>
              <w:ind w:left="232" w:hanging="180"/>
            </w:pPr>
            <w:r w:rsidRPr="006375CF">
              <w:t>Consistently following the daily, weekly monthly check list to ensure Dentrix Enterprise data is accurate.</w:t>
            </w:r>
          </w:p>
        </w:tc>
        <w:tc>
          <w:tcPr>
            <w:tcW w:w="1271" w:type="pct"/>
            <w:vMerge w:val="restart"/>
          </w:tcPr>
          <w:p w14:paraId="68F93E1C" w14:textId="2B9D18D9" w:rsidR="00587DBC" w:rsidRPr="00EF587A" w:rsidRDefault="00587DBC" w:rsidP="00587DBC">
            <w:pPr>
              <w:pStyle w:val="TableText"/>
            </w:pPr>
            <w:r w:rsidRPr="006375CF">
              <w:t xml:space="preserve">Patients may not </w:t>
            </w:r>
            <w:r w:rsidR="00F97A1E">
              <w:t xml:space="preserve">appear </w:t>
            </w:r>
            <w:proofErr w:type="gramStart"/>
            <w:r w:rsidR="00F97A1E">
              <w:t>as being</w:t>
            </w:r>
            <w:proofErr w:type="gramEnd"/>
            <w:r w:rsidRPr="006375CF">
              <w:t xml:space="preserve"> on time if they are not seen on time. This makes planning out days and future availability difficult and will result in reduced productivity of the providers and staff.</w:t>
            </w:r>
          </w:p>
        </w:tc>
        <w:tc>
          <w:tcPr>
            <w:tcW w:w="381" w:type="pct"/>
            <w:shd w:val="clear" w:color="auto" w:fill="F2F2F2" w:themeFill="background1" w:themeFillShade="F2"/>
          </w:tcPr>
          <w:p w14:paraId="2B894BB7" w14:textId="77777777" w:rsidR="00587DBC" w:rsidRPr="00EE4BD6" w:rsidRDefault="00587DBC" w:rsidP="00587DBC">
            <w:pPr>
              <w:pStyle w:val="TableText"/>
            </w:pPr>
            <w:r w:rsidRPr="001F26DF">
              <w:t>Date Reviewed</w:t>
            </w:r>
            <w:r>
              <w:t>:</w:t>
            </w:r>
          </w:p>
        </w:tc>
        <w:tc>
          <w:tcPr>
            <w:tcW w:w="454" w:type="pct"/>
            <w:shd w:val="clear" w:color="auto" w:fill="F2F2F2" w:themeFill="background1" w:themeFillShade="F2"/>
          </w:tcPr>
          <w:p w14:paraId="4D2A8099" w14:textId="77777777" w:rsidR="00587DBC" w:rsidRPr="00EE4BD6" w:rsidRDefault="00587DBC" w:rsidP="00587DBC">
            <w:pPr>
              <w:pStyle w:val="TableText"/>
            </w:pPr>
          </w:p>
        </w:tc>
      </w:tr>
      <w:tr w:rsidR="00941C21" w:rsidRPr="00EE4BD6" w14:paraId="4614C55E" w14:textId="77777777" w:rsidTr="00F97A1E">
        <w:trPr>
          <w:cantSplit/>
          <w:trHeight w:val="428"/>
        </w:trPr>
        <w:tc>
          <w:tcPr>
            <w:tcW w:w="612" w:type="pct"/>
            <w:vMerge/>
          </w:tcPr>
          <w:p w14:paraId="3F7EB525" w14:textId="77777777" w:rsidR="00941C21" w:rsidRPr="00EF587A" w:rsidRDefault="00941C21" w:rsidP="00C81021">
            <w:pPr>
              <w:pStyle w:val="TableText"/>
            </w:pPr>
          </w:p>
        </w:tc>
        <w:tc>
          <w:tcPr>
            <w:tcW w:w="966" w:type="pct"/>
            <w:vMerge/>
          </w:tcPr>
          <w:p w14:paraId="02BFF6C0" w14:textId="77777777" w:rsidR="00941C21" w:rsidRPr="009A1DE7" w:rsidRDefault="00941C21" w:rsidP="00C81021">
            <w:pPr>
              <w:pStyle w:val="TableText"/>
            </w:pPr>
          </w:p>
        </w:tc>
        <w:tc>
          <w:tcPr>
            <w:tcW w:w="1316" w:type="pct"/>
            <w:vMerge/>
          </w:tcPr>
          <w:p w14:paraId="1969C3AC" w14:textId="77777777" w:rsidR="00941C21" w:rsidRPr="009A1DE7" w:rsidRDefault="00941C21" w:rsidP="00C81021">
            <w:pPr>
              <w:pStyle w:val="TableText"/>
            </w:pPr>
          </w:p>
        </w:tc>
        <w:tc>
          <w:tcPr>
            <w:tcW w:w="1271" w:type="pct"/>
            <w:vMerge/>
          </w:tcPr>
          <w:p w14:paraId="09845F81" w14:textId="77777777" w:rsidR="00941C21" w:rsidRPr="009A1DE7" w:rsidRDefault="00941C21" w:rsidP="00C81021">
            <w:pPr>
              <w:pStyle w:val="TableText"/>
            </w:pPr>
          </w:p>
        </w:tc>
        <w:tc>
          <w:tcPr>
            <w:tcW w:w="381" w:type="pct"/>
            <w:shd w:val="clear" w:color="auto" w:fill="F2F2F2" w:themeFill="background1" w:themeFillShade="F2"/>
          </w:tcPr>
          <w:p w14:paraId="48D6731C"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660AC42C" w14:textId="77777777" w:rsidR="00941C21" w:rsidRPr="00EE4BD6" w:rsidRDefault="00941C21" w:rsidP="00C81021">
            <w:pPr>
              <w:pStyle w:val="TableText"/>
            </w:pPr>
          </w:p>
        </w:tc>
      </w:tr>
      <w:tr w:rsidR="00941C21" w:rsidRPr="00EE4BD6" w14:paraId="5969A21D" w14:textId="77777777" w:rsidTr="00F97A1E">
        <w:trPr>
          <w:cantSplit/>
          <w:trHeight w:val="428"/>
        </w:trPr>
        <w:tc>
          <w:tcPr>
            <w:tcW w:w="612" w:type="pct"/>
            <w:vMerge/>
          </w:tcPr>
          <w:p w14:paraId="25E48AE1" w14:textId="77777777" w:rsidR="00941C21" w:rsidRPr="00EF587A" w:rsidRDefault="00941C21" w:rsidP="00C81021">
            <w:pPr>
              <w:pStyle w:val="TableText"/>
            </w:pPr>
          </w:p>
        </w:tc>
        <w:tc>
          <w:tcPr>
            <w:tcW w:w="966" w:type="pct"/>
            <w:vMerge/>
          </w:tcPr>
          <w:p w14:paraId="7849C34E" w14:textId="77777777" w:rsidR="00941C21" w:rsidRPr="009A1DE7" w:rsidRDefault="00941C21" w:rsidP="00C81021">
            <w:pPr>
              <w:pStyle w:val="TableText"/>
            </w:pPr>
          </w:p>
        </w:tc>
        <w:tc>
          <w:tcPr>
            <w:tcW w:w="1316" w:type="pct"/>
            <w:vMerge/>
          </w:tcPr>
          <w:p w14:paraId="40D674F5" w14:textId="77777777" w:rsidR="00941C21" w:rsidRPr="009A1DE7" w:rsidRDefault="00941C21" w:rsidP="00C81021">
            <w:pPr>
              <w:pStyle w:val="TableText"/>
            </w:pPr>
          </w:p>
        </w:tc>
        <w:tc>
          <w:tcPr>
            <w:tcW w:w="1271" w:type="pct"/>
            <w:vMerge/>
          </w:tcPr>
          <w:p w14:paraId="7E51AAF3" w14:textId="77777777" w:rsidR="00941C21" w:rsidRPr="009A1DE7" w:rsidRDefault="00941C21" w:rsidP="00C81021">
            <w:pPr>
              <w:pStyle w:val="TableText"/>
            </w:pPr>
          </w:p>
        </w:tc>
        <w:tc>
          <w:tcPr>
            <w:tcW w:w="381" w:type="pct"/>
            <w:shd w:val="clear" w:color="auto" w:fill="F2F2F2" w:themeFill="background1" w:themeFillShade="F2"/>
          </w:tcPr>
          <w:p w14:paraId="1F58690D"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1DC2E8CC" w14:textId="77777777" w:rsidR="00941C21" w:rsidRPr="00EE4BD6" w:rsidRDefault="00941C21" w:rsidP="00C81021">
            <w:pPr>
              <w:pStyle w:val="TableText"/>
            </w:pPr>
          </w:p>
        </w:tc>
      </w:tr>
      <w:tr w:rsidR="00941C21" w:rsidRPr="00EE4BD6" w14:paraId="6BEBBD22" w14:textId="77777777" w:rsidTr="00F97A1E">
        <w:trPr>
          <w:cantSplit/>
          <w:trHeight w:val="428"/>
        </w:trPr>
        <w:tc>
          <w:tcPr>
            <w:tcW w:w="612" w:type="pct"/>
            <w:vMerge/>
          </w:tcPr>
          <w:p w14:paraId="447D21BB" w14:textId="77777777" w:rsidR="00941C21" w:rsidRPr="00EF587A" w:rsidRDefault="00941C21" w:rsidP="00C81021">
            <w:pPr>
              <w:pStyle w:val="TableText"/>
            </w:pPr>
          </w:p>
        </w:tc>
        <w:tc>
          <w:tcPr>
            <w:tcW w:w="966" w:type="pct"/>
            <w:vMerge/>
          </w:tcPr>
          <w:p w14:paraId="3D5EC344" w14:textId="77777777" w:rsidR="00941C21" w:rsidRPr="009A1DE7" w:rsidRDefault="00941C21" w:rsidP="00C81021">
            <w:pPr>
              <w:pStyle w:val="TableText"/>
            </w:pPr>
          </w:p>
        </w:tc>
        <w:tc>
          <w:tcPr>
            <w:tcW w:w="1316" w:type="pct"/>
            <w:vMerge/>
          </w:tcPr>
          <w:p w14:paraId="7775CD3C" w14:textId="77777777" w:rsidR="00941C21" w:rsidRPr="009A1DE7" w:rsidRDefault="00941C21" w:rsidP="00C81021">
            <w:pPr>
              <w:pStyle w:val="TableText"/>
            </w:pPr>
          </w:p>
        </w:tc>
        <w:tc>
          <w:tcPr>
            <w:tcW w:w="1271" w:type="pct"/>
            <w:vMerge/>
          </w:tcPr>
          <w:p w14:paraId="7D4F6636" w14:textId="77777777" w:rsidR="00941C21" w:rsidRPr="009A1DE7" w:rsidRDefault="00941C21" w:rsidP="00C81021">
            <w:pPr>
              <w:pStyle w:val="TableText"/>
            </w:pPr>
          </w:p>
        </w:tc>
        <w:tc>
          <w:tcPr>
            <w:tcW w:w="381" w:type="pct"/>
            <w:shd w:val="clear" w:color="auto" w:fill="F2F2F2" w:themeFill="background1" w:themeFillShade="F2"/>
          </w:tcPr>
          <w:p w14:paraId="2F7A3450"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7E35AAF0" w14:textId="77777777" w:rsidR="00941C21" w:rsidRPr="00EE4BD6" w:rsidRDefault="00941C21" w:rsidP="00C81021">
            <w:pPr>
              <w:pStyle w:val="TableText"/>
            </w:pPr>
          </w:p>
        </w:tc>
      </w:tr>
      <w:tr w:rsidR="00941C21" w:rsidRPr="00EF587A" w14:paraId="5838A5A2" w14:textId="77777777" w:rsidTr="00F97A1E">
        <w:trPr>
          <w:cantSplit/>
          <w:trHeight w:val="428"/>
        </w:trPr>
        <w:tc>
          <w:tcPr>
            <w:tcW w:w="612" w:type="pct"/>
            <w:vMerge/>
          </w:tcPr>
          <w:p w14:paraId="4DC3BC9C" w14:textId="77777777" w:rsidR="00941C21" w:rsidRPr="00EF587A" w:rsidRDefault="00941C21" w:rsidP="00C81021">
            <w:pPr>
              <w:pStyle w:val="TableText"/>
            </w:pPr>
          </w:p>
        </w:tc>
        <w:tc>
          <w:tcPr>
            <w:tcW w:w="966" w:type="pct"/>
            <w:vMerge/>
          </w:tcPr>
          <w:p w14:paraId="0EDAAFE3" w14:textId="77777777" w:rsidR="00941C21" w:rsidRPr="00EF587A" w:rsidRDefault="00941C21" w:rsidP="00C81021">
            <w:pPr>
              <w:pStyle w:val="TableText"/>
            </w:pPr>
          </w:p>
        </w:tc>
        <w:tc>
          <w:tcPr>
            <w:tcW w:w="1316" w:type="pct"/>
            <w:vMerge/>
          </w:tcPr>
          <w:p w14:paraId="769A3F79" w14:textId="77777777" w:rsidR="00941C21" w:rsidRPr="00EF587A" w:rsidRDefault="00941C21" w:rsidP="00C81021">
            <w:pPr>
              <w:pStyle w:val="TableText"/>
            </w:pPr>
          </w:p>
        </w:tc>
        <w:tc>
          <w:tcPr>
            <w:tcW w:w="1271" w:type="pct"/>
            <w:vMerge/>
          </w:tcPr>
          <w:p w14:paraId="16820503" w14:textId="77777777" w:rsidR="00941C21" w:rsidRPr="00EF587A" w:rsidRDefault="00941C21" w:rsidP="00C81021">
            <w:pPr>
              <w:pStyle w:val="TableText"/>
            </w:pPr>
          </w:p>
        </w:tc>
        <w:tc>
          <w:tcPr>
            <w:tcW w:w="381" w:type="pct"/>
            <w:shd w:val="clear" w:color="auto" w:fill="F2F2F2" w:themeFill="background1" w:themeFillShade="F2"/>
          </w:tcPr>
          <w:p w14:paraId="49C6EB28"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6F3826E2" w14:textId="77777777" w:rsidR="00941C21" w:rsidRPr="00EF587A" w:rsidRDefault="00941C21" w:rsidP="00C81021">
            <w:pPr>
              <w:pStyle w:val="TableText"/>
            </w:pPr>
          </w:p>
        </w:tc>
      </w:tr>
      <w:tr w:rsidR="00587DBC" w:rsidRPr="00EE4BD6" w14:paraId="504C42D8" w14:textId="77777777" w:rsidTr="00F97A1E">
        <w:trPr>
          <w:cantSplit/>
          <w:trHeight w:val="100"/>
        </w:trPr>
        <w:tc>
          <w:tcPr>
            <w:tcW w:w="5000" w:type="pct"/>
            <w:gridSpan w:val="6"/>
            <w:shd w:val="clear" w:color="auto" w:fill="D0CECE" w:themeFill="background2" w:themeFillShade="E6"/>
            <w:vAlign w:val="center"/>
          </w:tcPr>
          <w:p w14:paraId="121BD1CC" w14:textId="77777777" w:rsidR="00587DBC" w:rsidRPr="00572499" w:rsidRDefault="00587DBC" w:rsidP="00C81021">
            <w:pPr>
              <w:pStyle w:val="TableText"/>
              <w:rPr>
                <w:sz w:val="8"/>
                <w:szCs w:val="8"/>
              </w:rPr>
            </w:pPr>
          </w:p>
        </w:tc>
      </w:tr>
      <w:tr w:rsidR="00587DBC" w:rsidRPr="00EE4BD6" w14:paraId="7579A045" w14:textId="77777777" w:rsidTr="00F97A1E">
        <w:trPr>
          <w:cantSplit/>
          <w:trHeight w:val="428"/>
        </w:trPr>
        <w:tc>
          <w:tcPr>
            <w:tcW w:w="612" w:type="pct"/>
            <w:vMerge w:val="restart"/>
            <w:vAlign w:val="center"/>
          </w:tcPr>
          <w:p w14:paraId="39347ADC" w14:textId="63CD97FC" w:rsidR="00587DBC" w:rsidRPr="00F77313" w:rsidRDefault="00587DBC" w:rsidP="00587DBC">
            <w:pPr>
              <w:pStyle w:val="TableText"/>
              <w:pageBreakBefore/>
              <w:jc w:val="center"/>
              <w:rPr>
                <w:b/>
                <w:bCs/>
              </w:rPr>
            </w:pPr>
            <w:r w:rsidRPr="00587DBC">
              <w:rPr>
                <w:b/>
                <w:bCs/>
              </w:rPr>
              <w:lastRenderedPageBreak/>
              <w:t>Practice Statistics</w:t>
            </w:r>
          </w:p>
        </w:tc>
        <w:tc>
          <w:tcPr>
            <w:tcW w:w="966" w:type="pct"/>
            <w:vMerge w:val="restart"/>
          </w:tcPr>
          <w:p w14:paraId="4876F3EE" w14:textId="4AFB36EB" w:rsidR="00587DBC" w:rsidRPr="009A1DE7" w:rsidRDefault="00587DBC" w:rsidP="00587DBC">
            <w:pPr>
              <w:pStyle w:val="TableText"/>
            </w:pPr>
            <w:r w:rsidRPr="006375CF">
              <w:t>The Practice Statistics Report provides a detailed cross-section of the practice's patient base, including demographic, age, and continuing care information.</w:t>
            </w:r>
          </w:p>
        </w:tc>
        <w:tc>
          <w:tcPr>
            <w:tcW w:w="1316" w:type="pct"/>
            <w:vMerge w:val="restart"/>
          </w:tcPr>
          <w:p w14:paraId="2276B7D4" w14:textId="77777777" w:rsidR="00587DBC" w:rsidRPr="00587DBC" w:rsidRDefault="00587DBC" w:rsidP="00587DBC">
            <w:pPr>
              <w:pStyle w:val="TableText"/>
              <w:numPr>
                <w:ilvl w:val="0"/>
                <w:numId w:val="167"/>
              </w:numPr>
              <w:ind w:left="245" w:hanging="187"/>
            </w:pPr>
            <w:r>
              <w:t>Da</w:t>
            </w:r>
            <w:r w:rsidRPr="00587DBC">
              <w:t>y-to-day data entry is accurate.</w:t>
            </w:r>
          </w:p>
          <w:p w14:paraId="1678C41C" w14:textId="3F770D6B" w:rsidR="00587DBC" w:rsidRPr="009A1DE7" w:rsidRDefault="00587DBC" w:rsidP="00587DBC">
            <w:pPr>
              <w:pStyle w:val="TableText"/>
              <w:numPr>
                <w:ilvl w:val="0"/>
                <w:numId w:val="167"/>
              </w:numPr>
              <w:ind w:left="245" w:hanging="187"/>
            </w:pPr>
            <w:r w:rsidRPr="00587DBC">
              <w:t>Consistently following the daily, weekly monthly check list to ensure Dentrix Enterp</w:t>
            </w:r>
            <w:r>
              <w:t>rise data is accurate.</w:t>
            </w:r>
          </w:p>
        </w:tc>
        <w:tc>
          <w:tcPr>
            <w:tcW w:w="1271" w:type="pct"/>
            <w:vMerge w:val="restart"/>
          </w:tcPr>
          <w:p w14:paraId="32082710" w14:textId="747FD816" w:rsidR="00587DBC" w:rsidRPr="00EF587A" w:rsidRDefault="00587DBC" w:rsidP="00587DBC">
            <w:pPr>
              <w:pStyle w:val="TableText"/>
            </w:pPr>
            <w:r w:rsidRPr="006375CF">
              <w:t>Data integrity will not be optimized without routine review of this report.  The simple concept of "garbage in garbage out" applies here to the level of accuracy, knowledge and system outcomes.</w:t>
            </w:r>
          </w:p>
        </w:tc>
        <w:tc>
          <w:tcPr>
            <w:tcW w:w="381" w:type="pct"/>
            <w:shd w:val="clear" w:color="auto" w:fill="F2F2F2" w:themeFill="background1" w:themeFillShade="F2"/>
          </w:tcPr>
          <w:p w14:paraId="153648A4" w14:textId="77777777" w:rsidR="00587DBC" w:rsidRPr="00EE4BD6" w:rsidRDefault="00587DBC" w:rsidP="00587DBC">
            <w:pPr>
              <w:pStyle w:val="TableText"/>
            </w:pPr>
            <w:r w:rsidRPr="001F26DF">
              <w:t>Date Reviewed</w:t>
            </w:r>
            <w:r>
              <w:t>:</w:t>
            </w:r>
          </w:p>
        </w:tc>
        <w:tc>
          <w:tcPr>
            <w:tcW w:w="454" w:type="pct"/>
            <w:shd w:val="clear" w:color="auto" w:fill="F2F2F2" w:themeFill="background1" w:themeFillShade="F2"/>
          </w:tcPr>
          <w:p w14:paraId="5E8D8023" w14:textId="77777777" w:rsidR="00587DBC" w:rsidRPr="00EE4BD6" w:rsidRDefault="00587DBC" w:rsidP="00587DBC">
            <w:pPr>
              <w:pStyle w:val="TableText"/>
            </w:pPr>
          </w:p>
        </w:tc>
      </w:tr>
      <w:tr w:rsidR="00941C21" w:rsidRPr="00EE4BD6" w14:paraId="6BA75CA8" w14:textId="77777777" w:rsidTr="00F97A1E">
        <w:trPr>
          <w:cantSplit/>
          <w:trHeight w:val="428"/>
        </w:trPr>
        <w:tc>
          <w:tcPr>
            <w:tcW w:w="612" w:type="pct"/>
            <w:vMerge/>
          </w:tcPr>
          <w:p w14:paraId="560663F0" w14:textId="77777777" w:rsidR="00941C21" w:rsidRPr="00EF587A" w:rsidRDefault="00941C21" w:rsidP="00C81021">
            <w:pPr>
              <w:pStyle w:val="TableText"/>
            </w:pPr>
          </w:p>
        </w:tc>
        <w:tc>
          <w:tcPr>
            <w:tcW w:w="966" w:type="pct"/>
            <w:vMerge/>
          </w:tcPr>
          <w:p w14:paraId="36B80D87" w14:textId="77777777" w:rsidR="00941C21" w:rsidRPr="009A1DE7" w:rsidRDefault="00941C21" w:rsidP="00C81021">
            <w:pPr>
              <w:pStyle w:val="TableText"/>
            </w:pPr>
          </w:p>
        </w:tc>
        <w:tc>
          <w:tcPr>
            <w:tcW w:w="1316" w:type="pct"/>
            <w:vMerge/>
          </w:tcPr>
          <w:p w14:paraId="4DEBB408" w14:textId="77777777" w:rsidR="00941C21" w:rsidRPr="009A1DE7" w:rsidRDefault="00941C21" w:rsidP="00C81021">
            <w:pPr>
              <w:pStyle w:val="TableText"/>
            </w:pPr>
          </w:p>
        </w:tc>
        <w:tc>
          <w:tcPr>
            <w:tcW w:w="1271" w:type="pct"/>
            <w:vMerge/>
          </w:tcPr>
          <w:p w14:paraId="66667564" w14:textId="77777777" w:rsidR="00941C21" w:rsidRPr="009A1DE7" w:rsidRDefault="00941C21" w:rsidP="00C81021">
            <w:pPr>
              <w:pStyle w:val="TableText"/>
            </w:pPr>
          </w:p>
        </w:tc>
        <w:tc>
          <w:tcPr>
            <w:tcW w:w="381" w:type="pct"/>
            <w:shd w:val="clear" w:color="auto" w:fill="F2F2F2" w:themeFill="background1" w:themeFillShade="F2"/>
          </w:tcPr>
          <w:p w14:paraId="6C0EBB0F"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0C2B13E8" w14:textId="77777777" w:rsidR="00941C21" w:rsidRPr="00EE4BD6" w:rsidRDefault="00941C21" w:rsidP="00C81021">
            <w:pPr>
              <w:pStyle w:val="TableText"/>
            </w:pPr>
          </w:p>
        </w:tc>
      </w:tr>
      <w:tr w:rsidR="00941C21" w:rsidRPr="00EE4BD6" w14:paraId="3B875DD5" w14:textId="77777777" w:rsidTr="00F97A1E">
        <w:trPr>
          <w:cantSplit/>
          <w:trHeight w:val="428"/>
        </w:trPr>
        <w:tc>
          <w:tcPr>
            <w:tcW w:w="612" w:type="pct"/>
            <w:vMerge/>
          </w:tcPr>
          <w:p w14:paraId="0E9A8DC6" w14:textId="77777777" w:rsidR="00941C21" w:rsidRPr="00EF587A" w:rsidRDefault="00941C21" w:rsidP="00C81021">
            <w:pPr>
              <w:pStyle w:val="TableText"/>
            </w:pPr>
          </w:p>
        </w:tc>
        <w:tc>
          <w:tcPr>
            <w:tcW w:w="966" w:type="pct"/>
            <w:vMerge/>
          </w:tcPr>
          <w:p w14:paraId="674DFE87" w14:textId="77777777" w:rsidR="00941C21" w:rsidRPr="009A1DE7" w:rsidRDefault="00941C21" w:rsidP="00C81021">
            <w:pPr>
              <w:pStyle w:val="TableText"/>
            </w:pPr>
          </w:p>
        </w:tc>
        <w:tc>
          <w:tcPr>
            <w:tcW w:w="1316" w:type="pct"/>
            <w:vMerge/>
          </w:tcPr>
          <w:p w14:paraId="362A75A2" w14:textId="77777777" w:rsidR="00941C21" w:rsidRPr="009A1DE7" w:rsidRDefault="00941C21" w:rsidP="00C81021">
            <w:pPr>
              <w:pStyle w:val="TableText"/>
            </w:pPr>
          </w:p>
        </w:tc>
        <w:tc>
          <w:tcPr>
            <w:tcW w:w="1271" w:type="pct"/>
            <w:vMerge/>
          </w:tcPr>
          <w:p w14:paraId="15EF939B" w14:textId="77777777" w:rsidR="00941C21" w:rsidRPr="009A1DE7" w:rsidRDefault="00941C21" w:rsidP="00C81021">
            <w:pPr>
              <w:pStyle w:val="TableText"/>
            </w:pPr>
          </w:p>
        </w:tc>
        <w:tc>
          <w:tcPr>
            <w:tcW w:w="381" w:type="pct"/>
            <w:shd w:val="clear" w:color="auto" w:fill="F2F2F2" w:themeFill="background1" w:themeFillShade="F2"/>
          </w:tcPr>
          <w:p w14:paraId="15B36A68"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1F05C5F0" w14:textId="77777777" w:rsidR="00941C21" w:rsidRPr="00EE4BD6" w:rsidRDefault="00941C21" w:rsidP="00C81021">
            <w:pPr>
              <w:pStyle w:val="TableText"/>
            </w:pPr>
          </w:p>
        </w:tc>
      </w:tr>
      <w:tr w:rsidR="00941C21" w:rsidRPr="00EE4BD6" w14:paraId="6E6FFC90" w14:textId="77777777" w:rsidTr="00F97A1E">
        <w:trPr>
          <w:cantSplit/>
          <w:trHeight w:val="351"/>
        </w:trPr>
        <w:tc>
          <w:tcPr>
            <w:tcW w:w="612" w:type="pct"/>
            <w:vMerge/>
          </w:tcPr>
          <w:p w14:paraId="53277F75" w14:textId="77777777" w:rsidR="00941C21" w:rsidRPr="00EF587A" w:rsidRDefault="00941C21" w:rsidP="00C81021">
            <w:pPr>
              <w:pStyle w:val="TableText"/>
            </w:pPr>
          </w:p>
        </w:tc>
        <w:tc>
          <w:tcPr>
            <w:tcW w:w="966" w:type="pct"/>
            <w:vMerge/>
          </w:tcPr>
          <w:p w14:paraId="2B7D0AC0" w14:textId="77777777" w:rsidR="00941C21" w:rsidRPr="009A1DE7" w:rsidRDefault="00941C21" w:rsidP="00C81021">
            <w:pPr>
              <w:pStyle w:val="TableText"/>
            </w:pPr>
          </w:p>
        </w:tc>
        <w:tc>
          <w:tcPr>
            <w:tcW w:w="1316" w:type="pct"/>
            <w:vMerge/>
          </w:tcPr>
          <w:p w14:paraId="771236B9" w14:textId="77777777" w:rsidR="00941C21" w:rsidRPr="009A1DE7" w:rsidRDefault="00941C21" w:rsidP="00C81021">
            <w:pPr>
              <w:pStyle w:val="TableText"/>
            </w:pPr>
          </w:p>
        </w:tc>
        <w:tc>
          <w:tcPr>
            <w:tcW w:w="1271" w:type="pct"/>
            <w:vMerge/>
          </w:tcPr>
          <w:p w14:paraId="10CA4248" w14:textId="77777777" w:rsidR="00941C21" w:rsidRPr="009A1DE7" w:rsidRDefault="00941C21" w:rsidP="00C81021">
            <w:pPr>
              <w:pStyle w:val="TableText"/>
            </w:pPr>
          </w:p>
        </w:tc>
        <w:tc>
          <w:tcPr>
            <w:tcW w:w="381" w:type="pct"/>
            <w:shd w:val="clear" w:color="auto" w:fill="F2F2F2" w:themeFill="background1" w:themeFillShade="F2"/>
          </w:tcPr>
          <w:p w14:paraId="3204EE05"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022C095E" w14:textId="77777777" w:rsidR="00941C21" w:rsidRPr="00EE4BD6" w:rsidRDefault="00941C21" w:rsidP="00C81021">
            <w:pPr>
              <w:pStyle w:val="TableText"/>
            </w:pPr>
          </w:p>
        </w:tc>
      </w:tr>
      <w:tr w:rsidR="00941C21" w:rsidRPr="00EF587A" w14:paraId="1C8A35C8" w14:textId="77777777" w:rsidTr="00F97A1E">
        <w:trPr>
          <w:cantSplit/>
          <w:trHeight w:val="428"/>
        </w:trPr>
        <w:tc>
          <w:tcPr>
            <w:tcW w:w="612" w:type="pct"/>
            <w:vMerge/>
          </w:tcPr>
          <w:p w14:paraId="593920F7" w14:textId="77777777" w:rsidR="00941C21" w:rsidRPr="00EF587A" w:rsidRDefault="00941C21" w:rsidP="00C81021">
            <w:pPr>
              <w:pStyle w:val="TableText"/>
            </w:pPr>
          </w:p>
        </w:tc>
        <w:tc>
          <w:tcPr>
            <w:tcW w:w="966" w:type="pct"/>
            <w:vMerge/>
          </w:tcPr>
          <w:p w14:paraId="04B8DBFB" w14:textId="77777777" w:rsidR="00941C21" w:rsidRPr="00EF587A" w:rsidRDefault="00941C21" w:rsidP="00C81021">
            <w:pPr>
              <w:pStyle w:val="TableText"/>
            </w:pPr>
          </w:p>
        </w:tc>
        <w:tc>
          <w:tcPr>
            <w:tcW w:w="1316" w:type="pct"/>
            <w:vMerge/>
          </w:tcPr>
          <w:p w14:paraId="42DBF0AB" w14:textId="77777777" w:rsidR="00941C21" w:rsidRPr="00EF587A" w:rsidRDefault="00941C21" w:rsidP="00C81021">
            <w:pPr>
              <w:pStyle w:val="TableText"/>
            </w:pPr>
          </w:p>
        </w:tc>
        <w:tc>
          <w:tcPr>
            <w:tcW w:w="1271" w:type="pct"/>
            <w:vMerge/>
          </w:tcPr>
          <w:p w14:paraId="0AACB916" w14:textId="77777777" w:rsidR="00941C21" w:rsidRPr="00EF587A" w:rsidRDefault="00941C21" w:rsidP="00C81021">
            <w:pPr>
              <w:pStyle w:val="TableText"/>
            </w:pPr>
          </w:p>
        </w:tc>
        <w:tc>
          <w:tcPr>
            <w:tcW w:w="381" w:type="pct"/>
            <w:shd w:val="clear" w:color="auto" w:fill="F2F2F2" w:themeFill="background1" w:themeFillShade="F2"/>
          </w:tcPr>
          <w:p w14:paraId="3C4E3907"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1FEE85A8" w14:textId="77777777" w:rsidR="00941C21" w:rsidRPr="00EF587A" w:rsidRDefault="00941C21" w:rsidP="00C81021">
            <w:pPr>
              <w:pStyle w:val="TableText"/>
            </w:pPr>
          </w:p>
        </w:tc>
      </w:tr>
      <w:tr w:rsidR="00587DBC" w:rsidRPr="00EE4BD6" w14:paraId="6818A3DB" w14:textId="77777777" w:rsidTr="00F97A1E">
        <w:trPr>
          <w:cantSplit/>
          <w:trHeight w:val="18"/>
        </w:trPr>
        <w:tc>
          <w:tcPr>
            <w:tcW w:w="5000" w:type="pct"/>
            <w:gridSpan w:val="6"/>
            <w:shd w:val="clear" w:color="auto" w:fill="D0CECE" w:themeFill="background2" w:themeFillShade="E6"/>
            <w:vAlign w:val="center"/>
          </w:tcPr>
          <w:p w14:paraId="3347E493" w14:textId="77777777" w:rsidR="00587DBC" w:rsidRPr="00572499" w:rsidRDefault="00587DBC" w:rsidP="00C81021">
            <w:pPr>
              <w:pStyle w:val="TableText"/>
              <w:rPr>
                <w:sz w:val="8"/>
                <w:szCs w:val="8"/>
              </w:rPr>
            </w:pPr>
          </w:p>
        </w:tc>
      </w:tr>
      <w:tr w:rsidR="00587DBC" w:rsidRPr="00EE4BD6" w14:paraId="43A22846" w14:textId="77777777" w:rsidTr="00F97A1E">
        <w:trPr>
          <w:cantSplit/>
          <w:trHeight w:val="428"/>
        </w:trPr>
        <w:tc>
          <w:tcPr>
            <w:tcW w:w="612" w:type="pct"/>
            <w:vMerge w:val="restart"/>
            <w:vAlign w:val="center"/>
          </w:tcPr>
          <w:p w14:paraId="7DB19ED8" w14:textId="2F87A6AA" w:rsidR="00587DBC" w:rsidRPr="00F77313" w:rsidRDefault="00587DBC" w:rsidP="00587DBC">
            <w:pPr>
              <w:pStyle w:val="TableText"/>
              <w:jc w:val="center"/>
              <w:rPr>
                <w:b/>
                <w:bCs/>
              </w:rPr>
            </w:pPr>
            <w:r w:rsidRPr="00587DBC">
              <w:rPr>
                <w:b/>
                <w:bCs/>
              </w:rPr>
              <w:t>Initial Health History</w:t>
            </w:r>
          </w:p>
        </w:tc>
        <w:tc>
          <w:tcPr>
            <w:tcW w:w="966" w:type="pct"/>
            <w:vMerge w:val="restart"/>
          </w:tcPr>
          <w:p w14:paraId="7C52A6E3" w14:textId="1AA3360E" w:rsidR="00587DBC" w:rsidRPr="009A1DE7" w:rsidRDefault="00587DBC" w:rsidP="00587DBC">
            <w:pPr>
              <w:pStyle w:val="TableText"/>
            </w:pPr>
            <w:r w:rsidRPr="006375CF">
              <w:t>The Initial Health History Report displays the percentage of new oral health patients who have a First Visit Date in the Family File that is within a specified time frame and who had an initial health history (determined by specified ADA and/or condition codes) entered into their electronic records during the same time frame.</w:t>
            </w:r>
          </w:p>
        </w:tc>
        <w:tc>
          <w:tcPr>
            <w:tcW w:w="1316" w:type="pct"/>
            <w:vMerge w:val="restart"/>
          </w:tcPr>
          <w:p w14:paraId="025D785A" w14:textId="77777777" w:rsidR="00587DBC" w:rsidRDefault="00587DBC" w:rsidP="00587DBC">
            <w:pPr>
              <w:pStyle w:val="TableText"/>
              <w:keepNext/>
              <w:keepLines/>
              <w:numPr>
                <w:ilvl w:val="0"/>
                <w:numId w:val="2"/>
              </w:numPr>
              <w:ind w:left="232" w:hanging="180"/>
            </w:pPr>
            <w:r w:rsidRPr="006375CF">
              <w:t>Identify and post proper codes at the time of service.</w:t>
            </w:r>
          </w:p>
          <w:p w14:paraId="09D95E36" w14:textId="56DED030" w:rsidR="00587DBC" w:rsidRPr="009A1DE7" w:rsidRDefault="00587DBC" w:rsidP="00587DBC">
            <w:pPr>
              <w:pStyle w:val="TableText"/>
              <w:numPr>
                <w:ilvl w:val="0"/>
                <w:numId w:val="2"/>
              </w:numPr>
              <w:ind w:left="232" w:hanging="180"/>
            </w:pPr>
            <w:r w:rsidRPr="006375CF">
              <w:t>Consistently following the daily, weekly monthly check list to ensure Dentrix Enterprise data is accurate.</w:t>
            </w:r>
          </w:p>
        </w:tc>
        <w:tc>
          <w:tcPr>
            <w:tcW w:w="1271" w:type="pct"/>
            <w:vMerge w:val="restart"/>
          </w:tcPr>
          <w:p w14:paraId="72FFE7F3" w14:textId="6DEA6F89" w:rsidR="00587DBC" w:rsidRPr="00EF587A" w:rsidRDefault="00587DBC" w:rsidP="00587DBC">
            <w:pPr>
              <w:pStyle w:val="TableText"/>
            </w:pPr>
            <w:r w:rsidRPr="006375CF">
              <w:t>Report data will be inaccurate and patient care not optimized.</w:t>
            </w:r>
          </w:p>
        </w:tc>
        <w:tc>
          <w:tcPr>
            <w:tcW w:w="381" w:type="pct"/>
            <w:shd w:val="clear" w:color="auto" w:fill="F2F2F2" w:themeFill="background1" w:themeFillShade="F2"/>
          </w:tcPr>
          <w:p w14:paraId="61211A0E" w14:textId="77777777" w:rsidR="00587DBC" w:rsidRPr="00EE4BD6" w:rsidRDefault="00587DBC" w:rsidP="00587DBC">
            <w:pPr>
              <w:pStyle w:val="TableText"/>
            </w:pPr>
            <w:r w:rsidRPr="001F26DF">
              <w:t>Date Reviewed</w:t>
            </w:r>
            <w:r>
              <w:t>:</w:t>
            </w:r>
          </w:p>
        </w:tc>
        <w:tc>
          <w:tcPr>
            <w:tcW w:w="454" w:type="pct"/>
            <w:shd w:val="clear" w:color="auto" w:fill="F2F2F2" w:themeFill="background1" w:themeFillShade="F2"/>
          </w:tcPr>
          <w:p w14:paraId="4DF17855" w14:textId="77777777" w:rsidR="00587DBC" w:rsidRPr="00EE4BD6" w:rsidRDefault="00587DBC" w:rsidP="00587DBC">
            <w:pPr>
              <w:pStyle w:val="TableText"/>
            </w:pPr>
          </w:p>
        </w:tc>
      </w:tr>
      <w:tr w:rsidR="00941C21" w:rsidRPr="00EE4BD6" w14:paraId="268135C7" w14:textId="77777777" w:rsidTr="00F97A1E">
        <w:trPr>
          <w:cantSplit/>
          <w:trHeight w:val="428"/>
        </w:trPr>
        <w:tc>
          <w:tcPr>
            <w:tcW w:w="612" w:type="pct"/>
            <w:vMerge/>
          </w:tcPr>
          <w:p w14:paraId="3EEFE5A3" w14:textId="77777777" w:rsidR="00941C21" w:rsidRPr="00EF587A" w:rsidRDefault="00941C21" w:rsidP="00C81021">
            <w:pPr>
              <w:pStyle w:val="TableText"/>
            </w:pPr>
          </w:p>
        </w:tc>
        <w:tc>
          <w:tcPr>
            <w:tcW w:w="966" w:type="pct"/>
            <w:vMerge/>
          </w:tcPr>
          <w:p w14:paraId="5180212F" w14:textId="77777777" w:rsidR="00941C21" w:rsidRPr="009A1DE7" w:rsidRDefault="00941C21" w:rsidP="00C81021">
            <w:pPr>
              <w:pStyle w:val="TableText"/>
            </w:pPr>
          </w:p>
        </w:tc>
        <w:tc>
          <w:tcPr>
            <w:tcW w:w="1316" w:type="pct"/>
            <w:vMerge/>
          </w:tcPr>
          <w:p w14:paraId="3B85DB65" w14:textId="77777777" w:rsidR="00941C21" w:rsidRPr="009A1DE7" w:rsidRDefault="00941C21" w:rsidP="00C81021">
            <w:pPr>
              <w:pStyle w:val="TableText"/>
            </w:pPr>
          </w:p>
        </w:tc>
        <w:tc>
          <w:tcPr>
            <w:tcW w:w="1271" w:type="pct"/>
            <w:vMerge/>
          </w:tcPr>
          <w:p w14:paraId="193E8AEF" w14:textId="77777777" w:rsidR="00941C21" w:rsidRPr="009A1DE7" w:rsidRDefault="00941C21" w:rsidP="00C81021">
            <w:pPr>
              <w:pStyle w:val="TableText"/>
            </w:pPr>
          </w:p>
        </w:tc>
        <w:tc>
          <w:tcPr>
            <w:tcW w:w="381" w:type="pct"/>
            <w:shd w:val="clear" w:color="auto" w:fill="F2F2F2" w:themeFill="background1" w:themeFillShade="F2"/>
          </w:tcPr>
          <w:p w14:paraId="25383388"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781DB3A2" w14:textId="77777777" w:rsidR="00941C21" w:rsidRPr="00EE4BD6" w:rsidRDefault="00941C21" w:rsidP="00C81021">
            <w:pPr>
              <w:pStyle w:val="TableText"/>
            </w:pPr>
          </w:p>
        </w:tc>
      </w:tr>
      <w:tr w:rsidR="00941C21" w:rsidRPr="00EE4BD6" w14:paraId="4453CF6C" w14:textId="77777777" w:rsidTr="00F97A1E">
        <w:trPr>
          <w:cantSplit/>
          <w:trHeight w:val="428"/>
        </w:trPr>
        <w:tc>
          <w:tcPr>
            <w:tcW w:w="612" w:type="pct"/>
            <w:vMerge/>
          </w:tcPr>
          <w:p w14:paraId="45F8EABC" w14:textId="77777777" w:rsidR="00941C21" w:rsidRPr="00EF587A" w:rsidRDefault="00941C21" w:rsidP="00C81021">
            <w:pPr>
              <w:pStyle w:val="TableText"/>
            </w:pPr>
          </w:p>
        </w:tc>
        <w:tc>
          <w:tcPr>
            <w:tcW w:w="966" w:type="pct"/>
            <w:vMerge/>
          </w:tcPr>
          <w:p w14:paraId="4EC866DA" w14:textId="77777777" w:rsidR="00941C21" w:rsidRPr="009A1DE7" w:rsidRDefault="00941C21" w:rsidP="00C81021">
            <w:pPr>
              <w:pStyle w:val="TableText"/>
            </w:pPr>
          </w:p>
        </w:tc>
        <w:tc>
          <w:tcPr>
            <w:tcW w:w="1316" w:type="pct"/>
            <w:vMerge/>
          </w:tcPr>
          <w:p w14:paraId="791E8984" w14:textId="77777777" w:rsidR="00941C21" w:rsidRPr="009A1DE7" w:rsidRDefault="00941C21" w:rsidP="00C81021">
            <w:pPr>
              <w:pStyle w:val="TableText"/>
            </w:pPr>
          </w:p>
        </w:tc>
        <w:tc>
          <w:tcPr>
            <w:tcW w:w="1271" w:type="pct"/>
            <w:vMerge/>
          </w:tcPr>
          <w:p w14:paraId="238E825E" w14:textId="77777777" w:rsidR="00941C21" w:rsidRPr="009A1DE7" w:rsidRDefault="00941C21" w:rsidP="00C81021">
            <w:pPr>
              <w:pStyle w:val="TableText"/>
            </w:pPr>
          </w:p>
        </w:tc>
        <w:tc>
          <w:tcPr>
            <w:tcW w:w="381" w:type="pct"/>
            <w:shd w:val="clear" w:color="auto" w:fill="F2F2F2" w:themeFill="background1" w:themeFillShade="F2"/>
          </w:tcPr>
          <w:p w14:paraId="103738E6"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318E8A13" w14:textId="77777777" w:rsidR="00941C21" w:rsidRPr="00EE4BD6" w:rsidRDefault="00941C21" w:rsidP="00C81021">
            <w:pPr>
              <w:pStyle w:val="TableText"/>
            </w:pPr>
          </w:p>
        </w:tc>
      </w:tr>
      <w:tr w:rsidR="00941C21" w:rsidRPr="00EE4BD6" w14:paraId="749F82A5" w14:textId="77777777" w:rsidTr="00F97A1E">
        <w:trPr>
          <w:cantSplit/>
          <w:trHeight w:val="315"/>
        </w:trPr>
        <w:tc>
          <w:tcPr>
            <w:tcW w:w="612" w:type="pct"/>
            <w:vMerge/>
          </w:tcPr>
          <w:p w14:paraId="5E4937E0" w14:textId="77777777" w:rsidR="00941C21" w:rsidRPr="00EF587A" w:rsidRDefault="00941C21" w:rsidP="00C81021">
            <w:pPr>
              <w:pStyle w:val="TableText"/>
            </w:pPr>
          </w:p>
        </w:tc>
        <w:tc>
          <w:tcPr>
            <w:tcW w:w="966" w:type="pct"/>
            <w:vMerge/>
          </w:tcPr>
          <w:p w14:paraId="1381B49F" w14:textId="77777777" w:rsidR="00941C21" w:rsidRPr="009A1DE7" w:rsidRDefault="00941C21" w:rsidP="00C81021">
            <w:pPr>
              <w:pStyle w:val="TableText"/>
            </w:pPr>
          </w:p>
        </w:tc>
        <w:tc>
          <w:tcPr>
            <w:tcW w:w="1316" w:type="pct"/>
            <w:vMerge/>
          </w:tcPr>
          <w:p w14:paraId="71FAE28B" w14:textId="77777777" w:rsidR="00941C21" w:rsidRPr="009A1DE7" w:rsidRDefault="00941C21" w:rsidP="00C81021">
            <w:pPr>
              <w:pStyle w:val="TableText"/>
            </w:pPr>
          </w:p>
        </w:tc>
        <w:tc>
          <w:tcPr>
            <w:tcW w:w="1271" w:type="pct"/>
            <w:vMerge/>
          </w:tcPr>
          <w:p w14:paraId="40D1EF56" w14:textId="77777777" w:rsidR="00941C21" w:rsidRPr="009A1DE7" w:rsidRDefault="00941C21" w:rsidP="00C81021">
            <w:pPr>
              <w:pStyle w:val="TableText"/>
            </w:pPr>
          </w:p>
        </w:tc>
        <w:tc>
          <w:tcPr>
            <w:tcW w:w="381" w:type="pct"/>
            <w:shd w:val="clear" w:color="auto" w:fill="F2F2F2" w:themeFill="background1" w:themeFillShade="F2"/>
          </w:tcPr>
          <w:p w14:paraId="77C8126B"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51779BC4" w14:textId="77777777" w:rsidR="00941C21" w:rsidRPr="00EE4BD6" w:rsidRDefault="00941C21" w:rsidP="00C81021">
            <w:pPr>
              <w:pStyle w:val="TableText"/>
            </w:pPr>
          </w:p>
        </w:tc>
      </w:tr>
      <w:tr w:rsidR="00941C21" w:rsidRPr="00EF587A" w14:paraId="366B8E69" w14:textId="77777777" w:rsidTr="00F97A1E">
        <w:trPr>
          <w:cantSplit/>
          <w:trHeight w:val="428"/>
        </w:trPr>
        <w:tc>
          <w:tcPr>
            <w:tcW w:w="612" w:type="pct"/>
            <w:vMerge/>
          </w:tcPr>
          <w:p w14:paraId="2663E8FB" w14:textId="77777777" w:rsidR="00941C21" w:rsidRPr="00EF587A" w:rsidRDefault="00941C21" w:rsidP="00C81021">
            <w:pPr>
              <w:pStyle w:val="TableText"/>
            </w:pPr>
          </w:p>
        </w:tc>
        <w:tc>
          <w:tcPr>
            <w:tcW w:w="966" w:type="pct"/>
            <w:vMerge/>
          </w:tcPr>
          <w:p w14:paraId="147F0DE5" w14:textId="77777777" w:rsidR="00941C21" w:rsidRPr="00EF587A" w:rsidRDefault="00941C21" w:rsidP="00C81021">
            <w:pPr>
              <w:pStyle w:val="TableText"/>
            </w:pPr>
          </w:p>
        </w:tc>
        <w:tc>
          <w:tcPr>
            <w:tcW w:w="1316" w:type="pct"/>
            <w:vMerge/>
          </w:tcPr>
          <w:p w14:paraId="6944CA67" w14:textId="77777777" w:rsidR="00941C21" w:rsidRPr="00EF587A" w:rsidRDefault="00941C21" w:rsidP="00C81021">
            <w:pPr>
              <w:pStyle w:val="TableText"/>
            </w:pPr>
          </w:p>
        </w:tc>
        <w:tc>
          <w:tcPr>
            <w:tcW w:w="1271" w:type="pct"/>
            <w:vMerge/>
          </w:tcPr>
          <w:p w14:paraId="0F15C4D0" w14:textId="77777777" w:rsidR="00941C21" w:rsidRPr="00EF587A" w:rsidRDefault="00941C21" w:rsidP="00C81021">
            <w:pPr>
              <w:pStyle w:val="TableText"/>
            </w:pPr>
          </w:p>
        </w:tc>
        <w:tc>
          <w:tcPr>
            <w:tcW w:w="381" w:type="pct"/>
            <w:shd w:val="clear" w:color="auto" w:fill="F2F2F2" w:themeFill="background1" w:themeFillShade="F2"/>
          </w:tcPr>
          <w:p w14:paraId="2150CA6A"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3371F909" w14:textId="77777777" w:rsidR="00941C21" w:rsidRPr="00EF587A" w:rsidRDefault="00941C21" w:rsidP="00C81021">
            <w:pPr>
              <w:pStyle w:val="TableText"/>
            </w:pPr>
          </w:p>
        </w:tc>
      </w:tr>
      <w:tr w:rsidR="00587DBC" w:rsidRPr="00EE4BD6" w14:paraId="4645C17B" w14:textId="77777777" w:rsidTr="00F97A1E">
        <w:trPr>
          <w:cantSplit/>
          <w:trHeight w:val="118"/>
        </w:trPr>
        <w:tc>
          <w:tcPr>
            <w:tcW w:w="5000" w:type="pct"/>
            <w:gridSpan w:val="6"/>
            <w:shd w:val="clear" w:color="auto" w:fill="D0CECE" w:themeFill="background2" w:themeFillShade="E6"/>
            <w:vAlign w:val="center"/>
          </w:tcPr>
          <w:p w14:paraId="0ADFC99A" w14:textId="77777777" w:rsidR="00587DBC" w:rsidRPr="00572499" w:rsidRDefault="00587DBC" w:rsidP="00C81021">
            <w:pPr>
              <w:pStyle w:val="TableText"/>
              <w:rPr>
                <w:sz w:val="8"/>
                <w:szCs w:val="8"/>
              </w:rPr>
            </w:pPr>
          </w:p>
        </w:tc>
      </w:tr>
      <w:tr w:rsidR="00D84E92" w:rsidRPr="00EE4BD6" w14:paraId="3DA6C53B" w14:textId="77777777" w:rsidTr="00F97A1E">
        <w:trPr>
          <w:cantSplit/>
          <w:trHeight w:val="428"/>
        </w:trPr>
        <w:tc>
          <w:tcPr>
            <w:tcW w:w="612" w:type="pct"/>
            <w:vMerge w:val="restart"/>
            <w:vAlign w:val="center"/>
          </w:tcPr>
          <w:p w14:paraId="7571EE98" w14:textId="277354BE" w:rsidR="00D84E92" w:rsidRPr="00F77313" w:rsidRDefault="00D84E92" w:rsidP="00D84E92">
            <w:pPr>
              <w:pStyle w:val="TableText"/>
              <w:jc w:val="center"/>
              <w:rPr>
                <w:b/>
                <w:bCs/>
              </w:rPr>
            </w:pPr>
            <w:r w:rsidRPr="00D84E92">
              <w:rPr>
                <w:b/>
                <w:bCs/>
              </w:rPr>
              <w:t>Oral Health  Education</w:t>
            </w:r>
          </w:p>
        </w:tc>
        <w:tc>
          <w:tcPr>
            <w:tcW w:w="966" w:type="pct"/>
            <w:vMerge w:val="restart"/>
          </w:tcPr>
          <w:p w14:paraId="32ABBE01" w14:textId="672A9316" w:rsidR="00D84E92" w:rsidRPr="009A1DE7" w:rsidRDefault="00D84E92" w:rsidP="00D84E92">
            <w:pPr>
              <w:pStyle w:val="TableText"/>
            </w:pPr>
            <w:r w:rsidRPr="006375CF">
              <w:t>The Oral Health Education Report displays the percentage of oral health patients who received oral health education (determined by specified ADA and/or condition codes) at least once during a specified time frame.</w:t>
            </w:r>
          </w:p>
        </w:tc>
        <w:tc>
          <w:tcPr>
            <w:tcW w:w="1316" w:type="pct"/>
            <w:vMerge w:val="restart"/>
          </w:tcPr>
          <w:p w14:paraId="67599FDC" w14:textId="77777777" w:rsidR="00D84E92" w:rsidRDefault="00D84E92" w:rsidP="00D84E92">
            <w:pPr>
              <w:pStyle w:val="TableText"/>
              <w:keepNext/>
              <w:keepLines/>
              <w:numPr>
                <w:ilvl w:val="0"/>
                <w:numId w:val="2"/>
              </w:numPr>
              <w:ind w:left="232" w:hanging="180"/>
            </w:pPr>
            <w:r w:rsidRPr="006375CF">
              <w:t>Identify and post proper codes at the time of service.</w:t>
            </w:r>
          </w:p>
          <w:p w14:paraId="01A4EB15" w14:textId="7456B833" w:rsidR="00D84E92" w:rsidRPr="009A1DE7" w:rsidRDefault="00D84E92" w:rsidP="00D84E92">
            <w:pPr>
              <w:pStyle w:val="TableText"/>
              <w:numPr>
                <w:ilvl w:val="0"/>
                <w:numId w:val="2"/>
              </w:numPr>
              <w:ind w:left="232" w:hanging="180"/>
            </w:pPr>
            <w:r w:rsidRPr="006375CF">
              <w:t>Consistently following the daily, weekly monthly check list to ensure Dentrix Enterprise data is accurate.</w:t>
            </w:r>
          </w:p>
        </w:tc>
        <w:tc>
          <w:tcPr>
            <w:tcW w:w="1271" w:type="pct"/>
            <w:vMerge w:val="restart"/>
          </w:tcPr>
          <w:p w14:paraId="2EDB3961" w14:textId="18D28B31" w:rsidR="00D84E92" w:rsidRPr="00EF587A" w:rsidRDefault="00D84E92" w:rsidP="00D84E92">
            <w:pPr>
              <w:pStyle w:val="TableText"/>
            </w:pPr>
            <w:r w:rsidRPr="006375CF">
              <w:t>Report data will be inaccurate and patient care not optimized.</w:t>
            </w:r>
          </w:p>
        </w:tc>
        <w:tc>
          <w:tcPr>
            <w:tcW w:w="381" w:type="pct"/>
            <w:shd w:val="clear" w:color="auto" w:fill="F2F2F2" w:themeFill="background1" w:themeFillShade="F2"/>
          </w:tcPr>
          <w:p w14:paraId="2E319CB8" w14:textId="77777777" w:rsidR="00D84E92" w:rsidRPr="00EE4BD6" w:rsidRDefault="00D84E92" w:rsidP="00D84E92">
            <w:pPr>
              <w:pStyle w:val="TableText"/>
            </w:pPr>
            <w:r w:rsidRPr="001F26DF">
              <w:t>Date Reviewed</w:t>
            </w:r>
            <w:r>
              <w:t>:</w:t>
            </w:r>
          </w:p>
        </w:tc>
        <w:tc>
          <w:tcPr>
            <w:tcW w:w="454" w:type="pct"/>
            <w:shd w:val="clear" w:color="auto" w:fill="F2F2F2" w:themeFill="background1" w:themeFillShade="F2"/>
          </w:tcPr>
          <w:p w14:paraId="4055FBB9" w14:textId="77777777" w:rsidR="00D84E92" w:rsidRPr="00EE4BD6" w:rsidRDefault="00D84E92" w:rsidP="00D84E92">
            <w:pPr>
              <w:pStyle w:val="TableText"/>
            </w:pPr>
          </w:p>
        </w:tc>
      </w:tr>
      <w:tr w:rsidR="00941C21" w:rsidRPr="00EE4BD6" w14:paraId="6B72A66E" w14:textId="77777777" w:rsidTr="00F97A1E">
        <w:trPr>
          <w:cantSplit/>
          <w:trHeight w:val="428"/>
        </w:trPr>
        <w:tc>
          <w:tcPr>
            <w:tcW w:w="612" w:type="pct"/>
            <w:vMerge/>
          </w:tcPr>
          <w:p w14:paraId="41E9427F" w14:textId="77777777" w:rsidR="00941C21" w:rsidRPr="00EF587A" w:rsidRDefault="00941C21" w:rsidP="00C81021">
            <w:pPr>
              <w:pStyle w:val="TableText"/>
            </w:pPr>
          </w:p>
        </w:tc>
        <w:tc>
          <w:tcPr>
            <w:tcW w:w="966" w:type="pct"/>
            <w:vMerge/>
          </w:tcPr>
          <w:p w14:paraId="4D192793" w14:textId="77777777" w:rsidR="00941C21" w:rsidRPr="009A1DE7" w:rsidRDefault="00941C21" w:rsidP="00C81021">
            <w:pPr>
              <w:pStyle w:val="TableText"/>
            </w:pPr>
          </w:p>
        </w:tc>
        <w:tc>
          <w:tcPr>
            <w:tcW w:w="1316" w:type="pct"/>
            <w:vMerge/>
          </w:tcPr>
          <w:p w14:paraId="591019F4" w14:textId="77777777" w:rsidR="00941C21" w:rsidRPr="009A1DE7" w:rsidRDefault="00941C21" w:rsidP="00C81021">
            <w:pPr>
              <w:pStyle w:val="TableText"/>
            </w:pPr>
          </w:p>
        </w:tc>
        <w:tc>
          <w:tcPr>
            <w:tcW w:w="1271" w:type="pct"/>
            <w:vMerge/>
          </w:tcPr>
          <w:p w14:paraId="59C08087" w14:textId="77777777" w:rsidR="00941C21" w:rsidRPr="009A1DE7" w:rsidRDefault="00941C21" w:rsidP="00C81021">
            <w:pPr>
              <w:pStyle w:val="TableText"/>
            </w:pPr>
          </w:p>
        </w:tc>
        <w:tc>
          <w:tcPr>
            <w:tcW w:w="381" w:type="pct"/>
            <w:shd w:val="clear" w:color="auto" w:fill="F2F2F2" w:themeFill="background1" w:themeFillShade="F2"/>
          </w:tcPr>
          <w:p w14:paraId="77B53DEA"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7F1533D6" w14:textId="77777777" w:rsidR="00941C21" w:rsidRPr="00EE4BD6" w:rsidRDefault="00941C21" w:rsidP="00C81021">
            <w:pPr>
              <w:pStyle w:val="TableText"/>
            </w:pPr>
          </w:p>
        </w:tc>
      </w:tr>
      <w:tr w:rsidR="00941C21" w:rsidRPr="00EE4BD6" w14:paraId="2C61D742" w14:textId="77777777" w:rsidTr="00F97A1E">
        <w:trPr>
          <w:cantSplit/>
          <w:trHeight w:val="428"/>
        </w:trPr>
        <w:tc>
          <w:tcPr>
            <w:tcW w:w="612" w:type="pct"/>
            <w:vMerge/>
          </w:tcPr>
          <w:p w14:paraId="2867B662" w14:textId="77777777" w:rsidR="00941C21" w:rsidRPr="00EF587A" w:rsidRDefault="00941C21" w:rsidP="00C81021">
            <w:pPr>
              <w:pStyle w:val="TableText"/>
            </w:pPr>
          </w:p>
        </w:tc>
        <w:tc>
          <w:tcPr>
            <w:tcW w:w="966" w:type="pct"/>
            <w:vMerge/>
          </w:tcPr>
          <w:p w14:paraId="5656B2C8" w14:textId="77777777" w:rsidR="00941C21" w:rsidRPr="009A1DE7" w:rsidRDefault="00941C21" w:rsidP="00C81021">
            <w:pPr>
              <w:pStyle w:val="TableText"/>
            </w:pPr>
          </w:p>
        </w:tc>
        <w:tc>
          <w:tcPr>
            <w:tcW w:w="1316" w:type="pct"/>
            <w:vMerge/>
          </w:tcPr>
          <w:p w14:paraId="571577C6" w14:textId="77777777" w:rsidR="00941C21" w:rsidRPr="009A1DE7" w:rsidRDefault="00941C21" w:rsidP="00C81021">
            <w:pPr>
              <w:pStyle w:val="TableText"/>
            </w:pPr>
          </w:p>
        </w:tc>
        <w:tc>
          <w:tcPr>
            <w:tcW w:w="1271" w:type="pct"/>
            <w:vMerge/>
          </w:tcPr>
          <w:p w14:paraId="6DA0CDF4" w14:textId="77777777" w:rsidR="00941C21" w:rsidRPr="009A1DE7" w:rsidRDefault="00941C21" w:rsidP="00C81021">
            <w:pPr>
              <w:pStyle w:val="TableText"/>
            </w:pPr>
          </w:p>
        </w:tc>
        <w:tc>
          <w:tcPr>
            <w:tcW w:w="381" w:type="pct"/>
            <w:shd w:val="clear" w:color="auto" w:fill="F2F2F2" w:themeFill="background1" w:themeFillShade="F2"/>
          </w:tcPr>
          <w:p w14:paraId="13C12576"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73C6CAE0" w14:textId="77777777" w:rsidR="00941C21" w:rsidRPr="00EE4BD6" w:rsidRDefault="00941C21" w:rsidP="00C81021">
            <w:pPr>
              <w:pStyle w:val="TableText"/>
            </w:pPr>
          </w:p>
        </w:tc>
      </w:tr>
      <w:tr w:rsidR="00941C21" w:rsidRPr="00EE4BD6" w14:paraId="49BC9495" w14:textId="77777777" w:rsidTr="00F97A1E">
        <w:trPr>
          <w:cantSplit/>
          <w:trHeight w:val="334"/>
        </w:trPr>
        <w:tc>
          <w:tcPr>
            <w:tcW w:w="612" w:type="pct"/>
            <w:vMerge/>
          </w:tcPr>
          <w:p w14:paraId="408BB766" w14:textId="77777777" w:rsidR="00941C21" w:rsidRPr="00EF587A" w:rsidRDefault="00941C21" w:rsidP="00C81021">
            <w:pPr>
              <w:pStyle w:val="TableText"/>
            </w:pPr>
          </w:p>
        </w:tc>
        <w:tc>
          <w:tcPr>
            <w:tcW w:w="966" w:type="pct"/>
            <w:vMerge/>
          </w:tcPr>
          <w:p w14:paraId="1B9B0540" w14:textId="77777777" w:rsidR="00941C21" w:rsidRPr="009A1DE7" w:rsidRDefault="00941C21" w:rsidP="00C81021">
            <w:pPr>
              <w:pStyle w:val="TableText"/>
            </w:pPr>
          </w:p>
        </w:tc>
        <w:tc>
          <w:tcPr>
            <w:tcW w:w="1316" w:type="pct"/>
            <w:vMerge/>
          </w:tcPr>
          <w:p w14:paraId="252531E8" w14:textId="77777777" w:rsidR="00941C21" w:rsidRPr="009A1DE7" w:rsidRDefault="00941C21" w:rsidP="00C81021">
            <w:pPr>
              <w:pStyle w:val="TableText"/>
            </w:pPr>
          </w:p>
        </w:tc>
        <w:tc>
          <w:tcPr>
            <w:tcW w:w="1271" w:type="pct"/>
            <w:vMerge/>
          </w:tcPr>
          <w:p w14:paraId="1EF859F7" w14:textId="77777777" w:rsidR="00941C21" w:rsidRPr="009A1DE7" w:rsidRDefault="00941C21" w:rsidP="00C81021">
            <w:pPr>
              <w:pStyle w:val="TableText"/>
            </w:pPr>
          </w:p>
        </w:tc>
        <w:tc>
          <w:tcPr>
            <w:tcW w:w="381" w:type="pct"/>
            <w:shd w:val="clear" w:color="auto" w:fill="F2F2F2" w:themeFill="background1" w:themeFillShade="F2"/>
          </w:tcPr>
          <w:p w14:paraId="701AD240"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5000CCC5" w14:textId="77777777" w:rsidR="00941C21" w:rsidRPr="00EE4BD6" w:rsidRDefault="00941C21" w:rsidP="00C81021">
            <w:pPr>
              <w:pStyle w:val="TableText"/>
            </w:pPr>
          </w:p>
        </w:tc>
      </w:tr>
      <w:tr w:rsidR="00941C21" w:rsidRPr="00EF587A" w14:paraId="5DA0B576" w14:textId="77777777" w:rsidTr="00F97A1E">
        <w:trPr>
          <w:cantSplit/>
          <w:trHeight w:val="428"/>
        </w:trPr>
        <w:tc>
          <w:tcPr>
            <w:tcW w:w="612" w:type="pct"/>
            <w:vMerge/>
          </w:tcPr>
          <w:p w14:paraId="629CEAFF" w14:textId="77777777" w:rsidR="00941C21" w:rsidRPr="00EF587A" w:rsidRDefault="00941C21" w:rsidP="00C81021">
            <w:pPr>
              <w:pStyle w:val="TableText"/>
            </w:pPr>
          </w:p>
        </w:tc>
        <w:tc>
          <w:tcPr>
            <w:tcW w:w="966" w:type="pct"/>
            <w:vMerge/>
          </w:tcPr>
          <w:p w14:paraId="3CF69296" w14:textId="77777777" w:rsidR="00941C21" w:rsidRPr="00EF587A" w:rsidRDefault="00941C21" w:rsidP="00C81021">
            <w:pPr>
              <w:pStyle w:val="TableText"/>
            </w:pPr>
          </w:p>
        </w:tc>
        <w:tc>
          <w:tcPr>
            <w:tcW w:w="1316" w:type="pct"/>
            <w:vMerge/>
          </w:tcPr>
          <w:p w14:paraId="5A6264EC" w14:textId="77777777" w:rsidR="00941C21" w:rsidRPr="00EF587A" w:rsidRDefault="00941C21" w:rsidP="00C81021">
            <w:pPr>
              <w:pStyle w:val="TableText"/>
            </w:pPr>
          </w:p>
        </w:tc>
        <w:tc>
          <w:tcPr>
            <w:tcW w:w="1271" w:type="pct"/>
            <w:vMerge/>
          </w:tcPr>
          <w:p w14:paraId="0BC6A92C" w14:textId="77777777" w:rsidR="00941C21" w:rsidRPr="00EF587A" w:rsidRDefault="00941C21" w:rsidP="00C81021">
            <w:pPr>
              <w:pStyle w:val="TableText"/>
            </w:pPr>
          </w:p>
        </w:tc>
        <w:tc>
          <w:tcPr>
            <w:tcW w:w="381" w:type="pct"/>
            <w:shd w:val="clear" w:color="auto" w:fill="F2F2F2" w:themeFill="background1" w:themeFillShade="F2"/>
          </w:tcPr>
          <w:p w14:paraId="52160D1A"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33018D91" w14:textId="77777777" w:rsidR="00941C21" w:rsidRPr="00EF587A" w:rsidRDefault="00941C21" w:rsidP="00C81021">
            <w:pPr>
              <w:pStyle w:val="TableText"/>
            </w:pPr>
          </w:p>
        </w:tc>
      </w:tr>
      <w:tr w:rsidR="00587DBC" w:rsidRPr="00EE4BD6" w14:paraId="46946EC2" w14:textId="77777777" w:rsidTr="00F97A1E">
        <w:trPr>
          <w:cantSplit/>
          <w:trHeight w:val="82"/>
        </w:trPr>
        <w:tc>
          <w:tcPr>
            <w:tcW w:w="5000" w:type="pct"/>
            <w:gridSpan w:val="6"/>
            <w:shd w:val="clear" w:color="auto" w:fill="D0CECE" w:themeFill="background2" w:themeFillShade="E6"/>
            <w:vAlign w:val="center"/>
          </w:tcPr>
          <w:p w14:paraId="4D761870" w14:textId="77777777" w:rsidR="00587DBC" w:rsidRPr="00572499" w:rsidRDefault="00587DBC" w:rsidP="00C81021">
            <w:pPr>
              <w:pStyle w:val="TableText"/>
              <w:rPr>
                <w:sz w:val="8"/>
                <w:szCs w:val="8"/>
              </w:rPr>
            </w:pPr>
          </w:p>
        </w:tc>
      </w:tr>
      <w:tr w:rsidR="00F46E06" w:rsidRPr="00EE4BD6" w14:paraId="4654DDF7" w14:textId="77777777" w:rsidTr="00F97A1E">
        <w:trPr>
          <w:cantSplit/>
          <w:trHeight w:val="428"/>
        </w:trPr>
        <w:tc>
          <w:tcPr>
            <w:tcW w:w="612" w:type="pct"/>
            <w:vMerge w:val="restart"/>
            <w:vAlign w:val="center"/>
          </w:tcPr>
          <w:p w14:paraId="3BFBCE17" w14:textId="1A7EDD7C" w:rsidR="00F46E06" w:rsidRPr="00F77313" w:rsidRDefault="00F46E06" w:rsidP="00F46E06">
            <w:pPr>
              <w:pStyle w:val="TableText"/>
              <w:jc w:val="center"/>
              <w:rPr>
                <w:b/>
                <w:bCs/>
              </w:rPr>
            </w:pPr>
            <w:r w:rsidRPr="00F46E06">
              <w:rPr>
                <w:b/>
                <w:bCs/>
              </w:rPr>
              <w:lastRenderedPageBreak/>
              <w:t>Periodontal Exam</w:t>
            </w:r>
          </w:p>
        </w:tc>
        <w:tc>
          <w:tcPr>
            <w:tcW w:w="966" w:type="pct"/>
            <w:vMerge w:val="restart"/>
          </w:tcPr>
          <w:p w14:paraId="1811688F" w14:textId="7C865E13" w:rsidR="00F46E06" w:rsidRPr="009A1DE7" w:rsidRDefault="00F46E06" w:rsidP="00F46E06">
            <w:pPr>
              <w:pStyle w:val="TableText"/>
            </w:pPr>
            <w:r w:rsidRPr="006375CF">
              <w:t>The Periodontal Exam Report displays the percentage of oral health patients who received a periodontal exam (determined by specified ADA and/or condition codes) at least once during a specified time frame.</w:t>
            </w:r>
          </w:p>
        </w:tc>
        <w:tc>
          <w:tcPr>
            <w:tcW w:w="1316" w:type="pct"/>
            <w:vMerge w:val="restart"/>
          </w:tcPr>
          <w:p w14:paraId="49D3F4FD" w14:textId="77777777" w:rsidR="00F46E06" w:rsidRDefault="00F46E06" w:rsidP="00F46E06">
            <w:pPr>
              <w:pStyle w:val="TableText"/>
              <w:keepNext/>
              <w:keepLines/>
              <w:numPr>
                <w:ilvl w:val="0"/>
                <w:numId w:val="2"/>
              </w:numPr>
              <w:ind w:left="232" w:hanging="180"/>
            </w:pPr>
            <w:r w:rsidRPr="006375CF">
              <w:t>Periodontal data entry into the Perio Chart during patient dental visit/exam.</w:t>
            </w:r>
          </w:p>
          <w:p w14:paraId="6EE4F0EA" w14:textId="636A71F0" w:rsidR="00F46E06" w:rsidRPr="009A1DE7" w:rsidRDefault="00F46E06" w:rsidP="00F46E06">
            <w:pPr>
              <w:pStyle w:val="TableText"/>
              <w:numPr>
                <w:ilvl w:val="0"/>
                <w:numId w:val="2"/>
              </w:numPr>
              <w:ind w:left="232" w:hanging="180"/>
            </w:pPr>
            <w:r w:rsidRPr="006375CF">
              <w:t>Consistently following the dail</w:t>
            </w:r>
            <w:r>
              <w:t>y</w:t>
            </w:r>
            <w:r w:rsidRPr="006375CF">
              <w:t>, weekly</w:t>
            </w:r>
            <w:r>
              <w:t>,</w:t>
            </w:r>
            <w:r w:rsidRPr="006375CF">
              <w:t xml:space="preserve"> monthly check list to ensure Dentrix Enterprise data is accurate.</w:t>
            </w:r>
          </w:p>
        </w:tc>
        <w:tc>
          <w:tcPr>
            <w:tcW w:w="1271" w:type="pct"/>
            <w:vMerge w:val="restart"/>
          </w:tcPr>
          <w:p w14:paraId="5FFB3F56" w14:textId="7763ACA1" w:rsidR="00F46E06" w:rsidRPr="00EF587A" w:rsidRDefault="00F46E06" w:rsidP="00F46E06">
            <w:pPr>
              <w:pStyle w:val="TableText"/>
            </w:pPr>
            <w:r w:rsidRPr="006375CF">
              <w:t>Report data will be inaccurate and patient care not optimized.</w:t>
            </w:r>
          </w:p>
        </w:tc>
        <w:tc>
          <w:tcPr>
            <w:tcW w:w="381" w:type="pct"/>
            <w:shd w:val="clear" w:color="auto" w:fill="F2F2F2" w:themeFill="background1" w:themeFillShade="F2"/>
          </w:tcPr>
          <w:p w14:paraId="21AF06C0" w14:textId="77777777" w:rsidR="00F46E06" w:rsidRPr="00EE4BD6" w:rsidRDefault="00F46E06" w:rsidP="00F46E06">
            <w:pPr>
              <w:pStyle w:val="TableText"/>
            </w:pPr>
            <w:r w:rsidRPr="001F26DF">
              <w:t>Date Reviewed</w:t>
            </w:r>
            <w:r>
              <w:t>:</w:t>
            </w:r>
          </w:p>
        </w:tc>
        <w:tc>
          <w:tcPr>
            <w:tcW w:w="454" w:type="pct"/>
            <w:shd w:val="clear" w:color="auto" w:fill="F2F2F2" w:themeFill="background1" w:themeFillShade="F2"/>
          </w:tcPr>
          <w:p w14:paraId="52A2B05E" w14:textId="77777777" w:rsidR="00F46E06" w:rsidRPr="00EE4BD6" w:rsidRDefault="00F46E06" w:rsidP="00F46E06">
            <w:pPr>
              <w:pStyle w:val="TableText"/>
            </w:pPr>
          </w:p>
        </w:tc>
      </w:tr>
      <w:tr w:rsidR="00941C21" w:rsidRPr="00EE4BD6" w14:paraId="6B245754" w14:textId="77777777" w:rsidTr="00F97A1E">
        <w:trPr>
          <w:cantSplit/>
          <w:trHeight w:val="428"/>
        </w:trPr>
        <w:tc>
          <w:tcPr>
            <w:tcW w:w="612" w:type="pct"/>
            <w:vMerge/>
          </w:tcPr>
          <w:p w14:paraId="40D42213" w14:textId="77777777" w:rsidR="00941C21" w:rsidRPr="00EF587A" w:rsidRDefault="00941C21" w:rsidP="00C81021">
            <w:pPr>
              <w:pStyle w:val="TableText"/>
            </w:pPr>
          </w:p>
        </w:tc>
        <w:tc>
          <w:tcPr>
            <w:tcW w:w="966" w:type="pct"/>
            <w:vMerge/>
          </w:tcPr>
          <w:p w14:paraId="34E74049" w14:textId="77777777" w:rsidR="00941C21" w:rsidRPr="009A1DE7" w:rsidRDefault="00941C21" w:rsidP="00C81021">
            <w:pPr>
              <w:pStyle w:val="TableText"/>
            </w:pPr>
          </w:p>
        </w:tc>
        <w:tc>
          <w:tcPr>
            <w:tcW w:w="1316" w:type="pct"/>
            <w:vMerge/>
          </w:tcPr>
          <w:p w14:paraId="269A0FC1" w14:textId="77777777" w:rsidR="00941C21" w:rsidRPr="009A1DE7" w:rsidRDefault="00941C21" w:rsidP="00C81021">
            <w:pPr>
              <w:pStyle w:val="TableText"/>
            </w:pPr>
          </w:p>
        </w:tc>
        <w:tc>
          <w:tcPr>
            <w:tcW w:w="1271" w:type="pct"/>
            <w:vMerge/>
          </w:tcPr>
          <w:p w14:paraId="7F5B33C7" w14:textId="77777777" w:rsidR="00941C21" w:rsidRPr="009A1DE7" w:rsidRDefault="00941C21" w:rsidP="00C81021">
            <w:pPr>
              <w:pStyle w:val="TableText"/>
            </w:pPr>
          </w:p>
        </w:tc>
        <w:tc>
          <w:tcPr>
            <w:tcW w:w="381" w:type="pct"/>
            <w:shd w:val="clear" w:color="auto" w:fill="F2F2F2" w:themeFill="background1" w:themeFillShade="F2"/>
          </w:tcPr>
          <w:p w14:paraId="3691DE12"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15013A40" w14:textId="77777777" w:rsidR="00941C21" w:rsidRPr="00EE4BD6" w:rsidRDefault="00941C21" w:rsidP="00C81021">
            <w:pPr>
              <w:pStyle w:val="TableText"/>
            </w:pPr>
          </w:p>
        </w:tc>
      </w:tr>
      <w:tr w:rsidR="00941C21" w:rsidRPr="00EE4BD6" w14:paraId="4C6010F1" w14:textId="77777777" w:rsidTr="00F97A1E">
        <w:trPr>
          <w:cantSplit/>
          <w:trHeight w:val="428"/>
        </w:trPr>
        <w:tc>
          <w:tcPr>
            <w:tcW w:w="612" w:type="pct"/>
            <w:vMerge/>
          </w:tcPr>
          <w:p w14:paraId="6C37268D" w14:textId="77777777" w:rsidR="00941C21" w:rsidRPr="00EF587A" w:rsidRDefault="00941C21" w:rsidP="00C81021">
            <w:pPr>
              <w:pStyle w:val="TableText"/>
            </w:pPr>
          </w:p>
        </w:tc>
        <w:tc>
          <w:tcPr>
            <w:tcW w:w="966" w:type="pct"/>
            <w:vMerge/>
          </w:tcPr>
          <w:p w14:paraId="1DE5F9A3" w14:textId="77777777" w:rsidR="00941C21" w:rsidRPr="009A1DE7" w:rsidRDefault="00941C21" w:rsidP="00C81021">
            <w:pPr>
              <w:pStyle w:val="TableText"/>
            </w:pPr>
          </w:p>
        </w:tc>
        <w:tc>
          <w:tcPr>
            <w:tcW w:w="1316" w:type="pct"/>
            <w:vMerge/>
          </w:tcPr>
          <w:p w14:paraId="1AA69E3C" w14:textId="77777777" w:rsidR="00941C21" w:rsidRPr="009A1DE7" w:rsidRDefault="00941C21" w:rsidP="00C81021">
            <w:pPr>
              <w:pStyle w:val="TableText"/>
            </w:pPr>
          </w:p>
        </w:tc>
        <w:tc>
          <w:tcPr>
            <w:tcW w:w="1271" w:type="pct"/>
            <w:vMerge/>
          </w:tcPr>
          <w:p w14:paraId="05112A3C" w14:textId="77777777" w:rsidR="00941C21" w:rsidRPr="009A1DE7" w:rsidRDefault="00941C21" w:rsidP="00C81021">
            <w:pPr>
              <w:pStyle w:val="TableText"/>
            </w:pPr>
          </w:p>
        </w:tc>
        <w:tc>
          <w:tcPr>
            <w:tcW w:w="381" w:type="pct"/>
            <w:shd w:val="clear" w:color="auto" w:fill="F2F2F2" w:themeFill="background1" w:themeFillShade="F2"/>
          </w:tcPr>
          <w:p w14:paraId="253F272D"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02CEA36C" w14:textId="77777777" w:rsidR="00941C21" w:rsidRPr="00EE4BD6" w:rsidRDefault="00941C21" w:rsidP="00C81021">
            <w:pPr>
              <w:pStyle w:val="TableText"/>
            </w:pPr>
          </w:p>
        </w:tc>
      </w:tr>
      <w:tr w:rsidR="00941C21" w:rsidRPr="00EE4BD6" w14:paraId="13757EB4" w14:textId="77777777" w:rsidTr="00F97A1E">
        <w:trPr>
          <w:cantSplit/>
          <w:trHeight w:val="351"/>
        </w:trPr>
        <w:tc>
          <w:tcPr>
            <w:tcW w:w="612" w:type="pct"/>
            <w:vMerge/>
          </w:tcPr>
          <w:p w14:paraId="1C76DBED" w14:textId="77777777" w:rsidR="00941C21" w:rsidRPr="00EF587A" w:rsidRDefault="00941C21" w:rsidP="00C81021">
            <w:pPr>
              <w:pStyle w:val="TableText"/>
            </w:pPr>
          </w:p>
        </w:tc>
        <w:tc>
          <w:tcPr>
            <w:tcW w:w="966" w:type="pct"/>
            <w:vMerge/>
          </w:tcPr>
          <w:p w14:paraId="7DD0148B" w14:textId="77777777" w:rsidR="00941C21" w:rsidRPr="009A1DE7" w:rsidRDefault="00941C21" w:rsidP="00C81021">
            <w:pPr>
              <w:pStyle w:val="TableText"/>
            </w:pPr>
          </w:p>
        </w:tc>
        <w:tc>
          <w:tcPr>
            <w:tcW w:w="1316" w:type="pct"/>
            <w:vMerge/>
          </w:tcPr>
          <w:p w14:paraId="32B104B2" w14:textId="77777777" w:rsidR="00941C21" w:rsidRPr="009A1DE7" w:rsidRDefault="00941C21" w:rsidP="00C81021">
            <w:pPr>
              <w:pStyle w:val="TableText"/>
            </w:pPr>
          </w:p>
        </w:tc>
        <w:tc>
          <w:tcPr>
            <w:tcW w:w="1271" w:type="pct"/>
            <w:vMerge/>
          </w:tcPr>
          <w:p w14:paraId="4C0DDF3B" w14:textId="77777777" w:rsidR="00941C21" w:rsidRPr="009A1DE7" w:rsidRDefault="00941C21" w:rsidP="00C81021">
            <w:pPr>
              <w:pStyle w:val="TableText"/>
            </w:pPr>
          </w:p>
        </w:tc>
        <w:tc>
          <w:tcPr>
            <w:tcW w:w="381" w:type="pct"/>
            <w:shd w:val="clear" w:color="auto" w:fill="F2F2F2" w:themeFill="background1" w:themeFillShade="F2"/>
          </w:tcPr>
          <w:p w14:paraId="7DDFE8F4"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11F8DE51" w14:textId="77777777" w:rsidR="00941C21" w:rsidRPr="00EE4BD6" w:rsidRDefault="00941C21" w:rsidP="00C81021">
            <w:pPr>
              <w:pStyle w:val="TableText"/>
            </w:pPr>
          </w:p>
        </w:tc>
      </w:tr>
      <w:tr w:rsidR="00941C21" w:rsidRPr="00EF587A" w14:paraId="57A77302" w14:textId="77777777" w:rsidTr="00F97A1E">
        <w:trPr>
          <w:cantSplit/>
          <w:trHeight w:val="428"/>
        </w:trPr>
        <w:tc>
          <w:tcPr>
            <w:tcW w:w="612" w:type="pct"/>
            <w:vMerge/>
          </w:tcPr>
          <w:p w14:paraId="1D8A787D" w14:textId="77777777" w:rsidR="00941C21" w:rsidRPr="00EF587A" w:rsidRDefault="00941C21" w:rsidP="00C81021">
            <w:pPr>
              <w:pStyle w:val="TableText"/>
            </w:pPr>
          </w:p>
        </w:tc>
        <w:tc>
          <w:tcPr>
            <w:tcW w:w="966" w:type="pct"/>
            <w:vMerge/>
          </w:tcPr>
          <w:p w14:paraId="1FF46925" w14:textId="77777777" w:rsidR="00941C21" w:rsidRPr="00EF587A" w:rsidRDefault="00941C21" w:rsidP="00C81021">
            <w:pPr>
              <w:pStyle w:val="TableText"/>
            </w:pPr>
          </w:p>
        </w:tc>
        <w:tc>
          <w:tcPr>
            <w:tcW w:w="1316" w:type="pct"/>
            <w:vMerge/>
          </w:tcPr>
          <w:p w14:paraId="7E72809C" w14:textId="77777777" w:rsidR="00941C21" w:rsidRPr="00EF587A" w:rsidRDefault="00941C21" w:rsidP="00C81021">
            <w:pPr>
              <w:pStyle w:val="TableText"/>
            </w:pPr>
          </w:p>
        </w:tc>
        <w:tc>
          <w:tcPr>
            <w:tcW w:w="1271" w:type="pct"/>
            <w:vMerge/>
          </w:tcPr>
          <w:p w14:paraId="09BCEE84" w14:textId="77777777" w:rsidR="00941C21" w:rsidRPr="00EF587A" w:rsidRDefault="00941C21" w:rsidP="00C81021">
            <w:pPr>
              <w:pStyle w:val="TableText"/>
            </w:pPr>
          </w:p>
        </w:tc>
        <w:tc>
          <w:tcPr>
            <w:tcW w:w="381" w:type="pct"/>
            <w:shd w:val="clear" w:color="auto" w:fill="F2F2F2" w:themeFill="background1" w:themeFillShade="F2"/>
          </w:tcPr>
          <w:p w14:paraId="7A58A4B8"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35B40EC5" w14:textId="77777777" w:rsidR="00941C21" w:rsidRPr="00EF587A" w:rsidRDefault="00941C21" w:rsidP="00C81021">
            <w:pPr>
              <w:pStyle w:val="TableText"/>
            </w:pPr>
          </w:p>
        </w:tc>
      </w:tr>
      <w:tr w:rsidR="00587DBC" w:rsidRPr="00EE4BD6" w14:paraId="75746A7C" w14:textId="77777777" w:rsidTr="00F97A1E">
        <w:trPr>
          <w:cantSplit/>
          <w:trHeight w:val="127"/>
        </w:trPr>
        <w:tc>
          <w:tcPr>
            <w:tcW w:w="5000" w:type="pct"/>
            <w:gridSpan w:val="6"/>
            <w:shd w:val="clear" w:color="auto" w:fill="D0CECE" w:themeFill="background2" w:themeFillShade="E6"/>
            <w:vAlign w:val="center"/>
          </w:tcPr>
          <w:p w14:paraId="72F67F09" w14:textId="77777777" w:rsidR="00587DBC" w:rsidRPr="00572499" w:rsidRDefault="00587DBC" w:rsidP="00C81021">
            <w:pPr>
              <w:pStyle w:val="TableText"/>
              <w:rPr>
                <w:sz w:val="8"/>
                <w:szCs w:val="8"/>
              </w:rPr>
            </w:pPr>
          </w:p>
        </w:tc>
      </w:tr>
      <w:tr w:rsidR="00F46E06" w:rsidRPr="00EE4BD6" w14:paraId="5D167B2F" w14:textId="77777777" w:rsidTr="00F97A1E">
        <w:trPr>
          <w:cantSplit/>
          <w:trHeight w:val="428"/>
        </w:trPr>
        <w:tc>
          <w:tcPr>
            <w:tcW w:w="612" w:type="pct"/>
            <w:vMerge w:val="restart"/>
            <w:vAlign w:val="center"/>
          </w:tcPr>
          <w:p w14:paraId="1B59C025" w14:textId="7ED65878" w:rsidR="00F46E06" w:rsidRPr="00F77313" w:rsidRDefault="00F46E06" w:rsidP="00F46E06">
            <w:pPr>
              <w:pStyle w:val="TableText"/>
              <w:jc w:val="center"/>
              <w:rPr>
                <w:b/>
                <w:bCs/>
              </w:rPr>
            </w:pPr>
            <w:r w:rsidRPr="00F46E06">
              <w:rPr>
                <w:b/>
                <w:bCs/>
              </w:rPr>
              <w:t>Visits by reports</w:t>
            </w:r>
          </w:p>
        </w:tc>
        <w:tc>
          <w:tcPr>
            <w:tcW w:w="966" w:type="pct"/>
            <w:vMerge w:val="restart"/>
          </w:tcPr>
          <w:p w14:paraId="4701FA76" w14:textId="358E53AB" w:rsidR="00F46E06" w:rsidRPr="009A1DE7" w:rsidRDefault="00F46E06" w:rsidP="00F46E06">
            <w:pPr>
              <w:pStyle w:val="TableText"/>
            </w:pPr>
            <w:r>
              <w:t>Display the number of visits to an office or clinic by community, dentist and facility, and tribal membership. On the report, the first visit, revisit, broken appointment, and PTC (planned treatment completed) values are calculated.</w:t>
            </w:r>
          </w:p>
        </w:tc>
        <w:tc>
          <w:tcPr>
            <w:tcW w:w="1316" w:type="pct"/>
            <w:vMerge w:val="restart"/>
          </w:tcPr>
          <w:p w14:paraId="302CA289" w14:textId="77777777" w:rsidR="00F46E06" w:rsidRDefault="00F46E06" w:rsidP="00F46E06">
            <w:pPr>
              <w:pStyle w:val="TableText"/>
              <w:keepNext/>
              <w:keepLines/>
              <w:numPr>
                <w:ilvl w:val="0"/>
                <w:numId w:val="2"/>
              </w:numPr>
              <w:ind w:left="245" w:hanging="187"/>
            </w:pPr>
            <w:r>
              <w:t>All the procedure(s) for a given patient on a given day in the Ledger are counted as one visit. IHS condition codes and ADA codes are posted.</w:t>
            </w:r>
          </w:p>
          <w:p w14:paraId="31F24966" w14:textId="3B642C53" w:rsidR="00F46E06" w:rsidRPr="009A1DE7" w:rsidRDefault="00F46E06" w:rsidP="00F46E06">
            <w:pPr>
              <w:pStyle w:val="TableText"/>
              <w:numPr>
                <w:ilvl w:val="0"/>
                <w:numId w:val="2"/>
              </w:numPr>
              <w:ind w:left="232" w:hanging="180"/>
            </w:pPr>
            <w:r w:rsidRPr="001D78AE">
              <w:t>Consistently following the daily, weekly monthly check list to ensure Dentrix Enterprise data is accurate.</w:t>
            </w:r>
          </w:p>
        </w:tc>
        <w:tc>
          <w:tcPr>
            <w:tcW w:w="1271" w:type="pct"/>
            <w:vMerge w:val="restart"/>
          </w:tcPr>
          <w:p w14:paraId="36F6A14D" w14:textId="1E785C49" w:rsidR="00F46E06" w:rsidRPr="00EF587A" w:rsidRDefault="00F46E06" w:rsidP="00F46E06">
            <w:pPr>
              <w:pStyle w:val="TableText"/>
            </w:pPr>
            <w:r>
              <w:t>Report data will be inaccurate, dental teams will not be properly utilized and patient care could be reduced.</w:t>
            </w:r>
          </w:p>
        </w:tc>
        <w:tc>
          <w:tcPr>
            <w:tcW w:w="381" w:type="pct"/>
            <w:shd w:val="clear" w:color="auto" w:fill="F2F2F2" w:themeFill="background1" w:themeFillShade="F2"/>
          </w:tcPr>
          <w:p w14:paraId="6C190A4B" w14:textId="77777777" w:rsidR="00F46E06" w:rsidRPr="00EE4BD6" w:rsidRDefault="00F46E06" w:rsidP="00F46E06">
            <w:pPr>
              <w:pStyle w:val="TableText"/>
            </w:pPr>
            <w:r w:rsidRPr="001F26DF">
              <w:t>Date Reviewed</w:t>
            </w:r>
            <w:r>
              <w:t>:</w:t>
            </w:r>
          </w:p>
        </w:tc>
        <w:tc>
          <w:tcPr>
            <w:tcW w:w="454" w:type="pct"/>
            <w:shd w:val="clear" w:color="auto" w:fill="F2F2F2" w:themeFill="background1" w:themeFillShade="F2"/>
          </w:tcPr>
          <w:p w14:paraId="17ACD93B" w14:textId="77777777" w:rsidR="00F46E06" w:rsidRPr="00EE4BD6" w:rsidRDefault="00F46E06" w:rsidP="00F46E06">
            <w:pPr>
              <w:pStyle w:val="TableText"/>
            </w:pPr>
          </w:p>
        </w:tc>
      </w:tr>
      <w:tr w:rsidR="00941C21" w:rsidRPr="00EE4BD6" w14:paraId="06355AA4" w14:textId="77777777" w:rsidTr="00F97A1E">
        <w:trPr>
          <w:cantSplit/>
          <w:trHeight w:val="428"/>
        </w:trPr>
        <w:tc>
          <w:tcPr>
            <w:tcW w:w="612" w:type="pct"/>
            <w:vMerge/>
          </w:tcPr>
          <w:p w14:paraId="4280903E" w14:textId="77777777" w:rsidR="00941C21" w:rsidRPr="00EF587A" w:rsidRDefault="00941C21" w:rsidP="00C81021">
            <w:pPr>
              <w:pStyle w:val="TableText"/>
            </w:pPr>
          </w:p>
        </w:tc>
        <w:tc>
          <w:tcPr>
            <w:tcW w:w="966" w:type="pct"/>
            <w:vMerge/>
          </w:tcPr>
          <w:p w14:paraId="5681953C" w14:textId="77777777" w:rsidR="00941C21" w:rsidRPr="009A1DE7" w:rsidRDefault="00941C21" w:rsidP="00C81021">
            <w:pPr>
              <w:pStyle w:val="TableText"/>
            </w:pPr>
          </w:p>
        </w:tc>
        <w:tc>
          <w:tcPr>
            <w:tcW w:w="1316" w:type="pct"/>
            <w:vMerge/>
          </w:tcPr>
          <w:p w14:paraId="4446FDA8" w14:textId="77777777" w:rsidR="00941C21" w:rsidRPr="009A1DE7" w:rsidRDefault="00941C21" w:rsidP="00C81021">
            <w:pPr>
              <w:pStyle w:val="TableText"/>
            </w:pPr>
          </w:p>
        </w:tc>
        <w:tc>
          <w:tcPr>
            <w:tcW w:w="1271" w:type="pct"/>
            <w:vMerge/>
          </w:tcPr>
          <w:p w14:paraId="727DEE38" w14:textId="77777777" w:rsidR="00941C21" w:rsidRPr="009A1DE7" w:rsidRDefault="00941C21" w:rsidP="00C81021">
            <w:pPr>
              <w:pStyle w:val="TableText"/>
            </w:pPr>
          </w:p>
        </w:tc>
        <w:tc>
          <w:tcPr>
            <w:tcW w:w="381" w:type="pct"/>
            <w:shd w:val="clear" w:color="auto" w:fill="F2F2F2" w:themeFill="background1" w:themeFillShade="F2"/>
          </w:tcPr>
          <w:p w14:paraId="0D216C5F"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56473E7E" w14:textId="77777777" w:rsidR="00941C21" w:rsidRPr="00EE4BD6" w:rsidRDefault="00941C21" w:rsidP="00C81021">
            <w:pPr>
              <w:pStyle w:val="TableText"/>
            </w:pPr>
          </w:p>
        </w:tc>
      </w:tr>
      <w:tr w:rsidR="00941C21" w:rsidRPr="00EE4BD6" w14:paraId="4E648A54" w14:textId="77777777" w:rsidTr="00F97A1E">
        <w:trPr>
          <w:cantSplit/>
          <w:trHeight w:val="428"/>
        </w:trPr>
        <w:tc>
          <w:tcPr>
            <w:tcW w:w="612" w:type="pct"/>
            <w:vMerge/>
          </w:tcPr>
          <w:p w14:paraId="47E30A83" w14:textId="77777777" w:rsidR="00941C21" w:rsidRPr="00EF587A" w:rsidRDefault="00941C21" w:rsidP="00C81021">
            <w:pPr>
              <w:pStyle w:val="TableText"/>
            </w:pPr>
          </w:p>
        </w:tc>
        <w:tc>
          <w:tcPr>
            <w:tcW w:w="966" w:type="pct"/>
            <w:vMerge/>
          </w:tcPr>
          <w:p w14:paraId="7F2E0844" w14:textId="77777777" w:rsidR="00941C21" w:rsidRPr="009A1DE7" w:rsidRDefault="00941C21" w:rsidP="00C81021">
            <w:pPr>
              <w:pStyle w:val="TableText"/>
            </w:pPr>
          </w:p>
        </w:tc>
        <w:tc>
          <w:tcPr>
            <w:tcW w:w="1316" w:type="pct"/>
            <w:vMerge/>
          </w:tcPr>
          <w:p w14:paraId="240009D9" w14:textId="77777777" w:rsidR="00941C21" w:rsidRPr="009A1DE7" w:rsidRDefault="00941C21" w:rsidP="00C81021">
            <w:pPr>
              <w:pStyle w:val="TableText"/>
            </w:pPr>
          </w:p>
        </w:tc>
        <w:tc>
          <w:tcPr>
            <w:tcW w:w="1271" w:type="pct"/>
            <w:vMerge/>
          </w:tcPr>
          <w:p w14:paraId="30868819" w14:textId="77777777" w:rsidR="00941C21" w:rsidRPr="009A1DE7" w:rsidRDefault="00941C21" w:rsidP="00C81021">
            <w:pPr>
              <w:pStyle w:val="TableText"/>
            </w:pPr>
          </w:p>
        </w:tc>
        <w:tc>
          <w:tcPr>
            <w:tcW w:w="381" w:type="pct"/>
            <w:shd w:val="clear" w:color="auto" w:fill="F2F2F2" w:themeFill="background1" w:themeFillShade="F2"/>
          </w:tcPr>
          <w:p w14:paraId="4A7CD328"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31BD8358" w14:textId="77777777" w:rsidR="00941C21" w:rsidRPr="00EE4BD6" w:rsidRDefault="00941C21" w:rsidP="00C81021">
            <w:pPr>
              <w:pStyle w:val="TableText"/>
            </w:pPr>
          </w:p>
        </w:tc>
      </w:tr>
      <w:tr w:rsidR="00941C21" w:rsidRPr="00EE4BD6" w14:paraId="21409E79" w14:textId="77777777" w:rsidTr="00F97A1E">
        <w:trPr>
          <w:cantSplit/>
          <w:trHeight w:val="315"/>
        </w:trPr>
        <w:tc>
          <w:tcPr>
            <w:tcW w:w="612" w:type="pct"/>
            <w:vMerge/>
          </w:tcPr>
          <w:p w14:paraId="021B9DAC" w14:textId="77777777" w:rsidR="00941C21" w:rsidRPr="00EF587A" w:rsidRDefault="00941C21" w:rsidP="00C81021">
            <w:pPr>
              <w:pStyle w:val="TableText"/>
            </w:pPr>
          </w:p>
        </w:tc>
        <w:tc>
          <w:tcPr>
            <w:tcW w:w="966" w:type="pct"/>
            <w:vMerge/>
          </w:tcPr>
          <w:p w14:paraId="42129513" w14:textId="77777777" w:rsidR="00941C21" w:rsidRPr="009A1DE7" w:rsidRDefault="00941C21" w:rsidP="00C81021">
            <w:pPr>
              <w:pStyle w:val="TableText"/>
            </w:pPr>
          </w:p>
        </w:tc>
        <w:tc>
          <w:tcPr>
            <w:tcW w:w="1316" w:type="pct"/>
            <w:vMerge/>
          </w:tcPr>
          <w:p w14:paraId="5DEDC8E0" w14:textId="77777777" w:rsidR="00941C21" w:rsidRPr="009A1DE7" w:rsidRDefault="00941C21" w:rsidP="00C81021">
            <w:pPr>
              <w:pStyle w:val="TableText"/>
            </w:pPr>
          </w:p>
        </w:tc>
        <w:tc>
          <w:tcPr>
            <w:tcW w:w="1271" w:type="pct"/>
            <w:vMerge/>
          </w:tcPr>
          <w:p w14:paraId="06402474" w14:textId="77777777" w:rsidR="00941C21" w:rsidRPr="009A1DE7" w:rsidRDefault="00941C21" w:rsidP="00C81021">
            <w:pPr>
              <w:pStyle w:val="TableText"/>
            </w:pPr>
          </w:p>
        </w:tc>
        <w:tc>
          <w:tcPr>
            <w:tcW w:w="381" w:type="pct"/>
            <w:shd w:val="clear" w:color="auto" w:fill="F2F2F2" w:themeFill="background1" w:themeFillShade="F2"/>
          </w:tcPr>
          <w:p w14:paraId="089F60EA"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6555A24F" w14:textId="77777777" w:rsidR="00941C21" w:rsidRPr="00EE4BD6" w:rsidRDefault="00941C21" w:rsidP="00C81021">
            <w:pPr>
              <w:pStyle w:val="TableText"/>
            </w:pPr>
          </w:p>
        </w:tc>
      </w:tr>
      <w:tr w:rsidR="00941C21" w:rsidRPr="00EF587A" w14:paraId="2F4DD9FB" w14:textId="77777777" w:rsidTr="00F97A1E">
        <w:trPr>
          <w:cantSplit/>
          <w:trHeight w:val="428"/>
        </w:trPr>
        <w:tc>
          <w:tcPr>
            <w:tcW w:w="612" w:type="pct"/>
            <w:vMerge/>
          </w:tcPr>
          <w:p w14:paraId="470C3F67" w14:textId="77777777" w:rsidR="00941C21" w:rsidRPr="00EF587A" w:rsidRDefault="00941C21" w:rsidP="00C81021">
            <w:pPr>
              <w:pStyle w:val="TableText"/>
            </w:pPr>
          </w:p>
        </w:tc>
        <w:tc>
          <w:tcPr>
            <w:tcW w:w="966" w:type="pct"/>
            <w:vMerge/>
          </w:tcPr>
          <w:p w14:paraId="2722B784" w14:textId="77777777" w:rsidR="00941C21" w:rsidRPr="00EF587A" w:rsidRDefault="00941C21" w:rsidP="00C81021">
            <w:pPr>
              <w:pStyle w:val="TableText"/>
            </w:pPr>
          </w:p>
        </w:tc>
        <w:tc>
          <w:tcPr>
            <w:tcW w:w="1316" w:type="pct"/>
            <w:vMerge/>
          </w:tcPr>
          <w:p w14:paraId="79E713F3" w14:textId="77777777" w:rsidR="00941C21" w:rsidRPr="00EF587A" w:rsidRDefault="00941C21" w:rsidP="00C81021">
            <w:pPr>
              <w:pStyle w:val="TableText"/>
            </w:pPr>
          </w:p>
        </w:tc>
        <w:tc>
          <w:tcPr>
            <w:tcW w:w="1271" w:type="pct"/>
            <w:vMerge/>
          </w:tcPr>
          <w:p w14:paraId="30F538AE" w14:textId="77777777" w:rsidR="00941C21" w:rsidRPr="00EF587A" w:rsidRDefault="00941C21" w:rsidP="00C81021">
            <w:pPr>
              <w:pStyle w:val="TableText"/>
            </w:pPr>
          </w:p>
        </w:tc>
        <w:tc>
          <w:tcPr>
            <w:tcW w:w="381" w:type="pct"/>
            <w:shd w:val="clear" w:color="auto" w:fill="F2F2F2" w:themeFill="background1" w:themeFillShade="F2"/>
          </w:tcPr>
          <w:p w14:paraId="00536BA5"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1B5537E4" w14:textId="77777777" w:rsidR="00941C21" w:rsidRPr="00EF587A" w:rsidRDefault="00941C21" w:rsidP="00C81021">
            <w:pPr>
              <w:pStyle w:val="TableText"/>
            </w:pPr>
          </w:p>
        </w:tc>
      </w:tr>
      <w:tr w:rsidR="00587DBC" w:rsidRPr="00EE4BD6" w14:paraId="1451C861" w14:textId="77777777" w:rsidTr="00F97A1E">
        <w:trPr>
          <w:cantSplit/>
          <w:trHeight w:val="100"/>
        </w:trPr>
        <w:tc>
          <w:tcPr>
            <w:tcW w:w="5000" w:type="pct"/>
            <w:gridSpan w:val="6"/>
            <w:shd w:val="clear" w:color="auto" w:fill="D0CECE" w:themeFill="background2" w:themeFillShade="E6"/>
            <w:vAlign w:val="center"/>
          </w:tcPr>
          <w:p w14:paraId="51AA7B87" w14:textId="77777777" w:rsidR="00587DBC" w:rsidRPr="00572499" w:rsidRDefault="00587DBC" w:rsidP="00C81021">
            <w:pPr>
              <w:pStyle w:val="TableText"/>
              <w:rPr>
                <w:sz w:val="8"/>
                <w:szCs w:val="8"/>
              </w:rPr>
            </w:pPr>
          </w:p>
        </w:tc>
      </w:tr>
      <w:tr w:rsidR="00F46E06" w:rsidRPr="00EE4BD6" w14:paraId="00629EE5" w14:textId="77777777" w:rsidTr="00F97A1E">
        <w:trPr>
          <w:cantSplit/>
          <w:trHeight w:val="234"/>
        </w:trPr>
        <w:tc>
          <w:tcPr>
            <w:tcW w:w="612" w:type="pct"/>
            <w:vMerge w:val="restart"/>
            <w:vAlign w:val="center"/>
          </w:tcPr>
          <w:p w14:paraId="2A3FA6F5" w14:textId="66B89295" w:rsidR="00F46E06" w:rsidRPr="00F77313" w:rsidRDefault="00F46E06" w:rsidP="0091131B">
            <w:pPr>
              <w:pStyle w:val="TableText"/>
              <w:keepNext/>
              <w:keepLines/>
              <w:jc w:val="center"/>
              <w:rPr>
                <w:b/>
                <w:bCs/>
              </w:rPr>
            </w:pPr>
            <w:r w:rsidRPr="00F46E06">
              <w:rPr>
                <w:b/>
                <w:bCs/>
              </w:rPr>
              <w:t>OHSS Report</w:t>
            </w:r>
          </w:p>
        </w:tc>
        <w:tc>
          <w:tcPr>
            <w:tcW w:w="966" w:type="pct"/>
            <w:vMerge w:val="restart"/>
          </w:tcPr>
          <w:p w14:paraId="3CD9C3A1" w14:textId="77777777" w:rsidR="00F46E06" w:rsidRDefault="00F46E06" w:rsidP="0091131B">
            <w:pPr>
              <w:pStyle w:val="TableText"/>
              <w:keepNext/>
              <w:keepLines/>
            </w:pPr>
            <w:r>
              <w:t xml:space="preserve">For various age ranges, identify how many patients have caries and </w:t>
            </w:r>
          </w:p>
          <w:p w14:paraId="2735FA2F" w14:textId="0932D7ED" w:rsidR="00F46E06" w:rsidRPr="009A1DE7" w:rsidRDefault="00F46E06" w:rsidP="0091131B">
            <w:pPr>
              <w:pStyle w:val="TableText"/>
              <w:keepNext/>
              <w:keepLines/>
            </w:pPr>
            <w:r>
              <w:t>how many do not, the number of patients with certain conditions, and patients’ period measurements.</w:t>
            </w:r>
          </w:p>
        </w:tc>
        <w:tc>
          <w:tcPr>
            <w:tcW w:w="1316" w:type="pct"/>
            <w:vMerge w:val="restart"/>
          </w:tcPr>
          <w:p w14:paraId="7E9249CE" w14:textId="77777777" w:rsidR="00F46E06" w:rsidRDefault="00F46E06" w:rsidP="0091131B">
            <w:pPr>
              <w:pStyle w:val="TableText"/>
              <w:keepNext/>
              <w:keepLines/>
              <w:numPr>
                <w:ilvl w:val="0"/>
                <w:numId w:val="2"/>
              </w:numPr>
              <w:ind w:left="232" w:hanging="180"/>
            </w:pPr>
            <w:r w:rsidRPr="001D78AE">
              <w:t>Proper patient registration and charting completed.</w:t>
            </w:r>
          </w:p>
          <w:p w14:paraId="5CCB94F8" w14:textId="4D265234" w:rsidR="00F46E06" w:rsidRPr="009A1DE7" w:rsidRDefault="00F46E06" w:rsidP="0091131B">
            <w:pPr>
              <w:pStyle w:val="TableText"/>
              <w:keepNext/>
              <w:keepLines/>
              <w:numPr>
                <w:ilvl w:val="0"/>
                <w:numId w:val="2"/>
              </w:numPr>
              <w:ind w:left="232" w:hanging="180"/>
            </w:pPr>
            <w:r w:rsidRPr="001D78AE">
              <w:t>Consistently following the daily, weekly monthly check list to ensure Dentrix Enterprise data is accurate.</w:t>
            </w:r>
          </w:p>
        </w:tc>
        <w:tc>
          <w:tcPr>
            <w:tcW w:w="1271" w:type="pct"/>
            <w:vMerge w:val="restart"/>
          </w:tcPr>
          <w:p w14:paraId="091EDB45" w14:textId="5EF0173E" w:rsidR="00F46E06" w:rsidRPr="00EF587A" w:rsidRDefault="00F46E06" w:rsidP="0091131B">
            <w:pPr>
              <w:pStyle w:val="TableText"/>
              <w:keepNext/>
              <w:keepLines/>
            </w:pPr>
            <w:r w:rsidRPr="001D78AE">
              <w:t>Report data will be inaccurate and patient care not optimized.</w:t>
            </w:r>
          </w:p>
        </w:tc>
        <w:tc>
          <w:tcPr>
            <w:tcW w:w="381" w:type="pct"/>
            <w:shd w:val="clear" w:color="auto" w:fill="F2F2F2" w:themeFill="background1" w:themeFillShade="F2"/>
          </w:tcPr>
          <w:p w14:paraId="31E2B252" w14:textId="77777777" w:rsidR="00F46E06" w:rsidRPr="00EE4BD6" w:rsidRDefault="00F46E06" w:rsidP="0091131B">
            <w:pPr>
              <w:pStyle w:val="TableText"/>
              <w:keepNext/>
              <w:keepLines/>
            </w:pPr>
            <w:r w:rsidRPr="001F26DF">
              <w:t>Date Reviewed</w:t>
            </w:r>
            <w:r>
              <w:t>:</w:t>
            </w:r>
          </w:p>
        </w:tc>
        <w:tc>
          <w:tcPr>
            <w:tcW w:w="454" w:type="pct"/>
            <w:shd w:val="clear" w:color="auto" w:fill="F2F2F2" w:themeFill="background1" w:themeFillShade="F2"/>
          </w:tcPr>
          <w:p w14:paraId="60DFAFA8" w14:textId="77777777" w:rsidR="00F46E06" w:rsidRPr="00EE4BD6" w:rsidRDefault="00F46E06" w:rsidP="0091131B">
            <w:pPr>
              <w:pStyle w:val="TableText"/>
              <w:keepNext/>
              <w:keepLines/>
            </w:pPr>
          </w:p>
        </w:tc>
      </w:tr>
      <w:tr w:rsidR="00941C21" w:rsidRPr="00EE4BD6" w14:paraId="7C5FD01E" w14:textId="77777777" w:rsidTr="00F97A1E">
        <w:trPr>
          <w:cantSplit/>
          <w:trHeight w:val="153"/>
        </w:trPr>
        <w:tc>
          <w:tcPr>
            <w:tcW w:w="612" w:type="pct"/>
            <w:vMerge/>
          </w:tcPr>
          <w:p w14:paraId="62766904" w14:textId="77777777" w:rsidR="00941C21" w:rsidRPr="00EF587A" w:rsidRDefault="00941C21" w:rsidP="0091131B">
            <w:pPr>
              <w:pStyle w:val="TableText"/>
              <w:keepNext/>
              <w:keepLines/>
            </w:pPr>
          </w:p>
        </w:tc>
        <w:tc>
          <w:tcPr>
            <w:tcW w:w="966" w:type="pct"/>
            <w:vMerge/>
          </w:tcPr>
          <w:p w14:paraId="6E5CEBB9" w14:textId="77777777" w:rsidR="00941C21" w:rsidRPr="009A1DE7" w:rsidRDefault="00941C21" w:rsidP="0091131B">
            <w:pPr>
              <w:pStyle w:val="TableText"/>
              <w:keepNext/>
              <w:keepLines/>
            </w:pPr>
          </w:p>
        </w:tc>
        <w:tc>
          <w:tcPr>
            <w:tcW w:w="1316" w:type="pct"/>
            <w:vMerge/>
          </w:tcPr>
          <w:p w14:paraId="7DCBFA0F" w14:textId="77777777" w:rsidR="00941C21" w:rsidRPr="009A1DE7" w:rsidRDefault="00941C21" w:rsidP="0091131B">
            <w:pPr>
              <w:pStyle w:val="TableText"/>
              <w:keepNext/>
              <w:keepLines/>
            </w:pPr>
          </w:p>
        </w:tc>
        <w:tc>
          <w:tcPr>
            <w:tcW w:w="1271" w:type="pct"/>
            <w:vMerge/>
          </w:tcPr>
          <w:p w14:paraId="15451A59" w14:textId="77777777" w:rsidR="00941C21" w:rsidRPr="009A1DE7" w:rsidRDefault="00941C21" w:rsidP="0091131B">
            <w:pPr>
              <w:pStyle w:val="TableText"/>
              <w:keepNext/>
              <w:keepLines/>
            </w:pPr>
          </w:p>
        </w:tc>
        <w:tc>
          <w:tcPr>
            <w:tcW w:w="381" w:type="pct"/>
            <w:shd w:val="clear" w:color="auto" w:fill="F2F2F2" w:themeFill="background1" w:themeFillShade="F2"/>
          </w:tcPr>
          <w:p w14:paraId="6D9B8F2E" w14:textId="77777777" w:rsidR="00941C21" w:rsidRPr="00EE4BD6" w:rsidRDefault="00941C21" w:rsidP="0091131B">
            <w:pPr>
              <w:pStyle w:val="TableText"/>
              <w:keepNext/>
              <w:keepLines/>
            </w:pPr>
            <w:r w:rsidRPr="009A1DE7">
              <w:t>Assigned Individual</w:t>
            </w:r>
            <w:r>
              <w:t>:</w:t>
            </w:r>
          </w:p>
        </w:tc>
        <w:tc>
          <w:tcPr>
            <w:tcW w:w="454" w:type="pct"/>
            <w:shd w:val="clear" w:color="auto" w:fill="F2F2F2" w:themeFill="background1" w:themeFillShade="F2"/>
          </w:tcPr>
          <w:p w14:paraId="03D0CD47" w14:textId="77777777" w:rsidR="00941C21" w:rsidRPr="00EE4BD6" w:rsidRDefault="00941C21" w:rsidP="0091131B">
            <w:pPr>
              <w:pStyle w:val="TableText"/>
              <w:keepNext/>
              <w:keepLines/>
            </w:pPr>
          </w:p>
        </w:tc>
      </w:tr>
      <w:tr w:rsidR="00941C21" w:rsidRPr="00EE4BD6" w14:paraId="1A14F38C" w14:textId="77777777" w:rsidTr="00F97A1E">
        <w:trPr>
          <w:cantSplit/>
          <w:trHeight w:val="252"/>
        </w:trPr>
        <w:tc>
          <w:tcPr>
            <w:tcW w:w="612" w:type="pct"/>
            <w:vMerge/>
          </w:tcPr>
          <w:p w14:paraId="02BFF900" w14:textId="77777777" w:rsidR="00941C21" w:rsidRPr="00EF587A" w:rsidRDefault="00941C21" w:rsidP="0091131B">
            <w:pPr>
              <w:pStyle w:val="TableText"/>
              <w:keepNext/>
              <w:keepLines/>
            </w:pPr>
          </w:p>
        </w:tc>
        <w:tc>
          <w:tcPr>
            <w:tcW w:w="966" w:type="pct"/>
            <w:vMerge/>
          </w:tcPr>
          <w:p w14:paraId="4D37824B" w14:textId="77777777" w:rsidR="00941C21" w:rsidRPr="009A1DE7" w:rsidRDefault="00941C21" w:rsidP="0091131B">
            <w:pPr>
              <w:pStyle w:val="TableText"/>
              <w:keepNext/>
              <w:keepLines/>
            </w:pPr>
          </w:p>
        </w:tc>
        <w:tc>
          <w:tcPr>
            <w:tcW w:w="1316" w:type="pct"/>
            <w:vMerge/>
          </w:tcPr>
          <w:p w14:paraId="658E635E" w14:textId="77777777" w:rsidR="00941C21" w:rsidRPr="009A1DE7" w:rsidRDefault="00941C21" w:rsidP="0091131B">
            <w:pPr>
              <w:pStyle w:val="TableText"/>
              <w:keepNext/>
              <w:keepLines/>
            </w:pPr>
          </w:p>
        </w:tc>
        <w:tc>
          <w:tcPr>
            <w:tcW w:w="1271" w:type="pct"/>
            <w:vMerge/>
          </w:tcPr>
          <w:p w14:paraId="2286EB1C" w14:textId="77777777" w:rsidR="00941C21" w:rsidRPr="009A1DE7" w:rsidRDefault="00941C21" w:rsidP="0091131B">
            <w:pPr>
              <w:pStyle w:val="TableText"/>
              <w:keepNext/>
              <w:keepLines/>
            </w:pPr>
          </w:p>
        </w:tc>
        <w:tc>
          <w:tcPr>
            <w:tcW w:w="381" w:type="pct"/>
            <w:shd w:val="clear" w:color="auto" w:fill="F2F2F2" w:themeFill="background1" w:themeFillShade="F2"/>
          </w:tcPr>
          <w:p w14:paraId="032C7282" w14:textId="77777777" w:rsidR="00941C21" w:rsidRPr="00EE4BD6" w:rsidRDefault="00941C21" w:rsidP="0091131B">
            <w:pPr>
              <w:pStyle w:val="TableText"/>
              <w:keepNext/>
              <w:keepLines/>
            </w:pPr>
            <w:r w:rsidRPr="009A1DE7">
              <w:t>Actions Required</w:t>
            </w:r>
            <w:r>
              <w:t>:</w:t>
            </w:r>
          </w:p>
        </w:tc>
        <w:tc>
          <w:tcPr>
            <w:tcW w:w="454" w:type="pct"/>
            <w:shd w:val="clear" w:color="auto" w:fill="F2F2F2" w:themeFill="background1" w:themeFillShade="F2"/>
          </w:tcPr>
          <w:p w14:paraId="5B31A1B1" w14:textId="77777777" w:rsidR="00941C21" w:rsidRPr="00EE4BD6" w:rsidRDefault="00941C21" w:rsidP="0091131B">
            <w:pPr>
              <w:pStyle w:val="TableText"/>
              <w:keepNext/>
              <w:keepLines/>
            </w:pPr>
          </w:p>
        </w:tc>
      </w:tr>
      <w:tr w:rsidR="00941C21" w:rsidRPr="00EE4BD6" w14:paraId="300A5564" w14:textId="77777777" w:rsidTr="00F97A1E">
        <w:trPr>
          <w:cantSplit/>
          <w:trHeight w:val="342"/>
        </w:trPr>
        <w:tc>
          <w:tcPr>
            <w:tcW w:w="612" w:type="pct"/>
            <w:vMerge/>
          </w:tcPr>
          <w:p w14:paraId="30D01016" w14:textId="77777777" w:rsidR="00941C21" w:rsidRPr="00EF587A" w:rsidRDefault="00941C21" w:rsidP="0091131B">
            <w:pPr>
              <w:pStyle w:val="TableText"/>
              <w:keepNext/>
              <w:keepLines/>
            </w:pPr>
          </w:p>
        </w:tc>
        <w:tc>
          <w:tcPr>
            <w:tcW w:w="966" w:type="pct"/>
            <w:vMerge/>
          </w:tcPr>
          <w:p w14:paraId="19360EAC" w14:textId="77777777" w:rsidR="00941C21" w:rsidRPr="009A1DE7" w:rsidRDefault="00941C21" w:rsidP="0091131B">
            <w:pPr>
              <w:pStyle w:val="TableText"/>
              <w:keepNext/>
              <w:keepLines/>
            </w:pPr>
          </w:p>
        </w:tc>
        <w:tc>
          <w:tcPr>
            <w:tcW w:w="1316" w:type="pct"/>
            <w:vMerge/>
          </w:tcPr>
          <w:p w14:paraId="49DD8AA4" w14:textId="77777777" w:rsidR="00941C21" w:rsidRPr="009A1DE7" w:rsidRDefault="00941C21" w:rsidP="0091131B">
            <w:pPr>
              <w:pStyle w:val="TableText"/>
              <w:keepNext/>
              <w:keepLines/>
            </w:pPr>
          </w:p>
        </w:tc>
        <w:tc>
          <w:tcPr>
            <w:tcW w:w="1271" w:type="pct"/>
            <w:vMerge/>
          </w:tcPr>
          <w:p w14:paraId="531C8B38" w14:textId="77777777" w:rsidR="00941C21" w:rsidRPr="009A1DE7" w:rsidRDefault="00941C21" w:rsidP="0091131B">
            <w:pPr>
              <w:pStyle w:val="TableText"/>
              <w:keepNext/>
              <w:keepLines/>
            </w:pPr>
          </w:p>
        </w:tc>
        <w:tc>
          <w:tcPr>
            <w:tcW w:w="381" w:type="pct"/>
            <w:shd w:val="clear" w:color="auto" w:fill="F2F2F2" w:themeFill="background1" w:themeFillShade="F2"/>
          </w:tcPr>
          <w:p w14:paraId="2590FD03" w14:textId="77777777" w:rsidR="00941C21" w:rsidRPr="00EE4BD6" w:rsidRDefault="00941C21" w:rsidP="0091131B">
            <w:pPr>
              <w:pStyle w:val="TableText"/>
              <w:keepNext/>
              <w:keepLines/>
            </w:pPr>
            <w:r w:rsidRPr="009A1DE7">
              <w:t>Target Date</w:t>
            </w:r>
            <w:r>
              <w:t>:</w:t>
            </w:r>
          </w:p>
        </w:tc>
        <w:tc>
          <w:tcPr>
            <w:tcW w:w="454" w:type="pct"/>
            <w:shd w:val="clear" w:color="auto" w:fill="F2F2F2" w:themeFill="background1" w:themeFillShade="F2"/>
          </w:tcPr>
          <w:p w14:paraId="46471556" w14:textId="77777777" w:rsidR="00941C21" w:rsidRPr="00EE4BD6" w:rsidRDefault="00941C21" w:rsidP="0091131B">
            <w:pPr>
              <w:pStyle w:val="TableText"/>
              <w:keepNext/>
              <w:keepLines/>
            </w:pPr>
          </w:p>
        </w:tc>
      </w:tr>
      <w:tr w:rsidR="00941C21" w:rsidRPr="00EF587A" w14:paraId="07B1CBF2" w14:textId="77777777" w:rsidTr="00F97A1E">
        <w:trPr>
          <w:cantSplit/>
          <w:trHeight w:val="261"/>
        </w:trPr>
        <w:tc>
          <w:tcPr>
            <w:tcW w:w="612" w:type="pct"/>
            <w:vMerge/>
          </w:tcPr>
          <w:p w14:paraId="177AAC4E" w14:textId="77777777" w:rsidR="00941C21" w:rsidRPr="00EF587A" w:rsidRDefault="00941C21" w:rsidP="00C81021">
            <w:pPr>
              <w:pStyle w:val="TableText"/>
            </w:pPr>
          </w:p>
        </w:tc>
        <w:tc>
          <w:tcPr>
            <w:tcW w:w="966" w:type="pct"/>
            <w:vMerge/>
          </w:tcPr>
          <w:p w14:paraId="48E3FA0A" w14:textId="77777777" w:rsidR="00941C21" w:rsidRPr="00EF587A" w:rsidRDefault="00941C21" w:rsidP="00C81021">
            <w:pPr>
              <w:pStyle w:val="TableText"/>
            </w:pPr>
          </w:p>
        </w:tc>
        <w:tc>
          <w:tcPr>
            <w:tcW w:w="1316" w:type="pct"/>
            <w:vMerge/>
          </w:tcPr>
          <w:p w14:paraId="6CFC294C" w14:textId="77777777" w:rsidR="00941C21" w:rsidRPr="00EF587A" w:rsidRDefault="00941C21" w:rsidP="00C81021">
            <w:pPr>
              <w:pStyle w:val="TableText"/>
            </w:pPr>
          </w:p>
        </w:tc>
        <w:tc>
          <w:tcPr>
            <w:tcW w:w="1271" w:type="pct"/>
            <w:vMerge/>
          </w:tcPr>
          <w:p w14:paraId="20C93662" w14:textId="77777777" w:rsidR="00941C21" w:rsidRPr="00EF587A" w:rsidRDefault="00941C21" w:rsidP="00C81021">
            <w:pPr>
              <w:pStyle w:val="TableText"/>
            </w:pPr>
          </w:p>
        </w:tc>
        <w:tc>
          <w:tcPr>
            <w:tcW w:w="381" w:type="pct"/>
            <w:shd w:val="clear" w:color="auto" w:fill="F2F2F2" w:themeFill="background1" w:themeFillShade="F2"/>
          </w:tcPr>
          <w:p w14:paraId="1A2966F5"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415F7FAC" w14:textId="77777777" w:rsidR="00941C21" w:rsidRPr="00EF587A" w:rsidRDefault="00941C21" w:rsidP="00C81021">
            <w:pPr>
              <w:pStyle w:val="TableText"/>
            </w:pPr>
          </w:p>
        </w:tc>
      </w:tr>
      <w:tr w:rsidR="00587DBC" w:rsidRPr="00EE4BD6" w14:paraId="61BC20BE" w14:textId="77777777" w:rsidTr="00F97A1E">
        <w:trPr>
          <w:cantSplit/>
          <w:trHeight w:val="118"/>
        </w:trPr>
        <w:tc>
          <w:tcPr>
            <w:tcW w:w="5000" w:type="pct"/>
            <w:gridSpan w:val="6"/>
            <w:shd w:val="clear" w:color="auto" w:fill="D0CECE" w:themeFill="background2" w:themeFillShade="E6"/>
            <w:vAlign w:val="center"/>
          </w:tcPr>
          <w:p w14:paraId="5B6F8E8A" w14:textId="77777777" w:rsidR="00587DBC" w:rsidRPr="00572499" w:rsidRDefault="00587DBC" w:rsidP="00C81021">
            <w:pPr>
              <w:pStyle w:val="TableText"/>
              <w:rPr>
                <w:sz w:val="8"/>
                <w:szCs w:val="8"/>
              </w:rPr>
            </w:pPr>
          </w:p>
        </w:tc>
      </w:tr>
      <w:tr w:rsidR="00F46E06" w:rsidRPr="00EE4BD6" w14:paraId="61F18A64" w14:textId="77777777" w:rsidTr="00F97A1E">
        <w:trPr>
          <w:cantSplit/>
          <w:trHeight w:val="180"/>
        </w:trPr>
        <w:tc>
          <w:tcPr>
            <w:tcW w:w="612" w:type="pct"/>
            <w:vMerge w:val="restart"/>
            <w:vAlign w:val="center"/>
          </w:tcPr>
          <w:p w14:paraId="39EFEB8A" w14:textId="1A5D5C73" w:rsidR="00F46E06" w:rsidRPr="00F77313" w:rsidRDefault="00F46E06" w:rsidP="0091131B">
            <w:pPr>
              <w:pStyle w:val="TableText"/>
              <w:keepNext/>
              <w:keepLines/>
              <w:jc w:val="center"/>
              <w:rPr>
                <w:b/>
                <w:bCs/>
              </w:rPr>
            </w:pPr>
            <w:r w:rsidRPr="00F46E06">
              <w:rPr>
                <w:b/>
                <w:bCs/>
              </w:rPr>
              <w:lastRenderedPageBreak/>
              <w:t>Dentist Activity Reports</w:t>
            </w:r>
          </w:p>
        </w:tc>
        <w:tc>
          <w:tcPr>
            <w:tcW w:w="966" w:type="pct"/>
            <w:vMerge w:val="restart"/>
          </w:tcPr>
          <w:p w14:paraId="450BA954" w14:textId="7B647ECF" w:rsidR="00F46E06" w:rsidRPr="009A1DE7" w:rsidRDefault="00F46E06" w:rsidP="0091131B">
            <w:pPr>
              <w:pStyle w:val="TableText"/>
              <w:keepNext/>
              <w:keepLines/>
            </w:pPr>
            <w:r w:rsidRPr="001D78AE">
              <w:t>Display the number of patients seen by each</w:t>
            </w:r>
            <w:r>
              <w:t xml:space="preserve"> </w:t>
            </w:r>
            <w:r w:rsidRPr="001D78AE">
              <w:t>provider and the types of treatment given. Also, the report displays the RVUs (relative value units) and RVU percentages for the treatment provided.</w:t>
            </w:r>
          </w:p>
        </w:tc>
        <w:tc>
          <w:tcPr>
            <w:tcW w:w="1316" w:type="pct"/>
            <w:vMerge w:val="restart"/>
          </w:tcPr>
          <w:p w14:paraId="5961B632" w14:textId="77777777" w:rsidR="00F46E06" w:rsidRDefault="00F46E06" w:rsidP="0091131B">
            <w:pPr>
              <w:pStyle w:val="TableText"/>
              <w:keepNext/>
              <w:keepLines/>
              <w:numPr>
                <w:ilvl w:val="0"/>
                <w:numId w:val="2"/>
              </w:numPr>
              <w:ind w:left="232" w:hanging="180"/>
            </w:pPr>
            <w:r w:rsidRPr="001D78AE">
              <w:t>IHS condition codes and ADA codes are posted to the correct provider.</w:t>
            </w:r>
          </w:p>
          <w:p w14:paraId="6B6BC7A4" w14:textId="149784B1" w:rsidR="00F46E06" w:rsidRPr="009A1DE7" w:rsidRDefault="00F46E06" w:rsidP="0091131B">
            <w:pPr>
              <w:pStyle w:val="TableText"/>
              <w:keepNext/>
              <w:keepLines/>
              <w:numPr>
                <w:ilvl w:val="0"/>
                <w:numId w:val="2"/>
              </w:numPr>
              <w:ind w:left="232" w:hanging="180"/>
            </w:pPr>
            <w:r w:rsidRPr="001D78AE">
              <w:t>Consistently following the daily, weekly monthly check list to ensure Dentrix Enterprise data is accurate.</w:t>
            </w:r>
          </w:p>
        </w:tc>
        <w:tc>
          <w:tcPr>
            <w:tcW w:w="1271" w:type="pct"/>
            <w:vMerge w:val="restart"/>
          </w:tcPr>
          <w:p w14:paraId="20D6CD66" w14:textId="4C3AF0D6" w:rsidR="00F46E06" w:rsidRPr="00EF587A" w:rsidRDefault="00F46E06" w:rsidP="0091131B">
            <w:pPr>
              <w:pStyle w:val="TableText"/>
              <w:keepNext/>
              <w:keepLines/>
            </w:pPr>
            <w:r>
              <w:t>Report data will be inaccurate, dental teams will not be properly utilized and patient care could be reduced.</w:t>
            </w:r>
          </w:p>
        </w:tc>
        <w:tc>
          <w:tcPr>
            <w:tcW w:w="381" w:type="pct"/>
            <w:shd w:val="clear" w:color="auto" w:fill="F2F2F2" w:themeFill="background1" w:themeFillShade="F2"/>
          </w:tcPr>
          <w:p w14:paraId="706E0924" w14:textId="77777777" w:rsidR="00F46E06" w:rsidRPr="00EE4BD6" w:rsidRDefault="00F46E06" w:rsidP="0091131B">
            <w:pPr>
              <w:pStyle w:val="TableText"/>
              <w:keepNext/>
              <w:keepLines/>
            </w:pPr>
            <w:r w:rsidRPr="001F26DF">
              <w:t>Date Reviewed</w:t>
            </w:r>
            <w:r>
              <w:t>:</w:t>
            </w:r>
          </w:p>
        </w:tc>
        <w:tc>
          <w:tcPr>
            <w:tcW w:w="454" w:type="pct"/>
            <w:shd w:val="clear" w:color="auto" w:fill="F2F2F2" w:themeFill="background1" w:themeFillShade="F2"/>
          </w:tcPr>
          <w:p w14:paraId="48619081" w14:textId="77777777" w:rsidR="00F46E06" w:rsidRPr="00EE4BD6" w:rsidRDefault="00F46E06" w:rsidP="0091131B">
            <w:pPr>
              <w:pStyle w:val="TableText"/>
              <w:keepNext/>
              <w:keepLines/>
            </w:pPr>
          </w:p>
        </w:tc>
      </w:tr>
      <w:tr w:rsidR="00941C21" w:rsidRPr="00EE4BD6" w14:paraId="0E1F5BC7" w14:textId="77777777" w:rsidTr="00F97A1E">
        <w:trPr>
          <w:cantSplit/>
          <w:trHeight w:val="189"/>
        </w:trPr>
        <w:tc>
          <w:tcPr>
            <w:tcW w:w="612" w:type="pct"/>
            <w:vMerge/>
          </w:tcPr>
          <w:p w14:paraId="0A56FCE4" w14:textId="77777777" w:rsidR="00941C21" w:rsidRPr="00EF587A" w:rsidRDefault="00941C21" w:rsidP="00C81021">
            <w:pPr>
              <w:pStyle w:val="TableText"/>
            </w:pPr>
          </w:p>
        </w:tc>
        <w:tc>
          <w:tcPr>
            <w:tcW w:w="966" w:type="pct"/>
            <w:vMerge/>
          </w:tcPr>
          <w:p w14:paraId="5AFA6937" w14:textId="77777777" w:rsidR="00941C21" w:rsidRPr="009A1DE7" w:rsidRDefault="00941C21" w:rsidP="00C81021">
            <w:pPr>
              <w:pStyle w:val="TableText"/>
            </w:pPr>
          </w:p>
        </w:tc>
        <w:tc>
          <w:tcPr>
            <w:tcW w:w="1316" w:type="pct"/>
            <w:vMerge/>
          </w:tcPr>
          <w:p w14:paraId="53A3370D" w14:textId="77777777" w:rsidR="00941C21" w:rsidRPr="009A1DE7" w:rsidRDefault="00941C21" w:rsidP="00C81021">
            <w:pPr>
              <w:pStyle w:val="TableText"/>
            </w:pPr>
          </w:p>
        </w:tc>
        <w:tc>
          <w:tcPr>
            <w:tcW w:w="1271" w:type="pct"/>
            <w:vMerge/>
          </w:tcPr>
          <w:p w14:paraId="3783BFEB" w14:textId="77777777" w:rsidR="00941C21" w:rsidRPr="009A1DE7" w:rsidRDefault="00941C21" w:rsidP="00C81021">
            <w:pPr>
              <w:pStyle w:val="TableText"/>
            </w:pPr>
          </w:p>
        </w:tc>
        <w:tc>
          <w:tcPr>
            <w:tcW w:w="381" w:type="pct"/>
            <w:shd w:val="clear" w:color="auto" w:fill="F2F2F2" w:themeFill="background1" w:themeFillShade="F2"/>
          </w:tcPr>
          <w:p w14:paraId="7B035C16"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4AF0ACBB" w14:textId="77777777" w:rsidR="00941C21" w:rsidRPr="00EE4BD6" w:rsidRDefault="00941C21" w:rsidP="00C81021">
            <w:pPr>
              <w:pStyle w:val="TableText"/>
            </w:pPr>
          </w:p>
        </w:tc>
      </w:tr>
      <w:tr w:rsidR="00941C21" w:rsidRPr="00EE4BD6" w14:paraId="732CE10B" w14:textId="77777777" w:rsidTr="00F97A1E">
        <w:trPr>
          <w:cantSplit/>
          <w:trHeight w:val="198"/>
        </w:trPr>
        <w:tc>
          <w:tcPr>
            <w:tcW w:w="612" w:type="pct"/>
            <w:vMerge/>
          </w:tcPr>
          <w:p w14:paraId="64108C9A" w14:textId="77777777" w:rsidR="00941C21" w:rsidRPr="00EF587A" w:rsidRDefault="00941C21" w:rsidP="00C81021">
            <w:pPr>
              <w:pStyle w:val="TableText"/>
            </w:pPr>
          </w:p>
        </w:tc>
        <w:tc>
          <w:tcPr>
            <w:tcW w:w="966" w:type="pct"/>
            <w:vMerge/>
          </w:tcPr>
          <w:p w14:paraId="319AE559" w14:textId="77777777" w:rsidR="00941C21" w:rsidRPr="009A1DE7" w:rsidRDefault="00941C21" w:rsidP="00C81021">
            <w:pPr>
              <w:pStyle w:val="TableText"/>
            </w:pPr>
          </w:p>
        </w:tc>
        <w:tc>
          <w:tcPr>
            <w:tcW w:w="1316" w:type="pct"/>
            <w:vMerge/>
          </w:tcPr>
          <w:p w14:paraId="1E5D5350" w14:textId="77777777" w:rsidR="00941C21" w:rsidRPr="009A1DE7" w:rsidRDefault="00941C21" w:rsidP="00C81021">
            <w:pPr>
              <w:pStyle w:val="TableText"/>
            </w:pPr>
          </w:p>
        </w:tc>
        <w:tc>
          <w:tcPr>
            <w:tcW w:w="1271" w:type="pct"/>
            <w:vMerge/>
          </w:tcPr>
          <w:p w14:paraId="7D51DE94" w14:textId="77777777" w:rsidR="00941C21" w:rsidRPr="009A1DE7" w:rsidRDefault="00941C21" w:rsidP="00C81021">
            <w:pPr>
              <w:pStyle w:val="TableText"/>
            </w:pPr>
          </w:p>
        </w:tc>
        <w:tc>
          <w:tcPr>
            <w:tcW w:w="381" w:type="pct"/>
            <w:shd w:val="clear" w:color="auto" w:fill="F2F2F2" w:themeFill="background1" w:themeFillShade="F2"/>
          </w:tcPr>
          <w:p w14:paraId="27088BF3"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0DEDB45C" w14:textId="77777777" w:rsidR="00941C21" w:rsidRPr="00EE4BD6" w:rsidRDefault="00941C21" w:rsidP="00C81021">
            <w:pPr>
              <w:pStyle w:val="TableText"/>
            </w:pPr>
          </w:p>
        </w:tc>
      </w:tr>
      <w:tr w:rsidR="00941C21" w:rsidRPr="00EE4BD6" w14:paraId="5109611D" w14:textId="77777777" w:rsidTr="00F97A1E">
        <w:trPr>
          <w:cantSplit/>
          <w:trHeight w:val="378"/>
        </w:trPr>
        <w:tc>
          <w:tcPr>
            <w:tcW w:w="612" w:type="pct"/>
            <w:vMerge/>
          </w:tcPr>
          <w:p w14:paraId="1BC268F8" w14:textId="77777777" w:rsidR="00941C21" w:rsidRPr="00EF587A" w:rsidRDefault="00941C21" w:rsidP="00C81021">
            <w:pPr>
              <w:pStyle w:val="TableText"/>
            </w:pPr>
          </w:p>
        </w:tc>
        <w:tc>
          <w:tcPr>
            <w:tcW w:w="966" w:type="pct"/>
            <w:vMerge/>
          </w:tcPr>
          <w:p w14:paraId="63762335" w14:textId="77777777" w:rsidR="00941C21" w:rsidRPr="009A1DE7" w:rsidRDefault="00941C21" w:rsidP="00C81021">
            <w:pPr>
              <w:pStyle w:val="TableText"/>
            </w:pPr>
          </w:p>
        </w:tc>
        <w:tc>
          <w:tcPr>
            <w:tcW w:w="1316" w:type="pct"/>
            <w:vMerge/>
          </w:tcPr>
          <w:p w14:paraId="463197BF" w14:textId="77777777" w:rsidR="00941C21" w:rsidRPr="009A1DE7" w:rsidRDefault="00941C21" w:rsidP="00C81021">
            <w:pPr>
              <w:pStyle w:val="TableText"/>
            </w:pPr>
          </w:p>
        </w:tc>
        <w:tc>
          <w:tcPr>
            <w:tcW w:w="1271" w:type="pct"/>
            <w:vMerge/>
          </w:tcPr>
          <w:p w14:paraId="77975F03" w14:textId="77777777" w:rsidR="00941C21" w:rsidRPr="009A1DE7" w:rsidRDefault="00941C21" w:rsidP="00C81021">
            <w:pPr>
              <w:pStyle w:val="TableText"/>
            </w:pPr>
          </w:p>
        </w:tc>
        <w:tc>
          <w:tcPr>
            <w:tcW w:w="381" w:type="pct"/>
            <w:shd w:val="clear" w:color="auto" w:fill="F2F2F2" w:themeFill="background1" w:themeFillShade="F2"/>
          </w:tcPr>
          <w:p w14:paraId="75B610D1"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64B00DAC" w14:textId="77777777" w:rsidR="00941C21" w:rsidRPr="00EE4BD6" w:rsidRDefault="00941C21" w:rsidP="00C81021">
            <w:pPr>
              <w:pStyle w:val="TableText"/>
            </w:pPr>
          </w:p>
        </w:tc>
      </w:tr>
      <w:tr w:rsidR="00941C21" w:rsidRPr="00EF587A" w14:paraId="0A8B4C99" w14:textId="77777777" w:rsidTr="00F97A1E">
        <w:trPr>
          <w:cantSplit/>
          <w:trHeight w:val="261"/>
        </w:trPr>
        <w:tc>
          <w:tcPr>
            <w:tcW w:w="612" w:type="pct"/>
            <w:vMerge/>
          </w:tcPr>
          <w:p w14:paraId="6FDF895F" w14:textId="77777777" w:rsidR="00941C21" w:rsidRPr="00EF587A" w:rsidRDefault="00941C21" w:rsidP="00C81021">
            <w:pPr>
              <w:pStyle w:val="TableText"/>
            </w:pPr>
          </w:p>
        </w:tc>
        <w:tc>
          <w:tcPr>
            <w:tcW w:w="966" w:type="pct"/>
            <w:vMerge/>
          </w:tcPr>
          <w:p w14:paraId="5920FEC8" w14:textId="77777777" w:rsidR="00941C21" w:rsidRPr="00EF587A" w:rsidRDefault="00941C21" w:rsidP="00C81021">
            <w:pPr>
              <w:pStyle w:val="TableText"/>
            </w:pPr>
          </w:p>
        </w:tc>
        <w:tc>
          <w:tcPr>
            <w:tcW w:w="1316" w:type="pct"/>
            <w:vMerge/>
          </w:tcPr>
          <w:p w14:paraId="61DB12E0" w14:textId="77777777" w:rsidR="00941C21" w:rsidRPr="00EF587A" w:rsidRDefault="00941C21" w:rsidP="00C81021">
            <w:pPr>
              <w:pStyle w:val="TableText"/>
            </w:pPr>
          </w:p>
        </w:tc>
        <w:tc>
          <w:tcPr>
            <w:tcW w:w="1271" w:type="pct"/>
            <w:vMerge/>
          </w:tcPr>
          <w:p w14:paraId="2C6FFB82" w14:textId="77777777" w:rsidR="00941C21" w:rsidRPr="00EF587A" w:rsidRDefault="00941C21" w:rsidP="00C81021">
            <w:pPr>
              <w:pStyle w:val="TableText"/>
            </w:pPr>
          </w:p>
        </w:tc>
        <w:tc>
          <w:tcPr>
            <w:tcW w:w="381" w:type="pct"/>
            <w:shd w:val="clear" w:color="auto" w:fill="F2F2F2" w:themeFill="background1" w:themeFillShade="F2"/>
          </w:tcPr>
          <w:p w14:paraId="17E96EE0"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714F4EB4" w14:textId="77777777" w:rsidR="00941C21" w:rsidRPr="00EF587A" w:rsidRDefault="00941C21" w:rsidP="00C81021">
            <w:pPr>
              <w:pStyle w:val="TableText"/>
            </w:pPr>
          </w:p>
        </w:tc>
      </w:tr>
      <w:tr w:rsidR="00F46E06" w:rsidRPr="00EE4BD6" w14:paraId="4D1AA75A" w14:textId="77777777" w:rsidTr="00F97A1E">
        <w:trPr>
          <w:cantSplit/>
          <w:trHeight w:val="18"/>
        </w:trPr>
        <w:tc>
          <w:tcPr>
            <w:tcW w:w="5000" w:type="pct"/>
            <w:gridSpan w:val="6"/>
            <w:shd w:val="clear" w:color="auto" w:fill="D0CECE" w:themeFill="background2" w:themeFillShade="E6"/>
            <w:vAlign w:val="center"/>
          </w:tcPr>
          <w:p w14:paraId="5CD75D14" w14:textId="77777777" w:rsidR="00F46E06" w:rsidRPr="00572499" w:rsidRDefault="00F46E06" w:rsidP="00F46E06">
            <w:pPr>
              <w:pStyle w:val="TableText"/>
              <w:rPr>
                <w:sz w:val="8"/>
                <w:szCs w:val="8"/>
              </w:rPr>
            </w:pPr>
          </w:p>
        </w:tc>
      </w:tr>
      <w:tr w:rsidR="00F46E06" w:rsidRPr="00EE4BD6" w14:paraId="711EABC9" w14:textId="77777777" w:rsidTr="00F97A1E">
        <w:trPr>
          <w:cantSplit/>
          <w:trHeight w:val="270"/>
        </w:trPr>
        <w:tc>
          <w:tcPr>
            <w:tcW w:w="612" w:type="pct"/>
            <w:vMerge w:val="restart"/>
            <w:vAlign w:val="center"/>
          </w:tcPr>
          <w:p w14:paraId="05B66B5A" w14:textId="535F0D3B" w:rsidR="00F46E06" w:rsidRPr="00F77313" w:rsidRDefault="00F46E06" w:rsidP="00F46E06">
            <w:pPr>
              <w:pStyle w:val="TableText"/>
              <w:jc w:val="center"/>
              <w:rPr>
                <w:b/>
                <w:bCs/>
              </w:rPr>
            </w:pPr>
            <w:r w:rsidRPr="00F46E06">
              <w:rPr>
                <w:b/>
                <w:bCs/>
              </w:rPr>
              <w:t>Dental Hygienists Activity Reports</w:t>
            </w:r>
          </w:p>
        </w:tc>
        <w:tc>
          <w:tcPr>
            <w:tcW w:w="966" w:type="pct"/>
            <w:vMerge w:val="restart"/>
          </w:tcPr>
          <w:p w14:paraId="6B398AD1" w14:textId="19B51322" w:rsidR="00F46E06" w:rsidRPr="009A1DE7" w:rsidRDefault="00F46E06" w:rsidP="00F46E06">
            <w:pPr>
              <w:pStyle w:val="TableText"/>
            </w:pPr>
            <w:r w:rsidRPr="001D78AE">
              <w:t>Display the number of patients seen by each secondary provider and the types of treatment given. Also, the report displays the</w:t>
            </w:r>
            <w:r>
              <w:t xml:space="preserve"> </w:t>
            </w:r>
            <w:r w:rsidRPr="001D78AE">
              <w:t>RVUs (relative value units) and RVU percentages for the treatment provided.</w:t>
            </w:r>
          </w:p>
        </w:tc>
        <w:tc>
          <w:tcPr>
            <w:tcW w:w="1316" w:type="pct"/>
            <w:vMerge w:val="restart"/>
          </w:tcPr>
          <w:p w14:paraId="52ABCF86" w14:textId="77777777" w:rsidR="00F46E06" w:rsidRDefault="00F46E06" w:rsidP="00F46E06">
            <w:pPr>
              <w:pStyle w:val="TableText"/>
              <w:keepNext/>
              <w:keepLines/>
              <w:numPr>
                <w:ilvl w:val="0"/>
                <w:numId w:val="2"/>
              </w:numPr>
              <w:ind w:left="232" w:hanging="180"/>
            </w:pPr>
            <w:r w:rsidRPr="001D78AE">
              <w:t>IHS condition codes and ADA codes are posted to the correct provider.</w:t>
            </w:r>
          </w:p>
          <w:p w14:paraId="198F581C" w14:textId="24452F28" w:rsidR="00F46E06" w:rsidRPr="009A1DE7" w:rsidRDefault="00F46E06" w:rsidP="00F46E06">
            <w:pPr>
              <w:pStyle w:val="TableText"/>
              <w:numPr>
                <w:ilvl w:val="0"/>
                <w:numId w:val="2"/>
              </w:numPr>
              <w:ind w:left="232" w:hanging="180"/>
            </w:pPr>
            <w:r w:rsidRPr="001D78AE">
              <w:t>Consistently following the daily, weekly monthly check list to ensure Dentrix Enterprise data is accurate.</w:t>
            </w:r>
          </w:p>
        </w:tc>
        <w:tc>
          <w:tcPr>
            <w:tcW w:w="1271" w:type="pct"/>
            <w:vMerge w:val="restart"/>
          </w:tcPr>
          <w:p w14:paraId="2B33D81B" w14:textId="2EBA4C70" w:rsidR="00F46E06" w:rsidRPr="00EF587A" w:rsidRDefault="00F46E06" w:rsidP="00F46E06">
            <w:pPr>
              <w:pStyle w:val="TableText"/>
            </w:pPr>
            <w:r>
              <w:t>Report data will be inaccurate, dental teams will not be properly utilized and patient care could be reduced.</w:t>
            </w:r>
          </w:p>
        </w:tc>
        <w:tc>
          <w:tcPr>
            <w:tcW w:w="381" w:type="pct"/>
            <w:shd w:val="clear" w:color="auto" w:fill="F2F2F2" w:themeFill="background1" w:themeFillShade="F2"/>
          </w:tcPr>
          <w:p w14:paraId="48B0864D" w14:textId="77777777" w:rsidR="00F46E06" w:rsidRPr="00EE4BD6" w:rsidRDefault="00F46E06" w:rsidP="00F46E06">
            <w:pPr>
              <w:pStyle w:val="TableText"/>
            </w:pPr>
            <w:r w:rsidRPr="001F26DF">
              <w:t>Date Reviewed</w:t>
            </w:r>
            <w:r>
              <w:t>:</w:t>
            </w:r>
          </w:p>
        </w:tc>
        <w:tc>
          <w:tcPr>
            <w:tcW w:w="454" w:type="pct"/>
            <w:shd w:val="clear" w:color="auto" w:fill="F2F2F2" w:themeFill="background1" w:themeFillShade="F2"/>
          </w:tcPr>
          <w:p w14:paraId="371D10EA" w14:textId="77777777" w:rsidR="00F46E06" w:rsidRPr="00EE4BD6" w:rsidRDefault="00F46E06" w:rsidP="00F46E06">
            <w:pPr>
              <w:pStyle w:val="TableText"/>
            </w:pPr>
          </w:p>
        </w:tc>
      </w:tr>
      <w:tr w:rsidR="00941C21" w:rsidRPr="00EE4BD6" w14:paraId="51CA3C9B" w14:textId="77777777" w:rsidTr="00F97A1E">
        <w:trPr>
          <w:cantSplit/>
          <w:trHeight w:val="369"/>
        </w:trPr>
        <w:tc>
          <w:tcPr>
            <w:tcW w:w="612" w:type="pct"/>
            <w:vMerge/>
          </w:tcPr>
          <w:p w14:paraId="40B12280" w14:textId="77777777" w:rsidR="00941C21" w:rsidRPr="00EF587A" w:rsidRDefault="00941C21" w:rsidP="00C81021">
            <w:pPr>
              <w:pStyle w:val="TableText"/>
            </w:pPr>
          </w:p>
        </w:tc>
        <w:tc>
          <w:tcPr>
            <w:tcW w:w="966" w:type="pct"/>
            <w:vMerge/>
          </w:tcPr>
          <w:p w14:paraId="31357995" w14:textId="77777777" w:rsidR="00941C21" w:rsidRPr="009A1DE7" w:rsidRDefault="00941C21" w:rsidP="00C81021">
            <w:pPr>
              <w:pStyle w:val="TableText"/>
            </w:pPr>
          </w:p>
        </w:tc>
        <w:tc>
          <w:tcPr>
            <w:tcW w:w="1316" w:type="pct"/>
            <w:vMerge/>
          </w:tcPr>
          <w:p w14:paraId="6B8613E8" w14:textId="77777777" w:rsidR="00941C21" w:rsidRPr="009A1DE7" w:rsidRDefault="00941C21" w:rsidP="00C81021">
            <w:pPr>
              <w:pStyle w:val="TableText"/>
            </w:pPr>
          </w:p>
        </w:tc>
        <w:tc>
          <w:tcPr>
            <w:tcW w:w="1271" w:type="pct"/>
            <w:vMerge/>
          </w:tcPr>
          <w:p w14:paraId="11B68FC3" w14:textId="77777777" w:rsidR="00941C21" w:rsidRPr="009A1DE7" w:rsidRDefault="00941C21" w:rsidP="00C81021">
            <w:pPr>
              <w:pStyle w:val="TableText"/>
            </w:pPr>
          </w:p>
        </w:tc>
        <w:tc>
          <w:tcPr>
            <w:tcW w:w="381" w:type="pct"/>
            <w:shd w:val="clear" w:color="auto" w:fill="F2F2F2" w:themeFill="background1" w:themeFillShade="F2"/>
          </w:tcPr>
          <w:p w14:paraId="169D9190"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35E5F3E4" w14:textId="77777777" w:rsidR="00941C21" w:rsidRPr="00EE4BD6" w:rsidRDefault="00941C21" w:rsidP="00C81021">
            <w:pPr>
              <w:pStyle w:val="TableText"/>
            </w:pPr>
          </w:p>
        </w:tc>
      </w:tr>
      <w:tr w:rsidR="00941C21" w:rsidRPr="00EE4BD6" w14:paraId="3FED2CC8" w14:textId="77777777" w:rsidTr="00F97A1E">
        <w:trPr>
          <w:cantSplit/>
          <w:trHeight w:val="378"/>
        </w:trPr>
        <w:tc>
          <w:tcPr>
            <w:tcW w:w="612" w:type="pct"/>
            <w:vMerge/>
          </w:tcPr>
          <w:p w14:paraId="5683EAC9" w14:textId="77777777" w:rsidR="00941C21" w:rsidRPr="00EF587A" w:rsidRDefault="00941C21" w:rsidP="00C81021">
            <w:pPr>
              <w:pStyle w:val="TableText"/>
            </w:pPr>
          </w:p>
        </w:tc>
        <w:tc>
          <w:tcPr>
            <w:tcW w:w="966" w:type="pct"/>
            <w:vMerge/>
          </w:tcPr>
          <w:p w14:paraId="6984C922" w14:textId="77777777" w:rsidR="00941C21" w:rsidRPr="009A1DE7" w:rsidRDefault="00941C21" w:rsidP="00C81021">
            <w:pPr>
              <w:pStyle w:val="TableText"/>
            </w:pPr>
          </w:p>
        </w:tc>
        <w:tc>
          <w:tcPr>
            <w:tcW w:w="1316" w:type="pct"/>
            <w:vMerge/>
          </w:tcPr>
          <w:p w14:paraId="26250E1F" w14:textId="77777777" w:rsidR="00941C21" w:rsidRPr="009A1DE7" w:rsidRDefault="00941C21" w:rsidP="00C81021">
            <w:pPr>
              <w:pStyle w:val="TableText"/>
            </w:pPr>
          </w:p>
        </w:tc>
        <w:tc>
          <w:tcPr>
            <w:tcW w:w="1271" w:type="pct"/>
            <w:vMerge/>
          </w:tcPr>
          <w:p w14:paraId="769B7CE5" w14:textId="77777777" w:rsidR="00941C21" w:rsidRPr="009A1DE7" w:rsidRDefault="00941C21" w:rsidP="00C81021">
            <w:pPr>
              <w:pStyle w:val="TableText"/>
            </w:pPr>
          </w:p>
        </w:tc>
        <w:tc>
          <w:tcPr>
            <w:tcW w:w="381" w:type="pct"/>
            <w:shd w:val="clear" w:color="auto" w:fill="F2F2F2" w:themeFill="background1" w:themeFillShade="F2"/>
          </w:tcPr>
          <w:p w14:paraId="709F35AD"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26DB237D" w14:textId="77777777" w:rsidR="00941C21" w:rsidRPr="00EE4BD6" w:rsidRDefault="00941C21" w:rsidP="00C81021">
            <w:pPr>
              <w:pStyle w:val="TableText"/>
            </w:pPr>
          </w:p>
        </w:tc>
      </w:tr>
      <w:tr w:rsidR="00941C21" w:rsidRPr="00EE4BD6" w14:paraId="0A1A4A83" w14:textId="77777777" w:rsidTr="00F97A1E">
        <w:trPr>
          <w:cantSplit/>
          <w:trHeight w:val="288"/>
        </w:trPr>
        <w:tc>
          <w:tcPr>
            <w:tcW w:w="612" w:type="pct"/>
            <w:vMerge/>
          </w:tcPr>
          <w:p w14:paraId="08DBBB3E" w14:textId="77777777" w:rsidR="00941C21" w:rsidRPr="00EF587A" w:rsidRDefault="00941C21" w:rsidP="00C81021">
            <w:pPr>
              <w:pStyle w:val="TableText"/>
            </w:pPr>
          </w:p>
        </w:tc>
        <w:tc>
          <w:tcPr>
            <w:tcW w:w="966" w:type="pct"/>
            <w:vMerge/>
          </w:tcPr>
          <w:p w14:paraId="12DBF7F9" w14:textId="77777777" w:rsidR="00941C21" w:rsidRPr="009A1DE7" w:rsidRDefault="00941C21" w:rsidP="00C81021">
            <w:pPr>
              <w:pStyle w:val="TableText"/>
            </w:pPr>
          </w:p>
        </w:tc>
        <w:tc>
          <w:tcPr>
            <w:tcW w:w="1316" w:type="pct"/>
            <w:vMerge/>
          </w:tcPr>
          <w:p w14:paraId="1BC4C78D" w14:textId="77777777" w:rsidR="00941C21" w:rsidRPr="009A1DE7" w:rsidRDefault="00941C21" w:rsidP="00C81021">
            <w:pPr>
              <w:pStyle w:val="TableText"/>
            </w:pPr>
          </w:p>
        </w:tc>
        <w:tc>
          <w:tcPr>
            <w:tcW w:w="1271" w:type="pct"/>
            <w:vMerge/>
          </w:tcPr>
          <w:p w14:paraId="6728399F" w14:textId="77777777" w:rsidR="00941C21" w:rsidRPr="009A1DE7" w:rsidRDefault="00941C21" w:rsidP="00C81021">
            <w:pPr>
              <w:pStyle w:val="TableText"/>
            </w:pPr>
          </w:p>
        </w:tc>
        <w:tc>
          <w:tcPr>
            <w:tcW w:w="381" w:type="pct"/>
            <w:shd w:val="clear" w:color="auto" w:fill="F2F2F2" w:themeFill="background1" w:themeFillShade="F2"/>
          </w:tcPr>
          <w:p w14:paraId="2474B597"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2C671841" w14:textId="77777777" w:rsidR="00941C21" w:rsidRPr="00EE4BD6" w:rsidRDefault="00941C21" w:rsidP="00C81021">
            <w:pPr>
              <w:pStyle w:val="TableText"/>
            </w:pPr>
          </w:p>
        </w:tc>
      </w:tr>
      <w:tr w:rsidR="00941C21" w:rsidRPr="00EF587A" w14:paraId="787C0B02" w14:textId="77777777" w:rsidTr="00F97A1E">
        <w:trPr>
          <w:cantSplit/>
          <w:trHeight w:val="441"/>
        </w:trPr>
        <w:tc>
          <w:tcPr>
            <w:tcW w:w="612" w:type="pct"/>
            <w:vMerge/>
          </w:tcPr>
          <w:p w14:paraId="2DA92F59" w14:textId="77777777" w:rsidR="00941C21" w:rsidRPr="00EF587A" w:rsidRDefault="00941C21" w:rsidP="00C81021">
            <w:pPr>
              <w:pStyle w:val="TableText"/>
            </w:pPr>
          </w:p>
        </w:tc>
        <w:tc>
          <w:tcPr>
            <w:tcW w:w="966" w:type="pct"/>
            <w:vMerge/>
          </w:tcPr>
          <w:p w14:paraId="48CF520C" w14:textId="77777777" w:rsidR="00941C21" w:rsidRPr="00EF587A" w:rsidRDefault="00941C21" w:rsidP="00C81021">
            <w:pPr>
              <w:pStyle w:val="TableText"/>
            </w:pPr>
          </w:p>
        </w:tc>
        <w:tc>
          <w:tcPr>
            <w:tcW w:w="1316" w:type="pct"/>
            <w:vMerge/>
          </w:tcPr>
          <w:p w14:paraId="548B7392" w14:textId="77777777" w:rsidR="00941C21" w:rsidRPr="00EF587A" w:rsidRDefault="00941C21" w:rsidP="00C81021">
            <w:pPr>
              <w:pStyle w:val="TableText"/>
            </w:pPr>
          </w:p>
        </w:tc>
        <w:tc>
          <w:tcPr>
            <w:tcW w:w="1271" w:type="pct"/>
            <w:vMerge/>
          </w:tcPr>
          <w:p w14:paraId="04DD8062" w14:textId="77777777" w:rsidR="00941C21" w:rsidRPr="00EF587A" w:rsidRDefault="00941C21" w:rsidP="00C81021">
            <w:pPr>
              <w:pStyle w:val="TableText"/>
            </w:pPr>
          </w:p>
        </w:tc>
        <w:tc>
          <w:tcPr>
            <w:tcW w:w="381" w:type="pct"/>
            <w:shd w:val="clear" w:color="auto" w:fill="F2F2F2" w:themeFill="background1" w:themeFillShade="F2"/>
          </w:tcPr>
          <w:p w14:paraId="5F015DB8"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527548F0" w14:textId="77777777" w:rsidR="00941C21" w:rsidRPr="00EF587A" w:rsidRDefault="00941C21" w:rsidP="00C81021">
            <w:pPr>
              <w:pStyle w:val="TableText"/>
            </w:pPr>
          </w:p>
        </w:tc>
      </w:tr>
      <w:tr w:rsidR="00F46E06" w:rsidRPr="00EE4BD6" w14:paraId="51CFC848" w14:textId="77777777" w:rsidTr="00F97A1E">
        <w:trPr>
          <w:cantSplit/>
          <w:trHeight w:val="181"/>
        </w:trPr>
        <w:tc>
          <w:tcPr>
            <w:tcW w:w="5000" w:type="pct"/>
            <w:gridSpan w:val="6"/>
            <w:shd w:val="clear" w:color="auto" w:fill="D0CECE" w:themeFill="background2" w:themeFillShade="E6"/>
            <w:vAlign w:val="center"/>
          </w:tcPr>
          <w:p w14:paraId="415E181C" w14:textId="77777777" w:rsidR="00F46E06" w:rsidRPr="00572499" w:rsidRDefault="00F46E06" w:rsidP="00F46E06">
            <w:pPr>
              <w:pStyle w:val="TableText"/>
              <w:rPr>
                <w:sz w:val="8"/>
                <w:szCs w:val="8"/>
              </w:rPr>
            </w:pPr>
          </w:p>
        </w:tc>
      </w:tr>
      <w:tr w:rsidR="00F46E06" w:rsidRPr="00EE4BD6" w14:paraId="558A5730" w14:textId="77777777" w:rsidTr="00F97A1E">
        <w:trPr>
          <w:cantSplit/>
          <w:trHeight w:val="428"/>
        </w:trPr>
        <w:tc>
          <w:tcPr>
            <w:tcW w:w="612" w:type="pct"/>
            <w:vMerge w:val="restart"/>
            <w:vAlign w:val="center"/>
          </w:tcPr>
          <w:p w14:paraId="377C8125" w14:textId="5D3491EB" w:rsidR="00F46E06" w:rsidRPr="00F77313" w:rsidRDefault="00F46E06" w:rsidP="00F46E06">
            <w:pPr>
              <w:pStyle w:val="TableText"/>
              <w:jc w:val="center"/>
              <w:rPr>
                <w:b/>
                <w:bCs/>
              </w:rPr>
            </w:pPr>
            <w:r w:rsidRPr="00F46E06">
              <w:rPr>
                <w:b/>
                <w:bCs/>
              </w:rPr>
              <w:t>Endodontic Tooth Access Report</w:t>
            </w:r>
          </w:p>
        </w:tc>
        <w:tc>
          <w:tcPr>
            <w:tcW w:w="966" w:type="pct"/>
            <w:vMerge w:val="restart"/>
          </w:tcPr>
          <w:p w14:paraId="0F9CDDBD" w14:textId="587C3688" w:rsidR="00F46E06" w:rsidRPr="009A1DE7" w:rsidRDefault="00F46E06" w:rsidP="00F46E06">
            <w:pPr>
              <w:pStyle w:val="TableText"/>
            </w:pPr>
            <w:r>
              <w:t>Displays, for each provider, the number of teeth accessed, accessed and completed, accessed and extracted, accessed and restored, and accessed and crowned in a specified date range.</w:t>
            </w:r>
          </w:p>
        </w:tc>
        <w:tc>
          <w:tcPr>
            <w:tcW w:w="1316" w:type="pct"/>
            <w:vMerge w:val="restart"/>
          </w:tcPr>
          <w:p w14:paraId="3044EDA1" w14:textId="77777777" w:rsidR="00F46E06" w:rsidRDefault="00F46E06" w:rsidP="00F46E06">
            <w:pPr>
              <w:pStyle w:val="TableText"/>
              <w:keepNext/>
              <w:keepLines/>
              <w:numPr>
                <w:ilvl w:val="0"/>
                <w:numId w:val="2"/>
              </w:numPr>
              <w:ind w:left="232" w:hanging="180"/>
            </w:pPr>
            <w:r w:rsidRPr="001D78AE">
              <w:t>Proper endo procedure codes are posted to the correct provider.</w:t>
            </w:r>
          </w:p>
          <w:p w14:paraId="0FF36757" w14:textId="5F5CF461" w:rsidR="00F46E06" w:rsidRPr="009A1DE7" w:rsidRDefault="00F46E06" w:rsidP="00F46E06">
            <w:pPr>
              <w:pStyle w:val="TableText"/>
              <w:numPr>
                <w:ilvl w:val="0"/>
                <w:numId w:val="2"/>
              </w:numPr>
              <w:ind w:left="232" w:hanging="180"/>
            </w:pPr>
            <w:r w:rsidRPr="001D78AE">
              <w:t>Consistently following the daily, weekly monthly check list to ensure Dentrix Enterprise data is accurate.</w:t>
            </w:r>
          </w:p>
        </w:tc>
        <w:tc>
          <w:tcPr>
            <w:tcW w:w="1271" w:type="pct"/>
            <w:vMerge w:val="restart"/>
          </w:tcPr>
          <w:p w14:paraId="07D0399E" w14:textId="7636D87F" w:rsidR="00F46E06" w:rsidRPr="00EF587A" w:rsidRDefault="00F46E06" w:rsidP="00F46E06">
            <w:pPr>
              <w:pStyle w:val="TableText"/>
            </w:pPr>
            <w:r w:rsidRPr="001D78AE">
              <w:t>Report data will be inaccurate and patient care not optimized.</w:t>
            </w:r>
          </w:p>
        </w:tc>
        <w:tc>
          <w:tcPr>
            <w:tcW w:w="381" w:type="pct"/>
            <w:shd w:val="clear" w:color="auto" w:fill="F2F2F2" w:themeFill="background1" w:themeFillShade="F2"/>
          </w:tcPr>
          <w:p w14:paraId="42E350C7" w14:textId="77777777" w:rsidR="00F46E06" w:rsidRPr="00EE4BD6" w:rsidRDefault="00F46E06" w:rsidP="00F46E06">
            <w:pPr>
              <w:pStyle w:val="TableText"/>
            </w:pPr>
            <w:r w:rsidRPr="001F26DF">
              <w:t>Date Reviewed</w:t>
            </w:r>
            <w:r>
              <w:t>:</w:t>
            </w:r>
          </w:p>
        </w:tc>
        <w:tc>
          <w:tcPr>
            <w:tcW w:w="454" w:type="pct"/>
            <w:shd w:val="clear" w:color="auto" w:fill="F2F2F2" w:themeFill="background1" w:themeFillShade="F2"/>
          </w:tcPr>
          <w:p w14:paraId="259EBB76" w14:textId="77777777" w:rsidR="00F46E06" w:rsidRPr="00EE4BD6" w:rsidRDefault="00F46E06" w:rsidP="00F46E06">
            <w:pPr>
              <w:pStyle w:val="TableText"/>
            </w:pPr>
          </w:p>
        </w:tc>
      </w:tr>
      <w:tr w:rsidR="00941C21" w:rsidRPr="00EE4BD6" w14:paraId="637A4E68" w14:textId="77777777" w:rsidTr="00F97A1E">
        <w:trPr>
          <w:cantSplit/>
          <w:trHeight w:val="428"/>
        </w:trPr>
        <w:tc>
          <w:tcPr>
            <w:tcW w:w="612" w:type="pct"/>
            <w:vMerge/>
          </w:tcPr>
          <w:p w14:paraId="373FA48E" w14:textId="77777777" w:rsidR="00941C21" w:rsidRPr="00EF587A" w:rsidRDefault="00941C21" w:rsidP="00C81021">
            <w:pPr>
              <w:pStyle w:val="TableText"/>
            </w:pPr>
          </w:p>
        </w:tc>
        <w:tc>
          <w:tcPr>
            <w:tcW w:w="966" w:type="pct"/>
            <w:vMerge/>
          </w:tcPr>
          <w:p w14:paraId="38FCBE53" w14:textId="77777777" w:rsidR="00941C21" w:rsidRPr="009A1DE7" w:rsidRDefault="00941C21" w:rsidP="00C81021">
            <w:pPr>
              <w:pStyle w:val="TableText"/>
            </w:pPr>
          </w:p>
        </w:tc>
        <w:tc>
          <w:tcPr>
            <w:tcW w:w="1316" w:type="pct"/>
            <w:vMerge/>
          </w:tcPr>
          <w:p w14:paraId="531E462D" w14:textId="77777777" w:rsidR="00941C21" w:rsidRPr="009A1DE7" w:rsidRDefault="00941C21" w:rsidP="00C81021">
            <w:pPr>
              <w:pStyle w:val="TableText"/>
            </w:pPr>
          </w:p>
        </w:tc>
        <w:tc>
          <w:tcPr>
            <w:tcW w:w="1271" w:type="pct"/>
            <w:vMerge/>
          </w:tcPr>
          <w:p w14:paraId="4B7705E3" w14:textId="77777777" w:rsidR="00941C21" w:rsidRPr="009A1DE7" w:rsidRDefault="00941C21" w:rsidP="00C81021">
            <w:pPr>
              <w:pStyle w:val="TableText"/>
            </w:pPr>
          </w:p>
        </w:tc>
        <w:tc>
          <w:tcPr>
            <w:tcW w:w="381" w:type="pct"/>
            <w:shd w:val="clear" w:color="auto" w:fill="F2F2F2" w:themeFill="background1" w:themeFillShade="F2"/>
          </w:tcPr>
          <w:p w14:paraId="4A903100"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18B499BB" w14:textId="77777777" w:rsidR="00941C21" w:rsidRPr="00EE4BD6" w:rsidRDefault="00941C21" w:rsidP="00C81021">
            <w:pPr>
              <w:pStyle w:val="TableText"/>
            </w:pPr>
          </w:p>
        </w:tc>
      </w:tr>
      <w:tr w:rsidR="00941C21" w:rsidRPr="00EE4BD6" w14:paraId="5F931EE7" w14:textId="77777777" w:rsidTr="00F97A1E">
        <w:trPr>
          <w:cantSplit/>
          <w:trHeight w:val="428"/>
        </w:trPr>
        <w:tc>
          <w:tcPr>
            <w:tcW w:w="612" w:type="pct"/>
            <w:vMerge/>
          </w:tcPr>
          <w:p w14:paraId="661EE3D0" w14:textId="77777777" w:rsidR="00941C21" w:rsidRPr="00EF587A" w:rsidRDefault="00941C21" w:rsidP="00C81021">
            <w:pPr>
              <w:pStyle w:val="TableText"/>
            </w:pPr>
          </w:p>
        </w:tc>
        <w:tc>
          <w:tcPr>
            <w:tcW w:w="966" w:type="pct"/>
            <w:vMerge/>
          </w:tcPr>
          <w:p w14:paraId="665A916B" w14:textId="77777777" w:rsidR="00941C21" w:rsidRPr="009A1DE7" w:rsidRDefault="00941C21" w:rsidP="00C81021">
            <w:pPr>
              <w:pStyle w:val="TableText"/>
            </w:pPr>
          </w:p>
        </w:tc>
        <w:tc>
          <w:tcPr>
            <w:tcW w:w="1316" w:type="pct"/>
            <w:vMerge/>
          </w:tcPr>
          <w:p w14:paraId="3B89A836" w14:textId="77777777" w:rsidR="00941C21" w:rsidRPr="009A1DE7" w:rsidRDefault="00941C21" w:rsidP="00C81021">
            <w:pPr>
              <w:pStyle w:val="TableText"/>
            </w:pPr>
          </w:p>
        </w:tc>
        <w:tc>
          <w:tcPr>
            <w:tcW w:w="1271" w:type="pct"/>
            <w:vMerge/>
          </w:tcPr>
          <w:p w14:paraId="2B070080" w14:textId="77777777" w:rsidR="00941C21" w:rsidRPr="009A1DE7" w:rsidRDefault="00941C21" w:rsidP="00C81021">
            <w:pPr>
              <w:pStyle w:val="TableText"/>
            </w:pPr>
          </w:p>
        </w:tc>
        <w:tc>
          <w:tcPr>
            <w:tcW w:w="381" w:type="pct"/>
            <w:shd w:val="clear" w:color="auto" w:fill="F2F2F2" w:themeFill="background1" w:themeFillShade="F2"/>
          </w:tcPr>
          <w:p w14:paraId="299FAC76"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6DA7F5F1" w14:textId="77777777" w:rsidR="00941C21" w:rsidRPr="00EE4BD6" w:rsidRDefault="00941C21" w:rsidP="00C81021">
            <w:pPr>
              <w:pStyle w:val="TableText"/>
            </w:pPr>
          </w:p>
        </w:tc>
      </w:tr>
      <w:tr w:rsidR="00941C21" w:rsidRPr="00EE4BD6" w14:paraId="72D31F4B" w14:textId="77777777" w:rsidTr="00F97A1E">
        <w:trPr>
          <w:cantSplit/>
          <w:trHeight w:val="342"/>
        </w:trPr>
        <w:tc>
          <w:tcPr>
            <w:tcW w:w="612" w:type="pct"/>
            <w:vMerge/>
          </w:tcPr>
          <w:p w14:paraId="2A15639A" w14:textId="77777777" w:rsidR="00941C21" w:rsidRPr="00EF587A" w:rsidRDefault="00941C21" w:rsidP="00C81021">
            <w:pPr>
              <w:pStyle w:val="TableText"/>
            </w:pPr>
          </w:p>
        </w:tc>
        <w:tc>
          <w:tcPr>
            <w:tcW w:w="966" w:type="pct"/>
            <w:vMerge/>
          </w:tcPr>
          <w:p w14:paraId="39FE1035" w14:textId="77777777" w:rsidR="00941C21" w:rsidRPr="009A1DE7" w:rsidRDefault="00941C21" w:rsidP="00C81021">
            <w:pPr>
              <w:pStyle w:val="TableText"/>
            </w:pPr>
          </w:p>
        </w:tc>
        <w:tc>
          <w:tcPr>
            <w:tcW w:w="1316" w:type="pct"/>
            <w:vMerge/>
          </w:tcPr>
          <w:p w14:paraId="62C08703" w14:textId="77777777" w:rsidR="00941C21" w:rsidRPr="009A1DE7" w:rsidRDefault="00941C21" w:rsidP="00C81021">
            <w:pPr>
              <w:pStyle w:val="TableText"/>
            </w:pPr>
          </w:p>
        </w:tc>
        <w:tc>
          <w:tcPr>
            <w:tcW w:w="1271" w:type="pct"/>
            <w:vMerge/>
          </w:tcPr>
          <w:p w14:paraId="0F085C0E" w14:textId="77777777" w:rsidR="00941C21" w:rsidRPr="009A1DE7" w:rsidRDefault="00941C21" w:rsidP="00C81021">
            <w:pPr>
              <w:pStyle w:val="TableText"/>
            </w:pPr>
          </w:p>
        </w:tc>
        <w:tc>
          <w:tcPr>
            <w:tcW w:w="381" w:type="pct"/>
            <w:shd w:val="clear" w:color="auto" w:fill="F2F2F2" w:themeFill="background1" w:themeFillShade="F2"/>
          </w:tcPr>
          <w:p w14:paraId="3DFF0CBA"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7C981E66" w14:textId="77777777" w:rsidR="00941C21" w:rsidRPr="00EE4BD6" w:rsidRDefault="00941C21" w:rsidP="00C81021">
            <w:pPr>
              <w:pStyle w:val="TableText"/>
            </w:pPr>
          </w:p>
        </w:tc>
      </w:tr>
      <w:tr w:rsidR="00941C21" w:rsidRPr="00EF587A" w14:paraId="69DD52C6" w14:textId="77777777" w:rsidTr="00F97A1E">
        <w:trPr>
          <w:cantSplit/>
          <w:trHeight w:val="428"/>
        </w:trPr>
        <w:tc>
          <w:tcPr>
            <w:tcW w:w="612" w:type="pct"/>
            <w:vMerge/>
          </w:tcPr>
          <w:p w14:paraId="28648459" w14:textId="77777777" w:rsidR="00941C21" w:rsidRPr="00EF587A" w:rsidRDefault="00941C21" w:rsidP="00C81021">
            <w:pPr>
              <w:pStyle w:val="TableText"/>
            </w:pPr>
          </w:p>
        </w:tc>
        <w:tc>
          <w:tcPr>
            <w:tcW w:w="966" w:type="pct"/>
            <w:vMerge/>
          </w:tcPr>
          <w:p w14:paraId="010D4A49" w14:textId="77777777" w:rsidR="00941C21" w:rsidRPr="00EF587A" w:rsidRDefault="00941C21" w:rsidP="00C81021">
            <w:pPr>
              <w:pStyle w:val="TableText"/>
            </w:pPr>
          </w:p>
        </w:tc>
        <w:tc>
          <w:tcPr>
            <w:tcW w:w="1316" w:type="pct"/>
            <w:vMerge/>
          </w:tcPr>
          <w:p w14:paraId="75E780F9" w14:textId="77777777" w:rsidR="00941C21" w:rsidRPr="00EF587A" w:rsidRDefault="00941C21" w:rsidP="00C81021">
            <w:pPr>
              <w:pStyle w:val="TableText"/>
            </w:pPr>
          </w:p>
        </w:tc>
        <w:tc>
          <w:tcPr>
            <w:tcW w:w="1271" w:type="pct"/>
            <w:vMerge/>
          </w:tcPr>
          <w:p w14:paraId="4D4BC1F9" w14:textId="77777777" w:rsidR="00941C21" w:rsidRPr="00EF587A" w:rsidRDefault="00941C21" w:rsidP="00C81021">
            <w:pPr>
              <w:pStyle w:val="TableText"/>
            </w:pPr>
          </w:p>
        </w:tc>
        <w:tc>
          <w:tcPr>
            <w:tcW w:w="381" w:type="pct"/>
            <w:shd w:val="clear" w:color="auto" w:fill="F2F2F2" w:themeFill="background1" w:themeFillShade="F2"/>
          </w:tcPr>
          <w:p w14:paraId="0E539FF4"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392C0C36" w14:textId="77777777" w:rsidR="00941C21" w:rsidRPr="00EF587A" w:rsidRDefault="00941C21" w:rsidP="00C81021">
            <w:pPr>
              <w:pStyle w:val="TableText"/>
            </w:pPr>
          </w:p>
        </w:tc>
      </w:tr>
      <w:tr w:rsidR="00F46E06" w:rsidRPr="00EE4BD6" w14:paraId="3C035294" w14:textId="77777777" w:rsidTr="00F97A1E">
        <w:trPr>
          <w:cantSplit/>
          <w:trHeight w:val="18"/>
        </w:trPr>
        <w:tc>
          <w:tcPr>
            <w:tcW w:w="5000" w:type="pct"/>
            <w:gridSpan w:val="6"/>
            <w:shd w:val="clear" w:color="auto" w:fill="D0CECE" w:themeFill="background2" w:themeFillShade="E6"/>
            <w:vAlign w:val="center"/>
          </w:tcPr>
          <w:p w14:paraId="1CA689DB" w14:textId="77777777" w:rsidR="00F46E06" w:rsidRPr="00572499" w:rsidRDefault="00F46E06" w:rsidP="00C81021">
            <w:pPr>
              <w:pStyle w:val="TableText"/>
              <w:rPr>
                <w:sz w:val="8"/>
                <w:szCs w:val="8"/>
              </w:rPr>
            </w:pPr>
          </w:p>
        </w:tc>
      </w:tr>
      <w:tr w:rsidR="00F46E06" w:rsidRPr="00EE4BD6" w14:paraId="290D1C8A" w14:textId="77777777" w:rsidTr="00F97A1E">
        <w:trPr>
          <w:cantSplit/>
          <w:trHeight w:val="428"/>
        </w:trPr>
        <w:tc>
          <w:tcPr>
            <w:tcW w:w="612" w:type="pct"/>
            <w:vMerge w:val="restart"/>
            <w:vAlign w:val="center"/>
          </w:tcPr>
          <w:p w14:paraId="099C6549" w14:textId="4F2103C0" w:rsidR="00F46E06" w:rsidRPr="00F77313" w:rsidRDefault="00F46E06" w:rsidP="00F46E06">
            <w:pPr>
              <w:pStyle w:val="TableText"/>
              <w:jc w:val="center"/>
              <w:rPr>
                <w:b/>
                <w:bCs/>
              </w:rPr>
            </w:pPr>
            <w:r w:rsidRPr="00F46E06">
              <w:rPr>
                <w:b/>
                <w:bCs/>
              </w:rPr>
              <w:lastRenderedPageBreak/>
              <w:t>Appointment Cycle Time</w:t>
            </w:r>
          </w:p>
        </w:tc>
        <w:tc>
          <w:tcPr>
            <w:tcW w:w="966" w:type="pct"/>
            <w:vMerge w:val="restart"/>
          </w:tcPr>
          <w:p w14:paraId="5C2F5D87" w14:textId="39FB504F" w:rsidR="00F46E06" w:rsidRPr="009A1DE7" w:rsidRDefault="00F46E06" w:rsidP="00F46E06">
            <w:pPr>
              <w:pStyle w:val="TableText"/>
            </w:pPr>
            <w:r w:rsidRPr="001D78AE">
              <w:t>Identify patterns in chair time usage through application of appropriate appointment status.</w:t>
            </w:r>
          </w:p>
        </w:tc>
        <w:tc>
          <w:tcPr>
            <w:tcW w:w="1316" w:type="pct"/>
            <w:vMerge w:val="restart"/>
          </w:tcPr>
          <w:p w14:paraId="7944AE1A" w14:textId="77777777" w:rsidR="00F46E06" w:rsidRDefault="00F46E06" w:rsidP="00F46E06">
            <w:pPr>
              <w:pStyle w:val="TableText"/>
              <w:keepNext/>
              <w:keepLines/>
              <w:numPr>
                <w:ilvl w:val="0"/>
                <w:numId w:val="2"/>
              </w:numPr>
              <w:ind w:left="232" w:hanging="180"/>
            </w:pPr>
            <w:r w:rsidRPr="001D78AE">
              <w:t xml:space="preserve">Appointment statuses are being </w:t>
            </w:r>
            <w:proofErr w:type="gramStart"/>
            <w:r w:rsidRPr="001D78AE">
              <w:t>updated</w:t>
            </w:r>
            <w:proofErr w:type="gramEnd"/>
          </w:p>
          <w:p w14:paraId="2023E8C0" w14:textId="5AD81F9E" w:rsidR="00F46E06" w:rsidRPr="009A1DE7" w:rsidRDefault="00F46E06" w:rsidP="00F46E06">
            <w:pPr>
              <w:pStyle w:val="TableText"/>
              <w:numPr>
                <w:ilvl w:val="0"/>
                <w:numId w:val="2"/>
              </w:numPr>
              <w:ind w:left="232" w:hanging="180"/>
            </w:pPr>
            <w:r w:rsidRPr="001D78AE">
              <w:t>Consistently following the daily, weekly monthly check list to ensure Dentrix Enterprise data is accurate.</w:t>
            </w:r>
          </w:p>
        </w:tc>
        <w:tc>
          <w:tcPr>
            <w:tcW w:w="1271" w:type="pct"/>
            <w:vMerge w:val="restart"/>
          </w:tcPr>
          <w:p w14:paraId="1CA4C606" w14:textId="06D667A1" w:rsidR="00F46E06" w:rsidRPr="00EF587A" w:rsidRDefault="00F46E06" w:rsidP="00F46E06">
            <w:pPr>
              <w:pStyle w:val="TableText"/>
            </w:pPr>
            <w:r>
              <w:t>Report data will be inaccurate, dental teams will not be properly utilized and patient care could be reduced.</w:t>
            </w:r>
          </w:p>
        </w:tc>
        <w:tc>
          <w:tcPr>
            <w:tcW w:w="381" w:type="pct"/>
            <w:shd w:val="clear" w:color="auto" w:fill="F2F2F2" w:themeFill="background1" w:themeFillShade="F2"/>
          </w:tcPr>
          <w:p w14:paraId="53B88E6A" w14:textId="77777777" w:rsidR="00F46E06" w:rsidRPr="00EE4BD6" w:rsidRDefault="00F46E06" w:rsidP="00F46E06">
            <w:pPr>
              <w:pStyle w:val="TableText"/>
            </w:pPr>
            <w:r w:rsidRPr="001F26DF">
              <w:t>Date Reviewed</w:t>
            </w:r>
            <w:r>
              <w:t>:</w:t>
            </w:r>
          </w:p>
        </w:tc>
        <w:tc>
          <w:tcPr>
            <w:tcW w:w="454" w:type="pct"/>
            <w:shd w:val="clear" w:color="auto" w:fill="F2F2F2" w:themeFill="background1" w:themeFillShade="F2"/>
          </w:tcPr>
          <w:p w14:paraId="6A3C5EC8" w14:textId="77777777" w:rsidR="00F46E06" w:rsidRPr="00EE4BD6" w:rsidRDefault="00F46E06" w:rsidP="00F46E06">
            <w:pPr>
              <w:pStyle w:val="TableText"/>
            </w:pPr>
          </w:p>
        </w:tc>
      </w:tr>
      <w:tr w:rsidR="00941C21" w:rsidRPr="00EE4BD6" w14:paraId="14D759BB" w14:textId="77777777" w:rsidTr="00F97A1E">
        <w:trPr>
          <w:cantSplit/>
          <w:trHeight w:val="428"/>
        </w:trPr>
        <w:tc>
          <w:tcPr>
            <w:tcW w:w="612" w:type="pct"/>
            <w:vMerge/>
          </w:tcPr>
          <w:p w14:paraId="770C939A" w14:textId="77777777" w:rsidR="00941C21" w:rsidRPr="00EF587A" w:rsidRDefault="00941C21" w:rsidP="00C81021">
            <w:pPr>
              <w:pStyle w:val="TableText"/>
            </w:pPr>
          </w:p>
        </w:tc>
        <w:tc>
          <w:tcPr>
            <w:tcW w:w="966" w:type="pct"/>
            <w:vMerge/>
          </w:tcPr>
          <w:p w14:paraId="0780AF9D" w14:textId="77777777" w:rsidR="00941C21" w:rsidRPr="009A1DE7" w:rsidRDefault="00941C21" w:rsidP="00C81021">
            <w:pPr>
              <w:pStyle w:val="TableText"/>
            </w:pPr>
          </w:p>
        </w:tc>
        <w:tc>
          <w:tcPr>
            <w:tcW w:w="1316" w:type="pct"/>
            <w:vMerge/>
          </w:tcPr>
          <w:p w14:paraId="6EDDD05B" w14:textId="77777777" w:rsidR="00941C21" w:rsidRPr="009A1DE7" w:rsidRDefault="00941C21" w:rsidP="00C81021">
            <w:pPr>
              <w:pStyle w:val="TableText"/>
            </w:pPr>
          </w:p>
        </w:tc>
        <w:tc>
          <w:tcPr>
            <w:tcW w:w="1271" w:type="pct"/>
            <w:vMerge/>
          </w:tcPr>
          <w:p w14:paraId="4E8F2759" w14:textId="77777777" w:rsidR="00941C21" w:rsidRPr="009A1DE7" w:rsidRDefault="00941C21" w:rsidP="00C81021">
            <w:pPr>
              <w:pStyle w:val="TableText"/>
            </w:pPr>
          </w:p>
        </w:tc>
        <w:tc>
          <w:tcPr>
            <w:tcW w:w="381" w:type="pct"/>
            <w:shd w:val="clear" w:color="auto" w:fill="F2F2F2" w:themeFill="background1" w:themeFillShade="F2"/>
          </w:tcPr>
          <w:p w14:paraId="4D5D7EDD"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16D8C3AC" w14:textId="77777777" w:rsidR="00941C21" w:rsidRPr="00EE4BD6" w:rsidRDefault="00941C21" w:rsidP="00C81021">
            <w:pPr>
              <w:pStyle w:val="TableText"/>
            </w:pPr>
          </w:p>
        </w:tc>
      </w:tr>
      <w:tr w:rsidR="00941C21" w:rsidRPr="00EE4BD6" w14:paraId="04825A9C" w14:textId="77777777" w:rsidTr="00F97A1E">
        <w:trPr>
          <w:cantSplit/>
          <w:trHeight w:val="428"/>
        </w:trPr>
        <w:tc>
          <w:tcPr>
            <w:tcW w:w="612" w:type="pct"/>
            <w:vMerge/>
          </w:tcPr>
          <w:p w14:paraId="249A0FE9" w14:textId="77777777" w:rsidR="00941C21" w:rsidRPr="00EF587A" w:rsidRDefault="00941C21" w:rsidP="00C81021">
            <w:pPr>
              <w:pStyle w:val="TableText"/>
            </w:pPr>
          </w:p>
        </w:tc>
        <w:tc>
          <w:tcPr>
            <w:tcW w:w="966" w:type="pct"/>
            <w:vMerge/>
          </w:tcPr>
          <w:p w14:paraId="76F2CFB4" w14:textId="77777777" w:rsidR="00941C21" w:rsidRPr="009A1DE7" w:rsidRDefault="00941C21" w:rsidP="00C81021">
            <w:pPr>
              <w:pStyle w:val="TableText"/>
            </w:pPr>
          </w:p>
        </w:tc>
        <w:tc>
          <w:tcPr>
            <w:tcW w:w="1316" w:type="pct"/>
            <w:vMerge/>
          </w:tcPr>
          <w:p w14:paraId="5C1724CD" w14:textId="77777777" w:rsidR="00941C21" w:rsidRPr="009A1DE7" w:rsidRDefault="00941C21" w:rsidP="00C81021">
            <w:pPr>
              <w:pStyle w:val="TableText"/>
            </w:pPr>
          </w:p>
        </w:tc>
        <w:tc>
          <w:tcPr>
            <w:tcW w:w="1271" w:type="pct"/>
            <w:vMerge/>
          </w:tcPr>
          <w:p w14:paraId="7EEBA269" w14:textId="77777777" w:rsidR="00941C21" w:rsidRPr="009A1DE7" w:rsidRDefault="00941C21" w:rsidP="00C81021">
            <w:pPr>
              <w:pStyle w:val="TableText"/>
            </w:pPr>
          </w:p>
        </w:tc>
        <w:tc>
          <w:tcPr>
            <w:tcW w:w="381" w:type="pct"/>
            <w:shd w:val="clear" w:color="auto" w:fill="F2F2F2" w:themeFill="background1" w:themeFillShade="F2"/>
          </w:tcPr>
          <w:p w14:paraId="3605AF86"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132B705D" w14:textId="77777777" w:rsidR="00941C21" w:rsidRPr="00EE4BD6" w:rsidRDefault="00941C21" w:rsidP="00C81021">
            <w:pPr>
              <w:pStyle w:val="TableText"/>
            </w:pPr>
          </w:p>
        </w:tc>
      </w:tr>
      <w:tr w:rsidR="00941C21" w:rsidRPr="00EE4BD6" w14:paraId="41901CEB" w14:textId="77777777" w:rsidTr="00F97A1E">
        <w:trPr>
          <w:cantSplit/>
          <w:trHeight w:val="360"/>
        </w:trPr>
        <w:tc>
          <w:tcPr>
            <w:tcW w:w="612" w:type="pct"/>
            <w:vMerge/>
          </w:tcPr>
          <w:p w14:paraId="17DAB657" w14:textId="77777777" w:rsidR="00941C21" w:rsidRPr="00EF587A" w:rsidRDefault="00941C21" w:rsidP="00C81021">
            <w:pPr>
              <w:pStyle w:val="TableText"/>
            </w:pPr>
          </w:p>
        </w:tc>
        <w:tc>
          <w:tcPr>
            <w:tcW w:w="966" w:type="pct"/>
            <w:vMerge/>
          </w:tcPr>
          <w:p w14:paraId="19ACAF90" w14:textId="77777777" w:rsidR="00941C21" w:rsidRPr="009A1DE7" w:rsidRDefault="00941C21" w:rsidP="00C81021">
            <w:pPr>
              <w:pStyle w:val="TableText"/>
            </w:pPr>
          </w:p>
        </w:tc>
        <w:tc>
          <w:tcPr>
            <w:tcW w:w="1316" w:type="pct"/>
            <w:vMerge/>
          </w:tcPr>
          <w:p w14:paraId="10D7DADE" w14:textId="77777777" w:rsidR="00941C21" w:rsidRPr="009A1DE7" w:rsidRDefault="00941C21" w:rsidP="00C81021">
            <w:pPr>
              <w:pStyle w:val="TableText"/>
            </w:pPr>
          </w:p>
        </w:tc>
        <w:tc>
          <w:tcPr>
            <w:tcW w:w="1271" w:type="pct"/>
            <w:vMerge/>
          </w:tcPr>
          <w:p w14:paraId="43F428ED" w14:textId="77777777" w:rsidR="00941C21" w:rsidRPr="009A1DE7" w:rsidRDefault="00941C21" w:rsidP="00C81021">
            <w:pPr>
              <w:pStyle w:val="TableText"/>
            </w:pPr>
          </w:p>
        </w:tc>
        <w:tc>
          <w:tcPr>
            <w:tcW w:w="381" w:type="pct"/>
            <w:shd w:val="clear" w:color="auto" w:fill="F2F2F2" w:themeFill="background1" w:themeFillShade="F2"/>
          </w:tcPr>
          <w:p w14:paraId="1D1CA1C0"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6E760AFA" w14:textId="77777777" w:rsidR="00941C21" w:rsidRPr="00EE4BD6" w:rsidRDefault="00941C21" w:rsidP="00C81021">
            <w:pPr>
              <w:pStyle w:val="TableText"/>
            </w:pPr>
          </w:p>
        </w:tc>
      </w:tr>
      <w:tr w:rsidR="00941C21" w:rsidRPr="00EF587A" w14:paraId="48582118" w14:textId="77777777" w:rsidTr="00F97A1E">
        <w:trPr>
          <w:cantSplit/>
          <w:trHeight w:val="428"/>
        </w:trPr>
        <w:tc>
          <w:tcPr>
            <w:tcW w:w="612" w:type="pct"/>
            <w:vMerge/>
          </w:tcPr>
          <w:p w14:paraId="50B24633" w14:textId="77777777" w:rsidR="00941C21" w:rsidRPr="00EF587A" w:rsidRDefault="00941C21" w:rsidP="00C81021">
            <w:pPr>
              <w:pStyle w:val="TableText"/>
            </w:pPr>
          </w:p>
        </w:tc>
        <w:tc>
          <w:tcPr>
            <w:tcW w:w="966" w:type="pct"/>
            <w:vMerge/>
          </w:tcPr>
          <w:p w14:paraId="30C235FD" w14:textId="77777777" w:rsidR="00941C21" w:rsidRPr="00EF587A" w:rsidRDefault="00941C21" w:rsidP="00C81021">
            <w:pPr>
              <w:pStyle w:val="TableText"/>
            </w:pPr>
          </w:p>
        </w:tc>
        <w:tc>
          <w:tcPr>
            <w:tcW w:w="1316" w:type="pct"/>
            <w:vMerge/>
          </w:tcPr>
          <w:p w14:paraId="259DF611" w14:textId="77777777" w:rsidR="00941C21" w:rsidRPr="00EF587A" w:rsidRDefault="00941C21" w:rsidP="00C81021">
            <w:pPr>
              <w:pStyle w:val="TableText"/>
            </w:pPr>
          </w:p>
        </w:tc>
        <w:tc>
          <w:tcPr>
            <w:tcW w:w="1271" w:type="pct"/>
            <w:vMerge/>
          </w:tcPr>
          <w:p w14:paraId="37F5A4C5" w14:textId="77777777" w:rsidR="00941C21" w:rsidRPr="00EF587A" w:rsidRDefault="00941C21" w:rsidP="00C81021">
            <w:pPr>
              <w:pStyle w:val="TableText"/>
            </w:pPr>
          </w:p>
        </w:tc>
        <w:tc>
          <w:tcPr>
            <w:tcW w:w="381" w:type="pct"/>
            <w:shd w:val="clear" w:color="auto" w:fill="F2F2F2" w:themeFill="background1" w:themeFillShade="F2"/>
          </w:tcPr>
          <w:p w14:paraId="69CBEB9B"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4F1A8B20" w14:textId="77777777" w:rsidR="00941C21" w:rsidRPr="00EF587A" w:rsidRDefault="00941C21" w:rsidP="00C81021">
            <w:pPr>
              <w:pStyle w:val="TableText"/>
            </w:pPr>
          </w:p>
        </w:tc>
      </w:tr>
      <w:tr w:rsidR="00F46E06" w:rsidRPr="00EE4BD6" w14:paraId="028CBF41" w14:textId="77777777" w:rsidTr="00F97A1E">
        <w:trPr>
          <w:cantSplit/>
          <w:trHeight w:val="28"/>
        </w:trPr>
        <w:tc>
          <w:tcPr>
            <w:tcW w:w="5000" w:type="pct"/>
            <w:gridSpan w:val="6"/>
            <w:shd w:val="clear" w:color="auto" w:fill="D0CECE" w:themeFill="background2" w:themeFillShade="E6"/>
            <w:vAlign w:val="center"/>
          </w:tcPr>
          <w:p w14:paraId="3A985F4C" w14:textId="77777777" w:rsidR="00F46E06" w:rsidRPr="00572499" w:rsidRDefault="00F46E06" w:rsidP="00C81021">
            <w:pPr>
              <w:pStyle w:val="TableText"/>
              <w:rPr>
                <w:sz w:val="8"/>
                <w:szCs w:val="8"/>
              </w:rPr>
            </w:pPr>
          </w:p>
        </w:tc>
      </w:tr>
      <w:tr w:rsidR="001356DB" w:rsidRPr="00EE4BD6" w14:paraId="7922DB39" w14:textId="77777777" w:rsidTr="00F97A1E">
        <w:trPr>
          <w:cantSplit/>
          <w:trHeight w:val="428"/>
        </w:trPr>
        <w:tc>
          <w:tcPr>
            <w:tcW w:w="612" w:type="pct"/>
            <w:vMerge w:val="restart"/>
            <w:vAlign w:val="center"/>
          </w:tcPr>
          <w:p w14:paraId="2A0DD0CD" w14:textId="4159A12F" w:rsidR="001356DB" w:rsidRPr="00F77313" w:rsidRDefault="001356DB" w:rsidP="001356DB">
            <w:pPr>
              <w:pStyle w:val="TableText"/>
              <w:jc w:val="center"/>
              <w:rPr>
                <w:b/>
                <w:bCs/>
              </w:rPr>
            </w:pPr>
            <w:r w:rsidRPr="001356DB">
              <w:rPr>
                <w:b/>
                <w:bCs/>
              </w:rPr>
              <w:t>Fee Schedule Maintenance</w:t>
            </w:r>
          </w:p>
        </w:tc>
        <w:tc>
          <w:tcPr>
            <w:tcW w:w="966" w:type="pct"/>
            <w:vMerge w:val="restart"/>
          </w:tcPr>
          <w:p w14:paraId="7D3C80FD" w14:textId="3E4E0377" w:rsidR="001356DB" w:rsidRPr="009A1DE7" w:rsidRDefault="001356DB" w:rsidP="001356DB">
            <w:pPr>
              <w:pStyle w:val="TableText"/>
            </w:pPr>
            <w:r w:rsidRPr="001D78AE">
              <w:t>Remove and update fee schedules to ensure proper billing and patient/insurance estimates.</w:t>
            </w:r>
          </w:p>
        </w:tc>
        <w:tc>
          <w:tcPr>
            <w:tcW w:w="1316" w:type="pct"/>
            <w:vMerge w:val="restart"/>
          </w:tcPr>
          <w:p w14:paraId="152D5E80" w14:textId="51E7B596" w:rsidR="001356DB" w:rsidRPr="009A1DE7" w:rsidRDefault="001356DB" w:rsidP="001356DB">
            <w:pPr>
              <w:pStyle w:val="TableText"/>
              <w:numPr>
                <w:ilvl w:val="0"/>
                <w:numId w:val="2"/>
              </w:numPr>
              <w:ind w:left="232" w:hanging="180"/>
            </w:pPr>
            <w:r w:rsidRPr="001D78AE">
              <w:t>Security access and availability of updated fees.</w:t>
            </w:r>
          </w:p>
        </w:tc>
        <w:tc>
          <w:tcPr>
            <w:tcW w:w="1271" w:type="pct"/>
            <w:vMerge w:val="restart"/>
          </w:tcPr>
          <w:p w14:paraId="088F2042" w14:textId="45B33D58" w:rsidR="001356DB" w:rsidRPr="00EF587A" w:rsidRDefault="001356DB" w:rsidP="001356DB">
            <w:pPr>
              <w:pStyle w:val="TableText"/>
            </w:pPr>
            <w:r w:rsidRPr="001D78AE">
              <w:t>Patient financial responsibly estimates could be inaccurate.  Billing to insurance carries could yield lower reimbursement and ultimately lead to an increase in the number of accounts with balance billing or credit refund needs.</w:t>
            </w:r>
          </w:p>
        </w:tc>
        <w:tc>
          <w:tcPr>
            <w:tcW w:w="381" w:type="pct"/>
            <w:shd w:val="clear" w:color="auto" w:fill="F2F2F2" w:themeFill="background1" w:themeFillShade="F2"/>
          </w:tcPr>
          <w:p w14:paraId="0DA966BE" w14:textId="77777777" w:rsidR="001356DB" w:rsidRPr="00EE4BD6" w:rsidRDefault="001356DB" w:rsidP="001356DB">
            <w:pPr>
              <w:pStyle w:val="TableText"/>
            </w:pPr>
            <w:r w:rsidRPr="001F26DF">
              <w:t>Date Reviewed</w:t>
            </w:r>
            <w:r>
              <w:t>:</w:t>
            </w:r>
          </w:p>
        </w:tc>
        <w:tc>
          <w:tcPr>
            <w:tcW w:w="454" w:type="pct"/>
            <w:shd w:val="clear" w:color="auto" w:fill="F2F2F2" w:themeFill="background1" w:themeFillShade="F2"/>
          </w:tcPr>
          <w:p w14:paraId="36D73541" w14:textId="77777777" w:rsidR="001356DB" w:rsidRPr="00EE4BD6" w:rsidRDefault="001356DB" w:rsidP="001356DB">
            <w:pPr>
              <w:pStyle w:val="TableText"/>
            </w:pPr>
          </w:p>
        </w:tc>
      </w:tr>
      <w:tr w:rsidR="00941C21" w:rsidRPr="00EE4BD6" w14:paraId="530FD14F" w14:textId="77777777" w:rsidTr="00F97A1E">
        <w:trPr>
          <w:cantSplit/>
          <w:trHeight w:val="428"/>
        </w:trPr>
        <w:tc>
          <w:tcPr>
            <w:tcW w:w="612" w:type="pct"/>
            <w:vMerge/>
          </w:tcPr>
          <w:p w14:paraId="49410707" w14:textId="77777777" w:rsidR="00941C21" w:rsidRPr="00EF587A" w:rsidRDefault="00941C21" w:rsidP="00C81021">
            <w:pPr>
              <w:pStyle w:val="TableText"/>
            </w:pPr>
          </w:p>
        </w:tc>
        <w:tc>
          <w:tcPr>
            <w:tcW w:w="966" w:type="pct"/>
            <w:vMerge/>
          </w:tcPr>
          <w:p w14:paraId="16E33BF3" w14:textId="77777777" w:rsidR="00941C21" w:rsidRPr="009A1DE7" w:rsidRDefault="00941C21" w:rsidP="00C81021">
            <w:pPr>
              <w:pStyle w:val="TableText"/>
            </w:pPr>
          </w:p>
        </w:tc>
        <w:tc>
          <w:tcPr>
            <w:tcW w:w="1316" w:type="pct"/>
            <w:vMerge/>
          </w:tcPr>
          <w:p w14:paraId="267F8423" w14:textId="77777777" w:rsidR="00941C21" w:rsidRPr="009A1DE7" w:rsidRDefault="00941C21" w:rsidP="00C81021">
            <w:pPr>
              <w:pStyle w:val="TableText"/>
            </w:pPr>
          </w:p>
        </w:tc>
        <w:tc>
          <w:tcPr>
            <w:tcW w:w="1271" w:type="pct"/>
            <w:vMerge/>
          </w:tcPr>
          <w:p w14:paraId="04FD08A9" w14:textId="77777777" w:rsidR="00941C21" w:rsidRPr="009A1DE7" w:rsidRDefault="00941C21" w:rsidP="00C81021">
            <w:pPr>
              <w:pStyle w:val="TableText"/>
            </w:pPr>
          </w:p>
        </w:tc>
        <w:tc>
          <w:tcPr>
            <w:tcW w:w="381" w:type="pct"/>
            <w:shd w:val="clear" w:color="auto" w:fill="F2F2F2" w:themeFill="background1" w:themeFillShade="F2"/>
          </w:tcPr>
          <w:p w14:paraId="506CBC0D"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76771FE7" w14:textId="77777777" w:rsidR="00941C21" w:rsidRPr="00EE4BD6" w:rsidRDefault="00941C21" w:rsidP="00C81021">
            <w:pPr>
              <w:pStyle w:val="TableText"/>
            </w:pPr>
          </w:p>
        </w:tc>
      </w:tr>
      <w:tr w:rsidR="00941C21" w:rsidRPr="00EE4BD6" w14:paraId="0001716A" w14:textId="77777777" w:rsidTr="00F97A1E">
        <w:trPr>
          <w:cantSplit/>
          <w:trHeight w:val="428"/>
        </w:trPr>
        <w:tc>
          <w:tcPr>
            <w:tcW w:w="612" w:type="pct"/>
            <w:vMerge/>
          </w:tcPr>
          <w:p w14:paraId="20DDAF39" w14:textId="77777777" w:rsidR="00941C21" w:rsidRPr="00EF587A" w:rsidRDefault="00941C21" w:rsidP="00C81021">
            <w:pPr>
              <w:pStyle w:val="TableText"/>
            </w:pPr>
          </w:p>
        </w:tc>
        <w:tc>
          <w:tcPr>
            <w:tcW w:w="966" w:type="pct"/>
            <w:vMerge/>
          </w:tcPr>
          <w:p w14:paraId="78AD0F38" w14:textId="77777777" w:rsidR="00941C21" w:rsidRPr="009A1DE7" w:rsidRDefault="00941C21" w:rsidP="00C81021">
            <w:pPr>
              <w:pStyle w:val="TableText"/>
            </w:pPr>
          </w:p>
        </w:tc>
        <w:tc>
          <w:tcPr>
            <w:tcW w:w="1316" w:type="pct"/>
            <w:vMerge/>
          </w:tcPr>
          <w:p w14:paraId="222DDD51" w14:textId="77777777" w:rsidR="00941C21" w:rsidRPr="009A1DE7" w:rsidRDefault="00941C21" w:rsidP="00C81021">
            <w:pPr>
              <w:pStyle w:val="TableText"/>
            </w:pPr>
          </w:p>
        </w:tc>
        <w:tc>
          <w:tcPr>
            <w:tcW w:w="1271" w:type="pct"/>
            <w:vMerge/>
          </w:tcPr>
          <w:p w14:paraId="54903D92" w14:textId="77777777" w:rsidR="00941C21" w:rsidRPr="009A1DE7" w:rsidRDefault="00941C21" w:rsidP="00C81021">
            <w:pPr>
              <w:pStyle w:val="TableText"/>
            </w:pPr>
          </w:p>
        </w:tc>
        <w:tc>
          <w:tcPr>
            <w:tcW w:w="381" w:type="pct"/>
            <w:shd w:val="clear" w:color="auto" w:fill="F2F2F2" w:themeFill="background1" w:themeFillShade="F2"/>
          </w:tcPr>
          <w:p w14:paraId="07CFF0F4"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4F5B6368" w14:textId="77777777" w:rsidR="00941C21" w:rsidRPr="00EE4BD6" w:rsidRDefault="00941C21" w:rsidP="00C81021">
            <w:pPr>
              <w:pStyle w:val="TableText"/>
            </w:pPr>
          </w:p>
        </w:tc>
      </w:tr>
      <w:tr w:rsidR="00941C21" w:rsidRPr="00EE4BD6" w14:paraId="0C70E82D" w14:textId="77777777" w:rsidTr="00F97A1E">
        <w:trPr>
          <w:cantSplit/>
          <w:trHeight w:val="360"/>
        </w:trPr>
        <w:tc>
          <w:tcPr>
            <w:tcW w:w="612" w:type="pct"/>
            <w:vMerge/>
          </w:tcPr>
          <w:p w14:paraId="5268A0CF" w14:textId="77777777" w:rsidR="00941C21" w:rsidRPr="00EF587A" w:rsidRDefault="00941C21" w:rsidP="00C81021">
            <w:pPr>
              <w:pStyle w:val="TableText"/>
            </w:pPr>
          </w:p>
        </w:tc>
        <w:tc>
          <w:tcPr>
            <w:tcW w:w="966" w:type="pct"/>
            <w:vMerge/>
          </w:tcPr>
          <w:p w14:paraId="79AFFCB7" w14:textId="77777777" w:rsidR="00941C21" w:rsidRPr="009A1DE7" w:rsidRDefault="00941C21" w:rsidP="00C81021">
            <w:pPr>
              <w:pStyle w:val="TableText"/>
            </w:pPr>
          </w:p>
        </w:tc>
        <w:tc>
          <w:tcPr>
            <w:tcW w:w="1316" w:type="pct"/>
            <w:vMerge/>
          </w:tcPr>
          <w:p w14:paraId="6F7EE280" w14:textId="77777777" w:rsidR="00941C21" w:rsidRPr="009A1DE7" w:rsidRDefault="00941C21" w:rsidP="00C81021">
            <w:pPr>
              <w:pStyle w:val="TableText"/>
            </w:pPr>
          </w:p>
        </w:tc>
        <w:tc>
          <w:tcPr>
            <w:tcW w:w="1271" w:type="pct"/>
            <w:vMerge/>
          </w:tcPr>
          <w:p w14:paraId="71C44999" w14:textId="77777777" w:rsidR="00941C21" w:rsidRPr="009A1DE7" w:rsidRDefault="00941C21" w:rsidP="00C81021">
            <w:pPr>
              <w:pStyle w:val="TableText"/>
            </w:pPr>
          </w:p>
        </w:tc>
        <w:tc>
          <w:tcPr>
            <w:tcW w:w="381" w:type="pct"/>
            <w:shd w:val="clear" w:color="auto" w:fill="F2F2F2" w:themeFill="background1" w:themeFillShade="F2"/>
          </w:tcPr>
          <w:p w14:paraId="003A5CD7"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5A08534F" w14:textId="77777777" w:rsidR="00941C21" w:rsidRPr="00EE4BD6" w:rsidRDefault="00941C21" w:rsidP="00C81021">
            <w:pPr>
              <w:pStyle w:val="TableText"/>
            </w:pPr>
          </w:p>
        </w:tc>
      </w:tr>
      <w:tr w:rsidR="00941C21" w:rsidRPr="00EF587A" w14:paraId="5F3A7DFC" w14:textId="77777777" w:rsidTr="00F97A1E">
        <w:trPr>
          <w:cantSplit/>
          <w:trHeight w:val="428"/>
        </w:trPr>
        <w:tc>
          <w:tcPr>
            <w:tcW w:w="612" w:type="pct"/>
            <w:vMerge/>
          </w:tcPr>
          <w:p w14:paraId="6287CC7B" w14:textId="77777777" w:rsidR="00941C21" w:rsidRPr="00EF587A" w:rsidRDefault="00941C21" w:rsidP="00C81021">
            <w:pPr>
              <w:pStyle w:val="TableText"/>
            </w:pPr>
          </w:p>
        </w:tc>
        <w:tc>
          <w:tcPr>
            <w:tcW w:w="966" w:type="pct"/>
            <w:vMerge/>
          </w:tcPr>
          <w:p w14:paraId="0E23B737" w14:textId="77777777" w:rsidR="00941C21" w:rsidRPr="00EF587A" w:rsidRDefault="00941C21" w:rsidP="00C81021">
            <w:pPr>
              <w:pStyle w:val="TableText"/>
            </w:pPr>
          </w:p>
        </w:tc>
        <w:tc>
          <w:tcPr>
            <w:tcW w:w="1316" w:type="pct"/>
            <w:vMerge/>
          </w:tcPr>
          <w:p w14:paraId="0B3863EB" w14:textId="77777777" w:rsidR="00941C21" w:rsidRPr="00EF587A" w:rsidRDefault="00941C21" w:rsidP="00C81021">
            <w:pPr>
              <w:pStyle w:val="TableText"/>
            </w:pPr>
          </w:p>
        </w:tc>
        <w:tc>
          <w:tcPr>
            <w:tcW w:w="1271" w:type="pct"/>
            <w:vMerge/>
          </w:tcPr>
          <w:p w14:paraId="0D5DE4EC" w14:textId="77777777" w:rsidR="00941C21" w:rsidRPr="00EF587A" w:rsidRDefault="00941C21" w:rsidP="00C81021">
            <w:pPr>
              <w:pStyle w:val="TableText"/>
            </w:pPr>
          </w:p>
        </w:tc>
        <w:tc>
          <w:tcPr>
            <w:tcW w:w="381" w:type="pct"/>
            <w:shd w:val="clear" w:color="auto" w:fill="F2F2F2" w:themeFill="background1" w:themeFillShade="F2"/>
          </w:tcPr>
          <w:p w14:paraId="0B760AC6"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4A880527" w14:textId="77777777" w:rsidR="00941C21" w:rsidRPr="00EF587A" w:rsidRDefault="00941C21" w:rsidP="00C81021">
            <w:pPr>
              <w:pStyle w:val="TableText"/>
            </w:pPr>
          </w:p>
        </w:tc>
      </w:tr>
      <w:tr w:rsidR="00F46E06" w:rsidRPr="00EE4BD6" w14:paraId="69073415" w14:textId="77777777" w:rsidTr="00F97A1E">
        <w:trPr>
          <w:cantSplit/>
          <w:trHeight w:val="28"/>
        </w:trPr>
        <w:tc>
          <w:tcPr>
            <w:tcW w:w="5000" w:type="pct"/>
            <w:gridSpan w:val="6"/>
            <w:shd w:val="clear" w:color="auto" w:fill="D0CECE" w:themeFill="background2" w:themeFillShade="E6"/>
            <w:vAlign w:val="center"/>
          </w:tcPr>
          <w:p w14:paraId="7237FD8E" w14:textId="77777777" w:rsidR="00F46E06" w:rsidRPr="00572499" w:rsidRDefault="00F46E06" w:rsidP="00C81021">
            <w:pPr>
              <w:pStyle w:val="TableText"/>
              <w:rPr>
                <w:sz w:val="8"/>
                <w:szCs w:val="8"/>
              </w:rPr>
            </w:pPr>
          </w:p>
        </w:tc>
      </w:tr>
      <w:tr w:rsidR="001356DB" w:rsidRPr="00EE4BD6" w14:paraId="0B526203" w14:textId="77777777" w:rsidTr="00F97A1E">
        <w:trPr>
          <w:cantSplit/>
          <w:trHeight w:val="428"/>
        </w:trPr>
        <w:tc>
          <w:tcPr>
            <w:tcW w:w="612" w:type="pct"/>
            <w:vMerge w:val="restart"/>
            <w:vAlign w:val="center"/>
          </w:tcPr>
          <w:p w14:paraId="46039514" w14:textId="5CCEF478" w:rsidR="001356DB" w:rsidRPr="00F77313" w:rsidRDefault="001356DB" w:rsidP="001356DB">
            <w:pPr>
              <w:pStyle w:val="TableText"/>
              <w:jc w:val="center"/>
              <w:rPr>
                <w:b/>
                <w:bCs/>
              </w:rPr>
            </w:pPr>
            <w:r w:rsidRPr="001356DB">
              <w:rPr>
                <w:b/>
                <w:bCs/>
              </w:rPr>
              <w:t>Insurance Carrier Maintenance</w:t>
            </w:r>
          </w:p>
        </w:tc>
        <w:tc>
          <w:tcPr>
            <w:tcW w:w="966" w:type="pct"/>
            <w:vMerge w:val="restart"/>
          </w:tcPr>
          <w:p w14:paraId="127B0951" w14:textId="3BF2CAFD" w:rsidR="001356DB" w:rsidRPr="009A1DE7" w:rsidRDefault="001356DB" w:rsidP="001356DB">
            <w:pPr>
              <w:pStyle w:val="TableText"/>
            </w:pPr>
            <w:r w:rsidRPr="001D78AE">
              <w:t>Remove and update Insurance Plan to ensure proper billing and patient copays.</w:t>
            </w:r>
          </w:p>
        </w:tc>
        <w:tc>
          <w:tcPr>
            <w:tcW w:w="1316" w:type="pct"/>
            <w:vMerge w:val="restart"/>
          </w:tcPr>
          <w:p w14:paraId="1521353B" w14:textId="6C621590" w:rsidR="001356DB" w:rsidRPr="009A1DE7" w:rsidRDefault="001356DB" w:rsidP="001356DB">
            <w:pPr>
              <w:pStyle w:val="TableText"/>
              <w:numPr>
                <w:ilvl w:val="0"/>
                <w:numId w:val="2"/>
              </w:numPr>
              <w:ind w:left="232" w:hanging="180"/>
            </w:pPr>
            <w:r w:rsidRPr="001D78AE">
              <w:t>Security access with ability to merge and purge old or duplicate insurance plans.</w:t>
            </w:r>
          </w:p>
        </w:tc>
        <w:tc>
          <w:tcPr>
            <w:tcW w:w="1271" w:type="pct"/>
            <w:vMerge w:val="restart"/>
          </w:tcPr>
          <w:p w14:paraId="3603D2E1" w14:textId="7372DF14" w:rsidR="001356DB" w:rsidRPr="00EF587A" w:rsidRDefault="001356DB" w:rsidP="001356DB">
            <w:pPr>
              <w:pStyle w:val="TableText"/>
            </w:pPr>
            <w:r w:rsidRPr="001D78AE">
              <w:t>Patient financial responsibly estimates could be inaccurate. Billing to insurance carries could yield lower reimbursement and ultimately lead to an increase in the number of accounts with balance billing or credit refund needs.</w:t>
            </w:r>
          </w:p>
        </w:tc>
        <w:tc>
          <w:tcPr>
            <w:tcW w:w="381" w:type="pct"/>
            <w:shd w:val="clear" w:color="auto" w:fill="F2F2F2" w:themeFill="background1" w:themeFillShade="F2"/>
          </w:tcPr>
          <w:p w14:paraId="4BBDCF4A" w14:textId="77777777" w:rsidR="001356DB" w:rsidRPr="00EE4BD6" w:rsidRDefault="001356DB" w:rsidP="001356DB">
            <w:pPr>
              <w:pStyle w:val="TableText"/>
            </w:pPr>
            <w:r w:rsidRPr="001F26DF">
              <w:t>Date Reviewed</w:t>
            </w:r>
            <w:r>
              <w:t>:</w:t>
            </w:r>
          </w:p>
        </w:tc>
        <w:tc>
          <w:tcPr>
            <w:tcW w:w="454" w:type="pct"/>
            <w:shd w:val="clear" w:color="auto" w:fill="F2F2F2" w:themeFill="background1" w:themeFillShade="F2"/>
          </w:tcPr>
          <w:p w14:paraId="4BC623A6" w14:textId="77777777" w:rsidR="001356DB" w:rsidRPr="00EE4BD6" w:rsidRDefault="001356DB" w:rsidP="001356DB">
            <w:pPr>
              <w:pStyle w:val="TableText"/>
            </w:pPr>
          </w:p>
        </w:tc>
      </w:tr>
      <w:tr w:rsidR="001356DB" w:rsidRPr="00EE4BD6" w14:paraId="0463254B" w14:textId="77777777" w:rsidTr="00F97A1E">
        <w:trPr>
          <w:cantSplit/>
          <w:trHeight w:val="428"/>
        </w:trPr>
        <w:tc>
          <w:tcPr>
            <w:tcW w:w="612" w:type="pct"/>
            <w:vMerge/>
          </w:tcPr>
          <w:p w14:paraId="7286C43C" w14:textId="77777777" w:rsidR="001356DB" w:rsidRPr="00EF587A" w:rsidRDefault="001356DB" w:rsidP="00C81021">
            <w:pPr>
              <w:pStyle w:val="TableText"/>
            </w:pPr>
          </w:p>
        </w:tc>
        <w:tc>
          <w:tcPr>
            <w:tcW w:w="966" w:type="pct"/>
            <w:vMerge/>
          </w:tcPr>
          <w:p w14:paraId="37232603" w14:textId="77777777" w:rsidR="001356DB" w:rsidRPr="009A1DE7" w:rsidRDefault="001356DB" w:rsidP="00C81021">
            <w:pPr>
              <w:pStyle w:val="TableText"/>
            </w:pPr>
          </w:p>
        </w:tc>
        <w:tc>
          <w:tcPr>
            <w:tcW w:w="1316" w:type="pct"/>
            <w:vMerge/>
          </w:tcPr>
          <w:p w14:paraId="5A761070" w14:textId="77777777" w:rsidR="001356DB" w:rsidRPr="009A1DE7" w:rsidRDefault="001356DB" w:rsidP="00C81021">
            <w:pPr>
              <w:pStyle w:val="TableText"/>
            </w:pPr>
          </w:p>
        </w:tc>
        <w:tc>
          <w:tcPr>
            <w:tcW w:w="1271" w:type="pct"/>
            <w:vMerge/>
          </w:tcPr>
          <w:p w14:paraId="7E61803C" w14:textId="77777777" w:rsidR="001356DB" w:rsidRPr="009A1DE7" w:rsidRDefault="001356DB" w:rsidP="00C81021">
            <w:pPr>
              <w:pStyle w:val="TableText"/>
            </w:pPr>
          </w:p>
        </w:tc>
        <w:tc>
          <w:tcPr>
            <w:tcW w:w="381" w:type="pct"/>
            <w:shd w:val="clear" w:color="auto" w:fill="F2F2F2" w:themeFill="background1" w:themeFillShade="F2"/>
          </w:tcPr>
          <w:p w14:paraId="7D817F0B" w14:textId="77777777" w:rsidR="001356DB" w:rsidRPr="00EE4BD6" w:rsidRDefault="001356DB" w:rsidP="00C81021">
            <w:pPr>
              <w:pStyle w:val="TableText"/>
            </w:pPr>
            <w:r w:rsidRPr="009A1DE7">
              <w:t>Assigned Individual</w:t>
            </w:r>
            <w:r>
              <w:t>:</w:t>
            </w:r>
          </w:p>
        </w:tc>
        <w:tc>
          <w:tcPr>
            <w:tcW w:w="454" w:type="pct"/>
            <w:shd w:val="clear" w:color="auto" w:fill="F2F2F2" w:themeFill="background1" w:themeFillShade="F2"/>
          </w:tcPr>
          <w:p w14:paraId="6BF3D5EF" w14:textId="77777777" w:rsidR="001356DB" w:rsidRPr="00EE4BD6" w:rsidRDefault="001356DB" w:rsidP="00C81021">
            <w:pPr>
              <w:pStyle w:val="TableText"/>
            </w:pPr>
          </w:p>
        </w:tc>
      </w:tr>
      <w:tr w:rsidR="001356DB" w:rsidRPr="00EE4BD6" w14:paraId="17AF5C36" w14:textId="77777777" w:rsidTr="00F97A1E">
        <w:trPr>
          <w:cantSplit/>
          <w:trHeight w:val="428"/>
        </w:trPr>
        <w:tc>
          <w:tcPr>
            <w:tcW w:w="612" w:type="pct"/>
            <w:vMerge/>
          </w:tcPr>
          <w:p w14:paraId="6A9A5E46" w14:textId="77777777" w:rsidR="001356DB" w:rsidRPr="00EF587A" w:rsidRDefault="001356DB" w:rsidP="00C81021">
            <w:pPr>
              <w:pStyle w:val="TableText"/>
            </w:pPr>
          </w:p>
        </w:tc>
        <w:tc>
          <w:tcPr>
            <w:tcW w:w="966" w:type="pct"/>
            <w:vMerge/>
          </w:tcPr>
          <w:p w14:paraId="3F1F8DD4" w14:textId="77777777" w:rsidR="001356DB" w:rsidRPr="009A1DE7" w:rsidRDefault="001356DB" w:rsidP="00C81021">
            <w:pPr>
              <w:pStyle w:val="TableText"/>
            </w:pPr>
          </w:p>
        </w:tc>
        <w:tc>
          <w:tcPr>
            <w:tcW w:w="1316" w:type="pct"/>
            <w:vMerge/>
          </w:tcPr>
          <w:p w14:paraId="3890D528" w14:textId="77777777" w:rsidR="001356DB" w:rsidRPr="009A1DE7" w:rsidRDefault="001356DB" w:rsidP="00C81021">
            <w:pPr>
              <w:pStyle w:val="TableText"/>
            </w:pPr>
          </w:p>
        </w:tc>
        <w:tc>
          <w:tcPr>
            <w:tcW w:w="1271" w:type="pct"/>
            <w:vMerge/>
          </w:tcPr>
          <w:p w14:paraId="274E42E3" w14:textId="77777777" w:rsidR="001356DB" w:rsidRPr="009A1DE7" w:rsidRDefault="001356DB" w:rsidP="00C81021">
            <w:pPr>
              <w:pStyle w:val="TableText"/>
            </w:pPr>
          </w:p>
        </w:tc>
        <w:tc>
          <w:tcPr>
            <w:tcW w:w="381" w:type="pct"/>
            <w:shd w:val="clear" w:color="auto" w:fill="F2F2F2" w:themeFill="background1" w:themeFillShade="F2"/>
          </w:tcPr>
          <w:p w14:paraId="0068D2C3" w14:textId="77777777" w:rsidR="001356DB" w:rsidRPr="00EE4BD6" w:rsidRDefault="001356DB" w:rsidP="00C81021">
            <w:pPr>
              <w:pStyle w:val="TableText"/>
            </w:pPr>
            <w:r w:rsidRPr="009A1DE7">
              <w:t>Actions Required</w:t>
            </w:r>
            <w:r>
              <w:t>:</w:t>
            </w:r>
          </w:p>
        </w:tc>
        <w:tc>
          <w:tcPr>
            <w:tcW w:w="454" w:type="pct"/>
            <w:shd w:val="clear" w:color="auto" w:fill="F2F2F2" w:themeFill="background1" w:themeFillShade="F2"/>
          </w:tcPr>
          <w:p w14:paraId="506A4394" w14:textId="77777777" w:rsidR="001356DB" w:rsidRPr="00EE4BD6" w:rsidRDefault="001356DB" w:rsidP="00C81021">
            <w:pPr>
              <w:pStyle w:val="TableText"/>
            </w:pPr>
          </w:p>
        </w:tc>
      </w:tr>
      <w:tr w:rsidR="001356DB" w:rsidRPr="00EE4BD6" w14:paraId="779F453C" w14:textId="77777777" w:rsidTr="00F97A1E">
        <w:trPr>
          <w:cantSplit/>
          <w:trHeight w:val="306"/>
        </w:trPr>
        <w:tc>
          <w:tcPr>
            <w:tcW w:w="612" w:type="pct"/>
            <w:vMerge/>
          </w:tcPr>
          <w:p w14:paraId="3D714481" w14:textId="77777777" w:rsidR="001356DB" w:rsidRPr="00EF587A" w:rsidRDefault="001356DB" w:rsidP="00C81021">
            <w:pPr>
              <w:pStyle w:val="TableText"/>
            </w:pPr>
          </w:p>
        </w:tc>
        <w:tc>
          <w:tcPr>
            <w:tcW w:w="966" w:type="pct"/>
            <w:vMerge/>
          </w:tcPr>
          <w:p w14:paraId="3D5DEE3E" w14:textId="77777777" w:rsidR="001356DB" w:rsidRPr="009A1DE7" w:rsidRDefault="001356DB" w:rsidP="00C81021">
            <w:pPr>
              <w:pStyle w:val="TableText"/>
            </w:pPr>
          </w:p>
        </w:tc>
        <w:tc>
          <w:tcPr>
            <w:tcW w:w="1316" w:type="pct"/>
            <w:vMerge/>
          </w:tcPr>
          <w:p w14:paraId="57899125" w14:textId="77777777" w:rsidR="001356DB" w:rsidRPr="009A1DE7" w:rsidRDefault="001356DB" w:rsidP="00C81021">
            <w:pPr>
              <w:pStyle w:val="TableText"/>
            </w:pPr>
          </w:p>
        </w:tc>
        <w:tc>
          <w:tcPr>
            <w:tcW w:w="1271" w:type="pct"/>
            <w:vMerge/>
          </w:tcPr>
          <w:p w14:paraId="5392235D" w14:textId="77777777" w:rsidR="001356DB" w:rsidRPr="009A1DE7" w:rsidRDefault="001356DB" w:rsidP="00C81021">
            <w:pPr>
              <w:pStyle w:val="TableText"/>
            </w:pPr>
          </w:p>
        </w:tc>
        <w:tc>
          <w:tcPr>
            <w:tcW w:w="381" w:type="pct"/>
            <w:shd w:val="clear" w:color="auto" w:fill="F2F2F2" w:themeFill="background1" w:themeFillShade="F2"/>
          </w:tcPr>
          <w:p w14:paraId="28638858" w14:textId="77777777" w:rsidR="001356DB" w:rsidRPr="00EE4BD6" w:rsidRDefault="001356DB" w:rsidP="00C81021">
            <w:pPr>
              <w:pStyle w:val="TableText"/>
            </w:pPr>
            <w:r w:rsidRPr="009A1DE7">
              <w:t>Target Date</w:t>
            </w:r>
            <w:r>
              <w:t>:</w:t>
            </w:r>
          </w:p>
        </w:tc>
        <w:tc>
          <w:tcPr>
            <w:tcW w:w="454" w:type="pct"/>
            <w:shd w:val="clear" w:color="auto" w:fill="F2F2F2" w:themeFill="background1" w:themeFillShade="F2"/>
          </w:tcPr>
          <w:p w14:paraId="0D725E7B" w14:textId="77777777" w:rsidR="001356DB" w:rsidRPr="00EE4BD6" w:rsidRDefault="001356DB" w:rsidP="00C81021">
            <w:pPr>
              <w:pStyle w:val="TableText"/>
            </w:pPr>
          </w:p>
        </w:tc>
      </w:tr>
      <w:tr w:rsidR="001356DB" w:rsidRPr="00EF587A" w14:paraId="533B22F8" w14:textId="77777777" w:rsidTr="00F97A1E">
        <w:trPr>
          <w:cantSplit/>
          <w:trHeight w:val="428"/>
        </w:trPr>
        <w:tc>
          <w:tcPr>
            <w:tcW w:w="612" w:type="pct"/>
            <w:vMerge/>
          </w:tcPr>
          <w:p w14:paraId="3430039C" w14:textId="77777777" w:rsidR="001356DB" w:rsidRPr="00EF587A" w:rsidRDefault="001356DB" w:rsidP="00C81021">
            <w:pPr>
              <w:pStyle w:val="TableText"/>
            </w:pPr>
          </w:p>
        </w:tc>
        <w:tc>
          <w:tcPr>
            <w:tcW w:w="966" w:type="pct"/>
            <w:vMerge/>
          </w:tcPr>
          <w:p w14:paraId="31075868" w14:textId="77777777" w:rsidR="001356DB" w:rsidRPr="00EF587A" w:rsidRDefault="001356DB" w:rsidP="00C81021">
            <w:pPr>
              <w:pStyle w:val="TableText"/>
            </w:pPr>
          </w:p>
        </w:tc>
        <w:tc>
          <w:tcPr>
            <w:tcW w:w="1316" w:type="pct"/>
            <w:vMerge/>
          </w:tcPr>
          <w:p w14:paraId="01D7545E" w14:textId="77777777" w:rsidR="001356DB" w:rsidRPr="00EF587A" w:rsidRDefault="001356DB" w:rsidP="00C81021">
            <w:pPr>
              <w:pStyle w:val="TableText"/>
            </w:pPr>
          </w:p>
        </w:tc>
        <w:tc>
          <w:tcPr>
            <w:tcW w:w="1271" w:type="pct"/>
            <w:vMerge/>
          </w:tcPr>
          <w:p w14:paraId="3CCC51AC" w14:textId="77777777" w:rsidR="001356DB" w:rsidRPr="00EF587A" w:rsidRDefault="001356DB" w:rsidP="00C81021">
            <w:pPr>
              <w:pStyle w:val="TableText"/>
            </w:pPr>
          </w:p>
        </w:tc>
        <w:tc>
          <w:tcPr>
            <w:tcW w:w="381" w:type="pct"/>
            <w:shd w:val="clear" w:color="auto" w:fill="F2F2F2" w:themeFill="background1" w:themeFillShade="F2"/>
          </w:tcPr>
          <w:p w14:paraId="0565FDD2" w14:textId="77777777" w:rsidR="001356DB" w:rsidRPr="00EF587A" w:rsidRDefault="001356DB" w:rsidP="00C81021">
            <w:pPr>
              <w:pStyle w:val="TableText"/>
            </w:pPr>
            <w:r w:rsidRPr="009A1DE7">
              <w:t>Completion Date</w:t>
            </w:r>
            <w:r>
              <w:t>:</w:t>
            </w:r>
          </w:p>
        </w:tc>
        <w:tc>
          <w:tcPr>
            <w:tcW w:w="454" w:type="pct"/>
            <w:shd w:val="clear" w:color="auto" w:fill="F2F2F2" w:themeFill="background1" w:themeFillShade="F2"/>
          </w:tcPr>
          <w:p w14:paraId="34C70C99" w14:textId="77777777" w:rsidR="001356DB" w:rsidRPr="00EF587A" w:rsidRDefault="001356DB" w:rsidP="00C81021">
            <w:pPr>
              <w:pStyle w:val="TableText"/>
            </w:pPr>
          </w:p>
        </w:tc>
      </w:tr>
      <w:tr w:rsidR="001356DB" w:rsidRPr="00EE4BD6" w14:paraId="507F7DA2" w14:textId="77777777" w:rsidTr="00F97A1E">
        <w:trPr>
          <w:cantSplit/>
          <w:trHeight w:val="28"/>
        </w:trPr>
        <w:tc>
          <w:tcPr>
            <w:tcW w:w="5000" w:type="pct"/>
            <w:gridSpan w:val="6"/>
            <w:shd w:val="clear" w:color="auto" w:fill="D0CECE" w:themeFill="background2" w:themeFillShade="E6"/>
            <w:vAlign w:val="center"/>
          </w:tcPr>
          <w:p w14:paraId="77F6C20E" w14:textId="77777777" w:rsidR="001356DB" w:rsidRPr="00572499" w:rsidRDefault="001356DB" w:rsidP="00C81021">
            <w:pPr>
              <w:pStyle w:val="TableText"/>
              <w:rPr>
                <w:sz w:val="8"/>
                <w:szCs w:val="8"/>
              </w:rPr>
            </w:pPr>
          </w:p>
        </w:tc>
      </w:tr>
      <w:tr w:rsidR="001356DB" w:rsidRPr="00EE4BD6" w14:paraId="36EAFBFD" w14:textId="77777777" w:rsidTr="00F97A1E">
        <w:trPr>
          <w:cantSplit/>
          <w:trHeight w:val="428"/>
        </w:trPr>
        <w:tc>
          <w:tcPr>
            <w:tcW w:w="612" w:type="pct"/>
            <w:vMerge w:val="restart"/>
            <w:vAlign w:val="center"/>
          </w:tcPr>
          <w:p w14:paraId="1465021B" w14:textId="30C7321C" w:rsidR="001356DB" w:rsidRPr="00F77313" w:rsidRDefault="001356DB" w:rsidP="001356DB">
            <w:pPr>
              <w:pStyle w:val="TableText"/>
              <w:jc w:val="center"/>
              <w:rPr>
                <w:b/>
                <w:bCs/>
              </w:rPr>
            </w:pPr>
            <w:r w:rsidRPr="001356DB">
              <w:rPr>
                <w:b/>
                <w:bCs/>
              </w:rPr>
              <w:lastRenderedPageBreak/>
              <w:t>Practice Organization List</w:t>
            </w:r>
          </w:p>
        </w:tc>
        <w:tc>
          <w:tcPr>
            <w:tcW w:w="966" w:type="pct"/>
            <w:vMerge w:val="restart"/>
          </w:tcPr>
          <w:p w14:paraId="020E92C4" w14:textId="70555AEC" w:rsidR="001356DB" w:rsidRPr="009A1DE7" w:rsidRDefault="001356DB" w:rsidP="001356DB">
            <w:pPr>
              <w:pStyle w:val="TableText"/>
            </w:pPr>
            <w:r w:rsidRPr="001D78AE">
              <w:t>Inactivate Providers and staff to ensure proper billing and reporting.</w:t>
            </w:r>
          </w:p>
        </w:tc>
        <w:tc>
          <w:tcPr>
            <w:tcW w:w="1316" w:type="pct"/>
            <w:vMerge w:val="restart"/>
          </w:tcPr>
          <w:p w14:paraId="04210B39" w14:textId="158DF1BE" w:rsidR="001356DB" w:rsidRPr="009A1DE7" w:rsidRDefault="001356DB" w:rsidP="001356DB">
            <w:pPr>
              <w:pStyle w:val="TableText"/>
              <w:numPr>
                <w:ilvl w:val="0"/>
                <w:numId w:val="2"/>
              </w:numPr>
              <w:ind w:left="232" w:hanging="180"/>
            </w:pPr>
            <w:r w:rsidRPr="001D78AE">
              <w:t>Security access with ability to inactivate team members and update schedules.</w:t>
            </w:r>
          </w:p>
        </w:tc>
        <w:tc>
          <w:tcPr>
            <w:tcW w:w="1271" w:type="pct"/>
            <w:vMerge w:val="restart"/>
          </w:tcPr>
          <w:p w14:paraId="02B84F06" w14:textId="0C4BA84A" w:rsidR="001356DB" w:rsidRPr="00EF587A" w:rsidRDefault="001356DB" w:rsidP="001356DB">
            <w:pPr>
              <w:pStyle w:val="TableText"/>
            </w:pPr>
            <w:proofErr w:type="gramStart"/>
            <w:r>
              <w:t>Dental</w:t>
            </w:r>
            <w:proofErr w:type="gramEnd"/>
            <w:r>
              <w:t xml:space="preserve"> </w:t>
            </w:r>
            <w:r w:rsidR="00BE7E18">
              <w:t xml:space="preserve">Enterprise </w:t>
            </w:r>
            <w:r>
              <w:t>team will not have correct providers to select when scheduling or charting. Charges will go out incorrectly resulting in delayed or missing payments reporting will be inaccurate.</w:t>
            </w:r>
          </w:p>
        </w:tc>
        <w:tc>
          <w:tcPr>
            <w:tcW w:w="381" w:type="pct"/>
            <w:shd w:val="clear" w:color="auto" w:fill="F2F2F2" w:themeFill="background1" w:themeFillShade="F2"/>
          </w:tcPr>
          <w:p w14:paraId="73BC3DF5" w14:textId="77777777" w:rsidR="001356DB" w:rsidRPr="00EE4BD6" w:rsidRDefault="001356DB" w:rsidP="001356DB">
            <w:pPr>
              <w:pStyle w:val="TableText"/>
            </w:pPr>
            <w:r w:rsidRPr="001F26DF">
              <w:t>Date Reviewed</w:t>
            </w:r>
            <w:r>
              <w:t>:</w:t>
            </w:r>
          </w:p>
        </w:tc>
        <w:tc>
          <w:tcPr>
            <w:tcW w:w="454" w:type="pct"/>
            <w:shd w:val="clear" w:color="auto" w:fill="F2F2F2" w:themeFill="background1" w:themeFillShade="F2"/>
          </w:tcPr>
          <w:p w14:paraId="17A1D812" w14:textId="77777777" w:rsidR="001356DB" w:rsidRPr="00EE4BD6" w:rsidRDefault="001356DB" w:rsidP="001356DB">
            <w:pPr>
              <w:pStyle w:val="TableText"/>
            </w:pPr>
          </w:p>
        </w:tc>
      </w:tr>
      <w:tr w:rsidR="001356DB" w:rsidRPr="00EE4BD6" w14:paraId="4AD98837" w14:textId="77777777" w:rsidTr="00F97A1E">
        <w:trPr>
          <w:cantSplit/>
          <w:trHeight w:val="428"/>
        </w:trPr>
        <w:tc>
          <w:tcPr>
            <w:tcW w:w="612" w:type="pct"/>
            <w:vMerge/>
          </w:tcPr>
          <w:p w14:paraId="6FD1DD64" w14:textId="77777777" w:rsidR="001356DB" w:rsidRPr="00EF587A" w:rsidRDefault="001356DB" w:rsidP="00C81021">
            <w:pPr>
              <w:pStyle w:val="TableText"/>
            </w:pPr>
          </w:p>
        </w:tc>
        <w:tc>
          <w:tcPr>
            <w:tcW w:w="966" w:type="pct"/>
            <w:vMerge/>
          </w:tcPr>
          <w:p w14:paraId="61274647" w14:textId="77777777" w:rsidR="001356DB" w:rsidRPr="009A1DE7" w:rsidRDefault="001356DB" w:rsidP="00C81021">
            <w:pPr>
              <w:pStyle w:val="TableText"/>
            </w:pPr>
          </w:p>
        </w:tc>
        <w:tc>
          <w:tcPr>
            <w:tcW w:w="1316" w:type="pct"/>
            <w:vMerge/>
          </w:tcPr>
          <w:p w14:paraId="3AC002DC" w14:textId="77777777" w:rsidR="001356DB" w:rsidRPr="009A1DE7" w:rsidRDefault="001356DB" w:rsidP="00C81021">
            <w:pPr>
              <w:pStyle w:val="TableText"/>
            </w:pPr>
          </w:p>
        </w:tc>
        <w:tc>
          <w:tcPr>
            <w:tcW w:w="1271" w:type="pct"/>
            <w:vMerge/>
          </w:tcPr>
          <w:p w14:paraId="733A8F6E" w14:textId="77777777" w:rsidR="001356DB" w:rsidRPr="009A1DE7" w:rsidRDefault="001356DB" w:rsidP="00C81021">
            <w:pPr>
              <w:pStyle w:val="TableText"/>
            </w:pPr>
          </w:p>
        </w:tc>
        <w:tc>
          <w:tcPr>
            <w:tcW w:w="381" w:type="pct"/>
            <w:shd w:val="clear" w:color="auto" w:fill="F2F2F2" w:themeFill="background1" w:themeFillShade="F2"/>
          </w:tcPr>
          <w:p w14:paraId="289D632D" w14:textId="77777777" w:rsidR="001356DB" w:rsidRPr="00EE4BD6" w:rsidRDefault="001356DB" w:rsidP="00C81021">
            <w:pPr>
              <w:pStyle w:val="TableText"/>
            </w:pPr>
            <w:r w:rsidRPr="009A1DE7">
              <w:t>Assigned Individual</w:t>
            </w:r>
            <w:r>
              <w:t>:</w:t>
            </w:r>
          </w:p>
        </w:tc>
        <w:tc>
          <w:tcPr>
            <w:tcW w:w="454" w:type="pct"/>
            <w:shd w:val="clear" w:color="auto" w:fill="F2F2F2" w:themeFill="background1" w:themeFillShade="F2"/>
          </w:tcPr>
          <w:p w14:paraId="38F284B3" w14:textId="77777777" w:rsidR="001356DB" w:rsidRPr="00EE4BD6" w:rsidRDefault="001356DB" w:rsidP="00C81021">
            <w:pPr>
              <w:pStyle w:val="TableText"/>
            </w:pPr>
          </w:p>
        </w:tc>
      </w:tr>
      <w:tr w:rsidR="001356DB" w:rsidRPr="00EE4BD6" w14:paraId="2C49A5EB" w14:textId="77777777" w:rsidTr="00F97A1E">
        <w:trPr>
          <w:cantSplit/>
          <w:trHeight w:val="428"/>
        </w:trPr>
        <w:tc>
          <w:tcPr>
            <w:tcW w:w="612" w:type="pct"/>
            <w:vMerge/>
          </w:tcPr>
          <w:p w14:paraId="164B80DF" w14:textId="77777777" w:rsidR="001356DB" w:rsidRPr="00EF587A" w:rsidRDefault="001356DB" w:rsidP="00C81021">
            <w:pPr>
              <w:pStyle w:val="TableText"/>
            </w:pPr>
          </w:p>
        </w:tc>
        <w:tc>
          <w:tcPr>
            <w:tcW w:w="966" w:type="pct"/>
            <w:vMerge/>
          </w:tcPr>
          <w:p w14:paraId="699BAB26" w14:textId="77777777" w:rsidR="001356DB" w:rsidRPr="009A1DE7" w:rsidRDefault="001356DB" w:rsidP="00C81021">
            <w:pPr>
              <w:pStyle w:val="TableText"/>
            </w:pPr>
          </w:p>
        </w:tc>
        <w:tc>
          <w:tcPr>
            <w:tcW w:w="1316" w:type="pct"/>
            <w:vMerge/>
          </w:tcPr>
          <w:p w14:paraId="1401BD3B" w14:textId="77777777" w:rsidR="001356DB" w:rsidRPr="009A1DE7" w:rsidRDefault="001356DB" w:rsidP="00C81021">
            <w:pPr>
              <w:pStyle w:val="TableText"/>
            </w:pPr>
          </w:p>
        </w:tc>
        <w:tc>
          <w:tcPr>
            <w:tcW w:w="1271" w:type="pct"/>
            <w:vMerge/>
          </w:tcPr>
          <w:p w14:paraId="21C52D8B" w14:textId="77777777" w:rsidR="001356DB" w:rsidRPr="009A1DE7" w:rsidRDefault="001356DB" w:rsidP="00C81021">
            <w:pPr>
              <w:pStyle w:val="TableText"/>
            </w:pPr>
          </w:p>
        </w:tc>
        <w:tc>
          <w:tcPr>
            <w:tcW w:w="381" w:type="pct"/>
            <w:shd w:val="clear" w:color="auto" w:fill="F2F2F2" w:themeFill="background1" w:themeFillShade="F2"/>
          </w:tcPr>
          <w:p w14:paraId="2470EE50" w14:textId="77777777" w:rsidR="001356DB" w:rsidRPr="00EE4BD6" w:rsidRDefault="001356DB" w:rsidP="00C81021">
            <w:pPr>
              <w:pStyle w:val="TableText"/>
            </w:pPr>
            <w:r w:rsidRPr="009A1DE7">
              <w:t>Actions Required</w:t>
            </w:r>
            <w:r>
              <w:t>:</w:t>
            </w:r>
          </w:p>
        </w:tc>
        <w:tc>
          <w:tcPr>
            <w:tcW w:w="454" w:type="pct"/>
            <w:shd w:val="clear" w:color="auto" w:fill="F2F2F2" w:themeFill="background1" w:themeFillShade="F2"/>
          </w:tcPr>
          <w:p w14:paraId="1B732B1D" w14:textId="77777777" w:rsidR="001356DB" w:rsidRPr="00EE4BD6" w:rsidRDefault="001356DB" w:rsidP="00C81021">
            <w:pPr>
              <w:pStyle w:val="TableText"/>
            </w:pPr>
          </w:p>
        </w:tc>
      </w:tr>
      <w:tr w:rsidR="001356DB" w:rsidRPr="00EE4BD6" w14:paraId="325D9CC6" w14:textId="77777777" w:rsidTr="00F97A1E">
        <w:trPr>
          <w:cantSplit/>
          <w:trHeight w:val="428"/>
        </w:trPr>
        <w:tc>
          <w:tcPr>
            <w:tcW w:w="612" w:type="pct"/>
            <w:vMerge/>
          </w:tcPr>
          <w:p w14:paraId="206EEC8F" w14:textId="77777777" w:rsidR="001356DB" w:rsidRPr="00EF587A" w:rsidRDefault="001356DB" w:rsidP="00C81021">
            <w:pPr>
              <w:pStyle w:val="TableText"/>
            </w:pPr>
          </w:p>
        </w:tc>
        <w:tc>
          <w:tcPr>
            <w:tcW w:w="966" w:type="pct"/>
            <w:vMerge/>
          </w:tcPr>
          <w:p w14:paraId="5A75E8AA" w14:textId="77777777" w:rsidR="001356DB" w:rsidRPr="009A1DE7" w:rsidRDefault="001356DB" w:rsidP="00C81021">
            <w:pPr>
              <w:pStyle w:val="TableText"/>
            </w:pPr>
          </w:p>
        </w:tc>
        <w:tc>
          <w:tcPr>
            <w:tcW w:w="1316" w:type="pct"/>
            <w:vMerge/>
          </w:tcPr>
          <w:p w14:paraId="786B9CDE" w14:textId="77777777" w:rsidR="001356DB" w:rsidRPr="009A1DE7" w:rsidRDefault="001356DB" w:rsidP="00C81021">
            <w:pPr>
              <w:pStyle w:val="TableText"/>
            </w:pPr>
          </w:p>
        </w:tc>
        <w:tc>
          <w:tcPr>
            <w:tcW w:w="1271" w:type="pct"/>
            <w:vMerge/>
          </w:tcPr>
          <w:p w14:paraId="536DEC0E" w14:textId="77777777" w:rsidR="001356DB" w:rsidRPr="009A1DE7" w:rsidRDefault="001356DB" w:rsidP="00C81021">
            <w:pPr>
              <w:pStyle w:val="TableText"/>
            </w:pPr>
          </w:p>
        </w:tc>
        <w:tc>
          <w:tcPr>
            <w:tcW w:w="381" w:type="pct"/>
            <w:shd w:val="clear" w:color="auto" w:fill="F2F2F2" w:themeFill="background1" w:themeFillShade="F2"/>
          </w:tcPr>
          <w:p w14:paraId="3B05B538" w14:textId="77777777" w:rsidR="001356DB" w:rsidRPr="00EE4BD6" w:rsidRDefault="001356DB" w:rsidP="00C81021">
            <w:pPr>
              <w:pStyle w:val="TableText"/>
            </w:pPr>
            <w:r w:rsidRPr="009A1DE7">
              <w:t>Target Date</w:t>
            </w:r>
            <w:r>
              <w:t>:</w:t>
            </w:r>
          </w:p>
        </w:tc>
        <w:tc>
          <w:tcPr>
            <w:tcW w:w="454" w:type="pct"/>
            <w:shd w:val="clear" w:color="auto" w:fill="F2F2F2" w:themeFill="background1" w:themeFillShade="F2"/>
          </w:tcPr>
          <w:p w14:paraId="650600E7" w14:textId="77777777" w:rsidR="001356DB" w:rsidRPr="00EE4BD6" w:rsidRDefault="001356DB" w:rsidP="00C81021">
            <w:pPr>
              <w:pStyle w:val="TableText"/>
            </w:pPr>
          </w:p>
        </w:tc>
      </w:tr>
      <w:tr w:rsidR="001356DB" w:rsidRPr="00EF587A" w14:paraId="224206C8" w14:textId="77777777" w:rsidTr="00F97A1E">
        <w:trPr>
          <w:cantSplit/>
          <w:trHeight w:val="428"/>
        </w:trPr>
        <w:tc>
          <w:tcPr>
            <w:tcW w:w="612" w:type="pct"/>
            <w:vMerge/>
          </w:tcPr>
          <w:p w14:paraId="4C541F43" w14:textId="77777777" w:rsidR="001356DB" w:rsidRPr="00EF587A" w:rsidRDefault="001356DB" w:rsidP="00C81021">
            <w:pPr>
              <w:pStyle w:val="TableText"/>
            </w:pPr>
          </w:p>
        </w:tc>
        <w:tc>
          <w:tcPr>
            <w:tcW w:w="966" w:type="pct"/>
            <w:vMerge/>
          </w:tcPr>
          <w:p w14:paraId="5240242E" w14:textId="77777777" w:rsidR="001356DB" w:rsidRPr="00EF587A" w:rsidRDefault="001356DB" w:rsidP="00C81021">
            <w:pPr>
              <w:pStyle w:val="TableText"/>
            </w:pPr>
          </w:p>
        </w:tc>
        <w:tc>
          <w:tcPr>
            <w:tcW w:w="1316" w:type="pct"/>
            <w:vMerge/>
          </w:tcPr>
          <w:p w14:paraId="01B8E68F" w14:textId="77777777" w:rsidR="001356DB" w:rsidRPr="00EF587A" w:rsidRDefault="001356DB" w:rsidP="00C81021">
            <w:pPr>
              <w:pStyle w:val="TableText"/>
            </w:pPr>
          </w:p>
        </w:tc>
        <w:tc>
          <w:tcPr>
            <w:tcW w:w="1271" w:type="pct"/>
            <w:vMerge/>
          </w:tcPr>
          <w:p w14:paraId="2D71BA5E" w14:textId="77777777" w:rsidR="001356DB" w:rsidRPr="00EF587A" w:rsidRDefault="001356DB" w:rsidP="00C81021">
            <w:pPr>
              <w:pStyle w:val="TableText"/>
            </w:pPr>
          </w:p>
        </w:tc>
        <w:tc>
          <w:tcPr>
            <w:tcW w:w="381" w:type="pct"/>
            <w:shd w:val="clear" w:color="auto" w:fill="F2F2F2" w:themeFill="background1" w:themeFillShade="F2"/>
          </w:tcPr>
          <w:p w14:paraId="7F076763" w14:textId="77777777" w:rsidR="001356DB" w:rsidRPr="00EF587A" w:rsidRDefault="001356DB" w:rsidP="00C81021">
            <w:pPr>
              <w:pStyle w:val="TableText"/>
            </w:pPr>
            <w:r w:rsidRPr="009A1DE7">
              <w:t>Completion Date</w:t>
            </w:r>
            <w:r>
              <w:t>:</w:t>
            </w:r>
          </w:p>
        </w:tc>
        <w:tc>
          <w:tcPr>
            <w:tcW w:w="454" w:type="pct"/>
            <w:shd w:val="clear" w:color="auto" w:fill="F2F2F2" w:themeFill="background1" w:themeFillShade="F2"/>
          </w:tcPr>
          <w:p w14:paraId="5A163D7F" w14:textId="77777777" w:rsidR="001356DB" w:rsidRPr="00EF587A" w:rsidRDefault="001356DB" w:rsidP="00C81021">
            <w:pPr>
              <w:pStyle w:val="TableText"/>
            </w:pPr>
          </w:p>
        </w:tc>
      </w:tr>
    </w:tbl>
    <w:p w14:paraId="353EEEF2" w14:textId="77777777" w:rsidR="00576123" w:rsidRDefault="00576123"/>
    <w:p w14:paraId="5A763A6F" w14:textId="15973D19" w:rsidR="00576123" w:rsidRDefault="00576123"/>
    <w:p w14:paraId="4FC8C315" w14:textId="5083DB09" w:rsidR="00972BD0" w:rsidRPr="009E678B" w:rsidRDefault="00972BD0" w:rsidP="00972BD0">
      <w:pPr>
        <w:pStyle w:val="BodyText"/>
        <w:sectPr w:rsidR="00972BD0" w:rsidRPr="009E678B" w:rsidSect="00AC2560">
          <w:pgSz w:w="15840" w:h="12240" w:orient="landscape"/>
          <w:pgMar w:top="1440" w:right="1440" w:bottom="1440" w:left="1440" w:header="360" w:footer="360" w:gutter="0"/>
          <w:cols w:space="720"/>
          <w:docGrid w:linePitch="299"/>
        </w:sectPr>
      </w:pPr>
    </w:p>
    <w:p w14:paraId="2B76FE91" w14:textId="0484C877" w:rsidR="00045188" w:rsidRDefault="009E678B" w:rsidP="00FF7D88">
      <w:pPr>
        <w:pStyle w:val="Heading1"/>
      </w:pPr>
      <w:bookmarkStart w:id="30" w:name="_Toc135416591"/>
      <w:bookmarkStart w:id="31" w:name="_Toc135416656"/>
      <w:bookmarkStart w:id="32" w:name="_Toc146183251"/>
      <w:r>
        <w:lastRenderedPageBreak/>
        <w:t>Clinic IT Security Checklist</w:t>
      </w:r>
      <w:bookmarkEnd w:id="30"/>
      <w:bookmarkEnd w:id="31"/>
      <w:bookmarkEnd w:id="32"/>
    </w:p>
    <w:p w14:paraId="451854DE" w14:textId="341D026C" w:rsidR="00C2272C" w:rsidRDefault="00972BD0" w:rsidP="00972BD0">
      <w:pPr>
        <w:pStyle w:val="BodyText"/>
        <w:spacing w:after="240"/>
      </w:pPr>
      <w:r w:rsidRPr="00972BD0">
        <w:t xml:space="preserve">The </w:t>
      </w:r>
      <w:r w:rsidR="00F976D7">
        <w:t>Clinic IT Security checklist</w:t>
      </w:r>
      <w:r w:rsidR="001356DB">
        <w:t xml:space="preserve"> is</w:t>
      </w:r>
      <w:r w:rsidRPr="00972BD0">
        <w:t xml:space="preserve"> a comprehensive list of checks and balances to ensure </w:t>
      </w:r>
      <w:r w:rsidR="00F976D7">
        <w:t xml:space="preserve">that </w:t>
      </w:r>
      <w:r w:rsidRPr="00972BD0">
        <w:t>your EDR data backup job</w:t>
      </w:r>
      <w:r w:rsidR="00BE7E18">
        <w:t>s are</w:t>
      </w:r>
      <w:r w:rsidRPr="00972BD0">
        <w:t xml:space="preserve"> completing successfully and your SQL server and associated servers</w:t>
      </w:r>
      <w:r w:rsidR="00F976D7">
        <w:t xml:space="preserve"> and </w:t>
      </w:r>
      <w:r w:rsidRPr="00972BD0">
        <w:t xml:space="preserve">workstations are configured for optimal performance. </w:t>
      </w:r>
      <w:r w:rsidR="00C2272C">
        <w:t>Each table of the checklist provides details for performing a task. To complete the task’s objective, be aware of any</w:t>
      </w:r>
      <w:r w:rsidR="00C2272C" w:rsidRPr="00912847">
        <w:t xml:space="preserve"> dependencies</w:t>
      </w:r>
      <w:r w:rsidR="00C2272C">
        <w:t>, and take actions or make</w:t>
      </w:r>
      <w:r w:rsidR="00C2272C" w:rsidRPr="00912847">
        <w:t xml:space="preserve"> corrections if</w:t>
      </w:r>
      <w:r w:rsidR="00C2272C">
        <w:t xml:space="preserve"> </w:t>
      </w:r>
      <w:r w:rsidR="00C2272C" w:rsidRPr="00912847">
        <w:t xml:space="preserve">the </w:t>
      </w:r>
      <w:r w:rsidR="00F976D7">
        <w:t>action</w:t>
      </w:r>
      <w:r w:rsidR="00C2272C" w:rsidRPr="00912847">
        <w:t xml:space="preserve"> does not yield the expected result. </w:t>
      </w:r>
      <w:r w:rsidR="00C2272C">
        <w:t>To record the task’s completion,</w:t>
      </w:r>
      <w:r w:rsidR="00C2272C" w:rsidRPr="00912847">
        <w:t xml:space="preserve"> enter the review date, your name, recommended actions, target date</w:t>
      </w:r>
      <w:r w:rsidR="00C2272C">
        <w:t>,</w:t>
      </w:r>
      <w:r w:rsidR="00C2272C" w:rsidRPr="00912847">
        <w:t xml:space="preserve"> and completion date.</w:t>
      </w:r>
    </w:p>
    <w:tbl>
      <w:tblPr>
        <w:tblStyle w:val="TableGrid"/>
        <w:tblW w:w="1295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805"/>
        <w:gridCol w:w="1529"/>
        <w:gridCol w:w="2340"/>
        <w:gridCol w:w="3332"/>
        <w:gridCol w:w="2788"/>
        <w:gridCol w:w="990"/>
        <w:gridCol w:w="1171"/>
      </w:tblGrid>
      <w:tr w:rsidR="00122C6B" w:rsidRPr="00EE4BD6" w14:paraId="22A98A9F" w14:textId="77777777" w:rsidTr="00F97A1E">
        <w:trPr>
          <w:cantSplit/>
          <w:trHeight w:val="514"/>
          <w:tblHeader/>
        </w:trPr>
        <w:tc>
          <w:tcPr>
            <w:tcW w:w="311" w:type="pct"/>
            <w:vAlign w:val="center"/>
          </w:tcPr>
          <w:p w14:paraId="4B0FD334" w14:textId="29061BFB" w:rsidR="00122C6B" w:rsidRPr="00912847" w:rsidRDefault="00122C6B" w:rsidP="00C81021">
            <w:pPr>
              <w:pStyle w:val="TableText"/>
              <w:jc w:val="center"/>
              <w:rPr>
                <w:b/>
                <w:bCs/>
              </w:rPr>
            </w:pPr>
            <w:r>
              <w:rPr>
                <w:b/>
                <w:bCs/>
              </w:rPr>
              <w:t>Task Interval</w:t>
            </w:r>
          </w:p>
        </w:tc>
        <w:tc>
          <w:tcPr>
            <w:tcW w:w="590" w:type="pct"/>
            <w:vAlign w:val="center"/>
          </w:tcPr>
          <w:p w14:paraId="156AA127" w14:textId="3A3D991C" w:rsidR="00122C6B" w:rsidRPr="00912847" w:rsidRDefault="00122C6B" w:rsidP="00122C6B">
            <w:pPr>
              <w:pStyle w:val="TableText"/>
              <w:jc w:val="center"/>
              <w:rPr>
                <w:b/>
                <w:bCs/>
              </w:rPr>
            </w:pPr>
            <w:r w:rsidRPr="00435784">
              <w:rPr>
                <w:b/>
                <w:bCs/>
              </w:rPr>
              <w:t xml:space="preserve">Checklist Task / </w:t>
            </w:r>
            <w:r>
              <w:rPr>
                <w:b/>
                <w:bCs/>
              </w:rPr>
              <w:br/>
            </w:r>
            <w:r w:rsidRPr="00435784">
              <w:rPr>
                <w:b/>
                <w:bCs/>
              </w:rPr>
              <w:t>Report</w:t>
            </w:r>
          </w:p>
        </w:tc>
        <w:tc>
          <w:tcPr>
            <w:tcW w:w="903" w:type="pct"/>
            <w:vAlign w:val="center"/>
          </w:tcPr>
          <w:p w14:paraId="392654F2" w14:textId="50061BF0" w:rsidR="00122C6B" w:rsidRPr="00912847" w:rsidRDefault="00122C6B" w:rsidP="00C81021">
            <w:pPr>
              <w:pStyle w:val="TableText"/>
              <w:jc w:val="center"/>
              <w:rPr>
                <w:b/>
                <w:bCs/>
              </w:rPr>
            </w:pPr>
            <w:r w:rsidRPr="00912847">
              <w:rPr>
                <w:b/>
                <w:bCs/>
              </w:rPr>
              <w:t>Objective</w:t>
            </w:r>
          </w:p>
        </w:tc>
        <w:tc>
          <w:tcPr>
            <w:tcW w:w="1286" w:type="pct"/>
            <w:vAlign w:val="center"/>
          </w:tcPr>
          <w:p w14:paraId="0E95A6B4" w14:textId="77777777" w:rsidR="00122C6B" w:rsidRPr="00912847" w:rsidRDefault="00122C6B" w:rsidP="00C81021">
            <w:pPr>
              <w:pStyle w:val="TableText"/>
              <w:jc w:val="center"/>
              <w:rPr>
                <w:b/>
                <w:bCs/>
              </w:rPr>
            </w:pPr>
            <w:r w:rsidRPr="00912847">
              <w:rPr>
                <w:b/>
                <w:bCs/>
              </w:rPr>
              <w:t>Dependencies and Possible Actions or Corrections Needed to Meet Objective</w:t>
            </w:r>
          </w:p>
        </w:tc>
        <w:tc>
          <w:tcPr>
            <w:tcW w:w="1076" w:type="pct"/>
            <w:vAlign w:val="center"/>
          </w:tcPr>
          <w:p w14:paraId="1E28F241" w14:textId="77777777" w:rsidR="00122C6B" w:rsidRPr="009A1DE7" w:rsidRDefault="00122C6B" w:rsidP="00C81021">
            <w:pPr>
              <w:pStyle w:val="TableText"/>
              <w:jc w:val="center"/>
            </w:pPr>
            <w:r w:rsidRPr="00912847">
              <w:rPr>
                <w:b/>
                <w:bCs/>
              </w:rPr>
              <w:t>Warning</w:t>
            </w:r>
          </w:p>
          <w:p w14:paraId="23E25732" w14:textId="77777777" w:rsidR="00122C6B" w:rsidRPr="009A1DE7" w:rsidRDefault="00122C6B" w:rsidP="00C81021">
            <w:pPr>
              <w:pStyle w:val="TableText"/>
              <w:jc w:val="center"/>
            </w:pPr>
            <w:r w:rsidRPr="009A1DE7">
              <w:rPr>
                <w:i/>
                <w:iCs/>
              </w:rPr>
              <w:t>Not following the recommendations may yield the</w:t>
            </w:r>
            <w:r>
              <w:rPr>
                <w:i/>
                <w:iCs/>
              </w:rPr>
              <w:t>se</w:t>
            </w:r>
            <w:r w:rsidRPr="009A1DE7">
              <w:rPr>
                <w:i/>
                <w:iCs/>
              </w:rPr>
              <w:t xml:space="preserve"> unintended results.</w:t>
            </w:r>
          </w:p>
        </w:tc>
        <w:tc>
          <w:tcPr>
            <w:tcW w:w="834" w:type="pct"/>
            <w:gridSpan w:val="2"/>
            <w:shd w:val="clear" w:color="auto" w:fill="F2F2F2" w:themeFill="background1" w:themeFillShade="F2"/>
            <w:vAlign w:val="center"/>
          </w:tcPr>
          <w:p w14:paraId="3D37D9C1" w14:textId="77777777" w:rsidR="00122C6B" w:rsidRPr="00EF587A" w:rsidRDefault="00122C6B" w:rsidP="00C81021">
            <w:pPr>
              <w:pStyle w:val="TableText"/>
              <w:jc w:val="center"/>
              <w:rPr>
                <w:b/>
                <w:bCs/>
              </w:rPr>
            </w:pPr>
            <w:r w:rsidRPr="00EF587A">
              <w:rPr>
                <w:b/>
                <w:bCs/>
              </w:rPr>
              <w:t>Completion</w:t>
            </w:r>
          </w:p>
        </w:tc>
      </w:tr>
      <w:tr w:rsidR="00122C6B" w:rsidRPr="00EE4BD6" w14:paraId="2B51EE30" w14:textId="77777777" w:rsidTr="00F97A1E">
        <w:trPr>
          <w:cantSplit/>
          <w:trHeight w:val="428"/>
        </w:trPr>
        <w:tc>
          <w:tcPr>
            <w:tcW w:w="311" w:type="pct"/>
            <w:vMerge w:val="restart"/>
            <w:vAlign w:val="center"/>
          </w:tcPr>
          <w:p w14:paraId="5D37B081" w14:textId="583D50B8" w:rsidR="00122C6B" w:rsidRPr="00F77313" w:rsidRDefault="00122C6B" w:rsidP="00C81021">
            <w:pPr>
              <w:pStyle w:val="TableText"/>
              <w:jc w:val="center"/>
              <w:rPr>
                <w:b/>
                <w:bCs/>
              </w:rPr>
            </w:pPr>
            <w:r>
              <w:rPr>
                <w:b/>
                <w:bCs/>
              </w:rPr>
              <w:t>Daily</w:t>
            </w:r>
          </w:p>
        </w:tc>
        <w:tc>
          <w:tcPr>
            <w:tcW w:w="590" w:type="pct"/>
            <w:vMerge w:val="restart"/>
          </w:tcPr>
          <w:p w14:paraId="5D0A91BA" w14:textId="4C6A7A2D" w:rsidR="00122C6B" w:rsidRPr="009A1DE7" w:rsidRDefault="00FF4D51" w:rsidP="00C81021">
            <w:pPr>
              <w:pStyle w:val="TableText"/>
            </w:pPr>
            <w:r>
              <w:t>Nightly Backup</w:t>
            </w:r>
          </w:p>
        </w:tc>
        <w:tc>
          <w:tcPr>
            <w:tcW w:w="903" w:type="pct"/>
            <w:vMerge w:val="restart"/>
          </w:tcPr>
          <w:p w14:paraId="3C7B2E4A" w14:textId="54C2640E" w:rsidR="00122C6B" w:rsidRPr="009A1DE7" w:rsidRDefault="00FF4D51" w:rsidP="00C81021">
            <w:pPr>
              <w:pStyle w:val="TableText"/>
            </w:pPr>
            <w:r>
              <w:t>Backup is crucial for data protection. A regular nightly data backup saves your important files.</w:t>
            </w:r>
          </w:p>
        </w:tc>
        <w:tc>
          <w:tcPr>
            <w:tcW w:w="1286" w:type="pct"/>
            <w:vMerge w:val="restart"/>
          </w:tcPr>
          <w:p w14:paraId="5CAB9629" w14:textId="7D6B5C38" w:rsidR="00122C6B" w:rsidRPr="009A1DE7" w:rsidRDefault="00FF4D51" w:rsidP="00C81021">
            <w:pPr>
              <w:pStyle w:val="TableText"/>
              <w:numPr>
                <w:ilvl w:val="0"/>
                <w:numId w:val="2"/>
              </w:numPr>
              <w:ind w:left="232" w:hanging="180"/>
            </w:pPr>
            <w:r>
              <w:t>Check your backup software application log for successful backups and remedy any unsuccessful backup job as soon as possible.</w:t>
            </w:r>
          </w:p>
        </w:tc>
        <w:tc>
          <w:tcPr>
            <w:tcW w:w="1076" w:type="pct"/>
            <w:vMerge w:val="restart"/>
          </w:tcPr>
          <w:p w14:paraId="3DAC9576" w14:textId="4584084C" w:rsidR="00122C6B" w:rsidRPr="00EF587A" w:rsidRDefault="00FF4D51" w:rsidP="00C81021">
            <w:pPr>
              <w:pStyle w:val="TableText"/>
            </w:pPr>
            <w:r>
              <w:t>Data loss situations due to potential events such as system crash, malware infection, hard drive corruption and failure.</w:t>
            </w:r>
          </w:p>
        </w:tc>
        <w:tc>
          <w:tcPr>
            <w:tcW w:w="382" w:type="pct"/>
            <w:shd w:val="clear" w:color="auto" w:fill="F2F2F2" w:themeFill="background1" w:themeFillShade="F2"/>
          </w:tcPr>
          <w:p w14:paraId="20EE9F4B" w14:textId="77777777" w:rsidR="00122C6B" w:rsidRPr="00EE4BD6" w:rsidRDefault="00122C6B" w:rsidP="00C81021">
            <w:pPr>
              <w:pStyle w:val="TableText"/>
            </w:pPr>
            <w:r w:rsidRPr="001F26DF">
              <w:t>Date Reviewed</w:t>
            </w:r>
            <w:r>
              <w:t>:</w:t>
            </w:r>
          </w:p>
        </w:tc>
        <w:tc>
          <w:tcPr>
            <w:tcW w:w="452" w:type="pct"/>
            <w:shd w:val="clear" w:color="auto" w:fill="F2F2F2" w:themeFill="background1" w:themeFillShade="F2"/>
          </w:tcPr>
          <w:p w14:paraId="7D61C866" w14:textId="77777777" w:rsidR="00122C6B" w:rsidRPr="00EE4BD6" w:rsidRDefault="00122C6B" w:rsidP="00C81021">
            <w:pPr>
              <w:pStyle w:val="TableText"/>
            </w:pPr>
          </w:p>
        </w:tc>
      </w:tr>
      <w:tr w:rsidR="00122C6B" w:rsidRPr="00EE4BD6" w14:paraId="423E1D9A" w14:textId="77777777" w:rsidTr="00F97A1E">
        <w:trPr>
          <w:cantSplit/>
          <w:trHeight w:val="428"/>
        </w:trPr>
        <w:tc>
          <w:tcPr>
            <w:tcW w:w="311" w:type="pct"/>
            <w:vMerge/>
          </w:tcPr>
          <w:p w14:paraId="012B681B" w14:textId="77777777" w:rsidR="00122C6B" w:rsidRPr="00EF587A" w:rsidRDefault="00122C6B" w:rsidP="00C81021">
            <w:pPr>
              <w:pStyle w:val="TableText"/>
            </w:pPr>
          </w:p>
        </w:tc>
        <w:tc>
          <w:tcPr>
            <w:tcW w:w="590" w:type="pct"/>
            <w:vMerge/>
          </w:tcPr>
          <w:p w14:paraId="129063F3" w14:textId="77777777" w:rsidR="00122C6B" w:rsidRPr="009A1DE7" w:rsidRDefault="00122C6B" w:rsidP="00C81021">
            <w:pPr>
              <w:pStyle w:val="TableText"/>
            </w:pPr>
          </w:p>
        </w:tc>
        <w:tc>
          <w:tcPr>
            <w:tcW w:w="903" w:type="pct"/>
            <w:vMerge/>
          </w:tcPr>
          <w:p w14:paraId="79457DEA" w14:textId="798586C6" w:rsidR="00122C6B" w:rsidRPr="009A1DE7" w:rsidRDefault="00122C6B" w:rsidP="00C81021">
            <w:pPr>
              <w:pStyle w:val="TableText"/>
            </w:pPr>
          </w:p>
        </w:tc>
        <w:tc>
          <w:tcPr>
            <w:tcW w:w="1286" w:type="pct"/>
            <w:vMerge/>
          </w:tcPr>
          <w:p w14:paraId="79FC7D5B" w14:textId="77777777" w:rsidR="00122C6B" w:rsidRPr="009A1DE7" w:rsidRDefault="00122C6B" w:rsidP="00C81021">
            <w:pPr>
              <w:pStyle w:val="TableText"/>
            </w:pPr>
          </w:p>
        </w:tc>
        <w:tc>
          <w:tcPr>
            <w:tcW w:w="1076" w:type="pct"/>
            <w:vMerge/>
          </w:tcPr>
          <w:p w14:paraId="66620178" w14:textId="77777777" w:rsidR="00122C6B" w:rsidRPr="009A1DE7" w:rsidRDefault="00122C6B" w:rsidP="00C81021">
            <w:pPr>
              <w:pStyle w:val="TableText"/>
            </w:pPr>
          </w:p>
        </w:tc>
        <w:tc>
          <w:tcPr>
            <w:tcW w:w="382" w:type="pct"/>
            <w:shd w:val="clear" w:color="auto" w:fill="F2F2F2" w:themeFill="background1" w:themeFillShade="F2"/>
          </w:tcPr>
          <w:p w14:paraId="58DF4AB5" w14:textId="77777777" w:rsidR="00122C6B" w:rsidRPr="00EE4BD6" w:rsidRDefault="00122C6B" w:rsidP="00C81021">
            <w:pPr>
              <w:pStyle w:val="TableText"/>
            </w:pPr>
            <w:r w:rsidRPr="009A1DE7">
              <w:t>Assigned Individual</w:t>
            </w:r>
            <w:r>
              <w:t>:</w:t>
            </w:r>
          </w:p>
        </w:tc>
        <w:tc>
          <w:tcPr>
            <w:tcW w:w="452" w:type="pct"/>
            <w:shd w:val="clear" w:color="auto" w:fill="F2F2F2" w:themeFill="background1" w:themeFillShade="F2"/>
          </w:tcPr>
          <w:p w14:paraId="0941F419" w14:textId="77777777" w:rsidR="00122C6B" w:rsidRPr="00EE4BD6" w:rsidRDefault="00122C6B" w:rsidP="00C81021">
            <w:pPr>
              <w:pStyle w:val="TableText"/>
            </w:pPr>
          </w:p>
        </w:tc>
      </w:tr>
      <w:tr w:rsidR="00122C6B" w:rsidRPr="00EE4BD6" w14:paraId="303FA6E9" w14:textId="77777777" w:rsidTr="00F97A1E">
        <w:trPr>
          <w:cantSplit/>
          <w:trHeight w:val="428"/>
        </w:trPr>
        <w:tc>
          <w:tcPr>
            <w:tcW w:w="311" w:type="pct"/>
            <w:vMerge/>
          </w:tcPr>
          <w:p w14:paraId="64027176" w14:textId="77777777" w:rsidR="00122C6B" w:rsidRPr="00EF587A" w:rsidRDefault="00122C6B" w:rsidP="00C81021">
            <w:pPr>
              <w:pStyle w:val="TableText"/>
            </w:pPr>
          </w:p>
        </w:tc>
        <w:tc>
          <w:tcPr>
            <w:tcW w:w="590" w:type="pct"/>
            <w:vMerge/>
          </w:tcPr>
          <w:p w14:paraId="53225AFD" w14:textId="77777777" w:rsidR="00122C6B" w:rsidRPr="009A1DE7" w:rsidRDefault="00122C6B" w:rsidP="00C81021">
            <w:pPr>
              <w:pStyle w:val="TableText"/>
            </w:pPr>
          </w:p>
        </w:tc>
        <w:tc>
          <w:tcPr>
            <w:tcW w:w="903" w:type="pct"/>
            <w:vMerge/>
          </w:tcPr>
          <w:p w14:paraId="4CC7B7E0" w14:textId="48572B3B" w:rsidR="00122C6B" w:rsidRPr="009A1DE7" w:rsidRDefault="00122C6B" w:rsidP="00C81021">
            <w:pPr>
              <w:pStyle w:val="TableText"/>
            </w:pPr>
          </w:p>
        </w:tc>
        <w:tc>
          <w:tcPr>
            <w:tcW w:w="1286" w:type="pct"/>
            <w:vMerge/>
          </w:tcPr>
          <w:p w14:paraId="24E5D775" w14:textId="77777777" w:rsidR="00122C6B" w:rsidRPr="009A1DE7" w:rsidRDefault="00122C6B" w:rsidP="00C81021">
            <w:pPr>
              <w:pStyle w:val="TableText"/>
            </w:pPr>
          </w:p>
        </w:tc>
        <w:tc>
          <w:tcPr>
            <w:tcW w:w="1076" w:type="pct"/>
            <w:vMerge/>
          </w:tcPr>
          <w:p w14:paraId="20875722" w14:textId="77777777" w:rsidR="00122C6B" w:rsidRPr="009A1DE7" w:rsidRDefault="00122C6B" w:rsidP="00C81021">
            <w:pPr>
              <w:pStyle w:val="TableText"/>
            </w:pPr>
          </w:p>
        </w:tc>
        <w:tc>
          <w:tcPr>
            <w:tcW w:w="382" w:type="pct"/>
            <w:shd w:val="clear" w:color="auto" w:fill="F2F2F2" w:themeFill="background1" w:themeFillShade="F2"/>
          </w:tcPr>
          <w:p w14:paraId="03266C9A" w14:textId="77777777" w:rsidR="00122C6B" w:rsidRPr="00EE4BD6" w:rsidRDefault="00122C6B" w:rsidP="00C81021">
            <w:pPr>
              <w:pStyle w:val="TableText"/>
            </w:pPr>
            <w:r w:rsidRPr="009A1DE7">
              <w:t>Actions Required</w:t>
            </w:r>
            <w:r>
              <w:t>:</w:t>
            </w:r>
          </w:p>
        </w:tc>
        <w:tc>
          <w:tcPr>
            <w:tcW w:w="452" w:type="pct"/>
            <w:shd w:val="clear" w:color="auto" w:fill="F2F2F2" w:themeFill="background1" w:themeFillShade="F2"/>
          </w:tcPr>
          <w:p w14:paraId="7420FABA" w14:textId="77777777" w:rsidR="00122C6B" w:rsidRPr="00EE4BD6" w:rsidRDefault="00122C6B" w:rsidP="00C81021">
            <w:pPr>
              <w:pStyle w:val="TableText"/>
            </w:pPr>
          </w:p>
        </w:tc>
      </w:tr>
      <w:tr w:rsidR="00122C6B" w:rsidRPr="00EE4BD6" w14:paraId="211C1A5F" w14:textId="77777777" w:rsidTr="00F97A1E">
        <w:trPr>
          <w:cantSplit/>
          <w:trHeight w:val="428"/>
        </w:trPr>
        <w:tc>
          <w:tcPr>
            <w:tcW w:w="311" w:type="pct"/>
            <w:vMerge/>
          </w:tcPr>
          <w:p w14:paraId="14F3146F" w14:textId="77777777" w:rsidR="00122C6B" w:rsidRPr="00EF587A" w:rsidRDefault="00122C6B" w:rsidP="00C81021">
            <w:pPr>
              <w:pStyle w:val="TableText"/>
            </w:pPr>
          </w:p>
        </w:tc>
        <w:tc>
          <w:tcPr>
            <w:tcW w:w="590" w:type="pct"/>
            <w:vMerge/>
          </w:tcPr>
          <w:p w14:paraId="4C986833" w14:textId="77777777" w:rsidR="00122C6B" w:rsidRPr="009A1DE7" w:rsidRDefault="00122C6B" w:rsidP="00C81021">
            <w:pPr>
              <w:pStyle w:val="TableText"/>
            </w:pPr>
          </w:p>
        </w:tc>
        <w:tc>
          <w:tcPr>
            <w:tcW w:w="903" w:type="pct"/>
            <w:vMerge/>
          </w:tcPr>
          <w:p w14:paraId="4C63AD5B" w14:textId="68096C9B" w:rsidR="00122C6B" w:rsidRPr="009A1DE7" w:rsidRDefault="00122C6B" w:rsidP="00C81021">
            <w:pPr>
              <w:pStyle w:val="TableText"/>
            </w:pPr>
          </w:p>
        </w:tc>
        <w:tc>
          <w:tcPr>
            <w:tcW w:w="1286" w:type="pct"/>
            <w:vMerge/>
          </w:tcPr>
          <w:p w14:paraId="26FE5D64" w14:textId="77777777" w:rsidR="00122C6B" w:rsidRPr="009A1DE7" w:rsidRDefault="00122C6B" w:rsidP="00C81021">
            <w:pPr>
              <w:pStyle w:val="TableText"/>
            </w:pPr>
          </w:p>
        </w:tc>
        <w:tc>
          <w:tcPr>
            <w:tcW w:w="1076" w:type="pct"/>
            <w:vMerge/>
          </w:tcPr>
          <w:p w14:paraId="07519D4C" w14:textId="77777777" w:rsidR="00122C6B" w:rsidRPr="009A1DE7" w:rsidRDefault="00122C6B" w:rsidP="00C81021">
            <w:pPr>
              <w:pStyle w:val="TableText"/>
            </w:pPr>
          </w:p>
        </w:tc>
        <w:tc>
          <w:tcPr>
            <w:tcW w:w="382" w:type="pct"/>
            <w:shd w:val="clear" w:color="auto" w:fill="F2F2F2" w:themeFill="background1" w:themeFillShade="F2"/>
          </w:tcPr>
          <w:p w14:paraId="610C2986" w14:textId="77777777" w:rsidR="00122C6B" w:rsidRPr="00EE4BD6" w:rsidRDefault="00122C6B" w:rsidP="00C81021">
            <w:pPr>
              <w:pStyle w:val="TableText"/>
            </w:pPr>
            <w:r w:rsidRPr="009A1DE7">
              <w:t>Target Date</w:t>
            </w:r>
            <w:r>
              <w:t>:</w:t>
            </w:r>
          </w:p>
        </w:tc>
        <w:tc>
          <w:tcPr>
            <w:tcW w:w="452" w:type="pct"/>
            <w:shd w:val="clear" w:color="auto" w:fill="F2F2F2" w:themeFill="background1" w:themeFillShade="F2"/>
          </w:tcPr>
          <w:p w14:paraId="2AA1ED5F" w14:textId="77777777" w:rsidR="00122C6B" w:rsidRPr="00EE4BD6" w:rsidRDefault="00122C6B" w:rsidP="00C81021">
            <w:pPr>
              <w:pStyle w:val="TableText"/>
            </w:pPr>
          </w:p>
        </w:tc>
      </w:tr>
      <w:tr w:rsidR="00122C6B" w:rsidRPr="00EE4BD6" w14:paraId="41B7B352" w14:textId="77777777" w:rsidTr="00F97A1E">
        <w:trPr>
          <w:cantSplit/>
          <w:trHeight w:val="428"/>
        </w:trPr>
        <w:tc>
          <w:tcPr>
            <w:tcW w:w="311" w:type="pct"/>
            <w:vMerge/>
          </w:tcPr>
          <w:p w14:paraId="4E2C8594" w14:textId="77777777" w:rsidR="00122C6B" w:rsidRPr="00EF587A" w:rsidRDefault="00122C6B" w:rsidP="00C81021">
            <w:pPr>
              <w:pStyle w:val="TableText"/>
            </w:pPr>
          </w:p>
        </w:tc>
        <w:tc>
          <w:tcPr>
            <w:tcW w:w="590" w:type="pct"/>
            <w:vMerge/>
          </w:tcPr>
          <w:p w14:paraId="3D3C4F9D" w14:textId="77777777" w:rsidR="00122C6B" w:rsidRPr="00EF587A" w:rsidRDefault="00122C6B" w:rsidP="00C81021">
            <w:pPr>
              <w:pStyle w:val="TableText"/>
            </w:pPr>
          </w:p>
        </w:tc>
        <w:tc>
          <w:tcPr>
            <w:tcW w:w="903" w:type="pct"/>
            <w:vMerge/>
          </w:tcPr>
          <w:p w14:paraId="1D0D5B28" w14:textId="0DE249F7" w:rsidR="00122C6B" w:rsidRPr="00EF587A" w:rsidRDefault="00122C6B" w:rsidP="00C81021">
            <w:pPr>
              <w:pStyle w:val="TableText"/>
            </w:pPr>
          </w:p>
        </w:tc>
        <w:tc>
          <w:tcPr>
            <w:tcW w:w="1286" w:type="pct"/>
            <w:vMerge/>
          </w:tcPr>
          <w:p w14:paraId="246EBF96" w14:textId="77777777" w:rsidR="00122C6B" w:rsidRPr="00EF587A" w:rsidRDefault="00122C6B" w:rsidP="00C81021">
            <w:pPr>
              <w:pStyle w:val="TableText"/>
            </w:pPr>
          </w:p>
        </w:tc>
        <w:tc>
          <w:tcPr>
            <w:tcW w:w="1076" w:type="pct"/>
            <w:vMerge/>
          </w:tcPr>
          <w:p w14:paraId="47B89DDB" w14:textId="77777777" w:rsidR="00122C6B" w:rsidRPr="00EF587A" w:rsidRDefault="00122C6B" w:rsidP="00C81021">
            <w:pPr>
              <w:pStyle w:val="TableText"/>
            </w:pPr>
          </w:p>
        </w:tc>
        <w:tc>
          <w:tcPr>
            <w:tcW w:w="382" w:type="pct"/>
            <w:shd w:val="clear" w:color="auto" w:fill="F2F2F2" w:themeFill="background1" w:themeFillShade="F2"/>
          </w:tcPr>
          <w:p w14:paraId="108CB586" w14:textId="77777777" w:rsidR="00122C6B" w:rsidRPr="00EF587A" w:rsidRDefault="00122C6B" w:rsidP="00C81021">
            <w:pPr>
              <w:pStyle w:val="TableText"/>
            </w:pPr>
            <w:r w:rsidRPr="009A1DE7">
              <w:t>Completion Date</w:t>
            </w:r>
            <w:r>
              <w:t>:</w:t>
            </w:r>
          </w:p>
        </w:tc>
        <w:tc>
          <w:tcPr>
            <w:tcW w:w="452" w:type="pct"/>
            <w:shd w:val="clear" w:color="auto" w:fill="F2F2F2" w:themeFill="background1" w:themeFillShade="F2"/>
          </w:tcPr>
          <w:p w14:paraId="011C9CCA" w14:textId="77777777" w:rsidR="00122C6B" w:rsidRPr="00EF587A" w:rsidRDefault="00122C6B" w:rsidP="00C81021">
            <w:pPr>
              <w:pStyle w:val="TableText"/>
            </w:pPr>
          </w:p>
        </w:tc>
      </w:tr>
      <w:tr w:rsidR="00122C6B" w:rsidRPr="00EE4BD6" w14:paraId="72F549F8" w14:textId="77777777" w:rsidTr="00F97A1E">
        <w:trPr>
          <w:cantSplit/>
          <w:trHeight w:val="91"/>
        </w:trPr>
        <w:tc>
          <w:tcPr>
            <w:tcW w:w="5000" w:type="pct"/>
            <w:gridSpan w:val="7"/>
            <w:shd w:val="clear" w:color="auto" w:fill="DEEAF6" w:themeFill="accent1" w:themeFillTint="33"/>
          </w:tcPr>
          <w:p w14:paraId="3F6724A3" w14:textId="4DC70D6E" w:rsidR="00122C6B" w:rsidRPr="00272316" w:rsidRDefault="00122C6B" w:rsidP="00C81021">
            <w:pPr>
              <w:pStyle w:val="TableText"/>
              <w:rPr>
                <w:sz w:val="8"/>
                <w:szCs w:val="8"/>
              </w:rPr>
            </w:pPr>
          </w:p>
        </w:tc>
      </w:tr>
      <w:tr w:rsidR="00122C6B" w:rsidRPr="00EE4BD6" w14:paraId="5C7A8E81" w14:textId="77777777" w:rsidTr="00F97A1E">
        <w:trPr>
          <w:cantSplit/>
          <w:trHeight w:val="428"/>
        </w:trPr>
        <w:tc>
          <w:tcPr>
            <w:tcW w:w="311" w:type="pct"/>
            <w:vMerge w:val="restart"/>
            <w:vAlign w:val="center"/>
          </w:tcPr>
          <w:p w14:paraId="4723973E" w14:textId="64EBD1A0" w:rsidR="00122C6B" w:rsidRPr="00F77313" w:rsidRDefault="00122C6B" w:rsidP="00C81021">
            <w:pPr>
              <w:pStyle w:val="TableText"/>
              <w:jc w:val="center"/>
              <w:rPr>
                <w:b/>
                <w:bCs/>
              </w:rPr>
            </w:pPr>
            <w:r>
              <w:rPr>
                <w:b/>
                <w:bCs/>
              </w:rPr>
              <w:t>Daily</w:t>
            </w:r>
          </w:p>
        </w:tc>
        <w:tc>
          <w:tcPr>
            <w:tcW w:w="590" w:type="pct"/>
            <w:vMerge w:val="restart"/>
          </w:tcPr>
          <w:p w14:paraId="2894AD8A" w14:textId="1AA69A0F" w:rsidR="00122C6B" w:rsidRPr="009A1DE7" w:rsidRDefault="00FF4D51" w:rsidP="00C81021">
            <w:pPr>
              <w:pStyle w:val="TableText"/>
            </w:pPr>
            <w:r w:rsidRPr="00FF4D51">
              <w:t>SQL Maintenance Plans (Daily)</w:t>
            </w:r>
          </w:p>
        </w:tc>
        <w:tc>
          <w:tcPr>
            <w:tcW w:w="903" w:type="pct"/>
            <w:vMerge w:val="restart"/>
          </w:tcPr>
          <w:p w14:paraId="3B6E11F2" w14:textId="7BAFA539" w:rsidR="00122C6B" w:rsidRPr="009A1DE7" w:rsidRDefault="00FF4D51" w:rsidP="00C81021">
            <w:pPr>
              <w:pStyle w:val="TableText"/>
            </w:pPr>
            <w:r w:rsidRPr="00124ECC">
              <w:t>SQL Maintenance plan backs up your EDR SQL Dentrix Enterprise data and EDR SQL transaction log and optimizes your SQL configuration.</w:t>
            </w:r>
          </w:p>
        </w:tc>
        <w:tc>
          <w:tcPr>
            <w:tcW w:w="1286" w:type="pct"/>
            <w:vMerge w:val="restart"/>
          </w:tcPr>
          <w:p w14:paraId="60534AC7" w14:textId="66AAA7D5" w:rsidR="00122C6B" w:rsidRPr="009A1DE7" w:rsidRDefault="00FF4D51" w:rsidP="00C81021">
            <w:pPr>
              <w:pStyle w:val="TableText"/>
              <w:numPr>
                <w:ilvl w:val="0"/>
                <w:numId w:val="2"/>
              </w:numPr>
              <w:ind w:left="232" w:hanging="180"/>
            </w:pPr>
            <w:r w:rsidRPr="00124ECC">
              <w:t>Check your SQL server logs for successful SQL backups and remedy any unsuccessful backup job as soon as possible.</w:t>
            </w:r>
          </w:p>
        </w:tc>
        <w:tc>
          <w:tcPr>
            <w:tcW w:w="1076" w:type="pct"/>
            <w:vMerge w:val="restart"/>
          </w:tcPr>
          <w:p w14:paraId="766892B3" w14:textId="1FB6905D" w:rsidR="00122C6B" w:rsidRPr="00EF587A" w:rsidRDefault="00FF4D51" w:rsidP="00C81021">
            <w:pPr>
              <w:pStyle w:val="TableText"/>
            </w:pPr>
            <w:r w:rsidRPr="00124ECC">
              <w:t>Data loss can occur if the SQL Maintenance plans do not run successfully. The EDR server hard drive will eventually become full and EDR Dentrix Enterprise will stop working.</w:t>
            </w:r>
          </w:p>
        </w:tc>
        <w:tc>
          <w:tcPr>
            <w:tcW w:w="382" w:type="pct"/>
            <w:shd w:val="clear" w:color="auto" w:fill="F2F2F2" w:themeFill="background1" w:themeFillShade="F2"/>
          </w:tcPr>
          <w:p w14:paraId="24D0D823" w14:textId="77777777" w:rsidR="00122C6B" w:rsidRPr="00EE4BD6" w:rsidRDefault="00122C6B" w:rsidP="00C81021">
            <w:pPr>
              <w:pStyle w:val="TableText"/>
            </w:pPr>
            <w:r w:rsidRPr="001F26DF">
              <w:t>Date Reviewed</w:t>
            </w:r>
            <w:r>
              <w:t>:</w:t>
            </w:r>
          </w:p>
        </w:tc>
        <w:tc>
          <w:tcPr>
            <w:tcW w:w="452" w:type="pct"/>
            <w:shd w:val="clear" w:color="auto" w:fill="F2F2F2" w:themeFill="background1" w:themeFillShade="F2"/>
          </w:tcPr>
          <w:p w14:paraId="7B007AF9" w14:textId="77777777" w:rsidR="00122C6B" w:rsidRPr="00EE4BD6" w:rsidRDefault="00122C6B" w:rsidP="00C81021">
            <w:pPr>
              <w:pStyle w:val="TableText"/>
            </w:pPr>
          </w:p>
        </w:tc>
      </w:tr>
      <w:tr w:rsidR="00122C6B" w:rsidRPr="00EE4BD6" w14:paraId="4462786A" w14:textId="77777777" w:rsidTr="00F97A1E">
        <w:trPr>
          <w:cantSplit/>
          <w:trHeight w:val="428"/>
        </w:trPr>
        <w:tc>
          <w:tcPr>
            <w:tcW w:w="311" w:type="pct"/>
            <w:vMerge/>
          </w:tcPr>
          <w:p w14:paraId="64B9C201" w14:textId="77777777" w:rsidR="00122C6B" w:rsidRPr="00EF587A" w:rsidRDefault="00122C6B" w:rsidP="00C81021">
            <w:pPr>
              <w:pStyle w:val="TableText"/>
            </w:pPr>
          </w:p>
        </w:tc>
        <w:tc>
          <w:tcPr>
            <w:tcW w:w="590" w:type="pct"/>
            <w:vMerge/>
          </w:tcPr>
          <w:p w14:paraId="2127616E" w14:textId="77777777" w:rsidR="00122C6B" w:rsidRPr="009A1DE7" w:rsidRDefault="00122C6B" w:rsidP="00C81021">
            <w:pPr>
              <w:pStyle w:val="TableText"/>
            </w:pPr>
          </w:p>
        </w:tc>
        <w:tc>
          <w:tcPr>
            <w:tcW w:w="903" w:type="pct"/>
            <w:vMerge/>
          </w:tcPr>
          <w:p w14:paraId="455483B8" w14:textId="6AD24ED6" w:rsidR="00122C6B" w:rsidRPr="009A1DE7" w:rsidRDefault="00122C6B" w:rsidP="00C81021">
            <w:pPr>
              <w:pStyle w:val="TableText"/>
            </w:pPr>
          </w:p>
        </w:tc>
        <w:tc>
          <w:tcPr>
            <w:tcW w:w="1286" w:type="pct"/>
            <w:vMerge/>
          </w:tcPr>
          <w:p w14:paraId="564DFE23" w14:textId="77777777" w:rsidR="00122C6B" w:rsidRPr="009A1DE7" w:rsidRDefault="00122C6B" w:rsidP="00C81021">
            <w:pPr>
              <w:pStyle w:val="TableText"/>
            </w:pPr>
          </w:p>
        </w:tc>
        <w:tc>
          <w:tcPr>
            <w:tcW w:w="1076" w:type="pct"/>
            <w:vMerge/>
          </w:tcPr>
          <w:p w14:paraId="091B6BD2" w14:textId="77777777" w:rsidR="00122C6B" w:rsidRPr="009A1DE7" w:rsidRDefault="00122C6B" w:rsidP="00C81021">
            <w:pPr>
              <w:pStyle w:val="TableText"/>
            </w:pPr>
          </w:p>
        </w:tc>
        <w:tc>
          <w:tcPr>
            <w:tcW w:w="382" w:type="pct"/>
            <w:shd w:val="clear" w:color="auto" w:fill="F2F2F2" w:themeFill="background1" w:themeFillShade="F2"/>
          </w:tcPr>
          <w:p w14:paraId="7C04085D" w14:textId="77777777" w:rsidR="00122C6B" w:rsidRPr="00EE4BD6" w:rsidRDefault="00122C6B" w:rsidP="00C81021">
            <w:pPr>
              <w:pStyle w:val="TableText"/>
            </w:pPr>
            <w:r w:rsidRPr="009A1DE7">
              <w:t>Assigned Individual</w:t>
            </w:r>
            <w:r>
              <w:t>:</w:t>
            </w:r>
          </w:p>
        </w:tc>
        <w:tc>
          <w:tcPr>
            <w:tcW w:w="452" w:type="pct"/>
            <w:shd w:val="clear" w:color="auto" w:fill="F2F2F2" w:themeFill="background1" w:themeFillShade="F2"/>
          </w:tcPr>
          <w:p w14:paraId="41C1D703" w14:textId="77777777" w:rsidR="00122C6B" w:rsidRPr="00EE4BD6" w:rsidRDefault="00122C6B" w:rsidP="00C81021">
            <w:pPr>
              <w:pStyle w:val="TableText"/>
            </w:pPr>
          </w:p>
        </w:tc>
      </w:tr>
      <w:tr w:rsidR="00122C6B" w:rsidRPr="00EE4BD6" w14:paraId="6A8DC102" w14:textId="77777777" w:rsidTr="00F97A1E">
        <w:trPr>
          <w:cantSplit/>
          <w:trHeight w:val="428"/>
        </w:trPr>
        <w:tc>
          <w:tcPr>
            <w:tcW w:w="311" w:type="pct"/>
            <w:vMerge/>
          </w:tcPr>
          <w:p w14:paraId="10B24AAF" w14:textId="77777777" w:rsidR="00122C6B" w:rsidRPr="00EF587A" w:rsidRDefault="00122C6B" w:rsidP="00C81021">
            <w:pPr>
              <w:pStyle w:val="TableText"/>
            </w:pPr>
          </w:p>
        </w:tc>
        <w:tc>
          <w:tcPr>
            <w:tcW w:w="590" w:type="pct"/>
            <w:vMerge/>
          </w:tcPr>
          <w:p w14:paraId="4322D765" w14:textId="77777777" w:rsidR="00122C6B" w:rsidRPr="009A1DE7" w:rsidRDefault="00122C6B" w:rsidP="00C81021">
            <w:pPr>
              <w:pStyle w:val="TableText"/>
            </w:pPr>
          </w:p>
        </w:tc>
        <w:tc>
          <w:tcPr>
            <w:tcW w:w="903" w:type="pct"/>
            <w:vMerge/>
          </w:tcPr>
          <w:p w14:paraId="22E7DCB0" w14:textId="7ED16BD5" w:rsidR="00122C6B" w:rsidRPr="009A1DE7" w:rsidRDefault="00122C6B" w:rsidP="00C81021">
            <w:pPr>
              <w:pStyle w:val="TableText"/>
            </w:pPr>
          </w:p>
        </w:tc>
        <w:tc>
          <w:tcPr>
            <w:tcW w:w="1286" w:type="pct"/>
            <w:vMerge/>
          </w:tcPr>
          <w:p w14:paraId="340A1FDC" w14:textId="77777777" w:rsidR="00122C6B" w:rsidRPr="009A1DE7" w:rsidRDefault="00122C6B" w:rsidP="00C81021">
            <w:pPr>
              <w:pStyle w:val="TableText"/>
            </w:pPr>
          </w:p>
        </w:tc>
        <w:tc>
          <w:tcPr>
            <w:tcW w:w="1076" w:type="pct"/>
            <w:vMerge/>
          </w:tcPr>
          <w:p w14:paraId="0374FF30" w14:textId="77777777" w:rsidR="00122C6B" w:rsidRPr="009A1DE7" w:rsidRDefault="00122C6B" w:rsidP="00C81021">
            <w:pPr>
              <w:pStyle w:val="TableText"/>
            </w:pPr>
          </w:p>
        </w:tc>
        <w:tc>
          <w:tcPr>
            <w:tcW w:w="382" w:type="pct"/>
            <w:shd w:val="clear" w:color="auto" w:fill="F2F2F2" w:themeFill="background1" w:themeFillShade="F2"/>
          </w:tcPr>
          <w:p w14:paraId="3A6E73C2" w14:textId="77777777" w:rsidR="00122C6B" w:rsidRPr="00EE4BD6" w:rsidRDefault="00122C6B" w:rsidP="00C81021">
            <w:pPr>
              <w:pStyle w:val="TableText"/>
            </w:pPr>
            <w:r w:rsidRPr="009A1DE7">
              <w:t>Actions Required</w:t>
            </w:r>
            <w:r>
              <w:t>:</w:t>
            </w:r>
          </w:p>
        </w:tc>
        <w:tc>
          <w:tcPr>
            <w:tcW w:w="452" w:type="pct"/>
            <w:shd w:val="clear" w:color="auto" w:fill="F2F2F2" w:themeFill="background1" w:themeFillShade="F2"/>
          </w:tcPr>
          <w:p w14:paraId="3A5BB078" w14:textId="77777777" w:rsidR="00122C6B" w:rsidRPr="00EE4BD6" w:rsidRDefault="00122C6B" w:rsidP="00C81021">
            <w:pPr>
              <w:pStyle w:val="TableText"/>
            </w:pPr>
          </w:p>
        </w:tc>
      </w:tr>
      <w:tr w:rsidR="00122C6B" w:rsidRPr="00EE4BD6" w14:paraId="0964A5EC" w14:textId="77777777" w:rsidTr="00F97A1E">
        <w:trPr>
          <w:cantSplit/>
          <w:trHeight w:val="428"/>
        </w:trPr>
        <w:tc>
          <w:tcPr>
            <w:tcW w:w="311" w:type="pct"/>
            <w:vMerge/>
          </w:tcPr>
          <w:p w14:paraId="5B326CA0" w14:textId="77777777" w:rsidR="00122C6B" w:rsidRPr="00EF587A" w:rsidRDefault="00122C6B" w:rsidP="00C81021">
            <w:pPr>
              <w:pStyle w:val="TableText"/>
            </w:pPr>
          </w:p>
        </w:tc>
        <w:tc>
          <w:tcPr>
            <w:tcW w:w="590" w:type="pct"/>
            <w:vMerge/>
          </w:tcPr>
          <w:p w14:paraId="72EF17E7" w14:textId="77777777" w:rsidR="00122C6B" w:rsidRPr="009A1DE7" w:rsidRDefault="00122C6B" w:rsidP="00C81021">
            <w:pPr>
              <w:pStyle w:val="TableText"/>
            </w:pPr>
          </w:p>
        </w:tc>
        <w:tc>
          <w:tcPr>
            <w:tcW w:w="903" w:type="pct"/>
            <w:vMerge/>
          </w:tcPr>
          <w:p w14:paraId="387E1C7A" w14:textId="2AAE11D6" w:rsidR="00122C6B" w:rsidRPr="009A1DE7" w:rsidRDefault="00122C6B" w:rsidP="00C81021">
            <w:pPr>
              <w:pStyle w:val="TableText"/>
            </w:pPr>
          </w:p>
        </w:tc>
        <w:tc>
          <w:tcPr>
            <w:tcW w:w="1286" w:type="pct"/>
            <w:vMerge/>
          </w:tcPr>
          <w:p w14:paraId="591752CE" w14:textId="77777777" w:rsidR="00122C6B" w:rsidRPr="009A1DE7" w:rsidRDefault="00122C6B" w:rsidP="00C81021">
            <w:pPr>
              <w:pStyle w:val="TableText"/>
            </w:pPr>
          </w:p>
        </w:tc>
        <w:tc>
          <w:tcPr>
            <w:tcW w:w="1076" w:type="pct"/>
            <w:vMerge/>
          </w:tcPr>
          <w:p w14:paraId="6ED0848C" w14:textId="77777777" w:rsidR="00122C6B" w:rsidRPr="009A1DE7" w:rsidRDefault="00122C6B" w:rsidP="00C81021">
            <w:pPr>
              <w:pStyle w:val="TableText"/>
            </w:pPr>
          </w:p>
        </w:tc>
        <w:tc>
          <w:tcPr>
            <w:tcW w:w="382" w:type="pct"/>
            <w:shd w:val="clear" w:color="auto" w:fill="F2F2F2" w:themeFill="background1" w:themeFillShade="F2"/>
          </w:tcPr>
          <w:p w14:paraId="5079D549" w14:textId="77777777" w:rsidR="00122C6B" w:rsidRPr="00EE4BD6" w:rsidRDefault="00122C6B" w:rsidP="00C81021">
            <w:pPr>
              <w:pStyle w:val="TableText"/>
            </w:pPr>
            <w:r w:rsidRPr="009A1DE7">
              <w:t>Target Date</w:t>
            </w:r>
            <w:r>
              <w:t>:</w:t>
            </w:r>
          </w:p>
        </w:tc>
        <w:tc>
          <w:tcPr>
            <w:tcW w:w="452" w:type="pct"/>
            <w:shd w:val="clear" w:color="auto" w:fill="F2F2F2" w:themeFill="background1" w:themeFillShade="F2"/>
          </w:tcPr>
          <w:p w14:paraId="6CF8370C" w14:textId="77777777" w:rsidR="00122C6B" w:rsidRPr="00EE4BD6" w:rsidRDefault="00122C6B" w:rsidP="00C81021">
            <w:pPr>
              <w:pStyle w:val="TableText"/>
            </w:pPr>
          </w:p>
        </w:tc>
      </w:tr>
      <w:tr w:rsidR="00122C6B" w:rsidRPr="00EF587A" w14:paraId="6DB9C0A9" w14:textId="77777777" w:rsidTr="00F97A1E">
        <w:trPr>
          <w:cantSplit/>
          <w:trHeight w:val="428"/>
        </w:trPr>
        <w:tc>
          <w:tcPr>
            <w:tcW w:w="311" w:type="pct"/>
            <w:vMerge/>
          </w:tcPr>
          <w:p w14:paraId="753E0B33" w14:textId="77777777" w:rsidR="00122C6B" w:rsidRPr="00EF587A" w:rsidRDefault="00122C6B" w:rsidP="00C81021">
            <w:pPr>
              <w:pStyle w:val="TableText"/>
            </w:pPr>
          </w:p>
        </w:tc>
        <w:tc>
          <w:tcPr>
            <w:tcW w:w="590" w:type="pct"/>
            <w:vMerge/>
          </w:tcPr>
          <w:p w14:paraId="786621EB" w14:textId="77777777" w:rsidR="00122C6B" w:rsidRPr="00EF587A" w:rsidRDefault="00122C6B" w:rsidP="00C81021">
            <w:pPr>
              <w:pStyle w:val="TableText"/>
            </w:pPr>
          </w:p>
        </w:tc>
        <w:tc>
          <w:tcPr>
            <w:tcW w:w="903" w:type="pct"/>
            <w:vMerge/>
          </w:tcPr>
          <w:p w14:paraId="684093C5" w14:textId="5974FEF7" w:rsidR="00122C6B" w:rsidRPr="00EF587A" w:rsidRDefault="00122C6B" w:rsidP="00C81021">
            <w:pPr>
              <w:pStyle w:val="TableText"/>
            </w:pPr>
          </w:p>
        </w:tc>
        <w:tc>
          <w:tcPr>
            <w:tcW w:w="1286" w:type="pct"/>
            <w:vMerge/>
          </w:tcPr>
          <w:p w14:paraId="1071CA4E" w14:textId="77777777" w:rsidR="00122C6B" w:rsidRPr="00EF587A" w:rsidRDefault="00122C6B" w:rsidP="00C81021">
            <w:pPr>
              <w:pStyle w:val="TableText"/>
            </w:pPr>
          </w:p>
        </w:tc>
        <w:tc>
          <w:tcPr>
            <w:tcW w:w="1076" w:type="pct"/>
            <w:vMerge/>
          </w:tcPr>
          <w:p w14:paraId="786ACEBA" w14:textId="77777777" w:rsidR="00122C6B" w:rsidRPr="00EF587A" w:rsidRDefault="00122C6B" w:rsidP="00C81021">
            <w:pPr>
              <w:pStyle w:val="TableText"/>
            </w:pPr>
          </w:p>
        </w:tc>
        <w:tc>
          <w:tcPr>
            <w:tcW w:w="382" w:type="pct"/>
            <w:shd w:val="clear" w:color="auto" w:fill="F2F2F2" w:themeFill="background1" w:themeFillShade="F2"/>
          </w:tcPr>
          <w:p w14:paraId="34899ED8" w14:textId="77777777" w:rsidR="00122C6B" w:rsidRPr="00EF587A" w:rsidRDefault="00122C6B" w:rsidP="00C81021">
            <w:pPr>
              <w:pStyle w:val="TableText"/>
            </w:pPr>
            <w:r w:rsidRPr="009A1DE7">
              <w:t>Completion Date</w:t>
            </w:r>
            <w:r>
              <w:t>:</w:t>
            </w:r>
          </w:p>
        </w:tc>
        <w:tc>
          <w:tcPr>
            <w:tcW w:w="452" w:type="pct"/>
            <w:shd w:val="clear" w:color="auto" w:fill="F2F2F2" w:themeFill="background1" w:themeFillShade="F2"/>
          </w:tcPr>
          <w:p w14:paraId="1E9FA641" w14:textId="77777777" w:rsidR="00122C6B" w:rsidRPr="00EF587A" w:rsidRDefault="00122C6B" w:rsidP="00C81021">
            <w:pPr>
              <w:pStyle w:val="TableText"/>
            </w:pPr>
          </w:p>
        </w:tc>
      </w:tr>
      <w:tr w:rsidR="00122C6B" w:rsidRPr="00EE4BD6" w14:paraId="2FAF40B6" w14:textId="77777777" w:rsidTr="00F97A1E">
        <w:trPr>
          <w:cantSplit/>
          <w:trHeight w:val="100"/>
        </w:trPr>
        <w:tc>
          <w:tcPr>
            <w:tcW w:w="5000" w:type="pct"/>
            <w:gridSpan w:val="7"/>
            <w:shd w:val="clear" w:color="auto" w:fill="DEEAF6" w:themeFill="accent1" w:themeFillTint="33"/>
          </w:tcPr>
          <w:p w14:paraId="0A210451" w14:textId="01302C8F" w:rsidR="00122C6B" w:rsidRPr="00272316" w:rsidRDefault="00122C6B" w:rsidP="00C81021">
            <w:pPr>
              <w:pStyle w:val="TableText"/>
              <w:rPr>
                <w:sz w:val="8"/>
                <w:szCs w:val="8"/>
              </w:rPr>
            </w:pPr>
          </w:p>
        </w:tc>
      </w:tr>
      <w:tr w:rsidR="00FF4D51" w:rsidRPr="00EE4BD6" w14:paraId="67179D4A" w14:textId="77777777" w:rsidTr="00F97A1E">
        <w:trPr>
          <w:cantSplit/>
          <w:trHeight w:val="428"/>
        </w:trPr>
        <w:tc>
          <w:tcPr>
            <w:tcW w:w="311" w:type="pct"/>
            <w:vMerge w:val="restart"/>
            <w:vAlign w:val="center"/>
          </w:tcPr>
          <w:p w14:paraId="7152632D" w14:textId="45D5DBCA" w:rsidR="00FF4D51" w:rsidRPr="00F77313" w:rsidRDefault="00FF4D51" w:rsidP="00FF4D51">
            <w:pPr>
              <w:pStyle w:val="TableText"/>
              <w:pageBreakBefore/>
              <w:jc w:val="center"/>
              <w:rPr>
                <w:b/>
                <w:bCs/>
              </w:rPr>
            </w:pPr>
            <w:r>
              <w:rPr>
                <w:b/>
                <w:bCs/>
              </w:rPr>
              <w:lastRenderedPageBreak/>
              <w:t>Daily</w:t>
            </w:r>
          </w:p>
        </w:tc>
        <w:tc>
          <w:tcPr>
            <w:tcW w:w="590" w:type="pct"/>
            <w:vMerge w:val="restart"/>
          </w:tcPr>
          <w:p w14:paraId="5D74A046" w14:textId="25F090F8" w:rsidR="00FF4D51" w:rsidRPr="009A1DE7" w:rsidRDefault="00FF4D51" w:rsidP="00FF4D51">
            <w:pPr>
              <w:pStyle w:val="TableText"/>
            </w:pPr>
            <w:r w:rsidRPr="00FF4D51">
              <w:t>Antivirus Scans (Daily/Continuous)</w:t>
            </w:r>
          </w:p>
        </w:tc>
        <w:tc>
          <w:tcPr>
            <w:tcW w:w="903" w:type="pct"/>
            <w:vMerge w:val="restart"/>
          </w:tcPr>
          <w:p w14:paraId="00B3A61E" w14:textId="19BDED3F" w:rsidR="00FF4D51" w:rsidRPr="009A1DE7" w:rsidRDefault="00FF4D51" w:rsidP="00FF4D51">
            <w:pPr>
              <w:pStyle w:val="TableText"/>
            </w:pPr>
            <w:r w:rsidRPr="00124ECC">
              <w:t>Antivirus programs and computer protection software are designed to evaluate data such as web pages, files, software, and applications to help find and eradicate malware as quickly as possible.</w:t>
            </w:r>
          </w:p>
        </w:tc>
        <w:tc>
          <w:tcPr>
            <w:tcW w:w="1286" w:type="pct"/>
            <w:vMerge w:val="restart"/>
          </w:tcPr>
          <w:p w14:paraId="0883DBFB" w14:textId="264359D6" w:rsidR="00FF4D51" w:rsidRPr="009A1DE7" w:rsidRDefault="00FF4D51" w:rsidP="00FF4D51">
            <w:pPr>
              <w:pStyle w:val="TableText"/>
              <w:numPr>
                <w:ilvl w:val="0"/>
                <w:numId w:val="167"/>
              </w:numPr>
              <w:ind w:left="245" w:hanging="187"/>
            </w:pPr>
            <w:r w:rsidRPr="00124ECC">
              <w:t>Antivirus software is an essential part of a good security strategy.</w:t>
            </w:r>
          </w:p>
        </w:tc>
        <w:tc>
          <w:tcPr>
            <w:tcW w:w="1076" w:type="pct"/>
            <w:vMerge w:val="restart"/>
          </w:tcPr>
          <w:p w14:paraId="459ADAFA" w14:textId="725C2377" w:rsidR="00FF4D51" w:rsidRPr="00EF587A" w:rsidRDefault="00FF4D51" w:rsidP="00FF4D51">
            <w:pPr>
              <w:pStyle w:val="TableText"/>
            </w:pPr>
            <w:r w:rsidRPr="00124ECC">
              <w:t>Data loss situations due to common events such malware infection, hard drive corruption and failure.</w:t>
            </w:r>
          </w:p>
        </w:tc>
        <w:tc>
          <w:tcPr>
            <w:tcW w:w="382" w:type="pct"/>
            <w:shd w:val="clear" w:color="auto" w:fill="F2F2F2" w:themeFill="background1" w:themeFillShade="F2"/>
          </w:tcPr>
          <w:p w14:paraId="60CF8026" w14:textId="77777777" w:rsidR="00FF4D51" w:rsidRPr="00EE4BD6" w:rsidRDefault="00FF4D51" w:rsidP="00FF4D51">
            <w:pPr>
              <w:pStyle w:val="TableText"/>
            </w:pPr>
            <w:r w:rsidRPr="001F26DF">
              <w:t>Date Reviewed</w:t>
            </w:r>
            <w:r>
              <w:t>:</w:t>
            </w:r>
          </w:p>
        </w:tc>
        <w:tc>
          <w:tcPr>
            <w:tcW w:w="452" w:type="pct"/>
            <w:shd w:val="clear" w:color="auto" w:fill="F2F2F2" w:themeFill="background1" w:themeFillShade="F2"/>
          </w:tcPr>
          <w:p w14:paraId="1374135D" w14:textId="77777777" w:rsidR="00FF4D51" w:rsidRPr="00EE4BD6" w:rsidRDefault="00FF4D51" w:rsidP="00FF4D51">
            <w:pPr>
              <w:pStyle w:val="TableText"/>
            </w:pPr>
          </w:p>
        </w:tc>
      </w:tr>
      <w:tr w:rsidR="00122C6B" w:rsidRPr="00EE4BD6" w14:paraId="6896C45E" w14:textId="77777777" w:rsidTr="00F97A1E">
        <w:trPr>
          <w:cantSplit/>
          <w:trHeight w:val="428"/>
        </w:trPr>
        <w:tc>
          <w:tcPr>
            <w:tcW w:w="311" w:type="pct"/>
            <w:vMerge/>
          </w:tcPr>
          <w:p w14:paraId="0FFA1D2B" w14:textId="77777777" w:rsidR="00122C6B" w:rsidRPr="00EF587A" w:rsidRDefault="00122C6B" w:rsidP="00C81021">
            <w:pPr>
              <w:pStyle w:val="TableText"/>
            </w:pPr>
          </w:p>
        </w:tc>
        <w:tc>
          <w:tcPr>
            <w:tcW w:w="590" w:type="pct"/>
            <w:vMerge/>
          </w:tcPr>
          <w:p w14:paraId="48FE8C42" w14:textId="77777777" w:rsidR="00122C6B" w:rsidRPr="009A1DE7" w:rsidRDefault="00122C6B" w:rsidP="00C81021">
            <w:pPr>
              <w:pStyle w:val="TableText"/>
            </w:pPr>
          </w:p>
        </w:tc>
        <w:tc>
          <w:tcPr>
            <w:tcW w:w="903" w:type="pct"/>
            <w:vMerge/>
          </w:tcPr>
          <w:p w14:paraId="093DA2B6" w14:textId="5E359769" w:rsidR="00122C6B" w:rsidRPr="009A1DE7" w:rsidRDefault="00122C6B" w:rsidP="00C81021">
            <w:pPr>
              <w:pStyle w:val="TableText"/>
            </w:pPr>
          </w:p>
        </w:tc>
        <w:tc>
          <w:tcPr>
            <w:tcW w:w="1286" w:type="pct"/>
            <w:vMerge/>
          </w:tcPr>
          <w:p w14:paraId="1C97DA6A" w14:textId="77777777" w:rsidR="00122C6B" w:rsidRPr="009A1DE7" w:rsidRDefault="00122C6B" w:rsidP="00C81021">
            <w:pPr>
              <w:pStyle w:val="TableText"/>
            </w:pPr>
          </w:p>
        </w:tc>
        <w:tc>
          <w:tcPr>
            <w:tcW w:w="1076" w:type="pct"/>
            <w:vMerge/>
          </w:tcPr>
          <w:p w14:paraId="08A2D420" w14:textId="77777777" w:rsidR="00122C6B" w:rsidRPr="009A1DE7" w:rsidRDefault="00122C6B" w:rsidP="00C81021">
            <w:pPr>
              <w:pStyle w:val="TableText"/>
            </w:pPr>
          </w:p>
        </w:tc>
        <w:tc>
          <w:tcPr>
            <w:tcW w:w="382" w:type="pct"/>
            <w:shd w:val="clear" w:color="auto" w:fill="F2F2F2" w:themeFill="background1" w:themeFillShade="F2"/>
          </w:tcPr>
          <w:p w14:paraId="69B08B44" w14:textId="77777777" w:rsidR="00122C6B" w:rsidRPr="00EE4BD6" w:rsidRDefault="00122C6B" w:rsidP="00C81021">
            <w:pPr>
              <w:pStyle w:val="TableText"/>
            </w:pPr>
            <w:r w:rsidRPr="009A1DE7">
              <w:t>Assigned Individual</w:t>
            </w:r>
            <w:r>
              <w:t>:</w:t>
            </w:r>
          </w:p>
        </w:tc>
        <w:tc>
          <w:tcPr>
            <w:tcW w:w="452" w:type="pct"/>
            <w:shd w:val="clear" w:color="auto" w:fill="F2F2F2" w:themeFill="background1" w:themeFillShade="F2"/>
          </w:tcPr>
          <w:p w14:paraId="34DBA006" w14:textId="77777777" w:rsidR="00122C6B" w:rsidRPr="00EE4BD6" w:rsidRDefault="00122C6B" w:rsidP="00C81021">
            <w:pPr>
              <w:pStyle w:val="TableText"/>
            </w:pPr>
          </w:p>
        </w:tc>
      </w:tr>
      <w:tr w:rsidR="00122C6B" w:rsidRPr="00EE4BD6" w14:paraId="1B59D832" w14:textId="77777777" w:rsidTr="00F97A1E">
        <w:trPr>
          <w:cantSplit/>
          <w:trHeight w:val="428"/>
        </w:trPr>
        <w:tc>
          <w:tcPr>
            <w:tcW w:w="311" w:type="pct"/>
            <w:vMerge/>
          </w:tcPr>
          <w:p w14:paraId="7AF84135" w14:textId="77777777" w:rsidR="00122C6B" w:rsidRPr="00EF587A" w:rsidRDefault="00122C6B" w:rsidP="00C81021">
            <w:pPr>
              <w:pStyle w:val="TableText"/>
            </w:pPr>
          </w:p>
        </w:tc>
        <w:tc>
          <w:tcPr>
            <w:tcW w:w="590" w:type="pct"/>
            <w:vMerge/>
          </w:tcPr>
          <w:p w14:paraId="0327DEF0" w14:textId="77777777" w:rsidR="00122C6B" w:rsidRPr="009A1DE7" w:rsidRDefault="00122C6B" w:rsidP="00C81021">
            <w:pPr>
              <w:pStyle w:val="TableText"/>
            </w:pPr>
          </w:p>
        </w:tc>
        <w:tc>
          <w:tcPr>
            <w:tcW w:w="903" w:type="pct"/>
            <w:vMerge/>
          </w:tcPr>
          <w:p w14:paraId="20EA8026" w14:textId="68579624" w:rsidR="00122C6B" w:rsidRPr="009A1DE7" w:rsidRDefault="00122C6B" w:rsidP="00C81021">
            <w:pPr>
              <w:pStyle w:val="TableText"/>
            </w:pPr>
          </w:p>
        </w:tc>
        <w:tc>
          <w:tcPr>
            <w:tcW w:w="1286" w:type="pct"/>
            <w:vMerge/>
          </w:tcPr>
          <w:p w14:paraId="5F42E8E0" w14:textId="77777777" w:rsidR="00122C6B" w:rsidRPr="009A1DE7" w:rsidRDefault="00122C6B" w:rsidP="00C81021">
            <w:pPr>
              <w:pStyle w:val="TableText"/>
            </w:pPr>
          </w:p>
        </w:tc>
        <w:tc>
          <w:tcPr>
            <w:tcW w:w="1076" w:type="pct"/>
            <w:vMerge/>
          </w:tcPr>
          <w:p w14:paraId="24ECC69F" w14:textId="77777777" w:rsidR="00122C6B" w:rsidRPr="009A1DE7" w:rsidRDefault="00122C6B" w:rsidP="00C81021">
            <w:pPr>
              <w:pStyle w:val="TableText"/>
            </w:pPr>
          </w:p>
        </w:tc>
        <w:tc>
          <w:tcPr>
            <w:tcW w:w="382" w:type="pct"/>
            <w:shd w:val="clear" w:color="auto" w:fill="F2F2F2" w:themeFill="background1" w:themeFillShade="F2"/>
          </w:tcPr>
          <w:p w14:paraId="2A8C9529" w14:textId="77777777" w:rsidR="00122C6B" w:rsidRPr="00EE4BD6" w:rsidRDefault="00122C6B" w:rsidP="00C81021">
            <w:pPr>
              <w:pStyle w:val="TableText"/>
            </w:pPr>
            <w:r w:rsidRPr="009A1DE7">
              <w:t>Actions Required</w:t>
            </w:r>
            <w:r>
              <w:t>:</w:t>
            </w:r>
          </w:p>
        </w:tc>
        <w:tc>
          <w:tcPr>
            <w:tcW w:w="452" w:type="pct"/>
            <w:shd w:val="clear" w:color="auto" w:fill="F2F2F2" w:themeFill="background1" w:themeFillShade="F2"/>
          </w:tcPr>
          <w:p w14:paraId="6E42FFBD" w14:textId="77777777" w:rsidR="00122C6B" w:rsidRPr="00EE4BD6" w:rsidRDefault="00122C6B" w:rsidP="00C81021">
            <w:pPr>
              <w:pStyle w:val="TableText"/>
            </w:pPr>
          </w:p>
        </w:tc>
      </w:tr>
      <w:tr w:rsidR="00122C6B" w:rsidRPr="00EE4BD6" w14:paraId="0D85CE25" w14:textId="77777777" w:rsidTr="00F97A1E">
        <w:trPr>
          <w:cantSplit/>
          <w:trHeight w:val="351"/>
        </w:trPr>
        <w:tc>
          <w:tcPr>
            <w:tcW w:w="311" w:type="pct"/>
            <w:vMerge/>
          </w:tcPr>
          <w:p w14:paraId="60C7A43E" w14:textId="77777777" w:rsidR="00122C6B" w:rsidRPr="00EF587A" w:rsidRDefault="00122C6B" w:rsidP="00C81021">
            <w:pPr>
              <w:pStyle w:val="TableText"/>
            </w:pPr>
          </w:p>
        </w:tc>
        <w:tc>
          <w:tcPr>
            <w:tcW w:w="590" w:type="pct"/>
            <w:vMerge/>
          </w:tcPr>
          <w:p w14:paraId="41B62AC0" w14:textId="77777777" w:rsidR="00122C6B" w:rsidRPr="009A1DE7" w:rsidRDefault="00122C6B" w:rsidP="00C81021">
            <w:pPr>
              <w:pStyle w:val="TableText"/>
            </w:pPr>
          </w:p>
        </w:tc>
        <w:tc>
          <w:tcPr>
            <w:tcW w:w="903" w:type="pct"/>
            <w:vMerge/>
          </w:tcPr>
          <w:p w14:paraId="65F4D38F" w14:textId="2BA05A55" w:rsidR="00122C6B" w:rsidRPr="009A1DE7" w:rsidRDefault="00122C6B" w:rsidP="00C81021">
            <w:pPr>
              <w:pStyle w:val="TableText"/>
            </w:pPr>
          </w:p>
        </w:tc>
        <w:tc>
          <w:tcPr>
            <w:tcW w:w="1286" w:type="pct"/>
            <w:vMerge/>
          </w:tcPr>
          <w:p w14:paraId="7C650A82" w14:textId="77777777" w:rsidR="00122C6B" w:rsidRPr="009A1DE7" w:rsidRDefault="00122C6B" w:rsidP="00C81021">
            <w:pPr>
              <w:pStyle w:val="TableText"/>
            </w:pPr>
          </w:p>
        </w:tc>
        <w:tc>
          <w:tcPr>
            <w:tcW w:w="1076" w:type="pct"/>
            <w:vMerge/>
          </w:tcPr>
          <w:p w14:paraId="4B511D34" w14:textId="77777777" w:rsidR="00122C6B" w:rsidRPr="009A1DE7" w:rsidRDefault="00122C6B" w:rsidP="00C81021">
            <w:pPr>
              <w:pStyle w:val="TableText"/>
            </w:pPr>
          </w:p>
        </w:tc>
        <w:tc>
          <w:tcPr>
            <w:tcW w:w="382" w:type="pct"/>
            <w:shd w:val="clear" w:color="auto" w:fill="F2F2F2" w:themeFill="background1" w:themeFillShade="F2"/>
          </w:tcPr>
          <w:p w14:paraId="01DA3706" w14:textId="77777777" w:rsidR="00122C6B" w:rsidRPr="00EE4BD6" w:rsidRDefault="00122C6B" w:rsidP="00C81021">
            <w:pPr>
              <w:pStyle w:val="TableText"/>
            </w:pPr>
            <w:r w:rsidRPr="009A1DE7">
              <w:t>Target Date</w:t>
            </w:r>
            <w:r>
              <w:t>:</w:t>
            </w:r>
          </w:p>
        </w:tc>
        <w:tc>
          <w:tcPr>
            <w:tcW w:w="452" w:type="pct"/>
            <w:shd w:val="clear" w:color="auto" w:fill="F2F2F2" w:themeFill="background1" w:themeFillShade="F2"/>
          </w:tcPr>
          <w:p w14:paraId="2B7DA092" w14:textId="77777777" w:rsidR="00122C6B" w:rsidRPr="00EE4BD6" w:rsidRDefault="00122C6B" w:rsidP="00C81021">
            <w:pPr>
              <w:pStyle w:val="TableText"/>
            </w:pPr>
          </w:p>
        </w:tc>
      </w:tr>
      <w:tr w:rsidR="00122C6B" w:rsidRPr="00EF587A" w14:paraId="7F730B4C" w14:textId="77777777" w:rsidTr="00F97A1E">
        <w:trPr>
          <w:cantSplit/>
          <w:trHeight w:val="428"/>
        </w:trPr>
        <w:tc>
          <w:tcPr>
            <w:tcW w:w="311" w:type="pct"/>
            <w:vMerge/>
          </w:tcPr>
          <w:p w14:paraId="61422866" w14:textId="77777777" w:rsidR="00122C6B" w:rsidRPr="00EF587A" w:rsidRDefault="00122C6B" w:rsidP="00C81021">
            <w:pPr>
              <w:pStyle w:val="TableText"/>
            </w:pPr>
          </w:p>
        </w:tc>
        <w:tc>
          <w:tcPr>
            <w:tcW w:w="590" w:type="pct"/>
            <w:vMerge/>
          </w:tcPr>
          <w:p w14:paraId="10588161" w14:textId="77777777" w:rsidR="00122C6B" w:rsidRPr="00EF587A" w:rsidRDefault="00122C6B" w:rsidP="00C81021">
            <w:pPr>
              <w:pStyle w:val="TableText"/>
            </w:pPr>
          </w:p>
        </w:tc>
        <w:tc>
          <w:tcPr>
            <w:tcW w:w="903" w:type="pct"/>
            <w:vMerge/>
          </w:tcPr>
          <w:p w14:paraId="4214AB6B" w14:textId="0492D741" w:rsidR="00122C6B" w:rsidRPr="00EF587A" w:rsidRDefault="00122C6B" w:rsidP="00C81021">
            <w:pPr>
              <w:pStyle w:val="TableText"/>
            </w:pPr>
          </w:p>
        </w:tc>
        <w:tc>
          <w:tcPr>
            <w:tcW w:w="1286" w:type="pct"/>
            <w:vMerge/>
          </w:tcPr>
          <w:p w14:paraId="2E0103F6" w14:textId="77777777" w:rsidR="00122C6B" w:rsidRPr="00EF587A" w:rsidRDefault="00122C6B" w:rsidP="00C81021">
            <w:pPr>
              <w:pStyle w:val="TableText"/>
            </w:pPr>
          </w:p>
        </w:tc>
        <w:tc>
          <w:tcPr>
            <w:tcW w:w="1076" w:type="pct"/>
            <w:vMerge/>
          </w:tcPr>
          <w:p w14:paraId="7801B0E8" w14:textId="77777777" w:rsidR="00122C6B" w:rsidRPr="00EF587A" w:rsidRDefault="00122C6B" w:rsidP="00C81021">
            <w:pPr>
              <w:pStyle w:val="TableText"/>
            </w:pPr>
          </w:p>
        </w:tc>
        <w:tc>
          <w:tcPr>
            <w:tcW w:w="382" w:type="pct"/>
            <w:shd w:val="clear" w:color="auto" w:fill="F2F2F2" w:themeFill="background1" w:themeFillShade="F2"/>
          </w:tcPr>
          <w:p w14:paraId="73ECAB7D" w14:textId="77777777" w:rsidR="00122C6B" w:rsidRPr="00EF587A" w:rsidRDefault="00122C6B" w:rsidP="00C81021">
            <w:pPr>
              <w:pStyle w:val="TableText"/>
            </w:pPr>
            <w:r w:rsidRPr="009A1DE7">
              <w:t>Completion Date</w:t>
            </w:r>
            <w:r>
              <w:t>:</w:t>
            </w:r>
          </w:p>
        </w:tc>
        <w:tc>
          <w:tcPr>
            <w:tcW w:w="452" w:type="pct"/>
            <w:shd w:val="clear" w:color="auto" w:fill="F2F2F2" w:themeFill="background1" w:themeFillShade="F2"/>
          </w:tcPr>
          <w:p w14:paraId="597BDA50" w14:textId="77777777" w:rsidR="00122C6B" w:rsidRPr="00EF587A" w:rsidRDefault="00122C6B" w:rsidP="00C81021">
            <w:pPr>
              <w:pStyle w:val="TableText"/>
            </w:pPr>
          </w:p>
        </w:tc>
      </w:tr>
      <w:tr w:rsidR="00122C6B" w:rsidRPr="00EE4BD6" w14:paraId="44DF51E5" w14:textId="77777777" w:rsidTr="00F97A1E">
        <w:trPr>
          <w:cantSplit/>
          <w:trHeight w:val="18"/>
        </w:trPr>
        <w:tc>
          <w:tcPr>
            <w:tcW w:w="5000" w:type="pct"/>
            <w:gridSpan w:val="7"/>
            <w:shd w:val="clear" w:color="auto" w:fill="DEEAF6" w:themeFill="accent1" w:themeFillTint="33"/>
          </w:tcPr>
          <w:p w14:paraId="7B855373" w14:textId="2E681286" w:rsidR="00122C6B" w:rsidRPr="00572499" w:rsidRDefault="00122C6B" w:rsidP="00C81021">
            <w:pPr>
              <w:pStyle w:val="TableText"/>
              <w:rPr>
                <w:sz w:val="8"/>
                <w:szCs w:val="8"/>
              </w:rPr>
            </w:pPr>
          </w:p>
        </w:tc>
      </w:tr>
      <w:tr w:rsidR="00FF4D51" w:rsidRPr="00EE4BD6" w14:paraId="20A1CF4D" w14:textId="77777777" w:rsidTr="00F97A1E">
        <w:trPr>
          <w:cantSplit/>
          <w:trHeight w:val="428"/>
        </w:trPr>
        <w:tc>
          <w:tcPr>
            <w:tcW w:w="311" w:type="pct"/>
            <w:vMerge w:val="restart"/>
            <w:vAlign w:val="center"/>
          </w:tcPr>
          <w:p w14:paraId="4655A66B" w14:textId="3A62FB51" w:rsidR="00FF4D51" w:rsidRPr="00F77313" w:rsidRDefault="00FF4D51" w:rsidP="00FF4D51">
            <w:pPr>
              <w:pStyle w:val="TableText"/>
              <w:jc w:val="center"/>
              <w:rPr>
                <w:b/>
                <w:bCs/>
              </w:rPr>
            </w:pPr>
            <w:r>
              <w:rPr>
                <w:b/>
                <w:bCs/>
              </w:rPr>
              <w:t>Weekly</w:t>
            </w:r>
          </w:p>
        </w:tc>
        <w:tc>
          <w:tcPr>
            <w:tcW w:w="590" w:type="pct"/>
            <w:vMerge w:val="restart"/>
          </w:tcPr>
          <w:p w14:paraId="1B83A0B6" w14:textId="56B6DA13" w:rsidR="00FF4D51" w:rsidRPr="009A1DE7" w:rsidRDefault="00FF4D51" w:rsidP="00FF4D51">
            <w:pPr>
              <w:pStyle w:val="TableText"/>
            </w:pPr>
            <w:r w:rsidRPr="00FF4D51">
              <w:t>Windows Updates</w:t>
            </w:r>
          </w:p>
        </w:tc>
        <w:tc>
          <w:tcPr>
            <w:tcW w:w="903" w:type="pct"/>
            <w:vMerge w:val="restart"/>
          </w:tcPr>
          <w:p w14:paraId="5EDE23BF" w14:textId="42D29E89" w:rsidR="00FF4D51" w:rsidRPr="009A1DE7" w:rsidRDefault="00FF4D51" w:rsidP="00FF4D51">
            <w:pPr>
              <w:pStyle w:val="TableText"/>
            </w:pPr>
            <w:r w:rsidRPr="00124ECC">
              <w:t>Installing Microsoft Windows updates is critical task that allows for fixes to known issues in Microsoft products.</w:t>
            </w:r>
          </w:p>
        </w:tc>
        <w:tc>
          <w:tcPr>
            <w:tcW w:w="1286" w:type="pct"/>
            <w:vMerge w:val="restart"/>
          </w:tcPr>
          <w:p w14:paraId="3C739AB0" w14:textId="2518CAC2" w:rsidR="00FF4D51" w:rsidRPr="009A1DE7" w:rsidRDefault="00FF4D51" w:rsidP="00FF4D51">
            <w:pPr>
              <w:pStyle w:val="TableText"/>
              <w:numPr>
                <w:ilvl w:val="0"/>
                <w:numId w:val="2"/>
              </w:numPr>
              <w:ind w:left="232" w:hanging="180"/>
            </w:pPr>
            <w:r w:rsidRPr="00124ECC">
              <w:t>Servers and Workstations should be patched to the latest Microsoft operating system updates.</w:t>
            </w:r>
          </w:p>
        </w:tc>
        <w:tc>
          <w:tcPr>
            <w:tcW w:w="1076" w:type="pct"/>
            <w:vMerge w:val="restart"/>
          </w:tcPr>
          <w:p w14:paraId="3A022C14" w14:textId="4BB42A2A" w:rsidR="00FF4D51" w:rsidRPr="00EF587A" w:rsidRDefault="00FF4D51" w:rsidP="00FF4D51">
            <w:pPr>
              <w:pStyle w:val="TableText"/>
            </w:pPr>
            <w:r w:rsidRPr="00124ECC">
              <w:t>Servers and Workstations are vulnerable to malware, virus and out of date Microsoft applications which could cause your system to stop working.</w:t>
            </w:r>
          </w:p>
        </w:tc>
        <w:tc>
          <w:tcPr>
            <w:tcW w:w="382" w:type="pct"/>
            <w:shd w:val="clear" w:color="auto" w:fill="F2F2F2" w:themeFill="background1" w:themeFillShade="F2"/>
          </w:tcPr>
          <w:p w14:paraId="0061C274" w14:textId="77777777" w:rsidR="00FF4D51" w:rsidRPr="00EE4BD6" w:rsidRDefault="00FF4D51" w:rsidP="00FF4D51">
            <w:pPr>
              <w:pStyle w:val="TableText"/>
            </w:pPr>
            <w:r w:rsidRPr="001F26DF">
              <w:t>Date Reviewed</w:t>
            </w:r>
            <w:r>
              <w:t>:</w:t>
            </w:r>
          </w:p>
        </w:tc>
        <w:tc>
          <w:tcPr>
            <w:tcW w:w="452" w:type="pct"/>
            <w:shd w:val="clear" w:color="auto" w:fill="F2F2F2" w:themeFill="background1" w:themeFillShade="F2"/>
          </w:tcPr>
          <w:p w14:paraId="416D7EAF" w14:textId="77777777" w:rsidR="00FF4D51" w:rsidRPr="00EE4BD6" w:rsidRDefault="00FF4D51" w:rsidP="00FF4D51">
            <w:pPr>
              <w:pStyle w:val="TableText"/>
            </w:pPr>
          </w:p>
        </w:tc>
      </w:tr>
      <w:tr w:rsidR="00122C6B" w:rsidRPr="00EE4BD6" w14:paraId="6FDC54E0" w14:textId="77777777" w:rsidTr="00F97A1E">
        <w:trPr>
          <w:cantSplit/>
          <w:trHeight w:val="428"/>
        </w:trPr>
        <w:tc>
          <w:tcPr>
            <w:tcW w:w="311" w:type="pct"/>
            <w:vMerge/>
          </w:tcPr>
          <w:p w14:paraId="7A9A8906" w14:textId="77777777" w:rsidR="00122C6B" w:rsidRPr="00EF587A" w:rsidRDefault="00122C6B" w:rsidP="00C81021">
            <w:pPr>
              <w:pStyle w:val="TableText"/>
            </w:pPr>
          </w:p>
        </w:tc>
        <w:tc>
          <w:tcPr>
            <w:tcW w:w="590" w:type="pct"/>
            <w:vMerge/>
          </w:tcPr>
          <w:p w14:paraId="11A71068" w14:textId="77777777" w:rsidR="00122C6B" w:rsidRPr="009A1DE7" w:rsidRDefault="00122C6B" w:rsidP="00C81021">
            <w:pPr>
              <w:pStyle w:val="TableText"/>
            </w:pPr>
          </w:p>
        </w:tc>
        <w:tc>
          <w:tcPr>
            <w:tcW w:w="903" w:type="pct"/>
            <w:vMerge/>
          </w:tcPr>
          <w:p w14:paraId="15879309" w14:textId="23B92AAE" w:rsidR="00122C6B" w:rsidRPr="009A1DE7" w:rsidRDefault="00122C6B" w:rsidP="00C81021">
            <w:pPr>
              <w:pStyle w:val="TableText"/>
            </w:pPr>
          </w:p>
        </w:tc>
        <w:tc>
          <w:tcPr>
            <w:tcW w:w="1286" w:type="pct"/>
            <w:vMerge/>
          </w:tcPr>
          <w:p w14:paraId="0D206A75" w14:textId="77777777" w:rsidR="00122C6B" w:rsidRPr="009A1DE7" w:rsidRDefault="00122C6B" w:rsidP="00C81021">
            <w:pPr>
              <w:pStyle w:val="TableText"/>
            </w:pPr>
          </w:p>
        </w:tc>
        <w:tc>
          <w:tcPr>
            <w:tcW w:w="1076" w:type="pct"/>
            <w:vMerge/>
          </w:tcPr>
          <w:p w14:paraId="2FA0C819" w14:textId="77777777" w:rsidR="00122C6B" w:rsidRPr="009A1DE7" w:rsidRDefault="00122C6B" w:rsidP="00C81021">
            <w:pPr>
              <w:pStyle w:val="TableText"/>
            </w:pPr>
          </w:p>
        </w:tc>
        <w:tc>
          <w:tcPr>
            <w:tcW w:w="382" w:type="pct"/>
            <w:shd w:val="clear" w:color="auto" w:fill="F2F2F2" w:themeFill="background1" w:themeFillShade="F2"/>
          </w:tcPr>
          <w:p w14:paraId="46292665" w14:textId="77777777" w:rsidR="00122C6B" w:rsidRPr="00EE4BD6" w:rsidRDefault="00122C6B" w:rsidP="00C81021">
            <w:pPr>
              <w:pStyle w:val="TableText"/>
            </w:pPr>
            <w:r w:rsidRPr="009A1DE7">
              <w:t>Assigned Individual</w:t>
            </w:r>
            <w:r>
              <w:t>:</w:t>
            </w:r>
          </w:p>
        </w:tc>
        <w:tc>
          <w:tcPr>
            <w:tcW w:w="452" w:type="pct"/>
            <w:shd w:val="clear" w:color="auto" w:fill="F2F2F2" w:themeFill="background1" w:themeFillShade="F2"/>
          </w:tcPr>
          <w:p w14:paraId="33B2DD30" w14:textId="77777777" w:rsidR="00122C6B" w:rsidRPr="00EE4BD6" w:rsidRDefault="00122C6B" w:rsidP="00C81021">
            <w:pPr>
              <w:pStyle w:val="TableText"/>
            </w:pPr>
          </w:p>
        </w:tc>
      </w:tr>
      <w:tr w:rsidR="00122C6B" w:rsidRPr="00EE4BD6" w14:paraId="7772A4AA" w14:textId="77777777" w:rsidTr="00F97A1E">
        <w:trPr>
          <w:cantSplit/>
          <w:trHeight w:val="428"/>
        </w:trPr>
        <w:tc>
          <w:tcPr>
            <w:tcW w:w="311" w:type="pct"/>
            <w:vMerge/>
          </w:tcPr>
          <w:p w14:paraId="72B0F86D" w14:textId="77777777" w:rsidR="00122C6B" w:rsidRPr="00EF587A" w:rsidRDefault="00122C6B" w:rsidP="00C81021">
            <w:pPr>
              <w:pStyle w:val="TableText"/>
            </w:pPr>
          </w:p>
        </w:tc>
        <w:tc>
          <w:tcPr>
            <w:tcW w:w="590" w:type="pct"/>
            <w:vMerge/>
          </w:tcPr>
          <w:p w14:paraId="4D08E9CD" w14:textId="77777777" w:rsidR="00122C6B" w:rsidRPr="009A1DE7" w:rsidRDefault="00122C6B" w:rsidP="00C81021">
            <w:pPr>
              <w:pStyle w:val="TableText"/>
            </w:pPr>
          </w:p>
        </w:tc>
        <w:tc>
          <w:tcPr>
            <w:tcW w:w="903" w:type="pct"/>
            <w:vMerge/>
          </w:tcPr>
          <w:p w14:paraId="0A3772E6" w14:textId="512D2C4A" w:rsidR="00122C6B" w:rsidRPr="009A1DE7" w:rsidRDefault="00122C6B" w:rsidP="00C81021">
            <w:pPr>
              <w:pStyle w:val="TableText"/>
            </w:pPr>
          </w:p>
        </w:tc>
        <w:tc>
          <w:tcPr>
            <w:tcW w:w="1286" w:type="pct"/>
            <w:vMerge/>
          </w:tcPr>
          <w:p w14:paraId="0C3F9A6E" w14:textId="77777777" w:rsidR="00122C6B" w:rsidRPr="009A1DE7" w:rsidRDefault="00122C6B" w:rsidP="00C81021">
            <w:pPr>
              <w:pStyle w:val="TableText"/>
            </w:pPr>
          </w:p>
        </w:tc>
        <w:tc>
          <w:tcPr>
            <w:tcW w:w="1076" w:type="pct"/>
            <w:vMerge/>
          </w:tcPr>
          <w:p w14:paraId="7F141C43" w14:textId="77777777" w:rsidR="00122C6B" w:rsidRPr="009A1DE7" w:rsidRDefault="00122C6B" w:rsidP="00C81021">
            <w:pPr>
              <w:pStyle w:val="TableText"/>
            </w:pPr>
          </w:p>
        </w:tc>
        <w:tc>
          <w:tcPr>
            <w:tcW w:w="382" w:type="pct"/>
            <w:shd w:val="clear" w:color="auto" w:fill="F2F2F2" w:themeFill="background1" w:themeFillShade="F2"/>
          </w:tcPr>
          <w:p w14:paraId="418D4048" w14:textId="77777777" w:rsidR="00122C6B" w:rsidRPr="00EE4BD6" w:rsidRDefault="00122C6B" w:rsidP="00C81021">
            <w:pPr>
              <w:pStyle w:val="TableText"/>
            </w:pPr>
            <w:r w:rsidRPr="009A1DE7">
              <w:t>Actions Required</w:t>
            </w:r>
            <w:r>
              <w:t>:</w:t>
            </w:r>
          </w:p>
        </w:tc>
        <w:tc>
          <w:tcPr>
            <w:tcW w:w="452" w:type="pct"/>
            <w:shd w:val="clear" w:color="auto" w:fill="F2F2F2" w:themeFill="background1" w:themeFillShade="F2"/>
          </w:tcPr>
          <w:p w14:paraId="62E7F36E" w14:textId="77777777" w:rsidR="00122C6B" w:rsidRPr="00EE4BD6" w:rsidRDefault="00122C6B" w:rsidP="00C81021">
            <w:pPr>
              <w:pStyle w:val="TableText"/>
            </w:pPr>
          </w:p>
        </w:tc>
      </w:tr>
      <w:tr w:rsidR="00122C6B" w:rsidRPr="00EE4BD6" w14:paraId="58A71D89" w14:textId="77777777" w:rsidTr="00F97A1E">
        <w:trPr>
          <w:cantSplit/>
          <w:trHeight w:val="315"/>
        </w:trPr>
        <w:tc>
          <w:tcPr>
            <w:tcW w:w="311" w:type="pct"/>
            <w:vMerge/>
          </w:tcPr>
          <w:p w14:paraId="04240892" w14:textId="77777777" w:rsidR="00122C6B" w:rsidRPr="00EF587A" w:rsidRDefault="00122C6B" w:rsidP="00C81021">
            <w:pPr>
              <w:pStyle w:val="TableText"/>
            </w:pPr>
          </w:p>
        </w:tc>
        <w:tc>
          <w:tcPr>
            <w:tcW w:w="590" w:type="pct"/>
            <w:vMerge/>
          </w:tcPr>
          <w:p w14:paraId="56E7DD64" w14:textId="77777777" w:rsidR="00122C6B" w:rsidRPr="009A1DE7" w:rsidRDefault="00122C6B" w:rsidP="00C81021">
            <w:pPr>
              <w:pStyle w:val="TableText"/>
            </w:pPr>
          </w:p>
        </w:tc>
        <w:tc>
          <w:tcPr>
            <w:tcW w:w="903" w:type="pct"/>
            <w:vMerge/>
          </w:tcPr>
          <w:p w14:paraId="7569716C" w14:textId="69FE2BEC" w:rsidR="00122C6B" w:rsidRPr="009A1DE7" w:rsidRDefault="00122C6B" w:rsidP="00C81021">
            <w:pPr>
              <w:pStyle w:val="TableText"/>
            </w:pPr>
          </w:p>
        </w:tc>
        <w:tc>
          <w:tcPr>
            <w:tcW w:w="1286" w:type="pct"/>
            <w:vMerge/>
          </w:tcPr>
          <w:p w14:paraId="693138C3" w14:textId="77777777" w:rsidR="00122C6B" w:rsidRPr="009A1DE7" w:rsidRDefault="00122C6B" w:rsidP="00C81021">
            <w:pPr>
              <w:pStyle w:val="TableText"/>
            </w:pPr>
          </w:p>
        </w:tc>
        <w:tc>
          <w:tcPr>
            <w:tcW w:w="1076" w:type="pct"/>
            <w:vMerge/>
          </w:tcPr>
          <w:p w14:paraId="205B8CD9" w14:textId="77777777" w:rsidR="00122C6B" w:rsidRPr="009A1DE7" w:rsidRDefault="00122C6B" w:rsidP="00C81021">
            <w:pPr>
              <w:pStyle w:val="TableText"/>
            </w:pPr>
          </w:p>
        </w:tc>
        <w:tc>
          <w:tcPr>
            <w:tcW w:w="382" w:type="pct"/>
            <w:shd w:val="clear" w:color="auto" w:fill="F2F2F2" w:themeFill="background1" w:themeFillShade="F2"/>
          </w:tcPr>
          <w:p w14:paraId="73372BE8" w14:textId="77777777" w:rsidR="00122C6B" w:rsidRPr="00EE4BD6" w:rsidRDefault="00122C6B" w:rsidP="00C81021">
            <w:pPr>
              <w:pStyle w:val="TableText"/>
            </w:pPr>
            <w:r w:rsidRPr="009A1DE7">
              <w:t>Target Date</w:t>
            </w:r>
            <w:r>
              <w:t>:</w:t>
            </w:r>
          </w:p>
        </w:tc>
        <w:tc>
          <w:tcPr>
            <w:tcW w:w="452" w:type="pct"/>
            <w:shd w:val="clear" w:color="auto" w:fill="F2F2F2" w:themeFill="background1" w:themeFillShade="F2"/>
          </w:tcPr>
          <w:p w14:paraId="269C63A3" w14:textId="77777777" w:rsidR="00122C6B" w:rsidRPr="00EE4BD6" w:rsidRDefault="00122C6B" w:rsidP="00C81021">
            <w:pPr>
              <w:pStyle w:val="TableText"/>
            </w:pPr>
          </w:p>
        </w:tc>
      </w:tr>
      <w:tr w:rsidR="00122C6B" w:rsidRPr="00EF587A" w14:paraId="2E81D7D2" w14:textId="77777777" w:rsidTr="00F97A1E">
        <w:trPr>
          <w:cantSplit/>
          <w:trHeight w:val="428"/>
        </w:trPr>
        <w:tc>
          <w:tcPr>
            <w:tcW w:w="311" w:type="pct"/>
            <w:vMerge/>
          </w:tcPr>
          <w:p w14:paraId="1E24E8E3" w14:textId="77777777" w:rsidR="00122C6B" w:rsidRPr="00EF587A" w:rsidRDefault="00122C6B" w:rsidP="00C81021">
            <w:pPr>
              <w:pStyle w:val="TableText"/>
            </w:pPr>
          </w:p>
        </w:tc>
        <w:tc>
          <w:tcPr>
            <w:tcW w:w="590" w:type="pct"/>
            <w:vMerge/>
          </w:tcPr>
          <w:p w14:paraId="64FB3157" w14:textId="77777777" w:rsidR="00122C6B" w:rsidRPr="00EF587A" w:rsidRDefault="00122C6B" w:rsidP="00C81021">
            <w:pPr>
              <w:pStyle w:val="TableText"/>
            </w:pPr>
          </w:p>
        </w:tc>
        <w:tc>
          <w:tcPr>
            <w:tcW w:w="903" w:type="pct"/>
            <w:vMerge/>
          </w:tcPr>
          <w:p w14:paraId="09071752" w14:textId="18252B4F" w:rsidR="00122C6B" w:rsidRPr="00EF587A" w:rsidRDefault="00122C6B" w:rsidP="00C81021">
            <w:pPr>
              <w:pStyle w:val="TableText"/>
            </w:pPr>
          </w:p>
        </w:tc>
        <w:tc>
          <w:tcPr>
            <w:tcW w:w="1286" w:type="pct"/>
            <w:vMerge/>
          </w:tcPr>
          <w:p w14:paraId="701669DF" w14:textId="77777777" w:rsidR="00122C6B" w:rsidRPr="00EF587A" w:rsidRDefault="00122C6B" w:rsidP="00C81021">
            <w:pPr>
              <w:pStyle w:val="TableText"/>
            </w:pPr>
          </w:p>
        </w:tc>
        <w:tc>
          <w:tcPr>
            <w:tcW w:w="1076" w:type="pct"/>
            <w:vMerge/>
          </w:tcPr>
          <w:p w14:paraId="26E87BFC" w14:textId="77777777" w:rsidR="00122C6B" w:rsidRPr="00EF587A" w:rsidRDefault="00122C6B" w:rsidP="00C81021">
            <w:pPr>
              <w:pStyle w:val="TableText"/>
            </w:pPr>
          </w:p>
        </w:tc>
        <w:tc>
          <w:tcPr>
            <w:tcW w:w="382" w:type="pct"/>
            <w:shd w:val="clear" w:color="auto" w:fill="F2F2F2" w:themeFill="background1" w:themeFillShade="F2"/>
          </w:tcPr>
          <w:p w14:paraId="3FE942A5" w14:textId="77777777" w:rsidR="00122C6B" w:rsidRPr="00EF587A" w:rsidRDefault="00122C6B" w:rsidP="00C81021">
            <w:pPr>
              <w:pStyle w:val="TableText"/>
            </w:pPr>
            <w:r w:rsidRPr="009A1DE7">
              <w:t>Completion Date</w:t>
            </w:r>
            <w:r>
              <w:t>:</w:t>
            </w:r>
          </w:p>
        </w:tc>
        <w:tc>
          <w:tcPr>
            <w:tcW w:w="452" w:type="pct"/>
            <w:shd w:val="clear" w:color="auto" w:fill="F2F2F2" w:themeFill="background1" w:themeFillShade="F2"/>
          </w:tcPr>
          <w:p w14:paraId="72AE9472" w14:textId="77777777" w:rsidR="00122C6B" w:rsidRPr="00EF587A" w:rsidRDefault="00122C6B" w:rsidP="00C81021">
            <w:pPr>
              <w:pStyle w:val="TableText"/>
            </w:pPr>
          </w:p>
        </w:tc>
      </w:tr>
      <w:tr w:rsidR="00122C6B" w:rsidRPr="00EE4BD6" w14:paraId="53BD026C" w14:textId="77777777" w:rsidTr="00F97A1E">
        <w:trPr>
          <w:cantSplit/>
          <w:trHeight w:val="118"/>
        </w:trPr>
        <w:tc>
          <w:tcPr>
            <w:tcW w:w="5000" w:type="pct"/>
            <w:gridSpan w:val="7"/>
            <w:shd w:val="clear" w:color="auto" w:fill="DEEAF6" w:themeFill="accent1" w:themeFillTint="33"/>
          </w:tcPr>
          <w:p w14:paraId="46415740" w14:textId="13A0C6ED" w:rsidR="00122C6B" w:rsidRPr="00572499" w:rsidRDefault="00122C6B" w:rsidP="00C81021">
            <w:pPr>
              <w:pStyle w:val="TableText"/>
              <w:rPr>
                <w:sz w:val="8"/>
                <w:szCs w:val="8"/>
              </w:rPr>
            </w:pPr>
          </w:p>
        </w:tc>
      </w:tr>
      <w:tr w:rsidR="00FF4D51" w:rsidRPr="00EE4BD6" w14:paraId="3E9864DC" w14:textId="77777777" w:rsidTr="00F97A1E">
        <w:trPr>
          <w:cantSplit/>
          <w:trHeight w:val="428"/>
        </w:trPr>
        <w:tc>
          <w:tcPr>
            <w:tcW w:w="311" w:type="pct"/>
            <w:vMerge w:val="restart"/>
            <w:vAlign w:val="center"/>
          </w:tcPr>
          <w:p w14:paraId="1512D0B7" w14:textId="5BB61445" w:rsidR="00FF4D51" w:rsidRPr="00F77313" w:rsidRDefault="00FF4D51" w:rsidP="00FF4D51">
            <w:pPr>
              <w:pStyle w:val="TableText"/>
              <w:jc w:val="center"/>
              <w:rPr>
                <w:b/>
                <w:bCs/>
              </w:rPr>
            </w:pPr>
            <w:r>
              <w:rPr>
                <w:b/>
                <w:bCs/>
              </w:rPr>
              <w:t>Weekly</w:t>
            </w:r>
          </w:p>
        </w:tc>
        <w:tc>
          <w:tcPr>
            <w:tcW w:w="590" w:type="pct"/>
            <w:vMerge w:val="restart"/>
          </w:tcPr>
          <w:p w14:paraId="658DBAA8" w14:textId="502B94A0" w:rsidR="00FF4D51" w:rsidRPr="009A1DE7" w:rsidRDefault="00FF4D51" w:rsidP="00FF4D51">
            <w:pPr>
              <w:pStyle w:val="TableText"/>
            </w:pPr>
            <w:r w:rsidRPr="00FF4D51">
              <w:t>Windows System Logs</w:t>
            </w:r>
          </w:p>
        </w:tc>
        <w:tc>
          <w:tcPr>
            <w:tcW w:w="903" w:type="pct"/>
            <w:vMerge w:val="restart"/>
          </w:tcPr>
          <w:p w14:paraId="0DDDAA0A" w14:textId="6F2D87D2" w:rsidR="00FF4D51" w:rsidRPr="009A1DE7" w:rsidRDefault="00FF4D51" w:rsidP="00FF4D51">
            <w:pPr>
              <w:pStyle w:val="TableText"/>
            </w:pPr>
            <w:r w:rsidRPr="00124ECC">
              <w:t>Monitor and report on file access, network connections, unauthorized activity, error messages, and unusual network and system behavior.</w:t>
            </w:r>
          </w:p>
        </w:tc>
        <w:tc>
          <w:tcPr>
            <w:tcW w:w="1286" w:type="pct"/>
            <w:vMerge w:val="restart"/>
          </w:tcPr>
          <w:p w14:paraId="6CDBE7DF" w14:textId="40C0849E" w:rsidR="00FF4D51" w:rsidRPr="009A1DE7" w:rsidRDefault="00FF4D51" w:rsidP="00FF4D51">
            <w:pPr>
              <w:pStyle w:val="TableText"/>
              <w:numPr>
                <w:ilvl w:val="0"/>
                <w:numId w:val="2"/>
              </w:numPr>
              <w:ind w:left="232" w:hanging="180"/>
            </w:pPr>
            <w:r w:rsidRPr="00124ECC">
              <w:t>Check your Server/Workstation system logs for any critical error codes or messages.</w:t>
            </w:r>
          </w:p>
        </w:tc>
        <w:tc>
          <w:tcPr>
            <w:tcW w:w="1076" w:type="pct"/>
            <w:vMerge w:val="restart"/>
          </w:tcPr>
          <w:p w14:paraId="4B5B535E" w14:textId="5B2C9981" w:rsidR="00FF4D51" w:rsidRPr="00EF587A" w:rsidRDefault="00FF4D51" w:rsidP="00FF4D51">
            <w:pPr>
              <w:pStyle w:val="TableText"/>
            </w:pPr>
            <w:r w:rsidRPr="00124ECC">
              <w:t>Server/Workstation system logs can indicate a potential failure point or undesirable connections to your Server/Workstation</w:t>
            </w:r>
            <w:r>
              <w:t>.</w:t>
            </w:r>
          </w:p>
        </w:tc>
        <w:tc>
          <w:tcPr>
            <w:tcW w:w="382" w:type="pct"/>
            <w:shd w:val="clear" w:color="auto" w:fill="F2F2F2" w:themeFill="background1" w:themeFillShade="F2"/>
          </w:tcPr>
          <w:p w14:paraId="099A12A5" w14:textId="77777777" w:rsidR="00FF4D51" w:rsidRPr="00EE4BD6" w:rsidRDefault="00FF4D51" w:rsidP="00FF4D51">
            <w:pPr>
              <w:pStyle w:val="TableText"/>
            </w:pPr>
            <w:r w:rsidRPr="001F26DF">
              <w:t>Date Reviewed</w:t>
            </w:r>
            <w:r>
              <w:t>:</w:t>
            </w:r>
          </w:p>
        </w:tc>
        <w:tc>
          <w:tcPr>
            <w:tcW w:w="452" w:type="pct"/>
            <w:shd w:val="clear" w:color="auto" w:fill="F2F2F2" w:themeFill="background1" w:themeFillShade="F2"/>
          </w:tcPr>
          <w:p w14:paraId="76CA0114" w14:textId="77777777" w:rsidR="00FF4D51" w:rsidRPr="00EE4BD6" w:rsidRDefault="00FF4D51" w:rsidP="00FF4D51">
            <w:pPr>
              <w:pStyle w:val="TableText"/>
            </w:pPr>
          </w:p>
        </w:tc>
      </w:tr>
      <w:tr w:rsidR="00122C6B" w:rsidRPr="00EE4BD6" w14:paraId="542DC166" w14:textId="77777777" w:rsidTr="00F97A1E">
        <w:trPr>
          <w:cantSplit/>
          <w:trHeight w:val="428"/>
        </w:trPr>
        <w:tc>
          <w:tcPr>
            <w:tcW w:w="311" w:type="pct"/>
            <w:vMerge/>
          </w:tcPr>
          <w:p w14:paraId="77622ADA" w14:textId="77777777" w:rsidR="00122C6B" w:rsidRPr="00EF587A" w:rsidRDefault="00122C6B" w:rsidP="00C81021">
            <w:pPr>
              <w:pStyle w:val="TableText"/>
            </w:pPr>
          </w:p>
        </w:tc>
        <w:tc>
          <w:tcPr>
            <w:tcW w:w="590" w:type="pct"/>
            <w:vMerge/>
          </w:tcPr>
          <w:p w14:paraId="42056E7A" w14:textId="77777777" w:rsidR="00122C6B" w:rsidRPr="009A1DE7" w:rsidRDefault="00122C6B" w:rsidP="00C81021">
            <w:pPr>
              <w:pStyle w:val="TableText"/>
            </w:pPr>
          </w:p>
        </w:tc>
        <w:tc>
          <w:tcPr>
            <w:tcW w:w="903" w:type="pct"/>
            <w:vMerge/>
          </w:tcPr>
          <w:p w14:paraId="0C12F2B9" w14:textId="093E9C78" w:rsidR="00122C6B" w:rsidRPr="009A1DE7" w:rsidRDefault="00122C6B" w:rsidP="00C81021">
            <w:pPr>
              <w:pStyle w:val="TableText"/>
            </w:pPr>
          </w:p>
        </w:tc>
        <w:tc>
          <w:tcPr>
            <w:tcW w:w="1286" w:type="pct"/>
            <w:vMerge/>
          </w:tcPr>
          <w:p w14:paraId="4DF64AB2" w14:textId="77777777" w:rsidR="00122C6B" w:rsidRPr="009A1DE7" w:rsidRDefault="00122C6B" w:rsidP="00C81021">
            <w:pPr>
              <w:pStyle w:val="TableText"/>
            </w:pPr>
          </w:p>
        </w:tc>
        <w:tc>
          <w:tcPr>
            <w:tcW w:w="1076" w:type="pct"/>
            <w:vMerge/>
          </w:tcPr>
          <w:p w14:paraId="7C9C5DEF" w14:textId="77777777" w:rsidR="00122C6B" w:rsidRPr="009A1DE7" w:rsidRDefault="00122C6B" w:rsidP="00C81021">
            <w:pPr>
              <w:pStyle w:val="TableText"/>
            </w:pPr>
          </w:p>
        </w:tc>
        <w:tc>
          <w:tcPr>
            <w:tcW w:w="382" w:type="pct"/>
            <w:shd w:val="clear" w:color="auto" w:fill="F2F2F2" w:themeFill="background1" w:themeFillShade="F2"/>
          </w:tcPr>
          <w:p w14:paraId="15CCA0C6" w14:textId="77777777" w:rsidR="00122C6B" w:rsidRPr="00EE4BD6" w:rsidRDefault="00122C6B" w:rsidP="00C81021">
            <w:pPr>
              <w:pStyle w:val="TableText"/>
            </w:pPr>
            <w:r w:rsidRPr="009A1DE7">
              <w:t>Assigned Individual</w:t>
            </w:r>
            <w:r>
              <w:t>:</w:t>
            </w:r>
          </w:p>
        </w:tc>
        <w:tc>
          <w:tcPr>
            <w:tcW w:w="452" w:type="pct"/>
            <w:shd w:val="clear" w:color="auto" w:fill="F2F2F2" w:themeFill="background1" w:themeFillShade="F2"/>
          </w:tcPr>
          <w:p w14:paraId="664084A6" w14:textId="77777777" w:rsidR="00122C6B" w:rsidRPr="00EE4BD6" w:rsidRDefault="00122C6B" w:rsidP="00C81021">
            <w:pPr>
              <w:pStyle w:val="TableText"/>
            </w:pPr>
          </w:p>
        </w:tc>
      </w:tr>
      <w:tr w:rsidR="00122C6B" w:rsidRPr="00EE4BD6" w14:paraId="005C25DB" w14:textId="77777777" w:rsidTr="00F97A1E">
        <w:trPr>
          <w:cantSplit/>
          <w:trHeight w:val="428"/>
        </w:trPr>
        <w:tc>
          <w:tcPr>
            <w:tcW w:w="311" w:type="pct"/>
            <w:vMerge/>
          </w:tcPr>
          <w:p w14:paraId="7A6151E0" w14:textId="77777777" w:rsidR="00122C6B" w:rsidRPr="00EF587A" w:rsidRDefault="00122C6B" w:rsidP="00C81021">
            <w:pPr>
              <w:pStyle w:val="TableText"/>
            </w:pPr>
          </w:p>
        </w:tc>
        <w:tc>
          <w:tcPr>
            <w:tcW w:w="590" w:type="pct"/>
            <w:vMerge/>
          </w:tcPr>
          <w:p w14:paraId="7DF079AF" w14:textId="77777777" w:rsidR="00122C6B" w:rsidRPr="009A1DE7" w:rsidRDefault="00122C6B" w:rsidP="00C81021">
            <w:pPr>
              <w:pStyle w:val="TableText"/>
            </w:pPr>
          </w:p>
        </w:tc>
        <w:tc>
          <w:tcPr>
            <w:tcW w:w="903" w:type="pct"/>
            <w:vMerge/>
          </w:tcPr>
          <w:p w14:paraId="028EE6D4" w14:textId="656C11B7" w:rsidR="00122C6B" w:rsidRPr="009A1DE7" w:rsidRDefault="00122C6B" w:rsidP="00C81021">
            <w:pPr>
              <w:pStyle w:val="TableText"/>
            </w:pPr>
          </w:p>
        </w:tc>
        <w:tc>
          <w:tcPr>
            <w:tcW w:w="1286" w:type="pct"/>
            <w:vMerge/>
          </w:tcPr>
          <w:p w14:paraId="3F3A0E96" w14:textId="77777777" w:rsidR="00122C6B" w:rsidRPr="009A1DE7" w:rsidRDefault="00122C6B" w:rsidP="00C81021">
            <w:pPr>
              <w:pStyle w:val="TableText"/>
            </w:pPr>
          </w:p>
        </w:tc>
        <w:tc>
          <w:tcPr>
            <w:tcW w:w="1076" w:type="pct"/>
            <w:vMerge/>
          </w:tcPr>
          <w:p w14:paraId="314E537B" w14:textId="77777777" w:rsidR="00122C6B" w:rsidRPr="009A1DE7" w:rsidRDefault="00122C6B" w:rsidP="00C81021">
            <w:pPr>
              <w:pStyle w:val="TableText"/>
            </w:pPr>
          </w:p>
        </w:tc>
        <w:tc>
          <w:tcPr>
            <w:tcW w:w="382" w:type="pct"/>
            <w:shd w:val="clear" w:color="auto" w:fill="F2F2F2" w:themeFill="background1" w:themeFillShade="F2"/>
          </w:tcPr>
          <w:p w14:paraId="24E56F00" w14:textId="77777777" w:rsidR="00122C6B" w:rsidRPr="00EE4BD6" w:rsidRDefault="00122C6B" w:rsidP="00C81021">
            <w:pPr>
              <w:pStyle w:val="TableText"/>
            </w:pPr>
            <w:r w:rsidRPr="009A1DE7">
              <w:t>Actions Required</w:t>
            </w:r>
            <w:r>
              <w:t>:</w:t>
            </w:r>
          </w:p>
        </w:tc>
        <w:tc>
          <w:tcPr>
            <w:tcW w:w="452" w:type="pct"/>
            <w:shd w:val="clear" w:color="auto" w:fill="F2F2F2" w:themeFill="background1" w:themeFillShade="F2"/>
          </w:tcPr>
          <w:p w14:paraId="10E01A43" w14:textId="77777777" w:rsidR="00122C6B" w:rsidRPr="00EE4BD6" w:rsidRDefault="00122C6B" w:rsidP="00C81021">
            <w:pPr>
              <w:pStyle w:val="TableText"/>
            </w:pPr>
          </w:p>
        </w:tc>
      </w:tr>
      <w:tr w:rsidR="00122C6B" w:rsidRPr="00EE4BD6" w14:paraId="2F3E48A0" w14:textId="77777777" w:rsidTr="00F97A1E">
        <w:trPr>
          <w:cantSplit/>
          <w:trHeight w:val="334"/>
        </w:trPr>
        <w:tc>
          <w:tcPr>
            <w:tcW w:w="311" w:type="pct"/>
            <w:vMerge/>
          </w:tcPr>
          <w:p w14:paraId="6A24E7CC" w14:textId="77777777" w:rsidR="00122C6B" w:rsidRPr="00EF587A" w:rsidRDefault="00122C6B" w:rsidP="00C81021">
            <w:pPr>
              <w:pStyle w:val="TableText"/>
            </w:pPr>
          </w:p>
        </w:tc>
        <w:tc>
          <w:tcPr>
            <w:tcW w:w="590" w:type="pct"/>
            <w:vMerge/>
          </w:tcPr>
          <w:p w14:paraId="7E51CB09" w14:textId="77777777" w:rsidR="00122C6B" w:rsidRPr="009A1DE7" w:rsidRDefault="00122C6B" w:rsidP="00C81021">
            <w:pPr>
              <w:pStyle w:val="TableText"/>
            </w:pPr>
          </w:p>
        </w:tc>
        <w:tc>
          <w:tcPr>
            <w:tcW w:w="903" w:type="pct"/>
            <w:vMerge/>
          </w:tcPr>
          <w:p w14:paraId="24DD6184" w14:textId="0D793779" w:rsidR="00122C6B" w:rsidRPr="009A1DE7" w:rsidRDefault="00122C6B" w:rsidP="00C81021">
            <w:pPr>
              <w:pStyle w:val="TableText"/>
            </w:pPr>
          </w:p>
        </w:tc>
        <w:tc>
          <w:tcPr>
            <w:tcW w:w="1286" w:type="pct"/>
            <w:vMerge/>
          </w:tcPr>
          <w:p w14:paraId="5BF2D619" w14:textId="77777777" w:rsidR="00122C6B" w:rsidRPr="009A1DE7" w:rsidRDefault="00122C6B" w:rsidP="00C81021">
            <w:pPr>
              <w:pStyle w:val="TableText"/>
            </w:pPr>
          </w:p>
        </w:tc>
        <w:tc>
          <w:tcPr>
            <w:tcW w:w="1076" w:type="pct"/>
            <w:vMerge/>
          </w:tcPr>
          <w:p w14:paraId="0E0C726C" w14:textId="77777777" w:rsidR="00122C6B" w:rsidRPr="009A1DE7" w:rsidRDefault="00122C6B" w:rsidP="00C81021">
            <w:pPr>
              <w:pStyle w:val="TableText"/>
            </w:pPr>
          </w:p>
        </w:tc>
        <w:tc>
          <w:tcPr>
            <w:tcW w:w="382" w:type="pct"/>
            <w:shd w:val="clear" w:color="auto" w:fill="F2F2F2" w:themeFill="background1" w:themeFillShade="F2"/>
          </w:tcPr>
          <w:p w14:paraId="0E8E5DF2" w14:textId="77777777" w:rsidR="00122C6B" w:rsidRPr="00EE4BD6" w:rsidRDefault="00122C6B" w:rsidP="00C81021">
            <w:pPr>
              <w:pStyle w:val="TableText"/>
            </w:pPr>
            <w:r w:rsidRPr="009A1DE7">
              <w:t>Target Date</w:t>
            </w:r>
            <w:r>
              <w:t>:</w:t>
            </w:r>
          </w:p>
        </w:tc>
        <w:tc>
          <w:tcPr>
            <w:tcW w:w="452" w:type="pct"/>
            <w:shd w:val="clear" w:color="auto" w:fill="F2F2F2" w:themeFill="background1" w:themeFillShade="F2"/>
          </w:tcPr>
          <w:p w14:paraId="06B6D60C" w14:textId="77777777" w:rsidR="00122C6B" w:rsidRPr="00EE4BD6" w:rsidRDefault="00122C6B" w:rsidP="00C81021">
            <w:pPr>
              <w:pStyle w:val="TableText"/>
            </w:pPr>
          </w:p>
        </w:tc>
      </w:tr>
      <w:tr w:rsidR="00122C6B" w:rsidRPr="00EF587A" w14:paraId="58F18EE3" w14:textId="77777777" w:rsidTr="00F97A1E">
        <w:trPr>
          <w:cantSplit/>
          <w:trHeight w:val="428"/>
        </w:trPr>
        <w:tc>
          <w:tcPr>
            <w:tcW w:w="311" w:type="pct"/>
            <w:vMerge/>
          </w:tcPr>
          <w:p w14:paraId="0374F9CC" w14:textId="77777777" w:rsidR="00122C6B" w:rsidRPr="00EF587A" w:rsidRDefault="00122C6B" w:rsidP="00C81021">
            <w:pPr>
              <w:pStyle w:val="TableText"/>
            </w:pPr>
          </w:p>
        </w:tc>
        <w:tc>
          <w:tcPr>
            <w:tcW w:w="590" w:type="pct"/>
            <w:vMerge/>
          </w:tcPr>
          <w:p w14:paraId="14F65F0D" w14:textId="77777777" w:rsidR="00122C6B" w:rsidRPr="00EF587A" w:rsidRDefault="00122C6B" w:rsidP="00C81021">
            <w:pPr>
              <w:pStyle w:val="TableText"/>
            </w:pPr>
          </w:p>
        </w:tc>
        <w:tc>
          <w:tcPr>
            <w:tcW w:w="903" w:type="pct"/>
            <w:vMerge/>
          </w:tcPr>
          <w:p w14:paraId="399FA827" w14:textId="22E70D4F" w:rsidR="00122C6B" w:rsidRPr="00EF587A" w:rsidRDefault="00122C6B" w:rsidP="00C81021">
            <w:pPr>
              <w:pStyle w:val="TableText"/>
            </w:pPr>
          </w:p>
        </w:tc>
        <w:tc>
          <w:tcPr>
            <w:tcW w:w="1286" w:type="pct"/>
            <w:vMerge/>
          </w:tcPr>
          <w:p w14:paraId="3D02BDFB" w14:textId="77777777" w:rsidR="00122C6B" w:rsidRPr="00EF587A" w:rsidRDefault="00122C6B" w:rsidP="00C81021">
            <w:pPr>
              <w:pStyle w:val="TableText"/>
            </w:pPr>
          </w:p>
        </w:tc>
        <w:tc>
          <w:tcPr>
            <w:tcW w:w="1076" w:type="pct"/>
            <w:vMerge/>
          </w:tcPr>
          <w:p w14:paraId="2D3F098C" w14:textId="77777777" w:rsidR="00122C6B" w:rsidRPr="00EF587A" w:rsidRDefault="00122C6B" w:rsidP="00C81021">
            <w:pPr>
              <w:pStyle w:val="TableText"/>
            </w:pPr>
          </w:p>
        </w:tc>
        <w:tc>
          <w:tcPr>
            <w:tcW w:w="382" w:type="pct"/>
            <w:shd w:val="clear" w:color="auto" w:fill="F2F2F2" w:themeFill="background1" w:themeFillShade="F2"/>
          </w:tcPr>
          <w:p w14:paraId="665DFEA6" w14:textId="77777777" w:rsidR="00122C6B" w:rsidRPr="00EF587A" w:rsidRDefault="00122C6B" w:rsidP="00C81021">
            <w:pPr>
              <w:pStyle w:val="TableText"/>
            </w:pPr>
            <w:r w:rsidRPr="009A1DE7">
              <w:t>Completion Date</w:t>
            </w:r>
            <w:r>
              <w:t>:</w:t>
            </w:r>
          </w:p>
        </w:tc>
        <w:tc>
          <w:tcPr>
            <w:tcW w:w="452" w:type="pct"/>
            <w:shd w:val="clear" w:color="auto" w:fill="F2F2F2" w:themeFill="background1" w:themeFillShade="F2"/>
          </w:tcPr>
          <w:p w14:paraId="3EFF0863" w14:textId="77777777" w:rsidR="00122C6B" w:rsidRPr="00EF587A" w:rsidRDefault="00122C6B" w:rsidP="00C81021">
            <w:pPr>
              <w:pStyle w:val="TableText"/>
            </w:pPr>
          </w:p>
        </w:tc>
      </w:tr>
      <w:tr w:rsidR="00122C6B" w:rsidRPr="00EE4BD6" w14:paraId="0E8E9AA1" w14:textId="77777777" w:rsidTr="00F97A1E">
        <w:trPr>
          <w:cantSplit/>
          <w:trHeight w:val="136"/>
        </w:trPr>
        <w:tc>
          <w:tcPr>
            <w:tcW w:w="5000" w:type="pct"/>
            <w:gridSpan w:val="7"/>
            <w:shd w:val="clear" w:color="auto" w:fill="DEEAF6" w:themeFill="accent1" w:themeFillTint="33"/>
          </w:tcPr>
          <w:p w14:paraId="46037AE6" w14:textId="4AA936E9" w:rsidR="00122C6B" w:rsidRPr="00572499" w:rsidRDefault="00122C6B" w:rsidP="00C81021">
            <w:pPr>
              <w:pStyle w:val="TableText"/>
              <w:rPr>
                <w:sz w:val="8"/>
                <w:szCs w:val="8"/>
              </w:rPr>
            </w:pPr>
          </w:p>
        </w:tc>
      </w:tr>
      <w:tr w:rsidR="00122C6B" w:rsidRPr="00EE4BD6" w14:paraId="4B23C2E5" w14:textId="77777777" w:rsidTr="00F97A1E">
        <w:trPr>
          <w:cantSplit/>
          <w:trHeight w:val="428"/>
        </w:trPr>
        <w:tc>
          <w:tcPr>
            <w:tcW w:w="311" w:type="pct"/>
            <w:vMerge w:val="restart"/>
            <w:vAlign w:val="center"/>
          </w:tcPr>
          <w:p w14:paraId="0FCEDA7F" w14:textId="4978C92E" w:rsidR="00122C6B" w:rsidRPr="00F77313" w:rsidRDefault="00122C6B" w:rsidP="00C81021">
            <w:pPr>
              <w:pStyle w:val="TableText"/>
              <w:jc w:val="center"/>
              <w:rPr>
                <w:b/>
                <w:bCs/>
              </w:rPr>
            </w:pPr>
            <w:r>
              <w:rPr>
                <w:b/>
                <w:bCs/>
              </w:rPr>
              <w:lastRenderedPageBreak/>
              <w:t>Monthly</w:t>
            </w:r>
          </w:p>
        </w:tc>
        <w:tc>
          <w:tcPr>
            <w:tcW w:w="590" w:type="pct"/>
            <w:vMerge w:val="restart"/>
          </w:tcPr>
          <w:p w14:paraId="284136B4" w14:textId="6F81711E" w:rsidR="00122C6B" w:rsidRPr="009A1DE7" w:rsidRDefault="00FF4D51" w:rsidP="00C81021">
            <w:pPr>
              <w:pStyle w:val="TableText"/>
            </w:pPr>
            <w:r w:rsidRPr="00FF4D51">
              <w:t>Hard/Virtual Drive Maintenance</w:t>
            </w:r>
          </w:p>
        </w:tc>
        <w:tc>
          <w:tcPr>
            <w:tcW w:w="903" w:type="pct"/>
            <w:vMerge w:val="restart"/>
          </w:tcPr>
          <w:p w14:paraId="0DA102F8" w14:textId="5668AD18" w:rsidR="00122C6B" w:rsidRPr="009A1DE7" w:rsidRDefault="00FF4D51" w:rsidP="00C81021">
            <w:pPr>
              <w:pStyle w:val="TableText"/>
            </w:pPr>
            <w:r w:rsidRPr="00124ECC">
              <w:t>Optimizing your drives can help your Server/PC run smoother and increase performance.</w:t>
            </w:r>
          </w:p>
        </w:tc>
        <w:tc>
          <w:tcPr>
            <w:tcW w:w="1286" w:type="pct"/>
            <w:vMerge w:val="restart"/>
          </w:tcPr>
          <w:p w14:paraId="7622E8FB" w14:textId="6E4881B0" w:rsidR="00122C6B" w:rsidRPr="009A1DE7" w:rsidRDefault="00FF4D51" w:rsidP="00C81021">
            <w:pPr>
              <w:pStyle w:val="TableText"/>
              <w:numPr>
                <w:ilvl w:val="0"/>
                <w:numId w:val="2"/>
              </w:numPr>
              <w:ind w:left="232" w:hanging="180"/>
            </w:pPr>
            <w:r w:rsidRPr="00124ECC">
              <w:t>Server and Workstation hard drive optimization are inherited tools in all Microsoft operating systems.</w:t>
            </w:r>
          </w:p>
        </w:tc>
        <w:tc>
          <w:tcPr>
            <w:tcW w:w="1076" w:type="pct"/>
            <w:vMerge w:val="restart"/>
          </w:tcPr>
          <w:p w14:paraId="3450D19B" w14:textId="7B761E05" w:rsidR="00122C6B" w:rsidRPr="00EF587A" w:rsidRDefault="00FF4D51" w:rsidP="00C81021">
            <w:pPr>
              <w:pStyle w:val="TableText"/>
            </w:pPr>
            <w:r w:rsidRPr="00124ECC">
              <w:t>Hard Drives not fully optimized will have decreased performance.</w:t>
            </w:r>
          </w:p>
        </w:tc>
        <w:tc>
          <w:tcPr>
            <w:tcW w:w="382" w:type="pct"/>
            <w:shd w:val="clear" w:color="auto" w:fill="F2F2F2" w:themeFill="background1" w:themeFillShade="F2"/>
          </w:tcPr>
          <w:p w14:paraId="1B85FADB" w14:textId="77777777" w:rsidR="00122C6B" w:rsidRPr="00EE4BD6" w:rsidRDefault="00122C6B" w:rsidP="00C81021">
            <w:pPr>
              <w:pStyle w:val="TableText"/>
            </w:pPr>
            <w:r w:rsidRPr="001F26DF">
              <w:t>Date Reviewed</w:t>
            </w:r>
            <w:r>
              <w:t>:</w:t>
            </w:r>
          </w:p>
        </w:tc>
        <w:tc>
          <w:tcPr>
            <w:tcW w:w="452" w:type="pct"/>
            <w:shd w:val="clear" w:color="auto" w:fill="F2F2F2" w:themeFill="background1" w:themeFillShade="F2"/>
          </w:tcPr>
          <w:p w14:paraId="7DF56B56" w14:textId="77777777" w:rsidR="00122C6B" w:rsidRPr="00EE4BD6" w:rsidRDefault="00122C6B" w:rsidP="00C81021">
            <w:pPr>
              <w:pStyle w:val="TableText"/>
            </w:pPr>
          </w:p>
        </w:tc>
      </w:tr>
      <w:tr w:rsidR="00122C6B" w:rsidRPr="00EE4BD6" w14:paraId="45531C73" w14:textId="77777777" w:rsidTr="00F97A1E">
        <w:trPr>
          <w:cantSplit/>
          <w:trHeight w:val="428"/>
        </w:trPr>
        <w:tc>
          <w:tcPr>
            <w:tcW w:w="311" w:type="pct"/>
            <w:vMerge/>
          </w:tcPr>
          <w:p w14:paraId="35F8A063" w14:textId="77777777" w:rsidR="00122C6B" w:rsidRPr="00EF587A" w:rsidRDefault="00122C6B" w:rsidP="00C81021">
            <w:pPr>
              <w:pStyle w:val="TableText"/>
            </w:pPr>
          </w:p>
        </w:tc>
        <w:tc>
          <w:tcPr>
            <w:tcW w:w="590" w:type="pct"/>
            <w:vMerge/>
          </w:tcPr>
          <w:p w14:paraId="6AFC6119" w14:textId="77777777" w:rsidR="00122C6B" w:rsidRPr="009A1DE7" w:rsidRDefault="00122C6B" w:rsidP="00C81021">
            <w:pPr>
              <w:pStyle w:val="TableText"/>
            </w:pPr>
          </w:p>
        </w:tc>
        <w:tc>
          <w:tcPr>
            <w:tcW w:w="903" w:type="pct"/>
            <w:vMerge/>
          </w:tcPr>
          <w:p w14:paraId="1E2DBD99" w14:textId="68DC6ADC" w:rsidR="00122C6B" w:rsidRPr="009A1DE7" w:rsidRDefault="00122C6B" w:rsidP="00C81021">
            <w:pPr>
              <w:pStyle w:val="TableText"/>
            </w:pPr>
          </w:p>
        </w:tc>
        <w:tc>
          <w:tcPr>
            <w:tcW w:w="1286" w:type="pct"/>
            <w:vMerge/>
          </w:tcPr>
          <w:p w14:paraId="5BCF62EF" w14:textId="77777777" w:rsidR="00122C6B" w:rsidRPr="009A1DE7" w:rsidRDefault="00122C6B" w:rsidP="00C81021">
            <w:pPr>
              <w:pStyle w:val="TableText"/>
            </w:pPr>
          </w:p>
        </w:tc>
        <w:tc>
          <w:tcPr>
            <w:tcW w:w="1076" w:type="pct"/>
            <w:vMerge/>
          </w:tcPr>
          <w:p w14:paraId="3E13482F" w14:textId="77777777" w:rsidR="00122C6B" w:rsidRPr="009A1DE7" w:rsidRDefault="00122C6B" w:rsidP="00C81021">
            <w:pPr>
              <w:pStyle w:val="TableText"/>
            </w:pPr>
          </w:p>
        </w:tc>
        <w:tc>
          <w:tcPr>
            <w:tcW w:w="382" w:type="pct"/>
            <w:shd w:val="clear" w:color="auto" w:fill="F2F2F2" w:themeFill="background1" w:themeFillShade="F2"/>
          </w:tcPr>
          <w:p w14:paraId="04C5195B" w14:textId="77777777" w:rsidR="00122C6B" w:rsidRPr="00EE4BD6" w:rsidRDefault="00122C6B" w:rsidP="00C81021">
            <w:pPr>
              <w:pStyle w:val="TableText"/>
            </w:pPr>
            <w:r w:rsidRPr="009A1DE7">
              <w:t>Assigned Individual</w:t>
            </w:r>
            <w:r>
              <w:t>:</w:t>
            </w:r>
          </w:p>
        </w:tc>
        <w:tc>
          <w:tcPr>
            <w:tcW w:w="452" w:type="pct"/>
            <w:shd w:val="clear" w:color="auto" w:fill="F2F2F2" w:themeFill="background1" w:themeFillShade="F2"/>
          </w:tcPr>
          <w:p w14:paraId="186A6937" w14:textId="77777777" w:rsidR="00122C6B" w:rsidRPr="00EE4BD6" w:rsidRDefault="00122C6B" w:rsidP="00C81021">
            <w:pPr>
              <w:pStyle w:val="TableText"/>
            </w:pPr>
          </w:p>
        </w:tc>
      </w:tr>
      <w:tr w:rsidR="00122C6B" w:rsidRPr="00EE4BD6" w14:paraId="1A1529DB" w14:textId="77777777" w:rsidTr="00F97A1E">
        <w:trPr>
          <w:cantSplit/>
          <w:trHeight w:val="428"/>
        </w:trPr>
        <w:tc>
          <w:tcPr>
            <w:tcW w:w="311" w:type="pct"/>
            <w:vMerge/>
          </w:tcPr>
          <w:p w14:paraId="20774DD5" w14:textId="77777777" w:rsidR="00122C6B" w:rsidRPr="00EF587A" w:rsidRDefault="00122C6B" w:rsidP="00C81021">
            <w:pPr>
              <w:pStyle w:val="TableText"/>
            </w:pPr>
          </w:p>
        </w:tc>
        <w:tc>
          <w:tcPr>
            <w:tcW w:w="590" w:type="pct"/>
            <w:vMerge/>
          </w:tcPr>
          <w:p w14:paraId="1A3BE885" w14:textId="77777777" w:rsidR="00122C6B" w:rsidRPr="009A1DE7" w:rsidRDefault="00122C6B" w:rsidP="00C81021">
            <w:pPr>
              <w:pStyle w:val="TableText"/>
            </w:pPr>
          </w:p>
        </w:tc>
        <w:tc>
          <w:tcPr>
            <w:tcW w:w="903" w:type="pct"/>
            <w:vMerge/>
          </w:tcPr>
          <w:p w14:paraId="1BF1A6FE" w14:textId="6F25DA7D" w:rsidR="00122C6B" w:rsidRPr="009A1DE7" w:rsidRDefault="00122C6B" w:rsidP="00C81021">
            <w:pPr>
              <w:pStyle w:val="TableText"/>
            </w:pPr>
          </w:p>
        </w:tc>
        <w:tc>
          <w:tcPr>
            <w:tcW w:w="1286" w:type="pct"/>
            <w:vMerge/>
          </w:tcPr>
          <w:p w14:paraId="20A0241C" w14:textId="77777777" w:rsidR="00122C6B" w:rsidRPr="009A1DE7" w:rsidRDefault="00122C6B" w:rsidP="00C81021">
            <w:pPr>
              <w:pStyle w:val="TableText"/>
            </w:pPr>
          </w:p>
        </w:tc>
        <w:tc>
          <w:tcPr>
            <w:tcW w:w="1076" w:type="pct"/>
            <w:vMerge/>
          </w:tcPr>
          <w:p w14:paraId="3A9604BD" w14:textId="77777777" w:rsidR="00122C6B" w:rsidRPr="009A1DE7" w:rsidRDefault="00122C6B" w:rsidP="00C81021">
            <w:pPr>
              <w:pStyle w:val="TableText"/>
            </w:pPr>
          </w:p>
        </w:tc>
        <w:tc>
          <w:tcPr>
            <w:tcW w:w="382" w:type="pct"/>
            <w:shd w:val="clear" w:color="auto" w:fill="F2F2F2" w:themeFill="background1" w:themeFillShade="F2"/>
          </w:tcPr>
          <w:p w14:paraId="284093D7" w14:textId="77777777" w:rsidR="00122C6B" w:rsidRPr="00EE4BD6" w:rsidRDefault="00122C6B" w:rsidP="00C81021">
            <w:pPr>
              <w:pStyle w:val="TableText"/>
            </w:pPr>
            <w:r w:rsidRPr="009A1DE7">
              <w:t>Actions Required</w:t>
            </w:r>
            <w:r>
              <w:t>:</w:t>
            </w:r>
          </w:p>
        </w:tc>
        <w:tc>
          <w:tcPr>
            <w:tcW w:w="452" w:type="pct"/>
            <w:shd w:val="clear" w:color="auto" w:fill="F2F2F2" w:themeFill="background1" w:themeFillShade="F2"/>
          </w:tcPr>
          <w:p w14:paraId="50745607" w14:textId="77777777" w:rsidR="00122C6B" w:rsidRPr="00EE4BD6" w:rsidRDefault="00122C6B" w:rsidP="00C81021">
            <w:pPr>
              <w:pStyle w:val="TableText"/>
            </w:pPr>
          </w:p>
        </w:tc>
      </w:tr>
      <w:tr w:rsidR="00122C6B" w:rsidRPr="00EE4BD6" w14:paraId="51AB0709" w14:textId="77777777" w:rsidTr="00F97A1E">
        <w:trPr>
          <w:cantSplit/>
          <w:trHeight w:val="428"/>
        </w:trPr>
        <w:tc>
          <w:tcPr>
            <w:tcW w:w="311" w:type="pct"/>
            <w:vMerge/>
          </w:tcPr>
          <w:p w14:paraId="38F36BD5" w14:textId="77777777" w:rsidR="00122C6B" w:rsidRPr="00EF587A" w:rsidRDefault="00122C6B" w:rsidP="00C81021">
            <w:pPr>
              <w:pStyle w:val="TableText"/>
            </w:pPr>
          </w:p>
        </w:tc>
        <w:tc>
          <w:tcPr>
            <w:tcW w:w="590" w:type="pct"/>
            <w:vMerge/>
          </w:tcPr>
          <w:p w14:paraId="3BC0C573" w14:textId="77777777" w:rsidR="00122C6B" w:rsidRPr="009A1DE7" w:rsidRDefault="00122C6B" w:rsidP="00C81021">
            <w:pPr>
              <w:pStyle w:val="TableText"/>
            </w:pPr>
          </w:p>
        </w:tc>
        <w:tc>
          <w:tcPr>
            <w:tcW w:w="903" w:type="pct"/>
            <w:vMerge/>
          </w:tcPr>
          <w:p w14:paraId="6D7CA9D6" w14:textId="0753FA94" w:rsidR="00122C6B" w:rsidRPr="009A1DE7" w:rsidRDefault="00122C6B" w:rsidP="00C81021">
            <w:pPr>
              <w:pStyle w:val="TableText"/>
            </w:pPr>
          </w:p>
        </w:tc>
        <w:tc>
          <w:tcPr>
            <w:tcW w:w="1286" w:type="pct"/>
            <w:vMerge/>
          </w:tcPr>
          <w:p w14:paraId="628C6050" w14:textId="77777777" w:rsidR="00122C6B" w:rsidRPr="009A1DE7" w:rsidRDefault="00122C6B" w:rsidP="00C81021">
            <w:pPr>
              <w:pStyle w:val="TableText"/>
            </w:pPr>
          </w:p>
        </w:tc>
        <w:tc>
          <w:tcPr>
            <w:tcW w:w="1076" w:type="pct"/>
            <w:vMerge/>
          </w:tcPr>
          <w:p w14:paraId="3E57DAB8" w14:textId="77777777" w:rsidR="00122C6B" w:rsidRPr="009A1DE7" w:rsidRDefault="00122C6B" w:rsidP="00C81021">
            <w:pPr>
              <w:pStyle w:val="TableText"/>
            </w:pPr>
          </w:p>
        </w:tc>
        <w:tc>
          <w:tcPr>
            <w:tcW w:w="382" w:type="pct"/>
            <w:shd w:val="clear" w:color="auto" w:fill="F2F2F2" w:themeFill="background1" w:themeFillShade="F2"/>
          </w:tcPr>
          <w:p w14:paraId="4B6E8FC6" w14:textId="77777777" w:rsidR="00122C6B" w:rsidRPr="00EE4BD6" w:rsidRDefault="00122C6B" w:rsidP="00C81021">
            <w:pPr>
              <w:pStyle w:val="TableText"/>
            </w:pPr>
            <w:r w:rsidRPr="009A1DE7">
              <w:t>Target Date</w:t>
            </w:r>
            <w:r>
              <w:t>:</w:t>
            </w:r>
          </w:p>
        </w:tc>
        <w:tc>
          <w:tcPr>
            <w:tcW w:w="452" w:type="pct"/>
            <w:shd w:val="clear" w:color="auto" w:fill="F2F2F2" w:themeFill="background1" w:themeFillShade="F2"/>
          </w:tcPr>
          <w:p w14:paraId="6B8E6AFB" w14:textId="77777777" w:rsidR="00122C6B" w:rsidRPr="00EE4BD6" w:rsidRDefault="00122C6B" w:rsidP="00C81021">
            <w:pPr>
              <w:pStyle w:val="TableText"/>
            </w:pPr>
          </w:p>
        </w:tc>
      </w:tr>
      <w:tr w:rsidR="00122C6B" w:rsidRPr="00EF587A" w14:paraId="136C45D5" w14:textId="77777777" w:rsidTr="00F97A1E">
        <w:trPr>
          <w:cantSplit/>
          <w:trHeight w:val="428"/>
        </w:trPr>
        <w:tc>
          <w:tcPr>
            <w:tcW w:w="311" w:type="pct"/>
            <w:vMerge/>
          </w:tcPr>
          <w:p w14:paraId="2939B4D2" w14:textId="77777777" w:rsidR="00122C6B" w:rsidRPr="00EF587A" w:rsidRDefault="00122C6B" w:rsidP="00C81021">
            <w:pPr>
              <w:pStyle w:val="TableText"/>
            </w:pPr>
          </w:p>
        </w:tc>
        <w:tc>
          <w:tcPr>
            <w:tcW w:w="590" w:type="pct"/>
            <w:vMerge/>
          </w:tcPr>
          <w:p w14:paraId="228E91FD" w14:textId="77777777" w:rsidR="00122C6B" w:rsidRPr="00EF587A" w:rsidRDefault="00122C6B" w:rsidP="00C81021">
            <w:pPr>
              <w:pStyle w:val="TableText"/>
            </w:pPr>
          </w:p>
        </w:tc>
        <w:tc>
          <w:tcPr>
            <w:tcW w:w="903" w:type="pct"/>
            <w:vMerge/>
          </w:tcPr>
          <w:p w14:paraId="25DA99E2" w14:textId="6D63A3C4" w:rsidR="00122C6B" w:rsidRPr="00EF587A" w:rsidRDefault="00122C6B" w:rsidP="00C81021">
            <w:pPr>
              <w:pStyle w:val="TableText"/>
            </w:pPr>
          </w:p>
        </w:tc>
        <w:tc>
          <w:tcPr>
            <w:tcW w:w="1286" w:type="pct"/>
            <w:vMerge/>
          </w:tcPr>
          <w:p w14:paraId="4E4E326A" w14:textId="77777777" w:rsidR="00122C6B" w:rsidRPr="00EF587A" w:rsidRDefault="00122C6B" w:rsidP="00C81021">
            <w:pPr>
              <w:pStyle w:val="TableText"/>
            </w:pPr>
          </w:p>
        </w:tc>
        <w:tc>
          <w:tcPr>
            <w:tcW w:w="1076" w:type="pct"/>
            <w:vMerge/>
          </w:tcPr>
          <w:p w14:paraId="28F0F901" w14:textId="77777777" w:rsidR="00122C6B" w:rsidRPr="00EF587A" w:rsidRDefault="00122C6B" w:rsidP="00C81021">
            <w:pPr>
              <w:pStyle w:val="TableText"/>
            </w:pPr>
          </w:p>
        </w:tc>
        <w:tc>
          <w:tcPr>
            <w:tcW w:w="382" w:type="pct"/>
            <w:shd w:val="clear" w:color="auto" w:fill="F2F2F2" w:themeFill="background1" w:themeFillShade="F2"/>
          </w:tcPr>
          <w:p w14:paraId="3F8D75CD" w14:textId="77777777" w:rsidR="00122C6B" w:rsidRPr="00EF587A" w:rsidRDefault="00122C6B" w:rsidP="00C81021">
            <w:pPr>
              <w:pStyle w:val="TableText"/>
            </w:pPr>
            <w:r w:rsidRPr="009A1DE7">
              <w:t>Completion Date</w:t>
            </w:r>
            <w:r>
              <w:t>:</w:t>
            </w:r>
          </w:p>
        </w:tc>
        <w:tc>
          <w:tcPr>
            <w:tcW w:w="452" w:type="pct"/>
            <w:shd w:val="clear" w:color="auto" w:fill="F2F2F2" w:themeFill="background1" w:themeFillShade="F2"/>
          </w:tcPr>
          <w:p w14:paraId="30ED1C87" w14:textId="77777777" w:rsidR="00122C6B" w:rsidRPr="00EF587A" w:rsidRDefault="00122C6B" w:rsidP="00C81021">
            <w:pPr>
              <w:pStyle w:val="TableText"/>
            </w:pPr>
          </w:p>
        </w:tc>
      </w:tr>
      <w:tr w:rsidR="00122C6B" w:rsidRPr="00EE4BD6" w14:paraId="427FA51A" w14:textId="77777777" w:rsidTr="00F97A1E">
        <w:trPr>
          <w:cantSplit/>
          <w:trHeight w:val="127"/>
        </w:trPr>
        <w:tc>
          <w:tcPr>
            <w:tcW w:w="5000" w:type="pct"/>
            <w:gridSpan w:val="7"/>
            <w:shd w:val="clear" w:color="auto" w:fill="DEEAF6" w:themeFill="accent1" w:themeFillTint="33"/>
          </w:tcPr>
          <w:p w14:paraId="3BBFA73D" w14:textId="52834D15" w:rsidR="00122C6B" w:rsidRPr="00272316" w:rsidRDefault="00122C6B" w:rsidP="00C81021">
            <w:pPr>
              <w:pStyle w:val="TableText"/>
              <w:rPr>
                <w:sz w:val="8"/>
                <w:szCs w:val="8"/>
              </w:rPr>
            </w:pPr>
          </w:p>
        </w:tc>
      </w:tr>
      <w:tr w:rsidR="002A50BA" w:rsidRPr="00EE4BD6" w14:paraId="4859B024" w14:textId="77777777" w:rsidTr="00F97A1E">
        <w:trPr>
          <w:cantSplit/>
          <w:trHeight w:val="428"/>
        </w:trPr>
        <w:tc>
          <w:tcPr>
            <w:tcW w:w="311" w:type="pct"/>
            <w:vMerge w:val="restart"/>
            <w:vAlign w:val="center"/>
          </w:tcPr>
          <w:p w14:paraId="35EDBD66" w14:textId="1F6B06AC" w:rsidR="002A50BA" w:rsidRPr="00F77313" w:rsidRDefault="002A50BA" w:rsidP="002A50BA">
            <w:pPr>
              <w:pStyle w:val="TableText"/>
              <w:jc w:val="center"/>
              <w:rPr>
                <w:b/>
                <w:bCs/>
              </w:rPr>
            </w:pPr>
            <w:r>
              <w:rPr>
                <w:b/>
                <w:bCs/>
              </w:rPr>
              <w:t>Annually</w:t>
            </w:r>
          </w:p>
        </w:tc>
        <w:tc>
          <w:tcPr>
            <w:tcW w:w="590" w:type="pct"/>
            <w:vMerge w:val="restart"/>
          </w:tcPr>
          <w:p w14:paraId="6F2F4ED5" w14:textId="7BDDA4C8" w:rsidR="002A50BA" w:rsidRPr="009A1DE7" w:rsidRDefault="002A50BA" w:rsidP="002A50BA">
            <w:pPr>
              <w:pStyle w:val="TableText"/>
            </w:pPr>
            <w:r w:rsidRPr="002A50BA">
              <w:t>Data Recovery</w:t>
            </w:r>
          </w:p>
        </w:tc>
        <w:tc>
          <w:tcPr>
            <w:tcW w:w="903" w:type="pct"/>
            <w:vMerge w:val="restart"/>
          </w:tcPr>
          <w:p w14:paraId="7C87BB8E" w14:textId="38DED1A2" w:rsidR="002A50BA" w:rsidRPr="009A1DE7" w:rsidRDefault="002A50BA" w:rsidP="002A50BA">
            <w:pPr>
              <w:pStyle w:val="TableText"/>
            </w:pPr>
            <w:r w:rsidRPr="00124ECC">
              <w:t>Methods of replicating data for security and its ability to reliably retrieve EDR data should the need arise. Backup and recovery testing is an essential part of a disaster recovery plan.</w:t>
            </w:r>
          </w:p>
        </w:tc>
        <w:tc>
          <w:tcPr>
            <w:tcW w:w="1286" w:type="pct"/>
            <w:vMerge w:val="restart"/>
          </w:tcPr>
          <w:p w14:paraId="0EE08883" w14:textId="571D0825" w:rsidR="002A50BA" w:rsidRPr="009A1DE7" w:rsidRDefault="002A50BA" w:rsidP="002A50BA">
            <w:pPr>
              <w:pStyle w:val="TableText"/>
              <w:numPr>
                <w:ilvl w:val="0"/>
                <w:numId w:val="2"/>
              </w:numPr>
              <w:ind w:left="232" w:hanging="180"/>
            </w:pPr>
            <w:r w:rsidRPr="00124ECC">
              <w:t>Guides below outline steps to backup and restore your EDR data. It is strongly recommended that EDR Support be contacted for assistance with Annual Data Recovery Testing.</w:t>
            </w:r>
          </w:p>
        </w:tc>
        <w:tc>
          <w:tcPr>
            <w:tcW w:w="1076" w:type="pct"/>
            <w:vMerge w:val="restart"/>
          </w:tcPr>
          <w:p w14:paraId="56E1D2F2" w14:textId="437D1435" w:rsidR="002A50BA" w:rsidRPr="00EF587A" w:rsidRDefault="002A50BA" w:rsidP="002A50BA">
            <w:pPr>
              <w:pStyle w:val="TableText"/>
            </w:pPr>
            <w:r w:rsidRPr="00124ECC">
              <w:t>Successful Data Recovery testing ensures that your EDR data can be restored in case of a critical system event (virus, fire, theft).</w:t>
            </w:r>
          </w:p>
        </w:tc>
        <w:tc>
          <w:tcPr>
            <w:tcW w:w="382" w:type="pct"/>
            <w:shd w:val="clear" w:color="auto" w:fill="F2F2F2" w:themeFill="background1" w:themeFillShade="F2"/>
          </w:tcPr>
          <w:p w14:paraId="30666116" w14:textId="77777777" w:rsidR="002A50BA" w:rsidRPr="00EE4BD6" w:rsidRDefault="002A50BA" w:rsidP="002A50BA">
            <w:pPr>
              <w:pStyle w:val="TableText"/>
            </w:pPr>
            <w:r w:rsidRPr="001F26DF">
              <w:t>Date Reviewed</w:t>
            </w:r>
            <w:r>
              <w:t>:</w:t>
            </w:r>
          </w:p>
        </w:tc>
        <w:tc>
          <w:tcPr>
            <w:tcW w:w="452" w:type="pct"/>
            <w:shd w:val="clear" w:color="auto" w:fill="F2F2F2" w:themeFill="background1" w:themeFillShade="F2"/>
          </w:tcPr>
          <w:p w14:paraId="62A7544B" w14:textId="77777777" w:rsidR="002A50BA" w:rsidRPr="00EE4BD6" w:rsidRDefault="002A50BA" w:rsidP="002A50BA">
            <w:pPr>
              <w:pStyle w:val="TableText"/>
            </w:pPr>
          </w:p>
        </w:tc>
      </w:tr>
      <w:tr w:rsidR="00122C6B" w:rsidRPr="00EE4BD6" w14:paraId="68A6E6CE" w14:textId="77777777" w:rsidTr="00F97A1E">
        <w:trPr>
          <w:cantSplit/>
          <w:trHeight w:val="428"/>
        </w:trPr>
        <w:tc>
          <w:tcPr>
            <w:tcW w:w="311" w:type="pct"/>
            <w:vMerge/>
          </w:tcPr>
          <w:p w14:paraId="33C72853" w14:textId="77777777" w:rsidR="00122C6B" w:rsidRPr="00EF587A" w:rsidRDefault="00122C6B" w:rsidP="00C81021">
            <w:pPr>
              <w:pStyle w:val="TableText"/>
            </w:pPr>
          </w:p>
        </w:tc>
        <w:tc>
          <w:tcPr>
            <w:tcW w:w="590" w:type="pct"/>
            <w:vMerge/>
          </w:tcPr>
          <w:p w14:paraId="0C33EF5E" w14:textId="77777777" w:rsidR="00122C6B" w:rsidRPr="009A1DE7" w:rsidRDefault="00122C6B" w:rsidP="00C81021">
            <w:pPr>
              <w:pStyle w:val="TableText"/>
            </w:pPr>
          </w:p>
        </w:tc>
        <w:tc>
          <w:tcPr>
            <w:tcW w:w="903" w:type="pct"/>
            <w:vMerge/>
          </w:tcPr>
          <w:p w14:paraId="7A62CA6C" w14:textId="04F027CF" w:rsidR="00122C6B" w:rsidRPr="009A1DE7" w:rsidRDefault="00122C6B" w:rsidP="00C81021">
            <w:pPr>
              <w:pStyle w:val="TableText"/>
            </w:pPr>
          </w:p>
        </w:tc>
        <w:tc>
          <w:tcPr>
            <w:tcW w:w="1286" w:type="pct"/>
            <w:vMerge/>
          </w:tcPr>
          <w:p w14:paraId="3AFC7C02" w14:textId="77777777" w:rsidR="00122C6B" w:rsidRPr="009A1DE7" w:rsidRDefault="00122C6B" w:rsidP="00C81021">
            <w:pPr>
              <w:pStyle w:val="TableText"/>
            </w:pPr>
          </w:p>
        </w:tc>
        <w:tc>
          <w:tcPr>
            <w:tcW w:w="1076" w:type="pct"/>
            <w:vMerge/>
          </w:tcPr>
          <w:p w14:paraId="032E2C6D" w14:textId="77777777" w:rsidR="00122C6B" w:rsidRPr="009A1DE7" w:rsidRDefault="00122C6B" w:rsidP="00C81021">
            <w:pPr>
              <w:pStyle w:val="TableText"/>
            </w:pPr>
          </w:p>
        </w:tc>
        <w:tc>
          <w:tcPr>
            <w:tcW w:w="382" w:type="pct"/>
            <w:shd w:val="clear" w:color="auto" w:fill="F2F2F2" w:themeFill="background1" w:themeFillShade="F2"/>
          </w:tcPr>
          <w:p w14:paraId="1D6B00F4" w14:textId="77777777" w:rsidR="00122C6B" w:rsidRPr="00EE4BD6" w:rsidRDefault="00122C6B" w:rsidP="00C81021">
            <w:pPr>
              <w:pStyle w:val="TableText"/>
            </w:pPr>
            <w:r w:rsidRPr="009A1DE7">
              <w:t>Assigned Individual</w:t>
            </w:r>
            <w:r>
              <w:t>:</w:t>
            </w:r>
          </w:p>
        </w:tc>
        <w:tc>
          <w:tcPr>
            <w:tcW w:w="452" w:type="pct"/>
            <w:shd w:val="clear" w:color="auto" w:fill="F2F2F2" w:themeFill="background1" w:themeFillShade="F2"/>
          </w:tcPr>
          <w:p w14:paraId="2D1062B1" w14:textId="77777777" w:rsidR="00122C6B" w:rsidRPr="00EE4BD6" w:rsidRDefault="00122C6B" w:rsidP="00C81021">
            <w:pPr>
              <w:pStyle w:val="TableText"/>
            </w:pPr>
          </w:p>
        </w:tc>
      </w:tr>
      <w:tr w:rsidR="00122C6B" w:rsidRPr="00EE4BD6" w14:paraId="2DA0289B" w14:textId="77777777" w:rsidTr="00F97A1E">
        <w:trPr>
          <w:cantSplit/>
          <w:trHeight w:val="428"/>
        </w:trPr>
        <w:tc>
          <w:tcPr>
            <w:tcW w:w="311" w:type="pct"/>
            <w:vMerge/>
          </w:tcPr>
          <w:p w14:paraId="65F16A1D" w14:textId="77777777" w:rsidR="00122C6B" w:rsidRPr="00EF587A" w:rsidRDefault="00122C6B" w:rsidP="00C81021">
            <w:pPr>
              <w:pStyle w:val="TableText"/>
            </w:pPr>
          </w:p>
        </w:tc>
        <w:tc>
          <w:tcPr>
            <w:tcW w:w="590" w:type="pct"/>
            <w:vMerge/>
          </w:tcPr>
          <w:p w14:paraId="2BA48FA7" w14:textId="77777777" w:rsidR="00122C6B" w:rsidRPr="009A1DE7" w:rsidRDefault="00122C6B" w:rsidP="00C81021">
            <w:pPr>
              <w:pStyle w:val="TableText"/>
            </w:pPr>
          </w:p>
        </w:tc>
        <w:tc>
          <w:tcPr>
            <w:tcW w:w="903" w:type="pct"/>
            <w:vMerge/>
          </w:tcPr>
          <w:p w14:paraId="7980CF58" w14:textId="3F72A158" w:rsidR="00122C6B" w:rsidRPr="009A1DE7" w:rsidRDefault="00122C6B" w:rsidP="00C81021">
            <w:pPr>
              <w:pStyle w:val="TableText"/>
            </w:pPr>
          </w:p>
        </w:tc>
        <w:tc>
          <w:tcPr>
            <w:tcW w:w="1286" w:type="pct"/>
            <w:vMerge/>
          </w:tcPr>
          <w:p w14:paraId="5D9F69FD" w14:textId="77777777" w:rsidR="00122C6B" w:rsidRPr="009A1DE7" w:rsidRDefault="00122C6B" w:rsidP="00C81021">
            <w:pPr>
              <w:pStyle w:val="TableText"/>
            </w:pPr>
          </w:p>
        </w:tc>
        <w:tc>
          <w:tcPr>
            <w:tcW w:w="1076" w:type="pct"/>
            <w:vMerge/>
          </w:tcPr>
          <w:p w14:paraId="47B1F50A" w14:textId="77777777" w:rsidR="00122C6B" w:rsidRPr="009A1DE7" w:rsidRDefault="00122C6B" w:rsidP="00C81021">
            <w:pPr>
              <w:pStyle w:val="TableText"/>
            </w:pPr>
          </w:p>
        </w:tc>
        <w:tc>
          <w:tcPr>
            <w:tcW w:w="382" w:type="pct"/>
            <w:shd w:val="clear" w:color="auto" w:fill="F2F2F2" w:themeFill="background1" w:themeFillShade="F2"/>
          </w:tcPr>
          <w:p w14:paraId="11124A37" w14:textId="77777777" w:rsidR="00122C6B" w:rsidRPr="00EE4BD6" w:rsidRDefault="00122C6B" w:rsidP="00C81021">
            <w:pPr>
              <w:pStyle w:val="TableText"/>
            </w:pPr>
            <w:r w:rsidRPr="009A1DE7">
              <w:t>Actions Required</w:t>
            </w:r>
            <w:r>
              <w:t>:</w:t>
            </w:r>
          </w:p>
        </w:tc>
        <w:tc>
          <w:tcPr>
            <w:tcW w:w="452" w:type="pct"/>
            <w:shd w:val="clear" w:color="auto" w:fill="F2F2F2" w:themeFill="background1" w:themeFillShade="F2"/>
          </w:tcPr>
          <w:p w14:paraId="05B5E1B2" w14:textId="77777777" w:rsidR="00122C6B" w:rsidRPr="00EE4BD6" w:rsidRDefault="00122C6B" w:rsidP="00C81021">
            <w:pPr>
              <w:pStyle w:val="TableText"/>
            </w:pPr>
          </w:p>
        </w:tc>
      </w:tr>
      <w:tr w:rsidR="00122C6B" w:rsidRPr="00EE4BD6" w14:paraId="1D3D891E" w14:textId="77777777" w:rsidTr="00F97A1E">
        <w:trPr>
          <w:cantSplit/>
          <w:trHeight w:val="428"/>
        </w:trPr>
        <w:tc>
          <w:tcPr>
            <w:tcW w:w="311" w:type="pct"/>
            <w:vMerge/>
          </w:tcPr>
          <w:p w14:paraId="74428BF6" w14:textId="77777777" w:rsidR="00122C6B" w:rsidRPr="00EF587A" w:rsidRDefault="00122C6B" w:rsidP="00C81021">
            <w:pPr>
              <w:pStyle w:val="TableText"/>
            </w:pPr>
          </w:p>
        </w:tc>
        <w:tc>
          <w:tcPr>
            <w:tcW w:w="590" w:type="pct"/>
            <w:vMerge/>
          </w:tcPr>
          <w:p w14:paraId="056F0781" w14:textId="77777777" w:rsidR="00122C6B" w:rsidRPr="009A1DE7" w:rsidRDefault="00122C6B" w:rsidP="00C81021">
            <w:pPr>
              <w:pStyle w:val="TableText"/>
            </w:pPr>
          </w:p>
        </w:tc>
        <w:tc>
          <w:tcPr>
            <w:tcW w:w="903" w:type="pct"/>
            <w:vMerge/>
          </w:tcPr>
          <w:p w14:paraId="38004B69" w14:textId="6327B59C" w:rsidR="00122C6B" w:rsidRPr="009A1DE7" w:rsidRDefault="00122C6B" w:rsidP="00C81021">
            <w:pPr>
              <w:pStyle w:val="TableText"/>
            </w:pPr>
          </w:p>
        </w:tc>
        <w:tc>
          <w:tcPr>
            <w:tcW w:w="1286" w:type="pct"/>
            <w:vMerge/>
          </w:tcPr>
          <w:p w14:paraId="7E59DC79" w14:textId="77777777" w:rsidR="00122C6B" w:rsidRPr="009A1DE7" w:rsidRDefault="00122C6B" w:rsidP="00C81021">
            <w:pPr>
              <w:pStyle w:val="TableText"/>
            </w:pPr>
          </w:p>
        </w:tc>
        <w:tc>
          <w:tcPr>
            <w:tcW w:w="1076" w:type="pct"/>
            <w:vMerge/>
          </w:tcPr>
          <w:p w14:paraId="586C0C49" w14:textId="77777777" w:rsidR="00122C6B" w:rsidRPr="009A1DE7" w:rsidRDefault="00122C6B" w:rsidP="00C81021">
            <w:pPr>
              <w:pStyle w:val="TableText"/>
            </w:pPr>
          </w:p>
        </w:tc>
        <w:tc>
          <w:tcPr>
            <w:tcW w:w="382" w:type="pct"/>
            <w:shd w:val="clear" w:color="auto" w:fill="F2F2F2" w:themeFill="background1" w:themeFillShade="F2"/>
          </w:tcPr>
          <w:p w14:paraId="44202FF3" w14:textId="77777777" w:rsidR="00122C6B" w:rsidRPr="00EE4BD6" w:rsidRDefault="00122C6B" w:rsidP="00C81021">
            <w:pPr>
              <w:pStyle w:val="TableText"/>
            </w:pPr>
            <w:r w:rsidRPr="009A1DE7">
              <w:t>Target Date</w:t>
            </w:r>
            <w:r>
              <w:t>:</w:t>
            </w:r>
          </w:p>
        </w:tc>
        <w:tc>
          <w:tcPr>
            <w:tcW w:w="452" w:type="pct"/>
            <w:shd w:val="clear" w:color="auto" w:fill="F2F2F2" w:themeFill="background1" w:themeFillShade="F2"/>
          </w:tcPr>
          <w:p w14:paraId="21DC588B" w14:textId="77777777" w:rsidR="00122C6B" w:rsidRPr="00EE4BD6" w:rsidRDefault="00122C6B" w:rsidP="00C81021">
            <w:pPr>
              <w:pStyle w:val="TableText"/>
            </w:pPr>
          </w:p>
        </w:tc>
      </w:tr>
      <w:tr w:rsidR="00122C6B" w:rsidRPr="00EF587A" w14:paraId="5D71EC73" w14:textId="77777777" w:rsidTr="00F97A1E">
        <w:trPr>
          <w:cantSplit/>
          <w:trHeight w:val="428"/>
        </w:trPr>
        <w:tc>
          <w:tcPr>
            <w:tcW w:w="311" w:type="pct"/>
            <w:vMerge/>
          </w:tcPr>
          <w:p w14:paraId="5CC1F55A" w14:textId="77777777" w:rsidR="00122C6B" w:rsidRPr="00EF587A" w:rsidRDefault="00122C6B" w:rsidP="00C81021">
            <w:pPr>
              <w:pStyle w:val="TableText"/>
            </w:pPr>
          </w:p>
        </w:tc>
        <w:tc>
          <w:tcPr>
            <w:tcW w:w="590" w:type="pct"/>
            <w:vMerge/>
          </w:tcPr>
          <w:p w14:paraId="2B66EC3D" w14:textId="77777777" w:rsidR="00122C6B" w:rsidRPr="00EF587A" w:rsidRDefault="00122C6B" w:rsidP="00C81021">
            <w:pPr>
              <w:pStyle w:val="TableText"/>
            </w:pPr>
          </w:p>
        </w:tc>
        <w:tc>
          <w:tcPr>
            <w:tcW w:w="903" w:type="pct"/>
            <w:vMerge/>
          </w:tcPr>
          <w:p w14:paraId="17EE530B" w14:textId="0F7F8D93" w:rsidR="00122C6B" w:rsidRPr="00EF587A" w:rsidRDefault="00122C6B" w:rsidP="00C81021">
            <w:pPr>
              <w:pStyle w:val="TableText"/>
            </w:pPr>
          </w:p>
        </w:tc>
        <w:tc>
          <w:tcPr>
            <w:tcW w:w="1286" w:type="pct"/>
            <w:vMerge/>
          </w:tcPr>
          <w:p w14:paraId="2CF47C34" w14:textId="77777777" w:rsidR="00122C6B" w:rsidRPr="00EF587A" w:rsidRDefault="00122C6B" w:rsidP="00C81021">
            <w:pPr>
              <w:pStyle w:val="TableText"/>
            </w:pPr>
          </w:p>
        </w:tc>
        <w:tc>
          <w:tcPr>
            <w:tcW w:w="1076" w:type="pct"/>
            <w:vMerge/>
          </w:tcPr>
          <w:p w14:paraId="3A4D9B00" w14:textId="77777777" w:rsidR="00122C6B" w:rsidRPr="00EF587A" w:rsidRDefault="00122C6B" w:rsidP="00C81021">
            <w:pPr>
              <w:pStyle w:val="TableText"/>
            </w:pPr>
          </w:p>
        </w:tc>
        <w:tc>
          <w:tcPr>
            <w:tcW w:w="382" w:type="pct"/>
            <w:shd w:val="clear" w:color="auto" w:fill="F2F2F2" w:themeFill="background1" w:themeFillShade="F2"/>
          </w:tcPr>
          <w:p w14:paraId="4E402D1C" w14:textId="77777777" w:rsidR="00122C6B" w:rsidRPr="00EF587A" w:rsidRDefault="00122C6B" w:rsidP="00C81021">
            <w:pPr>
              <w:pStyle w:val="TableText"/>
            </w:pPr>
            <w:r w:rsidRPr="009A1DE7">
              <w:t>Completion Date</w:t>
            </w:r>
            <w:r>
              <w:t>:</w:t>
            </w:r>
          </w:p>
        </w:tc>
        <w:tc>
          <w:tcPr>
            <w:tcW w:w="452" w:type="pct"/>
            <w:shd w:val="clear" w:color="auto" w:fill="F2F2F2" w:themeFill="background1" w:themeFillShade="F2"/>
          </w:tcPr>
          <w:p w14:paraId="0F0F6A69" w14:textId="77777777" w:rsidR="00122C6B" w:rsidRPr="00EF587A" w:rsidRDefault="00122C6B" w:rsidP="00C81021">
            <w:pPr>
              <w:pStyle w:val="TableText"/>
            </w:pPr>
          </w:p>
        </w:tc>
      </w:tr>
    </w:tbl>
    <w:p w14:paraId="5346C5A0" w14:textId="246517E7" w:rsidR="00174671" w:rsidRDefault="00174671" w:rsidP="00972BD0">
      <w:pPr>
        <w:pStyle w:val="BodyText"/>
        <w:spacing w:after="240"/>
      </w:pPr>
    </w:p>
    <w:p w14:paraId="48B930A3" w14:textId="77777777" w:rsidR="00972BD0" w:rsidRDefault="00972BD0" w:rsidP="00972BD0">
      <w:pPr>
        <w:pStyle w:val="BodyText"/>
      </w:pPr>
    </w:p>
    <w:p w14:paraId="697D8205" w14:textId="77777777" w:rsidR="00B629CF" w:rsidRDefault="00B629CF" w:rsidP="00045188">
      <w:pPr>
        <w:sectPr w:rsidR="00B629CF" w:rsidSect="00AC2560">
          <w:pgSz w:w="15840" w:h="12240" w:orient="landscape"/>
          <w:pgMar w:top="1440" w:right="1440" w:bottom="1440" w:left="1440" w:header="360" w:footer="360" w:gutter="0"/>
          <w:cols w:space="720"/>
          <w:docGrid w:linePitch="299"/>
        </w:sectPr>
      </w:pPr>
    </w:p>
    <w:p w14:paraId="5FC6D245" w14:textId="00CA4ADE" w:rsidR="00B629CF" w:rsidRDefault="00B629CF" w:rsidP="00B629CF">
      <w:pPr>
        <w:pStyle w:val="Heading1"/>
      </w:pPr>
      <w:bookmarkStart w:id="33" w:name="_Toc135416592"/>
      <w:bookmarkStart w:id="34" w:name="_Toc135416657"/>
      <w:bookmarkStart w:id="35" w:name="_Toc146183252"/>
      <w:r>
        <w:lastRenderedPageBreak/>
        <w:t>IT Security Protocols</w:t>
      </w:r>
      <w:bookmarkEnd w:id="33"/>
      <w:bookmarkEnd w:id="34"/>
      <w:bookmarkEnd w:id="35"/>
    </w:p>
    <w:p w14:paraId="6BA6D241" w14:textId="564B368C" w:rsidR="00B629CF" w:rsidRDefault="00972BD0" w:rsidP="00972BD0">
      <w:pPr>
        <w:pStyle w:val="BodyText"/>
      </w:pPr>
      <w:r>
        <w:t xml:space="preserve">The following IT security protocols are a sequence of operations </w:t>
      </w:r>
      <w:r w:rsidR="00FC522C">
        <w:t xml:space="preserve">that must be </w:t>
      </w:r>
      <w:r>
        <w:t xml:space="preserve">performed by an IT System Administrator or local office IT representative </w:t>
      </w:r>
      <w:r w:rsidR="00FC522C">
        <w:t>to help</w:t>
      </w:r>
      <w:r>
        <w:t xml:space="preserve"> mitigate potential EDR data loss and improve </w:t>
      </w:r>
      <w:r w:rsidR="00FC522C">
        <w:t>s</w:t>
      </w:r>
      <w:r>
        <w:t>erver</w:t>
      </w:r>
      <w:r w:rsidR="00FC522C">
        <w:t xml:space="preserve"> and w</w:t>
      </w:r>
      <w:r>
        <w:t>orkstation operational performance.</w:t>
      </w:r>
      <w:r w:rsidR="00FC522C">
        <w:t xml:space="preserve"> </w:t>
      </w:r>
      <w:r>
        <w:t xml:space="preserve">In the event of data loss or </w:t>
      </w:r>
      <w:r w:rsidR="00FC522C">
        <w:t xml:space="preserve">a </w:t>
      </w:r>
      <w:r>
        <w:t>malicious outside attack (</w:t>
      </w:r>
      <w:r w:rsidR="00FC522C">
        <w:t>such as r</w:t>
      </w:r>
      <w:r>
        <w:t xml:space="preserve">ansomware), your EDR data would be recoverable if the </w:t>
      </w:r>
      <w:r w:rsidR="00FC522C">
        <w:t xml:space="preserve">following </w:t>
      </w:r>
      <w:r>
        <w:t xml:space="preserve">IT security protocols </w:t>
      </w:r>
      <w:r w:rsidR="00FC522C">
        <w:t>have been</w:t>
      </w:r>
      <w:r>
        <w:t xml:space="preserve"> </w:t>
      </w:r>
      <w:r w:rsidR="00FC522C">
        <w:t>completed</w:t>
      </w:r>
      <w:r>
        <w:t xml:space="preserve"> successfully.</w:t>
      </w:r>
    </w:p>
    <w:p w14:paraId="09BDD298" w14:textId="0391CDCF" w:rsidR="00972BD0" w:rsidRPr="00762137" w:rsidRDefault="00972BD0" w:rsidP="00776AB8">
      <w:pPr>
        <w:pStyle w:val="Heading2"/>
      </w:pPr>
      <w:bookmarkStart w:id="36" w:name="_Toc135416658"/>
      <w:bookmarkStart w:id="37" w:name="_Toc146183253"/>
      <w:r w:rsidRPr="00762137">
        <w:t>Systems Administration</w:t>
      </w:r>
      <w:bookmarkEnd w:id="36"/>
      <w:bookmarkEnd w:id="37"/>
      <w:r w:rsidRPr="00762137">
        <w:t xml:space="preserve"> </w:t>
      </w:r>
    </w:p>
    <w:p w14:paraId="4A8B8792" w14:textId="76CBD453" w:rsidR="00972BD0" w:rsidRPr="00D42C5A" w:rsidRDefault="00972BD0" w:rsidP="00776AB8">
      <w:pPr>
        <w:pStyle w:val="Heading3"/>
      </w:pPr>
      <w:bookmarkStart w:id="38" w:name="_Toc135416659"/>
      <w:bookmarkStart w:id="39" w:name="_Toc146183254"/>
      <w:bookmarkStart w:id="40" w:name="_Hlk99114914"/>
      <w:r w:rsidRPr="00D42C5A">
        <w:t>Nightly Backup Verification</w:t>
      </w:r>
      <w:bookmarkEnd w:id="38"/>
      <w:bookmarkEnd w:id="39"/>
    </w:p>
    <w:p w14:paraId="5244D328" w14:textId="796FA14A" w:rsidR="00972BD0" w:rsidRPr="00395C6B" w:rsidRDefault="00972BD0" w:rsidP="00395C6B">
      <w:pPr>
        <w:pStyle w:val="BodyText"/>
        <w:rPr>
          <w:rFonts w:eastAsia="Calibri"/>
          <w:b/>
          <w:bCs/>
          <w:lang w:bidi="en-US"/>
        </w:rPr>
      </w:pPr>
      <w:r w:rsidRPr="00395C6B">
        <w:rPr>
          <w:shd w:val="clear" w:color="auto" w:fill="FFFFFF"/>
        </w:rPr>
        <w:t>Backup is crucial for data protection. A regular nightly data backup saves your important files from inevitable data loss situations due to common events such as system crash, malware infection, hard drive corruption and failure.</w:t>
      </w:r>
    </w:p>
    <w:p w14:paraId="35657961" w14:textId="77777777" w:rsidR="00972BD0" w:rsidRPr="0086426B" w:rsidRDefault="00972BD0">
      <w:pPr>
        <w:pStyle w:val="BodyText"/>
        <w:numPr>
          <w:ilvl w:val="0"/>
          <w:numId w:val="1"/>
        </w:numPr>
        <w:ind w:left="540"/>
      </w:pPr>
      <w:bookmarkStart w:id="41" w:name="_Hlk99113328"/>
      <w:r w:rsidRPr="0086426B">
        <w:t xml:space="preserve">Backup critical system and application files on a nightly basis. </w:t>
      </w:r>
    </w:p>
    <w:p w14:paraId="10EE3B88" w14:textId="77777777" w:rsidR="00972BD0" w:rsidRPr="0086426B" w:rsidRDefault="00972BD0">
      <w:pPr>
        <w:pStyle w:val="BodyText"/>
        <w:numPr>
          <w:ilvl w:val="0"/>
          <w:numId w:val="1"/>
        </w:numPr>
        <w:ind w:left="540"/>
      </w:pPr>
      <w:r w:rsidRPr="0086426B">
        <w:t xml:space="preserve">Typical schedules will be set to run Monday through Friday after business hours. If the facility is open for business on Saturday or Sunday, then a Saturday/Sunday night backup is recommended as well. </w:t>
      </w:r>
    </w:p>
    <w:p w14:paraId="1E6E9A37" w14:textId="77777777" w:rsidR="00972BD0" w:rsidRPr="0086426B" w:rsidRDefault="00972BD0">
      <w:pPr>
        <w:pStyle w:val="BodyText"/>
        <w:numPr>
          <w:ilvl w:val="0"/>
          <w:numId w:val="1"/>
        </w:numPr>
        <w:ind w:left="540"/>
      </w:pPr>
      <w:r w:rsidRPr="0086426B">
        <w:t>Every morning the backup logs should be reviewed (verified) to confirm a successful backup completed.</w:t>
      </w:r>
    </w:p>
    <w:p w14:paraId="141EE03D" w14:textId="0759D241" w:rsidR="00972BD0" w:rsidRPr="0086426B" w:rsidRDefault="00972BD0">
      <w:pPr>
        <w:pStyle w:val="BodyText"/>
        <w:numPr>
          <w:ilvl w:val="0"/>
          <w:numId w:val="1"/>
        </w:numPr>
        <w:ind w:left="540"/>
      </w:pPr>
      <w:r w:rsidRPr="0086426B">
        <w:t>Removable media (</w:t>
      </w:r>
      <w:r w:rsidR="0082516D">
        <w:t>such as</w:t>
      </w:r>
      <w:r w:rsidRPr="0086426B">
        <w:t xml:space="preserve"> tape, disk</w:t>
      </w:r>
      <w:r w:rsidR="0082516D">
        <w:t>,</w:t>
      </w:r>
      <w:r w:rsidRPr="0086426B">
        <w:t xml:space="preserve"> or external hard drive) should be disconnected and replaced with the next device.</w:t>
      </w:r>
    </w:p>
    <w:p w14:paraId="7F8D36BC" w14:textId="77777777" w:rsidR="00972BD0" w:rsidRPr="0086426B" w:rsidRDefault="00972BD0">
      <w:pPr>
        <w:pStyle w:val="BodyText"/>
        <w:numPr>
          <w:ilvl w:val="0"/>
          <w:numId w:val="1"/>
        </w:numPr>
        <w:ind w:left="540"/>
        <w:rPr>
          <w:shd w:val="clear" w:color="auto" w:fill="FFFFFF"/>
        </w:rPr>
      </w:pPr>
      <w:r w:rsidRPr="0086426B">
        <w:t>Disconnected backup media should be stored in a fire-safe location or taken securely offsite.</w:t>
      </w:r>
      <w:bookmarkEnd w:id="41"/>
    </w:p>
    <w:p w14:paraId="7F31A717" w14:textId="49C73933" w:rsidR="00972BD0" w:rsidRDefault="00972BD0" w:rsidP="004C1FD6">
      <w:pPr>
        <w:pStyle w:val="BodyText"/>
        <w:rPr>
          <w:i/>
          <w:iCs/>
        </w:rPr>
      </w:pPr>
      <w:r w:rsidRPr="0082516D">
        <w:rPr>
          <w:b/>
          <w:bCs/>
          <w:i/>
          <w:iCs/>
        </w:rPr>
        <w:t>Critical</w:t>
      </w:r>
      <w:r w:rsidR="0082516D" w:rsidRPr="0082516D">
        <w:rPr>
          <w:i/>
          <w:iCs/>
        </w:rPr>
        <w:t xml:space="preserve">: </w:t>
      </w:r>
      <w:r w:rsidRPr="0082516D">
        <w:rPr>
          <w:i/>
          <w:iCs/>
        </w:rPr>
        <w:t>Check your backup software application log for successful backups and remedy any unsuccessful backup job as soon as possible.</w:t>
      </w:r>
    </w:p>
    <w:p w14:paraId="2EE40B20" w14:textId="3C49D2FA" w:rsidR="00972BD0" w:rsidRPr="002804C0" w:rsidRDefault="004C1FD6" w:rsidP="00D42C5A">
      <w:pPr>
        <w:pStyle w:val="Heading3"/>
      </w:pPr>
      <w:bookmarkStart w:id="42" w:name="_Toc146183255"/>
      <w:r w:rsidRPr="004C1FD6">
        <w:t xml:space="preserve">EDR </w:t>
      </w:r>
      <w:r w:rsidR="00E37A7E">
        <w:t xml:space="preserve">and </w:t>
      </w:r>
      <w:r w:rsidRPr="004C1FD6">
        <w:t>Image Server</w:t>
      </w:r>
      <w:r w:rsidR="00E37A7E">
        <w:t xml:space="preserve"> Backup Folders</w:t>
      </w:r>
      <w:bookmarkEnd w:id="42"/>
    </w:p>
    <w:p w14:paraId="7D8BA882" w14:textId="6AC5BF01" w:rsidR="00972BD0" w:rsidRPr="00256E01" w:rsidRDefault="00972BD0" w:rsidP="0086426B">
      <w:pPr>
        <w:pStyle w:val="BodyText"/>
      </w:pPr>
      <w:r w:rsidRPr="00256E01">
        <w:t>The following are the file/folders located on the EDR server and/or Image file server that should be backed up to either a NAS</w:t>
      </w:r>
      <w:r>
        <w:t xml:space="preserve"> (Network-attached storage)</w:t>
      </w:r>
      <w:r w:rsidRPr="00256E01">
        <w:t xml:space="preserve"> or external media on a nightly basis. Local IT personnel should review their local drives, directories, and files to determine what other data should be </w:t>
      </w:r>
      <w:r w:rsidR="00E37A7E">
        <w:t>included in the backup</w:t>
      </w:r>
      <w:r w:rsidRPr="00256E01">
        <w:t xml:space="preserve"> process.</w:t>
      </w:r>
    </w:p>
    <w:p w14:paraId="369254F3" w14:textId="3F3D8632" w:rsidR="00972BD0" w:rsidRPr="004C1FD6" w:rsidRDefault="00972BD0">
      <w:pPr>
        <w:pStyle w:val="BodyText"/>
        <w:numPr>
          <w:ilvl w:val="0"/>
          <w:numId w:val="8"/>
        </w:numPr>
        <w:ind w:left="540"/>
      </w:pPr>
      <w:r w:rsidRPr="00E37A7E">
        <w:rPr>
          <w:b/>
          <w:bCs/>
        </w:rPr>
        <w:t>DXONE</w:t>
      </w:r>
      <w:r w:rsidR="0082516D">
        <w:t xml:space="preserve"> –</w:t>
      </w:r>
      <w:r w:rsidR="0082516D" w:rsidRPr="004C1FD6">
        <w:t xml:space="preserve"> </w:t>
      </w:r>
      <w:r w:rsidR="0082516D">
        <w:t>S</w:t>
      </w:r>
      <w:r w:rsidRPr="004C1FD6">
        <w:t>hared</w:t>
      </w:r>
      <w:r w:rsidR="0082516D">
        <w:t>,</w:t>
      </w:r>
      <w:r w:rsidRPr="004C1FD6">
        <w:t xml:space="preserve"> </w:t>
      </w:r>
      <w:r w:rsidR="0082516D">
        <w:t>w</w:t>
      </w:r>
      <w:r w:rsidRPr="004C1FD6">
        <w:t>riteable folder containing customizations</w:t>
      </w:r>
      <w:r w:rsidR="0082516D">
        <w:t xml:space="preserve"> and</w:t>
      </w:r>
      <w:r w:rsidRPr="004C1FD6">
        <w:t xml:space="preserve"> report templates</w:t>
      </w:r>
      <w:r w:rsidR="0082516D">
        <w:t>.</w:t>
      </w:r>
    </w:p>
    <w:p w14:paraId="26D1C2A6" w14:textId="3651F751" w:rsidR="00972BD0" w:rsidRPr="004C1FD6" w:rsidRDefault="00972BD0">
      <w:pPr>
        <w:pStyle w:val="BodyText"/>
        <w:numPr>
          <w:ilvl w:val="0"/>
          <w:numId w:val="8"/>
        </w:numPr>
        <w:ind w:left="540"/>
      </w:pPr>
      <w:r w:rsidRPr="00E37A7E">
        <w:rPr>
          <w:b/>
          <w:bCs/>
        </w:rPr>
        <w:t>Original</w:t>
      </w:r>
      <w:r w:rsidR="0082516D">
        <w:t xml:space="preserve"> –</w:t>
      </w:r>
      <w:r w:rsidR="0082516D" w:rsidRPr="004C1FD6">
        <w:t xml:space="preserve"> </w:t>
      </w:r>
      <w:r w:rsidR="0082516D">
        <w:t>A</w:t>
      </w:r>
      <w:r w:rsidRPr="004C1FD6">
        <w:t>ll software and settings needed to reinstall the EDR implementation</w:t>
      </w:r>
      <w:r w:rsidR="0082516D">
        <w:t>.</w:t>
      </w:r>
    </w:p>
    <w:p w14:paraId="58252203" w14:textId="0189BF63" w:rsidR="00972BD0" w:rsidRPr="004C1FD6" w:rsidRDefault="00972BD0">
      <w:pPr>
        <w:pStyle w:val="BodyText"/>
        <w:numPr>
          <w:ilvl w:val="0"/>
          <w:numId w:val="8"/>
        </w:numPr>
        <w:ind w:left="540"/>
      </w:pPr>
      <w:r w:rsidRPr="00E37A7E">
        <w:rPr>
          <w:b/>
          <w:bCs/>
        </w:rPr>
        <w:t>SQLBACKUPS</w:t>
      </w:r>
      <w:r w:rsidR="0082516D">
        <w:t xml:space="preserve"> –</w:t>
      </w:r>
      <w:r w:rsidR="0082516D" w:rsidRPr="004C1FD6">
        <w:t xml:space="preserve"> </w:t>
      </w:r>
      <w:r w:rsidRPr="004C1FD6">
        <w:t>SQL Database backups for Dentrix</w:t>
      </w:r>
      <w:r w:rsidR="0082516D">
        <w:t xml:space="preserve"> and</w:t>
      </w:r>
      <w:r w:rsidRPr="004C1FD6">
        <w:t xml:space="preserve"> D</w:t>
      </w:r>
      <w:r w:rsidR="0082516D">
        <w:t>EXIS</w:t>
      </w:r>
      <w:r w:rsidRPr="004C1FD6">
        <w:t>/MiPACS</w:t>
      </w:r>
      <w:r w:rsidR="0082516D">
        <w:t>.</w:t>
      </w:r>
    </w:p>
    <w:p w14:paraId="2396A06A" w14:textId="6B852E6E" w:rsidR="00972BD0" w:rsidRPr="004C1FD6" w:rsidRDefault="00972BD0">
      <w:pPr>
        <w:pStyle w:val="BodyText"/>
        <w:numPr>
          <w:ilvl w:val="0"/>
          <w:numId w:val="8"/>
        </w:numPr>
        <w:ind w:left="540"/>
        <w:rPr>
          <w:rFonts w:eastAsiaTheme="minorEastAsia"/>
          <w:color w:val="FF0000"/>
        </w:rPr>
      </w:pPr>
      <w:r w:rsidRPr="00E37A7E">
        <w:rPr>
          <w:b/>
          <w:bCs/>
        </w:rPr>
        <w:t>X-</w:t>
      </w:r>
      <w:r w:rsidR="0082516D" w:rsidRPr="00E37A7E">
        <w:rPr>
          <w:b/>
          <w:bCs/>
        </w:rPr>
        <w:t>r</w:t>
      </w:r>
      <w:r w:rsidRPr="00E37A7E">
        <w:rPr>
          <w:b/>
          <w:bCs/>
        </w:rPr>
        <w:t xml:space="preserve">ay </w:t>
      </w:r>
      <w:r w:rsidR="0082516D" w:rsidRPr="00E37A7E">
        <w:rPr>
          <w:b/>
          <w:bCs/>
        </w:rPr>
        <w:t>i</w:t>
      </w:r>
      <w:r w:rsidRPr="00E37A7E">
        <w:rPr>
          <w:b/>
          <w:bCs/>
        </w:rPr>
        <w:t>mages</w:t>
      </w:r>
      <w:r w:rsidR="0082516D">
        <w:t xml:space="preserve"> –</w:t>
      </w:r>
      <w:r w:rsidRPr="004C1FD6">
        <w:t xml:space="preserve"> D</w:t>
      </w:r>
      <w:r w:rsidR="0082516D">
        <w:t>EXIS</w:t>
      </w:r>
      <w:r w:rsidRPr="004C1FD6">
        <w:t xml:space="preserve"> </w:t>
      </w:r>
      <w:r w:rsidR="0082516D">
        <w:t>or</w:t>
      </w:r>
      <w:r w:rsidRPr="004C1FD6">
        <w:t xml:space="preserve"> MiPACS</w:t>
      </w:r>
      <w:r w:rsidR="0082516D">
        <w:t>:</w:t>
      </w:r>
    </w:p>
    <w:p w14:paraId="6494B562" w14:textId="621560F5" w:rsidR="00972BD0" w:rsidRPr="004C1FD6" w:rsidRDefault="00972BD0">
      <w:pPr>
        <w:pStyle w:val="BodyText"/>
        <w:numPr>
          <w:ilvl w:val="1"/>
          <w:numId w:val="149"/>
        </w:numPr>
        <w:ind w:left="1080"/>
        <w:rPr>
          <w:rFonts w:eastAsiaTheme="minorEastAsia"/>
          <w:color w:val="FF0000"/>
        </w:rPr>
      </w:pPr>
      <w:r w:rsidRPr="00E37A7E">
        <w:rPr>
          <w:b/>
          <w:bCs/>
        </w:rPr>
        <w:t>D</w:t>
      </w:r>
      <w:r w:rsidR="0082516D" w:rsidRPr="00E37A7E">
        <w:rPr>
          <w:b/>
          <w:bCs/>
        </w:rPr>
        <w:t>EXIS</w:t>
      </w:r>
      <w:r w:rsidR="0082516D">
        <w:t xml:space="preserve"> –</w:t>
      </w:r>
      <w:r w:rsidR="0082516D" w:rsidRPr="004C1FD6">
        <w:t xml:space="preserve"> </w:t>
      </w:r>
      <w:r w:rsidRPr="004C1FD6">
        <w:t>D</w:t>
      </w:r>
      <w:r w:rsidR="0082516D">
        <w:t>EXIS</w:t>
      </w:r>
      <w:r w:rsidRPr="004C1FD6">
        <w:t xml:space="preserve"> Imaging Suite /TXOUT</w:t>
      </w:r>
      <w:r w:rsidR="0082516D">
        <w:t>.</w:t>
      </w:r>
    </w:p>
    <w:p w14:paraId="59C32C9B" w14:textId="4330468B" w:rsidR="00972BD0" w:rsidRPr="00676296" w:rsidRDefault="00972BD0">
      <w:pPr>
        <w:pStyle w:val="BodyText"/>
        <w:numPr>
          <w:ilvl w:val="1"/>
          <w:numId w:val="149"/>
        </w:numPr>
        <w:ind w:left="1080"/>
        <w:rPr>
          <w:rFonts w:eastAsiaTheme="minorEastAsia"/>
          <w:color w:val="FF0000"/>
        </w:rPr>
      </w:pPr>
      <w:r w:rsidRPr="00E37A7E">
        <w:rPr>
          <w:b/>
          <w:bCs/>
        </w:rPr>
        <w:t>MiPACS</w:t>
      </w:r>
      <w:r w:rsidR="0082516D">
        <w:t xml:space="preserve"> –</w:t>
      </w:r>
      <w:r w:rsidR="0082516D" w:rsidRPr="004C1FD6">
        <w:t xml:space="preserve"> </w:t>
      </w:r>
      <w:r w:rsidRPr="00676296">
        <w:rPr>
          <w:rFonts w:eastAsia="Calibri"/>
        </w:rPr>
        <w:t>D:\MIPACS\Images and D:\MIPACS\TXT_OUT</w:t>
      </w:r>
      <w:r w:rsidR="0082516D">
        <w:rPr>
          <w:rFonts w:eastAsia="Calibri"/>
        </w:rPr>
        <w:t>.</w:t>
      </w:r>
    </w:p>
    <w:p w14:paraId="3B6E8A7B" w14:textId="3DE164AB" w:rsidR="00972BD0" w:rsidRPr="0082516D" w:rsidRDefault="00972BD0" w:rsidP="004C1FD6">
      <w:pPr>
        <w:pStyle w:val="BodyText"/>
        <w:rPr>
          <w:i/>
          <w:iCs/>
        </w:rPr>
      </w:pPr>
      <w:r w:rsidRPr="0082516D">
        <w:rPr>
          <w:b/>
          <w:bCs/>
          <w:i/>
          <w:iCs/>
        </w:rPr>
        <w:t>Note</w:t>
      </w:r>
      <w:r w:rsidRPr="0082516D">
        <w:rPr>
          <w:i/>
          <w:iCs/>
        </w:rPr>
        <w:t>: If other X-ray image software is used, please refer to the X-ray software manual to verify the file/folders that contain X-ray images and back</w:t>
      </w:r>
      <w:r w:rsidR="0082516D">
        <w:rPr>
          <w:i/>
          <w:iCs/>
        </w:rPr>
        <w:t xml:space="preserve"> them </w:t>
      </w:r>
      <w:r w:rsidRPr="0082516D">
        <w:rPr>
          <w:i/>
          <w:iCs/>
        </w:rPr>
        <w:t>up accordingly.</w:t>
      </w:r>
      <w:bookmarkEnd w:id="40"/>
    </w:p>
    <w:p w14:paraId="1D0473DE" w14:textId="028AA66E" w:rsidR="00972BD0" w:rsidRPr="00972BD0" w:rsidRDefault="00972BD0" w:rsidP="00D42C5A">
      <w:pPr>
        <w:pStyle w:val="Heading3"/>
        <w:rPr>
          <w:color w:val="202124"/>
          <w:shd w:val="clear" w:color="auto" w:fill="FFFFFF"/>
        </w:rPr>
      </w:pPr>
      <w:bookmarkStart w:id="43" w:name="_Toc135416660"/>
      <w:bookmarkStart w:id="44" w:name="_Toc146183256"/>
      <w:r w:rsidRPr="00972BD0">
        <w:lastRenderedPageBreak/>
        <w:t>Data Recovery</w:t>
      </w:r>
      <w:bookmarkEnd w:id="43"/>
      <w:bookmarkEnd w:id="44"/>
    </w:p>
    <w:p w14:paraId="1AC3680D" w14:textId="4FC393A8" w:rsidR="00972BD0" w:rsidRPr="00972BD0" w:rsidRDefault="00972BD0" w:rsidP="002202F7">
      <w:pPr>
        <w:pStyle w:val="BodyText"/>
        <w:keepNext/>
        <w:keepLines/>
        <w:rPr>
          <w:shd w:val="clear" w:color="auto" w:fill="FFFFFF"/>
        </w:rPr>
      </w:pPr>
      <w:r w:rsidRPr="00972BD0">
        <w:rPr>
          <w:shd w:val="clear" w:color="auto" w:fill="FFFFFF"/>
        </w:rPr>
        <w:t>A backup and recovery test is the process of assessing the effectiveness of an organization's software and methods of replicating data for security and its ability to reliably retrieve that data should the need arise. Backup and recovery testing is an essential part of a disaster recovery plan.</w:t>
      </w:r>
    </w:p>
    <w:p w14:paraId="557B8C9E" w14:textId="4810692A" w:rsidR="00972BD0" w:rsidRPr="00256E01" w:rsidRDefault="00972BD0">
      <w:pPr>
        <w:pStyle w:val="BodyText"/>
        <w:keepNext/>
        <w:keepLines/>
        <w:numPr>
          <w:ilvl w:val="0"/>
          <w:numId w:val="5"/>
        </w:numPr>
        <w:ind w:left="540"/>
      </w:pPr>
      <w:r w:rsidRPr="00256E01">
        <w:rPr>
          <w:shd w:val="clear" w:color="auto" w:fill="FFFFFF"/>
        </w:rPr>
        <w:t xml:space="preserve">Backup and </w:t>
      </w:r>
      <w:r w:rsidR="0082516D">
        <w:rPr>
          <w:shd w:val="clear" w:color="auto" w:fill="FFFFFF"/>
        </w:rPr>
        <w:t>r</w:t>
      </w:r>
      <w:r w:rsidRPr="00256E01">
        <w:rPr>
          <w:shd w:val="clear" w:color="auto" w:fill="FFFFFF"/>
        </w:rPr>
        <w:t>ecovery (restoring) testing on an annual basis is highly recommend</w:t>
      </w:r>
      <w:r w:rsidR="00EC3DF9">
        <w:rPr>
          <w:shd w:val="clear" w:color="auto" w:fill="FFFFFF"/>
        </w:rPr>
        <w:t>ed</w:t>
      </w:r>
      <w:r w:rsidRPr="00256E01">
        <w:rPr>
          <w:shd w:val="clear" w:color="auto" w:fill="FFFFFF"/>
        </w:rPr>
        <w:t xml:space="preserve"> and should be part of the sites D&amp;R</w:t>
      </w:r>
      <w:r>
        <w:rPr>
          <w:shd w:val="clear" w:color="auto" w:fill="FFFFFF"/>
        </w:rPr>
        <w:t xml:space="preserve"> (Disaster and Recovery)</w:t>
      </w:r>
      <w:r w:rsidRPr="00256E01">
        <w:rPr>
          <w:shd w:val="clear" w:color="auto" w:fill="FFFFFF"/>
        </w:rPr>
        <w:t xml:space="preserve"> procedures</w:t>
      </w:r>
      <w:r w:rsidRPr="00256E01">
        <w:t>.</w:t>
      </w:r>
    </w:p>
    <w:p w14:paraId="7FCE77B0" w14:textId="2A0064BE" w:rsidR="00972BD0" w:rsidRPr="00256E01" w:rsidRDefault="00972BD0">
      <w:pPr>
        <w:pStyle w:val="BodyText"/>
        <w:keepNext/>
        <w:keepLines/>
        <w:numPr>
          <w:ilvl w:val="0"/>
          <w:numId w:val="5"/>
        </w:numPr>
        <w:ind w:left="540"/>
      </w:pPr>
      <w:r w:rsidRPr="00256E01">
        <w:rPr>
          <w:shd w:val="clear" w:color="auto" w:fill="FFFFFF"/>
        </w:rPr>
        <w:t xml:space="preserve">Restoring your EDR data to a </w:t>
      </w:r>
      <w:r w:rsidR="0082516D">
        <w:rPr>
          <w:shd w:val="clear" w:color="auto" w:fill="FFFFFF"/>
        </w:rPr>
        <w:t>t</w:t>
      </w:r>
      <w:r w:rsidRPr="00256E01">
        <w:rPr>
          <w:shd w:val="clear" w:color="auto" w:fill="FFFFFF"/>
        </w:rPr>
        <w:t xml:space="preserve">est SQL instance is essential in verifying that the EDR data can be restored correctly and completely. </w:t>
      </w:r>
    </w:p>
    <w:p w14:paraId="62BE6CFE" w14:textId="1D0E1AEF" w:rsidR="00972BD0" w:rsidRPr="0082516D" w:rsidRDefault="00972BD0">
      <w:pPr>
        <w:pStyle w:val="BodyText"/>
        <w:numPr>
          <w:ilvl w:val="0"/>
          <w:numId w:val="5"/>
        </w:numPr>
        <w:ind w:left="540"/>
      </w:pPr>
      <w:r w:rsidRPr="00256E01">
        <w:rPr>
          <w:shd w:val="clear" w:color="auto" w:fill="FFFFFF"/>
        </w:rPr>
        <w:t xml:space="preserve">The D&amp;R procedures can be performed with assistance from the EDR </w:t>
      </w:r>
      <w:r>
        <w:rPr>
          <w:shd w:val="clear" w:color="auto" w:fill="FFFFFF"/>
        </w:rPr>
        <w:t>S</w:t>
      </w:r>
      <w:r w:rsidRPr="00256E01">
        <w:rPr>
          <w:shd w:val="clear" w:color="auto" w:fill="FFFFFF"/>
        </w:rPr>
        <w:t>upport team which can be contacte</w:t>
      </w:r>
      <w:r w:rsidRPr="0082516D">
        <w:t xml:space="preserve">d </w:t>
      </w:r>
      <w:r w:rsidR="0082516D">
        <w:t>by phone at</w:t>
      </w:r>
      <w:r w:rsidRPr="0082516D">
        <w:t xml:space="preserve"> </w:t>
      </w:r>
      <w:bookmarkStart w:id="45" w:name="_Hlk99530859"/>
      <w:r w:rsidRPr="0082516D">
        <w:rPr>
          <w:u w:val="single"/>
        </w:rPr>
        <w:t>(800) 459-8067</w:t>
      </w:r>
      <w:r w:rsidRPr="0082516D">
        <w:t xml:space="preserve"> </w:t>
      </w:r>
      <w:bookmarkEnd w:id="45"/>
      <w:r w:rsidRPr="0082516D">
        <w:t xml:space="preserve">or </w:t>
      </w:r>
      <w:r w:rsidR="0082516D">
        <w:t xml:space="preserve">by </w:t>
      </w:r>
      <w:r w:rsidRPr="0082516D">
        <w:t xml:space="preserve">email at </w:t>
      </w:r>
      <w:r w:rsidRPr="0082516D">
        <w:rPr>
          <w:u w:val="single"/>
        </w:rPr>
        <w:t>ihs-support@henryscheinone.com</w:t>
      </w:r>
      <w:r w:rsidRPr="0082516D">
        <w:t xml:space="preserve">. </w:t>
      </w:r>
    </w:p>
    <w:p w14:paraId="3521D506" w14:textId="2F63A30D" w:rsidR="00972BD0" w:rsidRPr="00972BD0" w:rsidRDefault="00972BD0" w:rsidP="00D42C5A">
      <w:pPr>
        <w:pStyle w:val="Heading3"/>
      </w:pPr>
      <w:bookmarkStart w:id="46" w:name="_Toc135416661"/>
      <w:bookmarkStart w:id="47" w:name="_Toc146183257"/>
      <w:r w:rsidRPr="00972BD0">
        <w:t>SQL Maintenance Plans</w:t>
      </w:r>
      <w:bookmarkEnd w:id="46"/>
      <w:bookmarkEnd w:id="47"/>
    </w:p>
    <w:p w14:paraId="3FACF420" w14:textId="51065B5A" w:rsidR="00972BD0" w:rsidRPr="00836DEE" w:rsidRDefault="00972BD0" w:rsidP="0086426B">
      <w:pPr>
        <w:pStyle w:val="BodyText"/>
        <w:rPr>
          <w:lang w:bidi="en-US"/>
        </w:rPr>
      </w:pPr>
      <w:r w:rsidRPr="00972BD0">
        <w:rPr>
          <w:lang w:bidi="en-US"/>
        </w:rPr>
        <w:t xml:space="preserve">SQL maintenance plans are configured during your EDR installation which backup your EDR Dentrix Enterprise data and provide SQL administration to the SQL database. The SQL data backup files are placed in the </w:t>
      </w:r>
      <w:r w:rsidRPr="0082516D">
        <w:rPr>
          <w:b/>
          <w:bCs/>
          <w:lang w:bidi="en-US"/>
        </w:rPr>
        <w:t>SQL BACKUPS</w:t>
      </w:r>
      <w:r w:rsidRPr="00972BD0">
        <w:rPr>
          <w:lang w:bidi="en-US"/>
        </w:rPr>
        <w:t xml:space="preserve"> folder mentioned </w:t>
      </w:r>
      <w:r w:rsidR="00E37A7E">
        <w:rPr>
          <w:lang w:bidi="en-US"/>
        </w:rPr>
        <w:t>previously</w:t>
      </w:r>
      <w:r w:rsidRPr="00972BD0">
        <w:rPr>
          <w:lang w:bidi="en-US"/>
        </w:rPr>
        <w:t xml:space="preserve">. </w:t>
      </w:r>
      <w:r w:rsidR="00E37A7E">
        <w:rPr>
          <w:lang w:bidi="en-US"/>
        </w:rPr>
        <w:t xml:space="preserve">Backing up SQL databases </w:t>
      </w:r>
      <w:r w:rsidRPr="00972BD0">
        <w:rPr>
          <w:lang w:bidi="en-US"/>
        </w:rPr>
        <w:t xml:space="preserve">should be part of your daily </w:t>
      </w:r>
      <w:r w:rsidR="00E37A7E">
        <w:rPr>
          <w:lang w:bidi="en-US"/>
        </w:rPr>
        <w:t xml:space="preserve">software </w:t>
      </w:r>
      <w:r w:rsidR="00D74918">
        <w:rPr>
          <w:lang w:bidi="en-US"/>
        </w:rPr>
        <w:t>b</w:t>
      </w:r>
      <w:r w:rsidRPr="00972BD0">
        <w:rPr>
          <w:lang w:bidi="en-US"/>
        </w:rPr>
        <w:t xml:space="preserve">ackup </w:t>
      </w:r>
      <w:r w:rsidR="00E37A7E">
        <w:rPr>
          <w:lang w:bidi="en-US"/>
        </w:rPr>
        <w:t>routine</w:t>
      </w:r>
      <w:r w:rsidRPr="00972BD0">
        <w:rPr>
          <w:lang w:bidi="en-US"/>
        </w:rPr>
        <w:t>.</w:t>
      </w:r>
      <w:r w:rsidR="00E37A7E">
        <w:rPr>
          <w:lang w:bidi="en-US"/>
        </w:rPr>
        <w:t xml:space="preserve"> </w:t>
      </w:r>
      <w:r w:rsidRPr="00836DEE">
        <w:rPr>
          <w:lang w:bidi="en-US"/>
        </w:rPr>
        <w:t xml:space="preserve">The SQL </w:t>
      </w:r>
      <w:r w:rsidR="0082516D">
        <w:rPr>
          <w:lang w:bidi="en-US"/>
        </w:rPr>
        <w:t>m</w:t>
      </w:r>
      <w:r w:rsidRPr="00836DEE">
        <w:rPr>
          <w:lang w:bidi="en-US"/>
        </w:rPr>
        <w:t xml:space="preserve">aintenance plan is configured to keep the last </w:t>
      </w:r>
      <w:r w:rsidR="00D74918">
        <w:rPr>
          <w:lang w:bidi="en-US"/>
        </w:rPr>
        <w:t>five</w:t>
      </w:r>
      <w:r w:rsidRPr="00836DEE">
        <w:rPr>
          <w:lang w:bidi="en-US"/>
        </w:rPr>
        <w:t xml:space="preserve"> days of EDR data.</w:t>
      </w:r>
    </w:p>
    <w:p w14:paraId="691E4A23" w14:textId="2DE229F7" w:rsidR="00972BD0" w:rsidRPr="00836DEE" w:rsidRDefault="00972BD0" w:rsidP="0086426B">
      <w:pPr>
        <w:pStyle w:val="BodyText"/>
        <w:rPr>
          <w:lang w:bidi="en-US"/>
        </w:rPr>
      </w:pPr>
      <w:r w:rsidRPr="00836DEE">
        <w:rPr>
          <w:lang w:bidi="en-US"/>
        </w:rPr>
        <w:t>There are two ways to check the successful completion of a</w:t>
      </w:r>
      <w:r w:rsidR="0082516D">
        <w:rPr>
          <w:lang w:bidi="en-US"/>
        </w:rPr>
        <w:t>n</w:t>
      </w:r>
      <w:r w:rsidRPr="00836DEE">
        <w:rPr>
          <w:lang w:bidi="en-US"/>
        </w:rPr>
        <w:t xml:space="preserve"> SQL </w:t>
      </w:r>
      <w:r w:rsidR="0082516D">
        <w:rPr>
          <w:lang w:bidi="en-US"/>
        </w:rPr>
        <w:t>m</w:t>
      </w:r>
      <w:r w:rsidRPr="00836DEE">
        <w:rPr>
          <w:lang w:bidi="en-US"/>
        </w:rPr>
        <w:t>aintenance plan job.</w:t>
      </w:r>
    </w:p>
    <w:p w14:paraId="4A0F0ABD" w14:textId="7E966308" w:rsidR="00972BD0" w:rsidRPr="00836DEE" w:rsidRDefault="00972BD0">
      <w:pPr>
        <w:pStyle w:val="BodyText"/>
        <w:numPr>
          <w:ilvl w:val="0"/>
          <w:numId w:val="6"/>
        </w:numPr>
        <w:ind w:left="540"/>
        <w:rPr>
          <w:lang w:bidi="en-US"/>
        </w:rPr>
      </w:pPr>
      <w:r w:rsidRPr="00F91ADF">
        <w:rPr>
          <w:b/>
          <w:bCs/>
          <w:lang w:bidi="en-US"/>
        </w:rPr>
        <w:t xml:space="preserve">SQL </w:t>
      </w:r>
      <w:r w:rsidR="00D74918">
        <w:rPr>
          <w:b/>
          <w:bCs/>
          <w:lang w:bidi="en-US"/>
        </w:rPr>
        <w:t xml:space="preserve">Server </w:t>
      </w:r>
      <w:r w:rsidRPr="00F91ADF">
        <w:rPr>
          <w:b/>
          <w:bCs/>
          <w:lang w:bidi="en-US"/>
        </w:rPr>
        <w:t xml:space="preserve">Management </w:t>
      </w:r>
      <w:r w:rsidR="00D74918">
        <w:rPr>
          <w:b/>
          <w:bCs/>
          <w:lang w:bidi="en-US"/>
        </w:rPr>
        <w:t>Studio</w:t>
      </w:r>
      <w:r w:rsidRPr="00F91ADF">
        <w:rPr>
          <w:b/>
          <w:bCs/>
          <w:lang w:bidi="en-US"/>
        </w:rPr>
        <w:t xml:space="preserve"> (Method 1)</w:t>
      </w:r>
      <w:r w:rsidR="00F91ADF">
        <w:rPr>
          <w:lang w:bidi="en-US"/>
        </w:rPr>
        <w:t>:</w:t>
      </w:r>
    </w:p>
    <w:p w14:paraId="3E1BCF53" w14:textId="5221FA1E" w:rsidR="00972BD0" w:rsidRPr="00836DEE" w:rsidRDefault="00972BD0">
      <w:pPr>
        <w:pStyle w:val="BodyText"/>
        <w:numPr>
          <w:ilvl w:val="0"/>
          <w:numId w:val="7"/>
        </w:numPr>
        <w:ind w:left="1080"/>
        <w:rPr>
          <w:lang w:bidi="en-US"/>
        </w:rPr>
      </w:pPr>
      <w:r w:rsidRPr="00836DEE">
        <w:rPr>
          <w:lang w:bidi="en-US"/>
        </w:rPr>
        <w:t>Open SQL Server Management Studio.</w:t>
      </w:r>
    </w:p>
    <w:p w14:paraId="4BED74C0" w14:textId="4E3D6E02" w:rsidR="00972BD0" w:rsidRPr="00836DEE" w:rsidRDefault="00972BD0">
      <w:pPr>
        <w:pStyle w:val="BodyText"/>
        <w:numPr>
          <w:ilvl w:val="0"/>
          <w:numId w:val="7"/>
        </w:numPr>
        <w:ind w:left="1080"/>
        <w:rPr>
          <w:lang w:bidi="en-US"/>
        </w:rPr>
      </w:pPr>
      <w:r w:rsidRPr="00836DEE">
        <w:rPr>
          <w:lang w:bidi="en-US"/>
        </w:rPr>
        <w:t>Log</w:t>
      </w:r>
      <w:r w:rsidR="00D74918">
        <w:rPr>
          <w:lang w:bidi="en-US"/>
        </w:rPr>
        <w:t xml:space="preserve"> </w:t>
      </w:r>
      <w:r w:rsidRPr="00836DEE">
        <w:rPr>
          <w:lang w:bidi="en-US"/>
        </w:rPr>
        <w:t xml:space="preserve">in </w:t>
      </w:r>
      <w:r w:rsidR="00D74918">
        <w:rPr>
          <w:lang w:bidi="en-US"/>
        </w:rPr>
        <w:t>using the following options and c</w:t>
      </w:r>
      <w:r w:rsidRPr="00836DEE">
        <w:rPr>
          <w:lang w:bidi="en-US"/>
        </w:rPr>
        <w:t>redentials:</w:t>
      </w:r>
    </w:p>
    <w:p w14:paraId="6FA4BC2B" w14:textId="71240FBD" w:rsidR="00972BD0" w:rsidRPr="0086426B" w:rsidRDefault="00972BD0">
      <w:pPr>
        <w:pStyle w:val="BodyText"/>
        <w:numPr>
          <w:ilvl w:val="0"/>
          <w:numId w:val="6"/>
        </w:numPr>
        <w:ind w:left="1620"/>
        <w:rPr>
          <w:lang w:bidi="en-US"/>
        </w:rPr>
      </w:pPr>
      <w:r w:rsidRPr="00B3072B">
        <w:rPr>
          <w:b/>
          <w:bCs/>
          <w:lang w:bidi="en-US"/>
        </w:rPr>
        <w:t>Server type</w:t>
      </w:r>
      <w:r w:rsidRPr="0086426B">
        <w:rPr>
          <w:lang w:bidi="en-US"/>
        </w:rPr>
        <w:t>: Database Engine</w:t>
      </w:r>
      <w:r w:rsidR="00D74918">
        <w:rPr>
          <w:lang w:bidi="en-US"/>
        </w:rPr>
        <w:t>.</w:t>
      </w:r>
    </w:p>
    <w:p w14:paraId="1DD3B655" w14:textId="0F7CB010" w:rsidR="00972BD0" w:rsidRPr="00D74918" w:rsidRDefault="00972BD0">
      <w:pPr>
        <w:pStyle w:val="BodyText"/>
        <w:numPr>
          <w:ilvl w:val="0"/>
          <w:numId w:val="6"/>
        </w:numPr>
        <w:ind w:left="1620"/>
      </w:pPr>
      <w:r w:rsidRPr="00B3072B">
        <w:rPr>
          <w:b/>
          <w:bCs/>
          <w:lang w:bidi="en-US"/>
        </w:rPr>
        <w:t>Server name</w:t>
      </w:r>
      <w:r w:rsidRPr="0086426B">
        <w:rPr>
          <w:lang w:bidi="en-US"/>
        </w:rPr>
        <w:t xml:space="preserve">: </w:t>
      </w:r>
      <w:r w:rsidR="00D74918">
        <w:rPr>
          <w:lang w:bidi="en-US"/>
        </w:rPr>
        <w:t>[</w:t>
      </w:r>
      <w:r w:rsidRPr="00D74918">
        <w:t>EDR server name</w:t>
      </w:r>
      <w:r w:rsidR="00D74918">
        <w:t>]</w:t>
      </w:r>
      <w:r w:rsidRPr="00D74918">
        <w:t>\</w:t>
      </w:r>
      <w:proofErr w:type="spellStart"/>
      <w:r w:rsidRPr="00D74918">
        <w:t>Dentrix_Live</w:t>
      </w:r>
      <w:proofErr w:type="spellEnd"/>
      <w:r w:rsidR="00D74918">
        <w:t>.</w:t>
      </w:r>
    </w:p>
    <w:p w14:paraId="5E06A655" w14:textId="3D7B0697" w:rsidR="00972BD0" w:rsidRPr="0086426B" w:rsidRDefault="00972BD0">
      <w:pPr>
        <w:pStyle w:val="BodyText"/>
        <w:numPr>
          <w:ilvl w:val="0"/>
          <w:numId w:val="6"/>
        </w:numPr>
        <w:ind w:left="1620"/>
        <w:rPr>
          <w:lang w:bidi="en-US"/>
        </w:rPr>
      </w:pPr>
      <w:r w:rsidRPr="00B3072B">
        <w:rPr>
          <w:b/>
          <w:bCs/>
          <w:lang w:bidi="en-US"/>
        </w:rPr>
        <w:t>Authentication</w:t>
      </w:r>
      <w:r w:rsidRPr="0086426B">
        <w:rPr>
          <w:lang w:bidi="en-US"/>
        </w:rPr>
        <w:t>: Windows Authentication</w:t>
      </w:r>
      <w:r w:rsidR="0086426B" w:rsidRPr="0086426B">
        <w:rPr>
          <w:lang w:bidi="en-US"/>
        </w:rPr>
        <w:t xml:space="preserve"> or SQL Server Authentication</w:t>
      </w:r>
      <w:r w:rsidR="00D74918">
        <w:rPr>
          <w:lang w:bidi="en-US"/>
        </w:rPr>
        <w:t>.</w:t>
      </w:r>
    </w:p>
    <w:p w14:paraId="2A801744" w14:textId="55F85330" w:rsidR="00972BD0" w:rsidRPr="0086426B" w:rsidRDefault="00972BD0">
      <w:pPr>
        <w:pStyle w:val="BodyText"/>
        <w:numPr>
          <w:ilvl w:val="0"/>
          <w:numId w:val="6"/>
        </w:numPr>
        <w:ind w:left="1620"/>
        <w:rPr>
          <w:lang w:bidi="en-US"/>
        </w:rPr>
      </w:pPr>
      <w:r w:rsidRPr="00B3072B">
        <w:rPr>
          <w:b/>
          <w:bCs/>
          <w:lang w:bidi="en-US"/>
        </w:rPr>
        <w:t>User name</w:t>
      </w:r>
      <w:r w:rsidRPr="0086426B">
        <w:rPr>
          <w:lang w:bidi="en-US"/>
        </w:rPr>
        <w:t xml:space="preserve">: </w:t>
      </w:r>
      <w:r w:rsidRPr="00D74918">
        <w:t>D1\</w:t>
      </w:r>
      <w:r w:rsidR="00D74918">
        <w:t>[</w:t>
      </w:r>
      <w:r w:rsidRPr="00D74918">
        <w:t>D1 User name</w:t>
      </w:r>
      <w:r w:rsidR="00D74918">
        <w:t>]</w:t>
      </w:r>
      <w:r w:rsidR="0086426B" w:rsidRPr="00D74918">
        <w:t xml:space="preserve"> </w:t>
      </w:r>
      <w:r w:rsidR="0086426B" w:rsidRPr="0086426B">
        <w:rPr>
          <w:lang w:bidi="en-US"/>
        </w:rPr>
        <w:t>(</w:t>
      </w:r>
      <w:r w:rsidR="00E37A7E">
        <w:rPr>
          <w:lang w:bidi="en-US"/>
        </w:rPr>
        <w:t>for</w:t>
      </w:r>
      <w:r w:rsidR="00D74918">
        <w:rPr>
          <w:lang w:bidi="en-US"/>
        </w:rPr>
        <w:t xml:space="preserve"> </w:t>
      </w:r>
      <w:r w:rsidR="0086426B" w:rsidRPr="0086426B">
        <w:rPr>
          <w:lang w:bidi="en-US"/>
        </w:rPr>
        <w:t xml:space="preserve">SQL Server </w:t>
      </w:r>
      <w:r w:rsidR="00D74918">
        <w:rPr>
          <w:lang w:bidi="en-US"/>
        </w:rPr>
        <w:t>a</w:t>
      </w:r>
      <w:r w:rsidR="0086426B" w:rsidRPr="0086426B">
        <w:rPr>
          <w:lang w:bidi="en-US"/>
        </w:rPr>
        <w:t>uthentication</w:t>
      </w:r>
      <w:r w:rsidR="00E37A7E">
        <w:rPr>
          <w:lang w:bidi="en-US"/>
        </w:rPr>
        <w:t xml:space="preserve"> only</w:t>
      </w:r>
      <w:r w:rsidR="0086426B" w:rsidRPr="0086426B">
        <w:rPr>
          <w:lang w:bidi="en-US"/>
        </w:rPr>
        <w:t>)</w:t>
      </w:r>
      <w:r w:rsidR="00D74918">
        <w:rPr>
          <w:lang w:bidi="en-US"/>
        </w:rPr>
        <w:t>.</w:t>
      </w:r>
    </w:p>
    <w:p w14:paraId="73C082BD" w14:textId="664267D7" w:rsidR="00972BD0" w:rsidRPr="0086426B" w:rsidRDefault="00972BD0">
      <w:pPr>
        <w:pStyle w:val="BodyText"/>
        <w:numPr>
          <w:ilvl w:val="0"/>
          <w:numId w:val="6"/>
        </w:numPr>
        <w:ind w:left="1620"/>
        <w:rPr>
          <w:lang w:bidi="en-US"/>
        </w:rPr>
      </w:pPr>
      <w:r w:rsidRPr="00B3072B">
        <w:rPr>
          <w:b/>
          <w:bCs/>
          <w:lang w:bidi="en-US"/>
        </w:rPr>
        <w:t>Password</w:t>
      </w:r>
      <w:r w:rsidRPr="0086426B">
        <w:rPr>
          <w:lang w:bidi="en-US"/>
        </w:rPr>
        <w:t xml:space="preserve">: </w:t>
      </w:r>
      <w:r w:rsidR="00D74918">
        <w:t>T</w:t>
      </w:r>
      <w:r w:rsidRPr="00D74918">
        <w:t>he SA password supplied to IT during installation</w:t>
      </w:r>
      <w:r w:rsidR="0086426B" w:rsidRPr="00D74918">
        <w:t xml:space="preserve"> </w:t>
      </w:r>
      <w:r w:rsidR="0086426B" w:rsidRPr="0086426B">
        <w:rPr>
          <w:lang w:bidi="en-US"/>
        </w:rPr>
        <w:t>(</w:t>
      </w:r>
      <w:r w:rsidR="00E37A7E">
        <w:rPr>
          <w:lang w:bidi="en-US"/>
        </w:rPr>
        <w:t>for</w:t>
      </w:r>
      <w:r w:rsidR="00D74918">
        <w:rPr>
          <w:lang w:bidi="en-US"/>
        </w:rPr>
        <w:t xml:space="preserve"> </w:t>
      </w:r>
      <w:r w:rsidR="0086426B" w:rsidRPr="0086426B">
        <w:rPr>
          <w:lang w:bidi="en-US"/>
        </w:rPr>
        <w:t xml:space="preserve">SQL Server </w:t>
      </w:r>
      <w:r w:rsidR="00D74918">
        <w:rPr>
          <w:lang w:bidi="en-US"/>
        </w:rPr>
        <w:t>a</w:t>
      </w:r>
      <w:r w:rsidR="0086426B" w:rsidRPr="0086426B">
        <w:rPr>
          <w:lang w:bidi="en-US"/>
        </w:rPr>
        <w:t>uthentication</w:t>
      </w:r>
      <w:r w:rsidR="00E37A7E">
        <w:rPr>
          <w:lang w:bidi="en-US"/>
        </w:rPr>
        <w:t xml:space="preserve"> only</w:t>
      </w:r>
      <w:r w:rsidR="0086426B" w:rsidRPr="0086426B">
        <w:rPr>
          <w:lang w:bidi="en-US"/>
        </w:rPr>
        <w:t>)</w:t>
      </w:r>
      <w:r w:rsidR="00D74918">
        <w:rPr>
          <w:lang w:bidi="en-US"/>
        </w:rPr>
        <w:t>.</w:t>
      </w:r>
    </w:p>
    <w:p w14:paraId="24413C97" w14:textId="47FA96AA" w:rsidR="00972BD0" w:rsidRPr="0086426B" w:rsidRDefault="00972BD0">
      <w:pPr>
        <w:pStyle w:val="BodyText"/>
        <w:numPr>
          <w:ilvl w:val="0"/>
          <w:numId w:val="7"/>
        </w:numPr>
        <w:ind w:left="1080"/>
        <w:rPr>
          <w:lang w:bidi="en-US"/>
        </w:rPr>
      </w:pPr>
      <w:r w:rsidRPr="00836DEE">
        <w:rPr>
          <w:lang w:bidi="en-US"/>
        </w:rPr>
        <w:t xml:space="preserve">Click the </w:t>
      </w:r>
      <w:r w:rsidRPr="00B3072B">
        <w:rPr>
          <w:b/>
          <w:bCs/>
          <w:lang w:bidi="en-US"/>
        </w:rPr>
        <w:t>Connect</w:t>
      </w:r>
      <w:r w:rsidRPr="00836DEE">
        <w:rPr>
          <w:lang w:bidi="en-US"/>
        </w:rPr>
        <w:t xml:space="preserve"> tab.</w:t>
      </w:r>
    </w:p>
    <w:p w14:paraId="75BE28CC" w14:textId="025174B9" w:rsidR="00972BD0" w:rsidRPr="0086426B" w:rsidRDefault="00E37A7E">
      <w:pPr>
        <w:pStyle w:val="BodyText"/>
        <w:keepNext/>
        <w:keepLines/>
        <w:numPr>
          <w:ilvl w:val="0"/>
          <w:numId w:val="7"/>
        </w:numPr>
        <w:ind w:left="1080"/>
        <w:rPr>
          <w:lang w:bidi="en-US"/>
        </w:rPr>
      </w:pPr>
      <w:r>
        <w:rPr>
          <w:lang w:bidi="en-US"/>
        </w:rPr>
        <w:lastRenderedPageBreak/>
        <w:t>O</w:t>
      </w:r>
      <w:r w:rsidR="00972BD0" w:rsidRPr="0086426B">
        <w:rPr>
          <w:lang w:bidi="en-US"/>
        </w:rPr>
        <w:t>n the left</w:t>
      </w:r>
      <w:r w:rsidR="00D74918">
        <w:rPr>
          <w:lang w:bidi="en-US"/>
        </w:rPr>
        <w:t>,</w:t>
      </w:r>
      <w:r w:rsidR="00972BD0" w:rsidRPr="0086426B">
        <w:rPr>
          <w:lang w:bidi="en-US"/>
        </w:rPr>
        <w:t xml:space="preserve"> </w:t>
      </w:r>
      <w:r w:rsidR="00D74918">
        <w:rPr>
          <w:lang w:bidi="en-US"/>
        </w:rPr>
        <w:t xml:space="preserve">expand </w:t>
      </w:r>
      <w:r w:rsidR="00D74918" w:rsidRPr="00D74918">
        <w:rPr>
          <w:b/>
          <w:bCs/>
          <w:lang w:bidi="en-US"/>
        </w:rPr>
        <w:t>Management</w:t>
      </w:r>
      <w:r w:rsidR="00D74918">
        <w:rPr>
          <w:lang w:bidi="en-US"/>
        </w:rPr>
        <w:t xml:space="preserve"> and </w:t>
      </w:r>
      <w:r w:rsidR="00972BD0" w:rsidRPr="00D74918">
        <w:rPr>
          <w:b/>
          <w:bCs/>
          <w:lang w:bidi="en-US"/>
        </w:rPr>
        <w:t>SQL Server Logs</w:t>
      </w:r>
      <w:r>
        <w:rPr>
          <w:lang w:bidi="en-US"/>
        </w:rPr>
        <w:t xml:space="preserve">, and then click </w:t>
      </w:r>
      <w:r w:rsidRPr="00D74918">
        <w:rPr>
          <w:b/>
          <w:bCs/>
          <w:lang w:bidi="en-US"/>
        </w:rPr>
        <w:t>Current – [</w:t>
      </w:r>
      <w:r>
        <w:rPr>
          <w:b/>
          <w:bCs/>
          <w:lang w:bidi="en-US"/>
        </w:rPr>
        <w:t>M/D/YYYY</w:t>
      </w:r>
      <w:r w:rsidRPr="00D74918">
        <w:rPr>
          <w:b/>
          <w:bCs/>
          <w:lang w:bidi="en-US"/>
        </w:rPr>
        <w:t xml:space="preserve"> </w:t>
      </w:r>
      <w:r>
        <w:rPr>
          <w:b/>
          <w:bCs/>
          <w:lang w:bidi="en-US"/>
        </w:rPr>
        <w:t>H:MM:SS AM/PM</w:t>
      </w:r>
      <w:r w:rsidRPr="00D74918">
        <w:rPr>
          <w:b/>
          <w:bCs/>
          <w:lang w:bidi="en-US"/>
        </w:rPr>
        <w:t>]</w:t>
      </w:r>
      <w:r>
        <w:rPr>
          <w:lang w:bidi="en-US"/>
        </w:rPr>
        <w:t>.</w:t>
      </w:r>
    </w:p>
    <w:p w14:paraId="1B7A6E56" w14:textId="6BFF3237" w:rsidR="00972BD0" w:rsidRPr="004C1FD6" w:rsidRDefault="00972BD0" w:rsidP="00595AC7">
      <w:pPr>
        <w:pStyle w:val="BodyText"/>
        <w:ind w:left="1080"/>
        <w:rPr>
          <w:rFonts w:ascii="Calibri" w:eastAsia="Calibri" w:hAnsi="Calibri" w:cs="Calibri"/>
          <w:highlight w:val="cyan"/>
          <w:lang w:bidi="en-US"/>
        </w:rPr>
      </w:pPr>
      <w:r w:rsidRPr="00A9757E">
        <w:rPr>
          <w:noProof/>
          <w:highlight w:val="cyan"/>
        </w:rPr>
        <w:drawing>
          <wp:inline distT="0" distB="0" distL="0" distR="0" wp14:anchorId="1F4AE4DD" wp14:editId="173AB413">
            <wp:extent cx="2246133" cy="2992582"/>
            <wp:effectExtent l="0" t="0" r="1905"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49885" cy="2997581"/>
                    </a:xfrm>
                    <a:prstGeom prst="rect">
                      <a:avLst/>
                    </a:prstGeom>
                    <a:noFill/>
                    <a:ln>
                      <a:noFill/>
                    </a:ln>
                  </pic:spPr>
                </pic:pic>
              </a:graphicData>
            </a:graphic>
          </wp:inline>
        </w:drawing>
      </w:r>
    </w:p>
    <w:p w14:paraId="47F461AE" w14:textId="43225E30" w:rsidR="00972BD0" w:rsidRPr="00836DEE" w:rsidRDefault="00972BD0" w:rsidP="00D74918">
      <w:pPr>
        <w:pStyle w:val="BodyText"/>
        <w:ind w:left="1080"/>
        <w:rPr>
          <w:lang w:bidi="en-US"/>
        </w:rPr>
      </w:pPr>
      <w:r w:rsidRPr="00836DEE">
        <w:rPr>
          <w:lang w:bidi="en-US"/>
        </w:rPr>
        <w:t xml:space="preserve">The </w:t>
      </w:r>
      <w:r w:rsidR="00D74918">
        <w:rPr>
          <w:lang w:bidi="en-US"/>
        </w:rPr>
        <w:t>l</w:t>
      </w:r>
      <w:r w:rsidR="00D74918" w:rsidRPr="00836DEE">
        <w:rPr>
          <w:lang w:bidi="en-US"/>
        </w:rPr>
        <w:t xml:space="preserve">og </w:t>
      </w:r>
      <w:r w:rsidR="00D74918">
        <w:rPr>
          <w:lang w:bidi="en-US"/>
        </w:rPr>
        <w:t>f</w:t>
      </w:r>
      <w:r w:rsidR="00D74918" w:rsidRPr="00836DEE">
        <w:rPr>
          <w:lang w:bidi="en-US"/>
        </w:rPr>
        <w:t>ile summary</w:t>
      </w:r>
      <w:r w:rsidR="00D74918">
        <w:rPr>
          <w:lang w:bidi="en-US"/>
        </w:rPr>
        <w:t xml:space="preserve"> appears on the right</w:t>
      </w:r>
      <w:r w:rsidRPr="00836DEE">
        <w:rPr>
          <w:lang w:bidi="en-US"/>
        </w:rPr>
        <w:t>.</w:t>
      </w:r>
    </w:p>
    <w:p w14:paraId="05542855" w14:textId="23D8E8A3" w:rsidR="00972BD0" w:rsidRPr="00836DEE" w:rsidRDefault="00972BD0">
      <w:pPr>
        <w:pStyle w:val="BodyText"/>
        <w:numPr>
          <w:ilvl w:val="0"/>
          <w:numId w:val="7"/>
        </w:numPr>
        <w:ind w:left="1080"/>
        <w:rPr>
          <w:lang w:bidi="en-US"/>
        </w:rPr>
      </w:pPr>
      <w:r w:rsidRPr="00836DEE">
        <w:rPr>
          <w:lang w:bidi="en-US"/>
        </w:rPr>
        <w:t>Review the log</w:t>
      </w:r>
      <w:r w:rsidR="00D74918">
        <w:rPr>
          <w:lang w:bidi="en-US"/>
        </w:rPr>
        <w:t>,</w:t>
      </w:r>
      <w:r w:rsidRPr="00836DEE">
        <w:rPr>
          <w:lang w:bidi="en-US"/>
        </w:rPr>
        <w:t xml:space="preserve"> and verify that the SQL backup from the night before successfully completed.</w:t>
      </w:r>
    </w:p>
    <w:p w14:paraId="6054A698" w14:textId="0199B05D" w:rsidR="00972BD0" w:rsidRPr="0086426B" w:rsidRDefault="00972BD0">
      <w:pPr>
        <w:pStyle w:val="BodyText"/>
        <w:numPr>
          <w:ilvl w:val="0"/>
          <w:numId w:val="7"/>
        </w:numPr>
        <w:ind w:left="1080"/>
        <w:rPr>
          <w:rFonts w:ascii="Calibri" w:eastAsia="Calibri" w:hAnsi="Calibri" w:cs="Calibri"/>
          <w:color w:val="0000FF"/>
          <w:u w:val="single"/>
          <w:lang w:bidi="en-US"/>
        </w:rPr>
      </w:pPr>
      <w:r w:rsidRPr="00836DEE">
        <w:rPr>
          <w:lang w:bidi="en-US"/>
        </w:rPr>
        <w:t xml:space="preserve">If the </w:t>
      </w:r>
      <w:r w:rsidR="00D74918">
        <w:rPr>
          <w:lang w:bidi="en-US"/>
        </w:rPr>
        <w:t>l</w:t>
      </w:r>
      <w:r w:rsidRPr="00836DEE">
        <w:rPr>
          <w:lang w:bidi="en-US"/>
        </w:rPr>
        <w:t xml:space="preserve">og </w:t>
      </w:r>
      <w:r w:rsidR="00D74918">
        <w:rPr>
          <w:lang w:bidi="en-US"/>
        </w:rPr>
        <w:t>f</w:t>
      </w:r>
      <w:r w:rsidRPr="00836DEE">
        <w:rPr>
          <w:lang w:bidi="en-US"/>
        </w:rPr>
        <w:t>ile summary indicates that the SQL backup did not complete successfully, call E</w:t>
      </w:r>
      <w:r w:rsidRPr="00D74918">
        <w:t xml:space="preserve">DR </w:t>
      </w:r>
      <w:r w:rsidR="001125DA">
        <w:t>S</w:t>
      </w:r>
      <w:r w:rsidRPr="00D74918">
        <w:t xml:space="preserve">upport </w:t>
      </w:r>
      <w:r w:rsidR="00D74918">
        <w:t xml:space="preserve">by phone </w:t>
      </w:r>
      <w:r w:rsidRPr="00D74918">
        <w:t xml:space="preserve">at </w:t>
      </w:r>
      <w:bookmarkStart w:id="48" w:name="_Hlk99530712"/>
      <w:r w:rsidRPr="00D74918">
        <w:rPr>
          <w:u w:val="single"/>
        </w:rPr>
        <w:t>(800) 459-8067</w:t>
      </w:r>
      <w:r w:rsidRPr="00D74918">
        <w:t xml:space="preserve"> </w:t>
      </w:r>
      <w:bookmarkEnd w:id="48"/>
      <w:r w:rsidRPr="00D74918">
        <w:t xml:space="preserve">or </w:t>
      </w:r>
      <w:r w:rsidR="00D74918">
        <w:t xml:space="preserve">by </w:t>
      </w:r>
      <w:r w:rsidRPr="00D74918">
        <w:t>email</w:t>
      </w:r>
      <w:r w:rsidR="00D74918">
        <w:t xml:space="preserve"> at</w:t>
      </w:r>
      <w:r w:rsidRPr="00D74918">
        <w:t xml:space="preserve"> </w:t>
      </w:r>
      <w:hyperlink r:id="rId29" w:history="1">
        <w:r w:rsidRPr="00D74918">
          <w:rPr>
            <w:u w:val="single"/>
          </w:rPr>
          <w:t>ihs-support@henryscheinone.com</w:t>
        </w:r>
      </w:hyperlink>
      <w:r w:rsidRPr="00D74918">
        <w:t xml:space="preserve">. </w:t>
      </w:r>
    </w:p>
    <w:p w14:paraId="031B23C0" w14:textId="7506A2D8" w:rsidR="0086426B" w:rsidRDefault="00972BD0">
      <w:pPr>
        <w:pStyle w:val="BodyText"/>
        <w:numPr>
          <w:ilvl w:val="0"/>
          <w:numId w:val="6"/>
        </w:numPr>
        <w:ind w:left="540"/>
        <w:rPr>
          <w:lang w:bidi="en-US"/>
        </w:rPr>
      </w:pPr>
      <w:r w:rsidRPr="00F91ADF">
        <w:rPr>
          <w:b/>
          <w:bCs/>
          <w:lang w:bidi="en-US"/>
        </w:rPr>
        <w:t xml:space="preserve">SQL BACKUP </w:t>
      </w:r>
      <w:r w:rsidR="00D74918">
        <w:rPr>
          <w:b/>
          <w:bCs/>
          <w:lang w:bidi="en-US"/>
        </w:rPr>
        <w:t>f</w:t>
      </w:r>
      <w:r w:rsidRPr="00F91ADF">
        <w:rPr>
          <w:b/>
          <w:bCs/>
          <w:lang w:bidi="en-US"/>
        </w:rPr>
        <w:t xml:space="preserve">older </w:t>
      </w:r>
      <w:r w:rsidR="00D74918">
        <w:rPr>
          <w:b/>
          <w:bCs/>
          <w:lang w:bidi="en-US"/>
        </w:rPr>
        <w:t>r</w:t>
      </w:r>
      <w:r w:rsidRPr="00F91ADF">
        <w:rPr>
          <w:b/>
          <w:bCs/>
          <w:lang w:bidi="en-US"/>
        </w:rPr>
        <w:t>eview (Method 2)</w:t>
      </w:r>
      <w:r w:rsidR="00F91ADF">
        <w:rPr>
          <w:lang w:bidi="en-US"/>
        </w:rPr>
        <w:t>:</w:t>
      </w:r>
    </w:p>
    <w:p w14:paraId="3EA284D3" w14:textId="493D96E6" w:rsidR="00972BD0" w:rsidRPr="0086426B" w:rsidRDefault="00972BD0">
      <w:pPr>
        <w:pStyle w:val="BodyText"/>
        <w:numPr>
          <w:ilvl w:val="1"/>
          <w:numId w:val="6"/>
        </w:numPr>
        <w:ind w:left="1080"/>
        <w:rPr>
          <w:lang w:bidi="en-US"/>
        </w:rPr>
      </w:pPr>
      <w:r w:rsidRPr="0086426B">
        <w:rPr>
          <w:lang w:bidi="en-US"/>
        </w:rPr>
        <w:t xml:space="preserve">On your EDR SQL server, </w:t>
      </w:r>
      <w:r w:rsidR="00504D49" w:rsidRPr="0086426B">
        <w:rPr>
          <w:lang w:bidi="en-US"/>
        </w:rPr>
        <w:t>using File Explorer</w:t>
      </w:r>
      <w:r w:rsidR="00504D49">
        <w:rPr>
          <w:lang w:bidi="en-US"/>
        </w:rPr>
        <w:t xml:space="preserve">, </w:t>
      </w:r>
      <w:r w:rsidRPr="0086426B">
        <w:rPr>
          <w:lang w:bidi="en-US"/>
        </w:rPr>
        <w:t xml:space="preserve">navigate to </w:t>
      </w:r>
      <w:r w:rsidRPr="00D74918">
        <w:rPr>
          <w:b/>
          <w:bCs/>
          <w:lang w:bidi="en-US"/>
        </w:rPr>
        <w:t>D</w:t>
      </w:r>
      <w:r w:rsidR="00D74918" w:rsidRPr="00D74918">
        <w:rPr>
          <w:b/>
          <w:bCs/>
          <w:lang w:bidi="en-US"/>
        </w:rPr>
        <w:t>:\</w:t>
      </w:r>
      <w:r w:rsidRPr="00D74918">
        <w:rPr>
          <w:b/>
          <w:bCs/>
          <w:lang w:bidi="en-US"/>
        </w:rPr>
        <w:t>SQLBACKUPS</w:t>
      </w:r>
      <w:r w:rsidR="00D74918" w:rsidRPr="00D74918">
        <w:rPr>
          <w:b/>
          <w:bCs/>
          <w:lang w:bidi="en-US"/>
        </w:rPr>
        <w:t>\</w:t>
      </w:r>
      <w:r w:rsidRPr="00D74918">
        <w:rPr>
          <w:b/>
          <w:bCs/>
          <w:lang w:bidi="en-US"/>
        </w:rPr>
        <w:t>Dentrix_L</w:t>
      </w:r>
      <w:r w:rsidR="00D74918" w:rsidRPr="00D74918">
        <w:rPr>
          <w:b/>
          <w:bCs/>
          <w:lang w:bidi="en-US"/>
        </w:rPr>
        <w:t>IVE\</w:t>
      </w:r>
      <w:r w:rsidRPr="00D74918">
        <w:rPr>
          <w:b/>
          <w:bCs/>
          <w:lang w:bidi="en-US"/>
        </w:rPr>
        <w:t>Dentrix</w:t>
      </w:r>
      <w:r w:rsidR="00D74918">
        <w:rPr>
          <w:lang w:bidi="en-US"/>
        </w:rPr>
        <w:t>.</w:t>
      </w:r>
    </w:p>
    <w:p w14:paraId="7BCE6C30" w14:textId="77777777" w:rsidR="00972BD0" w:rsidRPr="00A9757E" w:rsidRDefault="00972BD0" w:rsidP="00A30FFA">
      <w:pPr>
        <w:pStyle w:val="BodyText"/>
        <w:ind w:left="1080"/>
        <w:rPr>
          <w:rFonts w:ascii="Calibri" w:eastAsia="Calibri" w:hAnsi="Calibri" w:cs="Calibri"/>
          <w:highlight w:val="cyan"/>
          <w:lang w:bidi="en-US"/>
        </w:rPr>
      </w:pPr>
      <w:r w:rsidRPr="00A9757E">
        <w:rPr>
          <w:noProof/>
          <w:highlight w:val="cyan"/>
        </w:rPr>
        <w:drawing>
          <wp:inline distT="0" distB="0" distL="0" distR="0" wp14:anchorId="421B02D0" wp14:editId="2147AB19">
            <wp:extent cx="4335780" cy="1740334"/>
            <wp:effectExtent l="0" t="0" r="7620" b="0"/>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30"/>
                    <a:stretch>
                      <a:fillRect/>
                    </a:stretch>
                  </pic:blipFill>
                  <pic:spPr>
                    <a:xfrm>
                      <a:off x="0" y="0"/>
                      <a:ext cx="4363481" cy="1751453"/>
                    </a:xfrm>
                    <a:prstGeom prst="rect">
                      <a:avLst/>
                    </a:prstGeom>
                  </pic:spPr>
                </pic:pic>
              </a:graphicData>
            </a:graphic>
          </wp:inline>
        </w:drawing>
      </w:r>
    </w:p>
    <w:p w14:paraId="39196FF7" w14:textId="4226277A" w:rsidR="00972BD0" w:rsidRPr="00D74918" w:rsidRDefault="00972BD0" w:rsidP="00A30FFA">
      <w:pPr>
        <w:pStyle w:val="BodyText"/>
        <w:ind w:left="1080"/>
        <w:rPr>
          <w:i/>
          <w:iCs/>
          <w:lang w:bidi="en-US"/>
        </w:rPr>
      </w:pPr>
      <w:r w:rsidRPr="00D74918">
        <w:rPr>
          <w:b/>
          <w:bCs/>
          <w:i/>
          <w:iCs/>
          <w:lang w:bidi="en-US"/>
        </w:rPr>
        <w:t>Note:</w:t>
      </w:r>
      <w:r w:rsidRPr="00D74918">
        <w:rPr>
          <w:i/>
          <w:iCs/>
          <w:lang w:bidi="en-US"/>
        </w:rPr>
        <w:t xml:space="preserve"> </w:t>
      </w:r>
      <w:r w:rsidR="00D74918" w:rsidRPr="00D74918">
        <w:rPr>
          <w:i/>
          <w:iCs/>
          <w:lang w:bidi="en-US"/>
        </w:rPr>
        <w:t>T</w:t>
      </w:r>
      <w:r w:rsidRPr="00D74918">
        <w:rPr>
          <w:i/>
          <w:iCs/>
          <w:lang w:bidi="en-US"/>
        </w:rPr>
        <w:t>he .</w:t>
      </w:r>
      <w:proofErr w:type="spellStart"/>
      <w:r w:rsidRPr="00D74918">
        <w:rPr>
          <w:i/>
          <w:iCs/>
          <w:lang w:bidi="en-US"/>
        </w:rPr>
        <w:t>bak</w:t>
      </w:r>
      <w:proofErr w:type="spellEnd"/>
      <w:r w:rsidRPr="00D74918">
        <w:rPr>
          <w:i/>
          <w:iCs/>
          <w:lang w:bidi="en-US"/>
        </w:rPr>
        <w:t xml:space="preserve"> files are the database data file</w:t>
      </w:r>
      <w:r w:rsidR="00504D49">
        <w:rPr>
          <w:i/>
          <w:iCs/>
          <w:lang w:bidi="en-US"/>
        </w:rPr>
        <w:t>s. T</w:t>
      </w:r>
      <w:r w:rsidRPr="00D74918">
        <w:rPr>
          <w:i/>
          <w:iCs/>
          <w:lang w:bidi="en-US"/>
        </w:rPr>
        <w:t>he .</w:t>
      </w:r>
      <w:proofErr w:type="spellStart"/>
      <w:r w:rsidRPr="00D74918">
        <w:rPr>
          <w:i/>
          <w:iCs/>
          <w:lang w:bidi="en-US"/>
        </w:rPr>
        <w:t>trn</w:t>
      </w:r>
      <w:proofErr w:type="spellEnd"/>
      <w:r w:rsidRPr="00D74918">
        <w:rPr>
          <w:i/>
          <w:iCs/>
          <w:lang w:bidi="en-US"/>
        </w:rPr>
        <w:t xml:space="preserve"> files are the transaction log files.</w:t>
      </w:r>
    </w:p>
    <w:p w14:paraId="1FE91A65" w14:textId="5C99F4B5" w:rsidR="00972BD0" w:rsidRPr="000D0BCD" w:rsidRDefault="00972BD0">
      <w:pPr>
        <w:pStyle w:val="BodyText"/>
        <w:numPr>
          <w:ilvl w:val="1"/>
          <w:numId w:val="6"/>
        </w:numPr>
        <w:ind w:left="1080"/>
        <w:rPr>
          <w:lang w:bidi="en-US"/>
        </w:rPr>
      </w:pPr>
      <w:r w:rsidRPr="000D0BCD">
        <w:rPr>
          <w:lang w:bidi="en-US"/>
        </w:rPr>
        <w:t xml:space="preserve">The last </w:t>
      </w:r>
      <w:r w:rsidR="00D74918">
        <w:rPr>
          <w:lang w:bidi="en-US"/>
        </w:rPr>
        <w:t>five</w:t>
      </w:r>
      <w:r w:rsidRPr="000D0BCD">
        <w:rPr>
          <w:lang w:bidi="en-US"/>
        </w:rPr>
        <w:t xml:space="preserve"> days of SQL backups are listed (.</w:t>
      </w:r>
      <w:proofErr w:type="spellStart"/>
      <w:r w:rsidRPr="000D0BCD">
        <w:rPr>
          <w:lang w:bidi="en-US"/>
        </w:rPr>
        <w:t>bak</w:t>
      </w:r>
      <w:proofErr w:type="spellEnd"/>
      <w:r w:rsidRPr="000D0BCD">
        <w:rPr>
          <w:lang w:bidi="en-US"/>
        </w:rPr>
        <w:t xml:space="preserve"> and</w:t>
      </w:r>
      <w:r>
        <w:rPr>
          <w:lang w:bidi="en-US"/>
        </w:rPr>
        <w:t xml:space="preserve"> </w:t>
      </w:r>
      <w:r w:rsidRPr="000D0BCD">
        <w:rPr>
          <w:lang w:bidi="en-US"/>
        </w:rPr>
        <w:t>.</w:t>
      </w:r>
      <w:proofErr w:type="spellStart"/>
      <w:r w:rsidRPr="000D0BCD">
        <w:rPr>
          <w:lang w:bidi="en-US"/>
        </w:rPr>
        <w:t>trn</w:t>
      </w:r>
      <w:proofErr w:type="spellEnd"/>
      <w:r w:rsidR="00D74918">
        <w:rPr>
          <w:lang w:bidi="en-US"/>
        </w:rPr>
        <w:t xml:space="preserve"> files</w:t>
      </w:r>
      <w:r w:rsidRPr="000D0BCD">
        <w:rPr>
          <w:lang w:bidi="en-US"/>
        </w:rPr>
        <w:t xml:space="preserve">). In </w:t>
      </w:r>
      <w:r w:rsidR="00D74918">
        <w:rPr>
          <w:lang w:bidi="en-US"/>
        </w:rPr>
        <w:t xml:space="preserve">the </w:t>
      </w:r>
      <w:r w:rsidRPr="000D0BCD">
        <w:rPr>
          <w:lang w:bidi="en-US"/>
        </w:rPr>
        <w:t>example above</w:t>
      </w:r>
      <w:r w:rsidR="00D74918">
        <w:rPr>
          <w:lang w:bidi="en-US"/>
        </w:rPr>
        <w:t>,</w:t>
      </w:r>
      <w:r w:rsidRPr="000D0BCD">
        <w:rPr>
          <w:lang w:bidi="en-US"/>
        </w:rPr>
        <w:t xml:space="preserve"> the SQL maintenance backup plan is configured to run Monday through Friday.</w:t>
      </w:r>
    </w:p>
    <w:p w14:paraId="6A44389D" w14:textId="563CDF50" w:rsidR="00504D49" w:rsidRDefault="00D74918" w:rsidP="00776AB8">
      <w:pPr>
        <w:pStyle w:val="BodyText"/>
        <w:keepNext/>
        <w:keepLines/>
        <w:numPr>
          <w:ilvl w:val="1"/>
          <w:numId w:val="6"/>
        </w:numPr>
        <w:ind w:left="1080"/>
        <w:rPr>
          <w:lang w:bidi="en-US"/>
        </w:rPr>
      </w:pPr>
      <w:r>
        <w:rPr>
          <w:lang w:bidi="en-US"/>
        </w:rPr>
        <w:lastRenderedPageBreak/>
        <w:t>For e</w:t>
      </w:r>
      <w:r w:rsidR="00972BD0" w:rsidRPr="000D0BCD">
        <w:rPr>
          <w:lang w:bidi="en-US"/>
        </w:rPr>
        <w:t>ach .</w:t>
      </w:r>
      <w:proofErr w:type="spellStart"/>
      <w:r w:rsidR="00972BD0" w:rsidRPr="000D0BCD">
        <w:rPr>
          <w:lang w:bidi="en-US"/>
        </w:rPr>
        <w:t>bak</w:t>
      </w:r>
      <w:proofErr w:type="spellEnd"/>
      <w:r w:rsidR="00972BD0" w:rsidRPr="000D0BCD">
        <w:rPr>
          <w:lang w:bidi="en-US"/>
        </w:rPr>
        <w:t xml:space="preserve"> </w:t>
      </w:r>
      <w:r w:rsidR="001125DA">
        <w:rPr>
          <w:lang w:bidi="en-US"/>
        </w:rPr>
        <w:t>or</w:t>
      </w:r>
      <w:r w:rsidR="00972BD0" w:rsidRPr="000D0BCD">
        <w:rPr>
          <w:lang w:bidi="en-US"/>
        </w:rPr>
        <w:t xml:space="preserve"> .</w:t>
      </w:r>
      <w:proofErr w:type="spellStart"/>
      <w:r w:rsidR="00972BD0" w:rsidRPr="000D0BCD">
        <w:rPr>
          <w:lang w:bidi="en-US"/>
        </w:rPr>
        <w:t>trn</w:t>
      </w:r>
      <w:proofErr w:type="spellEnd"/>
      <w:r w:rsidR="00972BD0" w:rsidRPr="000D0BCD">
        <w:rPr>
          <w:lang w:bidi="en-US"/>
        </w:rPr>
        <w:t xml:space="preserve"> file</w:t>
      </w:r>
      <w:r>
        <w:rPr>
          <w:lang w:bidi="en-US"/>
        </w:rPr>
        <w:t>,</w:t>
      </w:r>
      <w:r w:rsidR="00972BD0" w:rsidRPr="000D0BCD">
        <w:rPr>
          <w:lang w:bidi="en-US"/>
        </w:rPr>
        <w:t xml:space="preserve"> </w:t>
      </w:r>
      <w:r>
        <w:rPr>
          <w:lang w:bidi="en-US"/>
        </w:rPr>
        <w:t xml:space="preserve">the date it was created and </w:t>
      </w:r>
      <w:r w:rsidR="001125DA">
        <w:rPr>
          <w:lang w:bidi="en-US"/>
        </w:rPr>
        <w:t xml:space="preserve">the </w:t>
      </w:r>
      <w:r>
        <w:rPr>
          <w:lang w:bidi="en-US"/>
        </w:rPr>
        <w:t>file size appear</w:t>
      </w:r>
      <w:r w:rsidR="001125DA">
        <w:rPr>
          <w:lang w:bidi="en-US"/>
        </w:rPr>
        <w:t xml:space="preserve">. </w:t>
      </w:r>
      <w:r w:rsidR="001125DA" w:rsidRPr="000D0BCD">
        <w:rPr>
          <w:lang w:bidi="en-US"/>
        </w:rPr>
        <w:t>The</w:t>
      </w:r>
      <w:r w:rsidR="001125DA">
        <w:rPr>
          <w:lang w:bidi="en-US"/>
        </w:rPr>
        <w:t>re should be .</w:t>
      </w:r>
      <w:proofErr w:type="spellStart"/>
      <w:r w:rsidR="001125DA">
        <w:rPr>
          <w:lang w:bidi="en-US"/>
        </w:rPr>
        <w:t>bak</w:t>
      </w:r>
      <w:proofErr w:type="spellEnd"/>
      <w:r w:rsidR="001125DA">
        <w:rPr>
          <w:lang w:bidi="en-US"/>
        </w:rPr>
        <w:t xml:space="preserve"> and .</w:t>
      </w:r>
      <w:proofErr w:type="spellStart"/>
      <w:r w:rsidR="001125DA">
        <w:rPr>
          <w:lang w:bidi="en-US"/>
        </w:rPr>
        <w:t>trn</w:t>
      </w:r>
      <w:proofErr w:type="spellEnd"/>
      <w:r w:rsidR="001125DA">
        <w:rPr>
          <w:lang w:bidi="en-US"/>
        </w:rPr>
        <w:t xml:space="preserve"> files for the last five</w:t>
      </w:r>
      <w:r w:rsidR="001125DA" w:rsidRPr="000D0BCD">
        <w:rPr>
          <w:lang w:bidi="en-US"/>
        </w:rPr>
        <w:t xml:space="preserve"> business days</w:t>
      </w:r>
      <w:r w:rsidR="001125DA">
        <w:rPr>
          <w:lang w:bidi="en-US"/>
        </w:rPr>
        <w:t>.</w:t>
      </w:r>
    </w:p>
    <w:p w14:paraId="4A9EB19C" w14:textId="77777777" w:rsidR="00504D49" w:rsidRPr="000D0BCD" w:rsidRDefault="00504D49">
      <w:pPr>
        <w:pStyle w:val="BodyText"/>
        <w:keepNext/>
        <w:keepLines/>
        <w:numPr>
          <w:ilvl w:val="2"/>
          <w:numId w:val="150"/>
        </w:numPr>
        <w:ind w:left="1620"/>
        <w:rPr>
          <w:lang w:bidi="en-US"/>
        </w:rPr>
      </w:pPr>
      <w:r>
        <w:rPr>
          <w:lang w:bidi="en-US"/>
        </w:rPr>
        <w:t>The</w:t>
      </w:r>
      <w:r w:rsidRPr="000D0BCD">
        <w:rPr>
          <w:lang w:bidi="en-US"/>
        </w:rPr>
        <w:t xml:space="preserve"> .</w:t>
      </w:r>
      <w:proofErr w:type="spellStart"/>
      <w:r w:rsidRPr="000D0BCD">
        <w:rPr>
          <w:lang w:bidi="en-US"/>
        </w:rPr>
        <w:t>bak</w:t>
      </w:r>
      <w:proofErr w:type="spellEnd"/>
      <w:r w:rsidRPr="000D0BCD">
        <w:rPr>
          <w:lang w:bidi="en-US"/>
        </w:rPr>
        <w:t xml:space="preserve"> files </w:t>
      </w:r>
      <w:r>
        <w:rPr>
          <w:lang w:bidi="en-US"/>
        </w:rPr>
        <w:t xml:space="preserve">usually </w:t>
      </w:r>
      <w:r w:rsidRPr="000D0BCD">
        <w:rPr>
          <w:lang w:bidi="en-US"/>
        </w:rPr>
        <w:t>increase</w:t>
      </w:r>
      <w:r>
        <w:rPr>
          <w:lang w:bidi="en-US"/>
        </w:rPr>
        <w:t xml:space="preserve"> in size each day </w:t>
      </w:r>
      <w:r w:rsidRPr="000D0BCD">
        <w:rPr>
          <w:lang w:bidi="en-US"/>
        </w:rPr>
        <w:t>(as more data is input)</w:t>
      </w:r>
      <w:r>
        <w:rPr>
          <w:lang w:bidi="en-US"/>
        </w:rPr>
        <w:t>, but the sizes can be the same from one day to the next</w:t>
      </w:r>
      <w:r w:rsidRPr="000D0BCD">
        <w:rPr>
          <w:lang w:bidi="en-US"/>
        </w:rPr>
        <w:t>.</w:t>
      </w:r>
    </w:p>
    <w:p w14:paraId="784FD8B3" w14:textId="2FB717C2" w:rsidR="00504D49" w:rsidRDefault="00504D49">
      <w:pPr>
        <w:pStyle w:val="BodyText"/>
        <w:keepNext/>
        <w:keepLines/>
        <w:numPr>
          <w:ilvl w:val="2"/>
          <w:numId w:val="150"/>
        </w:numPr>
        <w:ind w:left="1620"/>
        <w:rPr>
          <w:lang w:bidi="en-US"/>
        </w:rPr>
      </w:pPr>
      <w:r w:rsidRPr="000D0BCD">
        <w:rPr>
          <w:lang w:bidi="en-US"/>
        </w:rPr>
        <w:t>The .</w:t>
      </w:r>
      <w:proofErr w:type="spellStart"/>
      <w:r w:rsidRPr="000D0BCD">
        <w:rPr>
          <w:lang w:bidi="en-US"/>
        </w:rPr>
        <w:t>trn</w:t>
      </w:r>
      <w:proofErr w:type="spellEnd"/>
      <w:r w:rsidRPr="000D0BCD">
        <w:rPr>
          <w:lang w:bidi="en-US"/>
        </w:rPr>
        <w:t xml:space="preserve"> files will vary in size but are much smaller (in size) than the .</w:t>
      </w:r>
      <w:proofErr w:type="spellStart"/>
      <w:r w:rsidRPr="000D0BCD">
        <w:rPr>
          <w:lang w:bidi="en-US"/>
        </w:rPr>
        <w:t>bak</w:t>
      </w:r>
      <w:proofErr w:type="spellEnd"/>
      <w:r w:rsidRPr="000D0BCD">
        <w:rPr>
          <w:lang w:bidi="en-US"/>
        </w:rPr>
        <w:t xml:space="preserve"> files.</w:t>
      </w:r>
    </w:p>
    <w:p w14:paraId="06E7C7DE" w14:textId="0ABC0624" w:rsidR="00972BD0" w:rsidRPr="001125DA" w:rsidRDefault="00972BD0" w:rsidP="00504D49">
      <w:pPr>
        <w:pStyle w:val="BodyText"/>
        <w:numPr>
          <w:ilvl w:val="1"/>
          <w:numId w:val="6"/>
        </w:numPr>
        <w:ind w:left="1080"/>
        <w:rPr>
          <w:lang w:bidi="en-US"/>
        </w:rPr>
      </w:pPr>
      <w:r w:rsidRPr="000D0BCD">
        <w:rPr>
          <w:lang w:bidi="en-US"/>
        </w:rPr>
        <w:t xml:space="preserve">If the last </w:t>
      </w:r>
      <w:r w:rsidR="001125DA">
        <w:rPr>
          <w:lang w:bidi="en-US"/>
        </w:rPr>
        <w:t>five</w:t>
      </w:r>
      <w:r w:rsidRPr="000D0BCD">
        <w:rPr>
          <w:lang w:bidi="en-US"/>
        </w:rPr>
        <w:t xml:space="preserve"> business dates are missing or incorrect and/or the .</w:t>
      </w:r>
      <w:proofErr w:type="spellStart"/>
      <w:r w:rsidRPr="000D0BCD">
        <w:rPr>
          <w:lang w:bidi="en-US"/>
        </w:rPr>
        <w:t>bak</w:t>
      </w:r>
      <w:proofErr w:type="spellEnd"/>
      <w:r w:rsidRPr="000D0BCD">
        <w:rPr>
          <w:lang w:bidi="en-US"/>
        </w:rPr>
        <w:t xml:space="preserve"> file size is less than the previous days SQL backup, there could be issues with the SQL maintenance backup plan. Review the SQL maintenance backup plan for errors or call EDR </w:t>
      </w:r>
      <w:r w:rsidR="001125DA">
        <w:t>S</w:t>
      </w:r>
      <w:r w:rsidRPr="001125DA">
        <w:t xml:space="preserve">upport </w:t>
      </w:r>
      <w:r w:rsidR="001125DA">
        <w:t xml:space="preserve">by phone at </w:t>
      </w:r>
      <w:r w:rsidRPr="00504D49">
        <w:rPr>
          <w:u w:val="single"/>
        </w:rPr>
        <w:t>(800) 459-8067</w:t>
      </w:r>
      <w:r w:rsidRPr="001125DA">
        <w:t xml:space="preserve"> or </w:t>
      </w:r>
      <w:r w:rsidR="001125DA">
        <w:t xml:space="preserve">by </w:t>
      </w:r>
      <w:r w:rsidRPr="001125DA">
        <w:t>email</w:t>
      </w:r>
      <w:r w:rsidR="001125DA">
        <w:t xml:space="preserve"> at</w:t>
      </w:r>
      <w:r w:rsidRPr="001125DA">
        <w:t xml:space="preserve"> </w:t>
      </w:r>
      <w:hyperlink r:id="rId31" w:history="1">
        <w:r w:rsidRPr="00504D49">
          <w:rPr>
            <w:u w:val="single"/>
          </w:rPr>
          <w:t>ihs-support@henryscheinone.com</w:t>
        </w:r>
      </w:hyperlink>
      <w:r w:rsidRPr="001125DA">
        <w:t xml:space="preserve">. </w:t>
      </w:r>
    </w:p>
    <w:p w14:paraId="3BEA6CCF" w14:textId="2B5D15F2" w:rsidR="00972BD0" w:rsidRPr="00972BD0" w:rsidRDefault="00972BD0" w:rsidP="00D42C5A">
      <w:pPr>
        <w:pStyle w:val="Heading3"/>
        <w:rPr>
          <w:rFonts w:cstheme="minorHAnsi"/>
          <w:lang w:bidi="en-US"/>
        </w:rPr>
      </w:pPr>
      <w:bookmarkStart w:id="49" w:name="_Toc135416662"/>
      <w:bookmarkStart w:id="50" w:name="_Toc146183258"/>
      <w:r w:rsidRPr="00972BD0">
        <w:t>Windows Updates/Patches</w:t>
      </w:r>
      <w:bookmarkEnd w:id="49"/>
      <w:bookmarkEnd w:id="50"/>
    </w:p>
    <w:p w14:paraId="04EB38CA" w14:textId="719D559D" w:rsidR="00972BD0" w:rsidRPr="00972BD0" w:rsidRDefault="00972BD0" w:rsidP="004C1FD6">
      <w:pPr>
        <w:pStyle w:val="BodyText"/>
        <w:rPr>
          <w:rFonts w:cstheme="minorHAnsi"/>
          <w:b/>
          <w:bCs/>
          <w:color w:val="202124"/>
          <w:shd w:val="clear" w:color="auto" w:fill="FFFFFF"/>
        </w:rPr>
      </w:pPr>
      <w:r w:rsidRPr="00972BD0">
        <w:rPr>
          <w:lang w:bidi="en-US"/>
        </w:rPr>
        <w:t>Installing Microsoft Windows updates is a critical task that allows for fixes to known issues in Microsoft products. The modifications to hardware and software help improve performance, reliability, and security.</w:t>
      </w:r>
    </w:p>
    <w:p w14:paraId="47734F3E" w14:textId="00A43E15" w:rsidR="00972BD0" w:rsidRPr="004C1FD6" w:rsidRDefault="00972BD0" w:rsidP="004C1FD6">
      <w:pPr>
        <w:pStyle w:val="BodyText"/>
        <w:rPr>
          <w:rFonts w:eastAsia="Calibri" w:cs="Calibri"/>
          <w:lang w:bidi="en-US"/>
        </w:rPr>
      </w:pPr>
      <w:r w:rsidRPr="000D0BCD">
        <w:rPr>
          <w:rFonts w:eastAsia="Calibri" w:cs="Calibri"/>
          <w:lang w:bidi="en-US"/>
        </w:rPr>
        <w:t>Configuring your server and workstations to receive Windows updates automatically is recommended so the latest update is applied on a regular basis.</w:t>
      </w:r>
      <w:r w:rsidR="00504D49">
        <w:rPr>
          <w:rFonts w:eastAsia="Calibri" w:cs="Calibri"/>
          <w:lang w:bidi="en-US"/>
        </w:rPr>
        <w:t xml:space="preserve"> </w:t>
      </w:r>
      <w:r w:rsidRPr="000D0BCD">
        <w:rPr>
          <w:rFonts w:eastAsia="Calibri" w:cs="Calibri"/>
          <w:lang w:bidi="en-US"/>
        </w:rPr>
        <w:t>Review the Microsoft update routine for your Windows version.</w:t>
      </w:r>
      <w:bookmarkStart w:id="51" w:name="_Hlk99115513"/>
    </w:p>
    <w:p w14:paraId="018966DE" w14:textId="53027DC9" w:rsidR="00972BD0" w:rsidRPr="00972BD0" w:rsidRDefault="00972BD0" w:rsidP="00D42C5A">
      <w:pPr>
        <w:pStyle w:val="Heading3"/>
        <w:rPr>
          <w:rFonts w:ascii="Calibri" w:eastAsia="Calibri" w:hAnsi="Calibri" w:cs="Calibri"/>
          <w:lang w:bidi="en-US"/>
        </w:rPr>
      </w:pPr>
      <w:bookmarkStart w:id="52" w:name="_Toc135416663"/>
      <w:bookmarkStart w:id="53" w:name="_Toc146183259"/>
      <w:r w:rsidRPr="00972BD0">
        <w:t>Windows System Logs</w:t>
      </w:r>
      <w:bookmarkEnd w:id="51"/>
      <w:bookmarkEnd w:id="52"/>
      <w:bookmarkEnd w:id="53"/>
    </w:p>
    <w:p w14:paraId="2DB3E2E7" w14:textId="048BC822" w:rsidR="00972BD0" w:rsidRPr="00972BD0" w:rsidRDefault="00972BD0" w:rsidP="00F91ADF">
      <w:pPr>
        <w:pStyle w:val="BodyText"/>
        <w:rPr>
          <w:rFonts w:ascii="Calibri" w:eastAsia="Calibri" w:hAnsi="Calibri" w:cs="Calibri"/>
          <w:b/>
          <w:bCs/>
          <w:color w:val="1F4E79"/>
          <w:lang w:bidi="en-US"/>
        </w:rPr>
      </w:pPr>
      <w:r w:rsidRPr="00972BD0">
        <w:t>Windows event log management is important for security, troubleshooting, and compliance. When you look at your logs, you can monitor and report on file access, network connections, unauthorized activity, error messages, and unusual network and system behavior.</w:t>
      </w:r>
    </w:p>
    <w:p w14:paraId="53C7010E" w14:textId="417C76AB" w:rsidR="00972BD0" w:rsidRPr="00F91ADF" w:rsidRDefault="00972BD0" w:rsidP="00F91ADF">
      <w:pPr>
        <w:pStyle w:val="BodyText"/>
        <w:rPr>
          <w:shd w:val="clear" w:color="auto" w:fill="FFFFFF"/>
        </w:rPr>
      </w:pPr>
      <w:r w:rsidRPr="000D0BCD">
        <w:rPr>
          <w:shd w:val="clear" w:color="auto" w:fill="FFFFFF"/>
        </w:rPr>
        <w:t>The Windows Event Viewer shows a log of application and system messages, including errors, information messages, and warnings. It's a useful tool for troubleshooting all kinds of different Windows problems.</w:t>
      </w:r>
    </w:p>
    <w:p w14:paraId="148057A5" w14:textId="0D2E6C8B" w:rsidR="00972BD0" w:rsidRPr="001125DA" w:rsidRDefault="00972BD0" w:rsidP="001125DA">
      <w:pPr>
        <w:pStyle w:val="BodyText"/>
      </w:pPr>
      <w:r w:rsidRPr="001125DA">
        <w:t xml:space="preserve">Examples of </w:t>
      </w:r>
      <w:r w:rsidR="001125DA">
        <w:t>l</w:t>
      </w:r>
      <w:r w:rsidRPr="001125DA">
        <w:t>og</w:t>
      </w:r>
      <w:r w:rsidR="00504D49">
        <w:t>ged</w:t>
      </w:r>
      <w:r w:rsidRPr="001125DA">
        <w:t xml:space="preserve"> </w:t>
      </w:r>
      <w:r w:rsidR="001125DA">
        <w:t>e</w:t>
      </w:r>
      <w:r w:rsidRPr="001125DA">
        <w:t>rrors</w:t>
      </w:r>
      <w:r w:rsidR="00504D49">
        <w:t xml:space="preserve"> and </w:t>
      </w:r>
      <w:r w:rsidR="001125DA">
        <w:t>e</w:t>
      </w:r>
      <w:r w:rsidRPr="001125DA">
        <w:t>vents</w:t>
      </w:r>
      <w:r w:rsidR="00F91ADF" w:rsidRPr="001125DA">
        <w:t>:</w:t>
      </w:r>
    </w:p>
    <w:p w14:paraId="1AAF1B74" w14:textId="7082EDCD" w:rsidR="00972BD0" w:rsidRPr="000D0BCD" w:rsidRDefault="00972BD0">
      <w:pPr>
        <w:pStyle w:val="BodyText"/>
        <w:numPr>
          <w:ilvl w:val="0"/>
          <w:numId w:val="9"/>
        </w:numPr>
        <w:ind w:left="540"/>
      </w:pPr>
      <w:r w:rsidRPr="000D0BCD">
        <w:t xml:space="preserve">Disk error messages referring to </w:t>
      </w:r>
      <w:r w:rsidR="001125DA">
        <w:t>“</w:t>
      </w:r>
      <w:r w:rsidRPr="000D0BCD">
        <w:t>bad blocks” that warn of likely drive failures</w:t>
      </w:r>
      <w:r w:rsidR="00133CF9" w:rsidRPr="0066798B">
        <w:rPr>
          <w:lang w:bidi="en-US"/>
        </w:rPr>
        <w:t>—</w:t>
      </w:r>
      <w:r w:rsidRPr="000D0BCD">
        <w:t>the event logs are often the first</w:t>
      </w:r>
      <w:r w:rsidR="001125DA">
        <w:t xml:space="preserve"> or </w:t>
      </w:r>
      <w:r w:rsidRPr="000D0BCD">
        <w:t>only place you will learn of such problems.</w:t>
      </w:r>
    </w:p>
    <w:p w14:paraId="4ABCE1B2" w14:textId="77777777" w:rsidR="00972BD0" w:rsidRPr="000D0BCD" w:rsidRDefault="00972BD0">
      <w:pPr>
        <w:pStyle w:val="BodyText"/>
        <w:numPr>
          <w:ilvl w:val="0"/>
          <w:numId w:val="9"/>
        </w:numPr>
        <w:ind w:left="540"/>
      </w:pPr>
      <w:r w:rsidRPr="000D0BCD">
        <w:t xml:space="preserve">Security events that can reveal someone making a sustained effort to access </w:t>
      </w:r>
      <w:r>
        <w:t>the</w:t>
      </w:r>
      <w:r w:rsidRPr="000D0BCD">
        <w:t xml:space="preserve"> system.</w:t>
      </w:r>
    </w:p>
    <w:p w14:paraId="54149131" w14:textId="2A612E64" w:rsidR="00972BD0" w:rsidRPr="00733114" w:rsidRDefault="00972BD0">
      <w:pPr>
        <w:pStyle w:val="BodyText"/>
        <w:numPr>
          <w:ilvl w:val="0"/>
          <w:numId w:val="9"/>
        </w:numPr>
        <w:ind w:left="540"/>
      </w:pPr>
      <w:r w:rsidRPr="000D0BCD">
        <w:t>Application errors relating to SQL connection errors.</w:t>
      </w:r>
    </w:p>
    <w:p w14:paraId="29216FB8" w14:textId="02C7BC04" w:rsidR="00972BD0" w:rsidRPr="00972BD0" w:rsidRDefault="00972BD0" w:rsidP="00D42C5A">
      <w:pPr>
        <w:pStyle w:val="Heading3"/>
        <w:rPr>
          <w:rFonts w:eastAsia="Calibri" w:cstheme="minorHAnsi"/>
          <w:lang w:bidi="en-US"/>
        </w:rPr>
      </w:pPr>
      <w:bookmarkStart w:id="54" w:name="_Toc135416664"/>
      <w:bookmarkStart w:id="55" w:name="_Toc146183260"/>
      <w:r w:rsidRPr="00972BD0">
        <w:t>Hard/Virtual Drive Maintenance</w:t>
      </w:r>
      <w:bookmarkEnd w:id="54"/>
      <w:bookmarkEnd w:id="55"/>
    </w:p>
    <w:p w14:paraId="3412EAC7" w14:textId="74FE3192" w:rsidR="00972BD0" w:rsidRPr="00F91ADF" w:rsidRDefault="00972BD0" w:rsidP="00F91ADF">
      <w:pPr>
        <w:pStyle w:val="BodyText"/>
        <w:rPr>
          <w:sz w:val="24"/>
        </w:rPr>
      </w:pPr>
      <w:r w:rsidRPr="00F91ADF">
        <w:rPr>
          <w:shd w:val="clear" w:color="auto" w:fill="FFFFFF"/>
        </w:rPr>
        <w:t xml:space="preserve">Optimizing your drives can help your </w:t>
      </w:r>
      <w:r w:rsidR="001125DA">
        <w:rPr>
          <w:shd w:val="clear" w:color="auto" w:fill="FFFFFF"/>
        </w:rPr>
        <w:t>s</w:t>
      </w:r>
      <w:r w:rsidRPr="00F91ADF">
        <w:rPr>
          <w:shd w:val="clear" w:color="auto" w:fill="FFFFFF"/>
        </w:rPr>
        <w:t>erver</w:t>
      </w:r>
      <w:r w:rsidR="001125DA">
        <w:rPr>
          <w:shd w:val="clear" w:color="auto" w:fill="FFFFFF"/>
        </w:rPr>
        <w:t xml:space="preserve"> or computer</w:t>
      </w:r>
      <w:r w:rsidRPr="00F91ADF">
        <w:rPr>
          <w:shd w:val="clear" w:color="auto" w:fill="FFFFFF"/>
        </w:rPr>
        <w:t xml:space="preserve"> run smoother and increase performance.</w:t>
      </w:r>
      <w:r w:rsidRPr="00F91ADF">
        <w:t xml:space="preserve"> The process of defragmenting</w:t>
      </w:r>
      <w:r w:rsidR="001125DA">
        <w:t xml:space="preserve"> or </w:t>
      </w:r>
      <w:r w:rsidRPr="00F91ADF">
        <w:t xml:space="preserve">optimizing the hard drive is an essential step to keep it in good condition. </w:t>
      </w:r>
    </w:p>
    <w:p w14:paraId="54C5B64C" w14:textId="023D8DF6" w:rsidR="00972BD0" w:rsidRDefault="00972BD0" w:rsidP="00F91ADF">
      <w:pPr>
        <w:pStyle w:val="BodyText"/>
        <w:rPr>
          <w:shd w:val="clear" w:color="auto" w:fill="FFFFFF"/>
        </w:rPr>
      </w:pPr>
      <w:r w:rsidRPr="00F91ADF">
        <w:rPr>
          <w:shd w:val="clear" w:color="auto" w:fill="FFFFFF"/>
        </w:rPr>
        <w:t xml:space="preserve">When your hard drive becomes more than 80 percent filled, your computer will start to work less efficiently. </w:t>
      </w:r>
      <w:r w:rsidR="001125DA">
        <w:rPr>
          <w:shd w:val="clear" w:color="auto" w:fill="FFFFFF"/>
        </w:rPr>
        <w:t xml:space="preserve">The reason for this is because, </w:t>
      </w:r>
      <w:r w:rsidRPr="00F91ADF">
        <w:rPr>
          <w:shd w:val="clear" w:color="auto" w:fill="FFFFFF"/>
        </w:rPr>
        <w:t>when your computer runs out of memory</w:t>
      </w:r>
      <w:r w:rsidR="001125DA">
        <w:rPr>
          <w:shd w:val="clear" w:color="auto" w:fill="FFFFFF"/>
        </w:rPr>
        <w:t>,</w:t>
      </w:r>
      <w:r w:rsidRPr="00F91ADF">
        <w:rPr>
          <w:shd w:val="clear" w:color="auto" w:fill="FFFFFF"/>
        </w:rPr>
        <w:t xml:space="preserve"> it will start to use the hard drive space </w:t>
      </w:r>
      <w:r w:rsidR="00504D49">
        <w:rPr>
          <w:shd w:val="clear" w:color="auto" w:fill="FFFFFF"/>
        </w:rPr>
        <w:t>as</w:t>
      </w:r>
      <w:r w:rsidRPr="00F91ADF">
        <w:rPr>
          <w:shd w:val="clear" w:color="auto" w:fill="FFFFFF"/>
        </w:rPr>
        <w:t xml:space="preserve"> </w:t>
      </w:r>
      <w:r w:rsidR="00504D49">
        <w:rPr>
          <w:shd w:val="clear" w:color="auto" w:fill="FFFFFF"/>
        </w:rPr>
        <w:t>“</w:t>
      </w:r>
      <w:r w:rsidRPr="00F91ADF">
        <w:rPr>
          <w:shd w:val="clear" w:color="auto" w:fill="FFFFFF"/>
        </w:rPr>
        <w:t>virtual memory</w:t>
      </w:r>
      <w:r w:rsidR="00504D49">
        <w:rPr>
          <w:shd w:val="clear" w:color="auto" w:fill="FFFFFF"/>
        </w:rPr>
        <w:t>”</w:t>
      </w:r>
      <w:r w:rsidRPr="00F91ADF">
        <w:rPr>
          <w:shd w:val="clear" w:color="auto" w:fill="FFFFFF"/>
        </w:rPr>
        <w:t xml:space="preserve"> to compensate.</w:t>
      </w:r>
    </w:p>
    <w:p w14:paraId="0F2694DC" w14:textId="35727B43" w:rsidR="00F91ADF" w:rsidRPr="00F91ADF" w:rsidRDefault="00504D49" w:rsidP="00776AB8">
      <w:pPr>
        <w:pStyle w:val="BodyText"/>
        <w:keepNext/>
        <w:keepLines/>
      </w:pPr>
      <w:r>
        <w:rPr>
          <w:shd w:val="clear" w:color="auto" w:fill="FFFFFF"/>
        </w:rPr>
        <w:lastRenderedPageBreak/>
        <w:t>Use the following guidelines for drive maintenance</w:t>
      </w:r>
      <w:r w:rsidR="00F91ADF">
        <w:rPr>
          <w:shd w:val="clear" w:color="auto" w:fill="FFFFFF"/>
        </w:rPr>
        <w:t>:</w:t>
      </w:r>
    </w:p>
    <w:p w14:paraId="5A1B89B1" w14:textId="043DA420" w:rsidR="00F640A4" w:rsidRDefault="00504D49" w:rsidP="00776AB8">
      <w:pPr>
        <w:pStyle w:val="BodyText"/>
        <w:keepNext/>
        <w:keepLines/>
        <w:numPr>
          <w:ilvl w:val="0"/>
          <w:numId w:val="10"/>
        </w:numPr>
        <w:ind w:left="540"/>
      </w:pPr>
      <w:r>
        <w:t>D</w:t>
      </w:r>
      <w:r w:rsidR="00972BD0" w:rsidRPr="00F91ADF">
        <w:t xml:space="preserve">efrag </w:t>
      </w:r>
      <w:r w:rsidR="00021CB4">
        <w:t xml:space="preserve">the drive </w:t>
      </w:r>
      <w:r w:rsidR="00972BD0" w:rsidRPr="00F91ADF">
        <w:t>monthly.</w:t>
      </w:r>
    </w:p>
    <w:p w14:paraId="5FF275A6" w14:textId="440A6094" w:rsidR="00972BD0" w:rsidRPr="00F640A4" w:rsidRDefault="00504D49" w:rsidP="00F640A4">
      <w:pPr>
        <w:pStyle w:val="BodyText"/>
        <w:numPr>
          <w:ilvl w:val="0"/>
          <w:numId w:val="10"/>
        </w:numPr>
        <w:ind w:left="540"/>
      </w:pPr>
      <w:r>
        <w:t>Make sure</w:t>
      </w:r>
      <w:r w:rsidR="00021CB4">
        <w:t xml:space="preserve"> the free space on the</w:t>
      </w:r>
      <w:r>
        <w:t xml:space="preserve"> drive </w:t>
      </w:r>
      <w:r w:rsidR="00021CB4">
        <w:t>is</w:t>
      </w:r>
      <w:r>
        <w:t xml:space="preserve"> at least</w:t>
      </w:r>
      <w:r w:rsidR="00972BD0" w:rsidRPr="00F640A4">
        <w:t xml:space="preserve"> </w:t>
      </w:r>
      <w:hyperlink r:id="rId32" w:history="1">
        <w:r w:rsidR="00972BD0" w:rsidRPr="00F640A4">
          <w:t xml:space="preserve">15% </w:t>
        </w:r>
      </w:hyperlink>
      <w:r w:rsidR="00021CB4">
        <w:t>of the total size of the drive</w:t>
      </w:r>
      <w:r w:rsidR="00972BD0" w:rsidRPr="00F640A4">
        <w:t xml:space="preserve"> so Windows can defrag the drive efficiently.</w:t>
      </w:r>
    </w:p>
    <w:p w14:paraId="3682D9AD" w14:textId="6E04FE9E" w:rsidR="00972BD0" w:rsidRPr="00F640A4" w:rsidRDefault="00972BD0" w:rsidP="00F91ADF">
      <w:pPr>
        <w:pStyle w:val="BodyText"/>
        <w:rPr>
          <w:i/>
          <w:iCs/>
        </w:rPr>
      </w:pPr>
      <w:r w:rsidRPr="00F640A4">
        <w:rPr>
          <w:b/>
          <w:bCs/>
          <w:i/>
          <w:iCs/>
          <w:shd w:val="clear" w:color="auto" w:fill="FFFFFF"/>
        </w:rPr>
        <w:t>Note</w:t>
      </w:r>
      <w:r w:rsidR="00F91ADF" w:rsidRPr="00F640A4">
        <w:rPr>
          <w:i/>
          <w:iCs/>
          <w:shd w:val="clear" w:color="auto" w:fill="FFFFFF"/>
        </w:rPr>
        <w:t>:</w:t>
      </w:r>
      <w:r w:rsidRPr="00F640A4">
        <w:rPr>
          <w:i/>
          <w:iCs/>
          <w:shd w:val="clear" w:color="auto" w:fill="FFFFFF"/>
        </w:rPr>
        <w:t xml:space="preserve"> Virtual </w:t>
      </w:r>
      <w:r w:rsidR="00F91ADF" w:rsidRPr="00F640A4">
        <w:rPr>
          <w:i/>
          <w:iCs/>
          <w:shd w:val="clear" w:color="auto" w:fill="FFFFFF"/>
        </w:rPr>
        <w:t>h</w:t>
      </w:r>
      <w:r w:rsidRPr="00F640A4">
        <w:rPr>
          <w:i/>
          <w:iCs/>
          <w:shd w:val="clear" w:color="auto" w:fill="FFFFFF"/>
        </w:rPr>
        <w:t>ard drives may not need to be defragged.</w:t>
      </w:r>
    </w:p>
    <w:p w14:paraId="0CDDF36A" w14:textId="0E05F19C" w:rsidR="00972BD0" w:rsidRPr="00972BD0" w:rsidRDefault="00972BD0" w:rsidP="00D42C5A">
      <w:pPr>
        <w:pStyle w:val="Heading3"/>
        <w:rPr>
          <w:rFonts w:eastAsia="Times New Roman" w:cstheme="minorHAnsi"/>
          <w:color w:val="0A0A0A"/>
          <w:sz w:val="24"/>
        </w:rPr>
      </w:pPr>
      <w:bookmarkStart w:id="56" w:name="_Toc135416665"/>
      <w:bookmarkStart w:id="57" w:name="_Toc146183261"/>
      <w:r w:rsidRPr="00972BD0">
        <w:t>Antivirus Scans</w:t>
      </w:r>
      <w:bookmarkEnd w:id="56"/>
      <w:bookmarkEnd w:id="57"/>
    </w:p>
    <w:p w14:paraId="54E59F48" w14:textId="72C9C0F1" w:rsidR="00972BD0" w:rsidRPr="00972BD0" w:rsidRDefault="00972BD0" w:rsidP="002202F7">
      <w:pPr>
        <w:pStyle w:val="BodyText"/>
        <w:keepNext/>
        <w:keepLines/>
        <w:rPr>
          <w:rFonts w:eastAsia="Times New Roman"/>
          <w:color w:val="0A0A0A"/>
          <w:sz w:val="24"/>
        </w:rPr>
      </w:pPr>
      <w:r w:rsidRPr="00972BD0">
        <w:rPr>
          <w:shd w:val="clear" w:color="auto" w:fill="FFFFFF"/>
        </w:rPr>
        <w:t xml:space="preserve">Antivirus programs and computer protection software are designed to evaluate data such as </w:t>
      </w:r>
      <w:r w:rsidR="00F640A4">
        <w:rPr>
          <w:shd w:val="clear" w:color="auto" w:fill="FFFFFF"/>
        </w:rPr>
        <w:t>W</w:t>
      </w:r>
      <w:r w:rsidRPr="00972BD0">
        <w:rPr>
          <w:shd w:val="clear" w:color="auto" w:fill="FFFFFF"/>
        </w:rPr>
        <w:t xml:space="preserve">eb pages, files, software, and applications to help find and eradicate malware as quickly as possible. Even if you are experienced with using a computer and cautious in avoiding contact with a virus, </w:t>
      </w:r>
      <w:r w:rsidRPr="00F640A4">
        <w:rPr>
          <w:u w:val="single"/>
          <w:shd w:val="clear" w:color="auto" w:fill="FFFFFF"/>
        </w:rPr>
        <w:t>antivirus software is </w:t>
      </w:r>
      <w:r w:rsidRPr="00F91ADF">
        <w:rPr>
          <w:u w:val="single"/>
          <w:shd w:val="clear" w:color="auto" w:fill="FFFFFF"/>
        </w:rPr>
        <w:t>an essential part of a good security strategy</w:t>
      </w:r>
      <w:r w:rsidRPr="00972BD0">
        <w:rPr>
          <w:shd w:val="clear" w:color="auto" w:fill="FFFFFF"/>
        </w:rPr>
        <w:t>.</w:t>
      </w:r>
    </w:p>
    <w:p w14:paraId="081C7A68" w14:textId="1E99DD39" w:rsidR="00972BD0" w:rsidRPr="005E1F92" w:rsidRDefault="00972BD0" w:rsidP="002202F7">
      <w:pPr>
        <w:pStyle w:val="BodyText"/>
        <w:keepNext/>
        <w:keepLines/>
        <w:rPr>
          <w:shd w:val="clear" w:color="auto" w:fill="FFFFFF"/>
        </w:rPr>
      </w:pPr>
      <w:r w:rsidRPr="005E1F92">
        <w:rPr>
          <w:shd w:val="clear" w:color="auto" w:fill="FFFFFF"/>
        </w:rPr>
        <w:t>Virus scans search through your system </w:t>
      </w:r>
      <w:r w:rsidRPr="00F91ADF">
        <w:rPr>
          <w:u w:val="single"/>
          <w:shd w:val="clear" w:color="auto" w:fill="FFFFFF"/>
        </w:rPr>
        <w:t>to locate and remove any malicious threats on your device</w:t>
      </w:r>
      <w:r w:rsidRPr="005E1F92">
        <w:rPr>
          <w:shd w:val="clear" w:color="auto" w:fill="FFFFFF"/>
        </w:rPr>
        <w:t xml:space="preserve">. </w:t>
      </w:r>
      <w:r>
        <w:rPr>
          <w:shd w:val="clear" w:color="auto" w:fill="FFFFFF"/>
        </w:rPr>
        <w:t>M</w:t>
      </w:r>
      <w:r w:rsidRPr="005E1F92">
        <w:rPr>
          <w:shd w:val="clear" w:color="auto" w:fill="FFFFFF"/>
        </w:rPr>
        <w:t>ost antivirus software guards against malware. This can include threats like viruses</w:t>
      </w:r>
      <w:r w:rsidR="00F640A4">
        <w:rPr>
          <w:shd w:val="clear" w:color="auto" w:fill="FFFFFF"/>
        </w:rPr>
        <w:t>,</w:t>
      </w:r>
      <w:r w:rsidRPr="005E1F92">
        <w:rPr>
          <w:shd w:val="clear" w:color="auto" w:fill="FFFFFF"/>
        </w:rPr>
        <w:t xml:space="preserve"> worms, spyware, Trojans, ransomware, and adware.</w:t>
      </w:r>
    </w:p>
    <w:p w14:paraId="479094D0" w14:textId="314A7051" w:rsidR="00972BD0" w:rsidRPr="005E1F92" w:rsidRDefault="00972BD0" w:rsidP="002202F7">
      <w:pPr>
        <w:pStyle w:val="BodyText"/>
        <w:keepNext/>
        <w:keepLines/>
        <w:rPr>
          <w:shd w:val="clear" w:color="auto" w:fill="FFFFFF"/>
        </w:rPr>
      </w:pPr>
      <w:r w:rsidRPr="005E1F92">
        <w:rPr>
          <w:shd w:val="clear" w:color="auto" w:fill="FFFFFF"/>
        </w:rPr>
        <w:t xml:space="preserve">Follow </w:t>
      </w:r>
      <w:r w:rsidR="00F640A4">
        <w:rPr>
          <w:shd w:val="clear" w:color="auto" w:fill="FFFFFF"/>
        </w:rPr>
        <w:t>l</w:t>
      </w:r>
      <w:r w:rsidRPr="005E1F92">
        <w:rPr>
          <w:shd w:val="clear" w:color="auto" w:fill="FFFFFF"/>
        </w:rPr>
        <w:t xml:space="preserve">ocal and </w:t>
      </w:r>
      <w:r w:rsidR="00F640A4">
        <w:rPr>
          <w:shd w:val="clear" w:color="auto" w:fill="FFFFFF"/>
        </w:rPr>
        <w:t>a</w:t>
      </w:r>
      <w:r w:rsidRPr="005E1F92">
        <w:rPr>
          <w:shd w:val="clear" w:color="auto" w:fill="FFFFFF"/>
        </w:rPr>
        <w:t xml:space="preserve">rea policies for reporting issues detected by your </w:t>
      </w:r>
      <w:r w:rsidR="00F640A4">
        <w:rPr>
          <w:shd w:val="clear" w:color="auto" w:fill="FFFFFF"/>
        </w:rPr>
        <w:t>a</w:t>
      </w:r>
      <w:r w:rsidRPr="005E1F92">
        <w:rPr>
          <w:shd w:val="clear" w:color="auto" w:fill="FFFFFF"/>
        </w:rPr>
        <w:t>ntivirus application.</w:t>
      </w:r>
    </w:p>
    <w:p w14:paraId="290EE274" w14:textId="795EC1E2" w:rsidR="00972BD0" w:rsidRPr="00F640A4" w:rsidRDefault="00972BD0" w:rsidP="00F91ADF">
      <w:pPr>
        <w:pStyle w:val="BodyText"/>
        <w:rPr>
          <w:i/>
          <w:iCs/>
          <w:shd w:val="clear" w:color="auto" w:fill="FFFFFF"/>
        </w:rPr>
      </w:pPr>
      <w:r w:rsidRPr="00F640A4">
        <w:rPr>
          <w:b/>
          <w:bCs/>
          <w:i/>
          <w:iCs/>
          <w:shd w:val="clear" w:color="auto" w:fill="FFFFFF"/>
        </w:rPr>
        <w:t>Note</w:t>
      </w:r>
      <w:r w:rsidRPr="00F640A4">
        <w:rPr>
          <w:i/>
          <w:iCs/>
          <w:shd w:val="clear" w:color="auto" w:fill="FFFFFF"/>
        </w:rPr>
        <w:t xml:space="preserve">: IHS currently uses CrowdStrike and other </w:t>
      </w:r>
      <w:r w:rsidR="00F640A4" w:rsidRPr="00F640A4">
        <w:rPr>
          <w:i/>
          <w:iCs/>
          <w:shd w:val="clear" w:color="auto" w:fill="FFFFFF"/>
        </w:rPr>
        <w:t>a</w:t>
      </w:r>
      <w:r w:rsidRPr="00F640A4">
        <w:rPr>
          <w:i/>
          <w:iCs/>
          <w:shd w:val="clear" w:color="auto" w:fill="FFFFFF"/>
        </w:rPr>
        <w:t>nti</w:t>
      </w:r>
      <w:r w:rsidR="00F640A4" w:rsidRPr="00F640A4">
        <w:rPr>
          <w:i/>
          <w:iCs/>
          <w:shd w:val="clear" w:color="auto" w:fill="FFFFFF"/>
        </w:rPr>
        <w:t>v</w:t>
      </w:r>
      <w:r w:rsidRPr="00F640A4">
        <w:rPr>
          <w:i/>
          <w:iCs/>
          <w:shd w:val="clear" w:color="auto" w:fill="FFFFFF"/>
        </w:rPr>
        <w:t>irus applications.</w:t>
      </w:r>
    </w:p>
    <w:p w14:paraId="3B1243D9" w14:textId="77777777" w:rsidR="00972BD0" w:rsidRPr="00704091" w:rsidRDefault="00972BD0" w:rsidP="004267C0">
      <w:pPr>
        <w:pStyle w:val="Heading2"/>
      </w:pPr>
      <w:bookmarkStart w:id="58" w:name="_Toc135416666"/>
      <w:bookmarkStart w:id="59" w:name="_Toc146183262"/>
      <w:r w:rsidRPr="00704091">
        <w:t>General Firewall Rules</w:t>
      </w:r>
      <w:bookmarkEnd w:id="58"/>
      <w:bookmarkEnd w:id="59"/>
    </w:p>
    <w:p w14:paraId="0F694469" w14:textId="4D13881F" w:rsidR="00972BD0" w:rsidRPr="00022322" w:rsidRDefault="00972BD0" w:rsidP="00F91ADF">
      <w:pPr>
        <w:pStyle w:val="BodyText"/>
        <w:rPr>
          <w:lang w:bidi="en-US"/>
        </w:rPr>
      </w:pPr>
      <w:r w:rsidRPr="00022322">
        <w:rPr>
          <w:lang w:bidi="en-US"/>
        </w:rPr>
        <w:t xml:space="preserve">A network firewall is </w:t>
      </w:r>
      <w:r>
        <w:rPr>
          <w:lang w:bidi="en-US"/>
        </w:rPr>
        <w:t>a</w:t>
      </w:r>
      <w:r w:rsidRPr="00022322">
        <w:rPr>
          <w:lang w:bidi="en-US"/>
        </w:rPr>
        <w:t xml:space="preserve"> crucial security tool that must be as robust as </w:t>
      </w:r>
      <w:r w:rsidR="00F640A4">
        <w:rPr>
          <w:lang w:bidi="en-US"/>
        </w:rPr>
        <w:t>possible</w:t>
      </w:r>
      <w:r>
        <w:rPr>
          <w:lang w:bidi="en-US"/>
        </w:rPr>
        <w:t xml:space="preserve"> while balancing</w:t>
      </w:r>
      <w:r w:rsidRPr="00022322">
        <w:rPr>
          <w:lang w:bidi="en-US"/>
        </w:rPr>
        <w:t xml:space="preserve"> security </w:t>
      </w:r>
      <w:r w:rsidR="00F640A4">
        <w:rPr>
          <w:lang w:bidi="en-US"/>
        </w:rPr>
        <w:t>and</w:t>
      </w:r>
      <w:r w:rsidRPr="00022322">
        <w:rPr>
          <w:lang w:bidi="en-US"/>
        </w:rPr>
        <w:t xml:space="preserve"> performance for the users.</w:t>
      </w:r>
      <w:r>
        <w:rPr>
          <w:lang w:bidi="en-US"/>
        </w:rPr>
        <w:t xml:space="preserve"> </w:t>
      </w:r>
      <w:r w:rsidRPr="00022322">
        <w:rPr>
          <w:lang w:bidi="en-US"/>
        </w:rPr>
        <w:t>Network firewall</w:t>
      </w:r>
      <w:r w:rsidR="00F640A4">
        <w:rPr>
          <w:lang w:bidi="en-US"/>
        </w:rPr>
        <w:t>s</w:t>
      </w:r>
      <w:r w:rsidRPr="00022322">
        <w:rPr>
          <w:lang w:bidi="en-US"/>
        </w:rPr>
        <w:t xml:space="preserve"> </w:t>
      </w:r>
      <w:r>
        <w:rPr>
          <w:lang w:bidi="en-US"/>
        </w:rPr>
        <w:t>should protect</w:t>
      </w:r>
      <w:r w:rsidRPr="00022322">
        <w:rPr>
          <w:lang w:bidi="en-US"/>
        </w:rPr>
        <w:t xml:space="preserve"> against external security threats</w:t>
      </w:r>
      <w:r>
        <w:rPr>
          <w:lang w:bidi="en-US"/>
        </w:rPr>
        <w:t xml:space="preserve">, </w:t>
      </w:r>
      <w:r w:rsidRPr="00022322">
        <w:rPr>
          <w:lang w:bidi="en-US"/>
        </w:rPr>
        <w:t>protect from malware that could exfiltrate sensitive data from your network to other locations</w:t>
      </w:r>
      <w:r>
        <w:rPr>
          <w:lang w:bidi="en-US"/>
        </w:rPr>
        <w:t xml:space="preserve">, and </w:t>
      </w:r>
      <w:r w:rsidRPr="00022322">
        <w:rPr>
          <w:lang w:bidi="en-US"/>
        </w:rPr>
        <w:t>protect the network from any prospective security threats in the future</w:t>
      </w:r>
      <w:r>
        <w:rPr>
          <w:lang w:bidi="en-US"/>
        </w:rPr>
        <w:t>.</w:t>
      </w:r>
    </w:p>
    <w:p w14:paraId="5472306F" w14:textId="0D7E396B" w:rsidR="00972BD0" w:rsidRDefault="00972BD0" w:rsidP="00F91ADF">
      <w:pPr>
        <w:pStyle w:val="BodyText"/>
        <w:rPr>
          <w:lang w:bidi="en-US"/>
        </w:rPr>
      </w:pPr>
      <w:r w:rsidRPr="00022322">
        <w:rPr>
          <w:lang w:bidi="en-US"/>
        </w:rPr>
        <w:t xml:space="preserve">Firewall rules are very specific to the business running the firewall. For network administrators, </w:t>
      </w:r>
      <w:r w:rsidR="00F640A4">
        <w:rPr>
          <w:lang w:bidi="en-US"/>
        </w:rPr>
        <w:t>the following are</w:t>
      </w:r>
      <w:r w:rsidRPr="00022322">
        <w:rPr>
          <w:lang w:bidi="en-US"/>
        </w:rPr>
        <w:t xml:space="preserve"> best practices </w:t>
      </w:r>
      <w:r w:rsidR="00F640A4">
        <w:rPr>
          <w:lang w:bidi="en-US"/>
        </w:rPr>
        <w:t>for using firewalls to protect</w:t>
      </w:r>
      <w:r w:rsidRPr="00022322">
        <w:rPr>
          <w:lang w:bidi="en-US"/>
        </w:rPr>
        <w:t xml:space="preserve"> the network from any existing or potential threat</w:t>
      </w:r>
      <w:r w:rsidR="00F91ADF">
        <w:rPr>
          <w:lang w:bidi="en-US"/>
        </w:rPr>
        <w:t>.</w:t>
      </w:r>
    </w:p>
    <w:p w14:paraId="5AC4852D" w14:textId="5A9271A1" w:rsidR="00972BD0" w:rsidRPr="00D42C5A" w:rsidRDefault="00972BD0" w:rsidP="00D42C5A">
      <w:pPr>
        <w:pStyle w:val="Heading3"/>
        <w:rPr>
          <w:rFonts w:eastAsia="Calibri"/>
          <w:lang w:bidi="en-US"/>
        </w:rPr>
      </w:pPr>
      <w:bookmarkStart w:id="60" w:name="_Toc135416667"/>
      <w:bookmarkStart w:id="61" w:name="_Toc146183263"/>
      <w:r w:rsidRPr="00D42C5A">
        <w:rPr>
          <w:rFonts w:eastAsia="Calibri"/>
          <w:lang w:bidi="en-US"/>
        </w:rPr>
        <w:t>Block traffic by default and monitor user access</w:t>
      </w:r>
      <w:bookmarkEnd w:id="60"/>
      <w:bookmarkEnd w:id="61"/>
    </w:p>
    <w:p w14:paraId="3BB8E652" w14:textId="7BA72B41" w:rsidR="00972BD0" w:rsidRDefault="00972BD0" w:rsidP="00F91ADF">
      <w:pPr>
        <w:pStyle w:val="BodyText"/>
        <w:rPr>
          <w:lang w:bidi="en-US"/>
        </w:rPr>
      </w:pPr>
      <w:r w:rsidRPr="0084792E">
        <w:rPr>
          <w:lang w:bidi="en-US"/>
        </w:rPr>
        <w:t>In general, the firewall rules should follow a “deny all” philosophy with the exceptions being those few allowed I</w:t>
      </w:r>
      <w:r w:rsidR="00F640A4">
        <w:rPr>
          <w:lang w:bidi="en-US"/>
        </w:rPr>
        <w:t>P</w:t>
      </w:r>
      <w:r w:rsidRPr="0084792E">
        <w:rPr>
          <w:lang w:bidi="en-US"/>
        </w:rPr>
        <w:t>s</w:t>
      </w:r>
      <w:r w:rsidR="00F640A4">
        <w:rPr>
          <w:lang w:bidi="en-US"/>
        </w:rPr>
        <w:t xml:space="preserve"> or </w:t>
      </w:r>
      <w:r w:rsidRPr="0084792E">
        <w:rPr>
          <w:lang w:bidi="en-US"/>
        </w:rPr>
        <w:t xml:space="preserve">URLs </w:t>
      </w:r>
      <w:r w:rsidR="00F640A4">
        <w:rPr>
          <w:lang w:bidi="en-US"/>
        </w:rPr>
        <w:t>that</w:t>
      </w:r>
      <w:r w:rsidRPr="0084792E">
        <w:rPr>
          <w:lang w:bidi="en-US"/>
        </w:rPr>
        <w:t xml:space="preserve"> the </w:t>
      </w:r>
      <w:r>
        <w:rPr>
          <w:lang w:bidi="en-US"/>
        </w:rPr>
        <w:t>organization</w:t>
      </w:r>
      <w:r w:rsidRPr="0084792E">
        <w:rPr>
          <w:lang w:bidi="en-US"/>
        </w:rPr>
        <w:t xml:space="preserve"> has deemed necessary for business.</w:t>
      </w:r>
      <w:r>
        <w:rPr>
          <w:lang w:bidi="en-US"/>
        </w:rPr>
        <w:t xml:space="preserve"> </w:t>
      </w:r>
      <w:r w:rsidRPr="00022322">
        <w:rPr>
          <w:lang w:bidi="en-US"/>
        </w:rPr>
        <w:t xml:space="preserve">This helps control who can access </w:t>
      </w:r>
      <w:r>
        <w:rPr>
          <w:lang w:bidi="en-US"/>
        </w:rPr>
        <w:t xml:space="preserve">the </w:t>
      </w:r>
      <w:r w:rsidRPr="00022322">
        <w:rPr>
          <w:lang w:bidi="en-US"/>
        </w:rPr>
        <w:t>network and prevents security breaches from occurring.</w:t>
      </w:r>
      <w:r>
        <w:rPr>
          <w:lang w:bidi="en-US"/>
        </w:rPr>
        <w:t xml:space="preserve"> </w:t>
      </w:r>
    </w:p>
    <w:p w14:paraId="3C9B1FCB" w14:textId="6B11B9CF" w:rsidR="00972BD0" w:rsidRPr="00574B65" w:rsidRDefault="00972BD0" w:rsidP="00D42C5A">
      <w:pPr>
        <w:pStyle w:val="Heading3"/>
        <w:rPr>
          <w:rFonts w:eastAsia="Calibri"/>
          <w:lang w:bidi="en-US"/>
        </w:rPr>
      </w:pPr>
      <w:bookmarkStart w:id="62" w:name="_Toc135416668"/>
      <w:bookmarkStart w:id="63" w:name="_Toc146183264"/>
      <w:r w:rsidRPr="00574B65">
        <w:rPr>
          <w:rFonts w:eastAsia="Calibri"/>
          <w:lang w:bidi="en-US"/>
        </w:rPr>
        <w:t xml:space="preserve">Establish a firewall configuration change </w:t>
      </w:r>
      <w:proofErr w:type="gramStart"/>
      <w:r w:rsidRPr="00574B65">
        <w:rPr>
          <w:rFonts w:eastAsia="Calibri"/>
          <w:lang w:bidi="en-US"/>
        </w:rPr>
        <w:t>plan</w:t>
      </w:r>
      <w:bookmarkEnd w:id="62"/>
      <w:bookmarkEnd w:id="63"/>
      <w:proofErr w:type="gramEnd"/>
    </w:p>
    <w:p w14:paraId="3F68A304" w14:textId="57463CE6" w:rsidR="00972BD0" w:rsidRPr="00A83388" w:rsidRDefault="00972BD0" w:rsidP="00733114">
      <w:pPr>
        <w:pStyle w:val="BodyText"/>
        <w:rPr>
          <w:lang w:bidi="en-US"/>
        </w:rPr>
      </w:pPr>
      <w:r w:rsidRPr="00A83388">
        <w:rPr>
          <w:lang w:bidi="en-US"/>
        </w:rPr>
        <w:t>A network’s firewall will need to be updated from time to time for various reasons to ensure that the firewall remains strong and capable of protecting against new threats. It is important to have a change management plan so that the process is smooth and secure. Any unplanned configuration change leaves a loophole in your network’s security.</w:t>
      </w:r>
    </w:p>
    <w:p w14:paraId="2C42B861" w14:textId="77777777" w:rsidR="00972BD0" w:rsidRDefault="00972BD0" w:rsidP="00776AB8">
      <w:pPr>
        <w:pStyle w:val="BodyText"/>
        <w:keepNext/>
        <w:keepLines/>
        <w:rPr>
          <w:lang w:bidi="en-US"/>
        </w:rPr>
      </w:pPr>
      <w:r w:rsidRPr="00A83388">
        <w:rPr>
          <w:lang w:bidi="en-US"/>
        </w:rPr>
        <w:lastRenderedPageBreak/>
        <w:t xml:space="preserve">A well-defined and robust firewall change management plan </w:t>
      </w:r>
      <w:r>
        <w:rPr>
          <w:lang w:bidi="en-US"/>
        </w:rPr>
        <w:t>includes</w:t>
      </w:r>
      <w:r w:rsidRPr="00A83388">
        <w:rPr>
          <w:lang w:bidi="en-US"/>
        </w:rPr>
        <w:t xml:space="preserve"> certain basic features:</w:t>
      </w:r>
    </w:p>
    <w:p w14:paraId="16A8389C" w14:textId="77777777" w:rsidR="00972BD0" w:rsidRDefault="00972BD0" w:rsidP="00776AB8">
      <w:pPr>
        <w:pStyle w:val="BodyText"/>
        <w:keepNext/>
        <w:keepLines/>
        <w:numPr>
          <w:ilvl w:val="0"/>
          <w:numId w:val="11"/>
        </w:numPr>
        <w:ind w:left="540"/>
        <w:rPr>
          <w:lang w:bidi="en-US"/>
        </w:rPr>
      </w:pPr>
      <w:r>
        <w:rPr>
          <w:lang w:bidi="en-US"/>
        </w:rPr>
        <w:t>D</w:t>
      </w:r>
      <w:r w:rsidRPr="00A83388">
        <w:rPr>
          <w:lang w:bidi="en-US"/>
        </w:rPr>
        <w:t>efine the changes that are required and their objectives.</w:t>
      </w:r>
    </w:p>
    <w:p w14:paraId="4E906434" w14:textId="3098F13F" w:rsidR="00972BD0" w:rsidRDefault="00972BD0">
      <w:pPr>
        <w:pStyle w:val="BodyText"/>
        <w:numPr>
          <w:ilvl w:val="0"/>
          <w:numId w:val="11"/>
        </w:numPr>
        <w:ind w:left="540"/>
        <w:rPr>
          <w:lang w:bidi="en-US"/>
        </w:rPr>
      </w:pPr>
      <w:r w:rsidRPr="00A83388">
        <w:rPr>
          <w:lang w:bidi="en-US"/>
        </w:rPr>
        <w:t>List the risks involved due to the policy changes</w:t>
      </w:r>
      <w:r w:rsidR="00F640A4">
        <w:rPr>
          <w:lang w:bidi="en-US"/>
        </w:rPr>
        <w:t xml:space="preserve"> and</w:t>
      </w:r>
      <w:r w:rsidRPr="00A83388">
        <w:rPr>
          <w:lang w:bidi="en-US"/>
        </w:rPr>
        <w:t xml:space="preserve"> their impacts on the network, and </w:t>
      </w:r>
      <w:r w:rsidR="00F640A4">
        <w:rPr>
          <w:lang w:bidi="en-US"/>
        </w:rPr>
        <w:t xml:space="preserve">provide </w:t>
      </w:r>
      <w:r w:rsidRPr="00A83388">
        <w:rPr>
          <w:lang w:bidi="en-US"/>
        </w:rPr>
        <w:t>a mitigation plan to minimize the risks.</w:t>
      </w:r>
    </w:p>
    <w:p w14:paraId="14610D30" w14:textId="7BF118E1" w:rsidR="00972BD0" w:rsidRPr="00A83388" w:rsidRDefault="00F640A4">
      <w:pPr>
        <w:pStyle w:val="BodyText"/>
        <w:numPr>
          <w:ilvl w:val="0"/>
          <w:numId w:val="11"/>
        </w:numPr>
        <w:ind w:left="540"/>
        <w:rPr>
          <w:lang w:bidi="en-US"/>
        </w:rPr>
      </w:pPr>
      <w:r>
        <w:rPr>
          <w:lang w:bidi="en-US"/>
        </w:rPr>
        <w:t>Have p</w:t>
      </w:r>
      <w:r w:rsidR="00972BD0" w:rsidRPr="00A83388">
        <w:rPr>
          <w:lang w:bidi="en-US"/>
        </w:rPr>
        <w:t>roper audit trails that record who made the change, why</w:t>
      </w:r>
      <w:r>
        <w:rPr>
          <w:lang w:bidi="en-US"/>
        </w:rPr>
        <w:t xml:space="preserve"> it was made</w:t>
      </w:r>
      <w:r w:rsidR="00972BD0" w:rsidRPr="00A83388">
        <w:rPr>
          <w:lang w:bidi="en-US"/>
        </w:rPr>
        <w:t>, and when</w:t>
      </w:r>
      <w:r>
        <w:rPr>
          <w:lang w:bidi="en-US"/>
        </w:rPr>
        <w:t xml:space="preserve"> it occurred</w:t>
      </w:r>
      <w:r w:rsidR="00972BD0" w:rsidRPr="00A83388">
        <w:rPr>
          <w:lang w:bidi="en-US"/>
        </w:rPr>
        <w:t>.</w:t>
      </w:r>
    </w:p>
    <w:p w14:paraId="207A6EAE" w14:textId="7E8DA7DF" w:rsidR="00972BD0" w:rsidRDefault="00972BD0" w:rsidP="00D42C5A">
      <w:pPr>
        <w:pStyle w:val="Heading3"/>
        <w:rPr>
          <w:rFonts w:eastAsia="Calibri"/>
          <w:lang w:bidi="en-US"/>
        </w:rPr>
      </w:pPr>
      <w:bookmarkStart w:id="64" w:name="_Toc135416669"/>
      <w:bookmarkStart w:id="65" w:name="_Toc146183265"/>
      <w:r w:rsidRPr="0066798B">
        <w:rPr>
          <w:rFonts w:eastAsia="Calibri"/>
          <w:lang w:bidi="en-US"/>
        </w:rPr>
        <w:t xml:space="preserve">Optimize the firewall rules of your </w:t>
      </w:r>
      <w:proofErr w:type="gramStart"/>
      <w:r w:rsidRPr="0066798B">
        <w:rPr>
          <w:rFonts w:eastAsia="Calibri"/>
          <w:lang w:bidi="en-US"/>
        </w:rPr>
        <w:t>network</w:t>
      </w:r>
      <w:bookmarkEnd w:id="64"/>
      <w:bookmarkEnd w:id="65"/>
      <w:proofErr w:type="gramEnd"/>
    </w:p>
    <w:p w14:paraId="6A43AC4C" w14:textId="0B7292A6" w:rsidR="00972BD0" w:rsidRDefault="00972BD0" w:rsidP="004A2A35">
      <w:pPr>
        <w:pStyle w:val="BodyText"/>
        <w:keepLines/>
        <w:rPr>
          <w:lang w:bidi="en-US"/>
        </w:rPr>
      </w:pPr>
      <w:r w:rsidRPr="0066798B">
        <w:rPr>
          <w:lang w:bidi="en-US"/>
        </w:rPr>
        <w:t>The firewall rules must be well-defined and optimized to provide the expected protection. Be specific and purposeful with rules.</w:t>
      </w:r>
      <w:r>
        <w:rPr>
          <w:lang w:bidi="en-US"/>
        </w:rPr>
        <w:t xml:space="preserve"> </w:t>
      </w:r>
      <w:r w:rsidRPr="0066798B">
        <w:rPr>
          <w:lang w:bidi="en-US"/>
        </w:rPr>
        <w:t>If possible, create different groups of I</w:t>
      </w:r>
      <w:r w:rsidR="00133CF9">
        <w:rPr>
          <w:lang w:bidi="en-US"/>
        </w:rPr>
        <w:t>P</w:t>
      </w:r>
      <w:r w:rsidRPr="0066798B">
        <w:rPr>
          <w:lang w:bidi="en-US"/>
        </w:rPr>
        <w:t>s and ports that make sense, which allows you to create a set of firewall rules, and primarily use groups where you can add/remove individual components. Ensure your rules specify the destination and source IP addresses</w:t>
      </w:r>
      <w:r w:rsidR="00133CF9">
        <w:rPr>
          <w:lang w:bidi="en-US"/>
        </w:rPr>
        <w:t xml:space="preserve"> (</w:t>
      </w:r>
      <w:r w:rsidRPr="0066798B">
        <w:rPr>
          <w:lang w:bidi="en-US"/>
        </w:rPr>
        <w:t>or sometimes ranges</w:t>
      </w:r>
      <w:r w:rsidR="00133CF9">
        <w:rPr>
          <w:lang w:bidi="en-US"/>
        </w:rPr>
        <w:t xml:space="preserve">) </w:t>
      </w:r>
      <w:r w:rsidRPr="0066798B">
        <w:rPr>
          <w:lang w:bidi="en-US"/>
        </w:rPr>
        <w:t>and destination port</w:t>
      </w:r>
      <w:r w:rsidR="00133CF9">
        <w:rPr>
          <w:lang w:bidi="en-US"/>
        </w:rPr>
        <w:t>s</w:t>
      </w:r>
      <w:r w:rsidRPr="0066798B">
        <w:rPr>
          <w:lang w:bidi="en-US"/>
        </w:rPr>
        <w:t xml:space="preserve"> whenever possible. </w:t>
      </w:r>
    </w:p>
    <w:p w14:paraId="4135D2D9" w14:textId="1FFABFBD" w:rsidR="00972BD0" w:rsidRPr="0066798B" w:rsidRDefault="00972BD0" w:rsidP="00733114">
      <w:pPr>
        <w:pStyle w:val="BodyText"/>
        <w:rPr>
          <w:lang w:bidi="en-US"/>
        </w:rPr>
      </w:pPr>
      <w:r w:rsidRPr="0066798B">
        <w:rPr>
          <w:lang w:bidi="en-US"/>
        </w:rPr>
        <w:t xml:space="preserve">Cleaning up the firewall rule base </w:t>
      </w:r>
      <w:r w:rsidR="00133CF9">
        <w:rPr>
          <w:lang w:bidi="en-US"/>
        </w:rPr>
        <w:t>to remove</w:t>
      </w:r>
      <w:r w:rsidRPr="0066798B">
        <w:rPr>
          <w:lang w:bidi="en-US"/>
        </w:rPr>
        <w:t xml:space="preserve"> any kind of unnecessary clutter can have a positive impact on network security. </w:t>
      </w:r>
    </w:p>
    <w:p w14:paraId="48E6B69C" w14:textId="16E5E9BC" w:rsidR="00972BD0" w:rsidRPr="008A208F" w:rsidRDefault="00972BD0" w:rsidP="00F91ADF">
      <w:pPr>
        <w:pStyle w:val="BodyText"/>
        <w:rPr>
          <w:lang w:bidi="en-US"/>
        </w:rPr>
      </w:pPr>
      <w:r w:rsidRPr="008A208F">
        <w:rPr>
          <w:lang w:bidi="en-US"/>
        </w:rPr>
        <w:t>To clean your firewall rule base</w:t>
      </w:r>
      <w:r w:rsidR="00133CF9">
        <w:rPr>
          <w:lang w:bidi="en-US"/>
        </w:rPr>
        <w:t>, do the following</w:t>
      </w:r>
      <w:r w:rsidRPr="008A208F">
        <w:rPr>
          <w:lang w:bidi="en-US"/>
        </w:rPr>
        <w:t>:</w:t>
      </w:r>
    </w:p>
    <w:p w14:paraId="55F8481A" w14:textId="34DB2C8A" w:rsidR="00972BD0" w:rsidRPr="0030508E" w:rsidRDefault="00972BD0">
      <w:pPr>
        <w:pStyle w:val="BodyText"/>
        <w:numPr>
          <w:ilvl w:val="0"/>
          <w:numId w:val="12"/>
        </w:numPr>
        <w:ind w:left="540"/>
        <w:rPr>
          <w:lang w:bidi="en-US"/>
        </w:rPr>
      </w:pPr>
      <w:r w:rsidRPr="0030508E">
        <w:rPr>
          <w:lang w:bidi="en-US"/>
        </w:rPr>
        <w:t>Eliminate redundant or duplicate rules</w:t>
      </w:r>
      <w:r w:rsidR="00133CF9">
        <w:rPr>
          <w:lang w:bidi="en-US"/>
        </w:rPr>
        <w:t xml:space="preserve">. These </w:t>
      </w:r>
      <w:r w:rsidR="002804C0">
        <w:rPr>
          <w:lang w:bidi="en-US"/>
        </w:rPr>
        <w:t>may</w:t>
      </w:r>
      <w:r w:rsidR="00133CF9">
        <w:rPr>
          <w:lang w:bidi="en-US"/>
        </w:rPr>
        <w:t xml:space="preserve"> negatively impact</w:t>
      </w:r>
      <w:r w:rsidRPr="0030508E">
        <w:rPr>
          <w:lang w:bidi="en-US"/>
        </w:rPr>
        <w:t xml:space="preserve"> firewall performance </w:t>
      </w:r>
      <w:r w:rsidR="00133CF9">
        <w:rPr>
          <w:lang w:bidi="en-US"/>
        </w:rPr>
        <w:t>because</w:t>
      </w:r>
      <w:r w:rsidRPr="0030508E">
        <w:rPr>
          <w:lang w:bidi="en-US"/>
        </w:rPr>
        <w:t xml:space="preserve"> the firewall </w:t>
      </w:r>
      <w:r w:rsidR="00133CF9">
        <w:rPr>
          <w:lang w:bidi="en-US"/>
        </w:rPr>
        <w:t>has t</w:t>
      </w:r>
      <w:r w:rsidRPr="0030508E">
        <w:rPr>
          <w:lang w:bidi="en-US"/>
        </w:rPr>
        <w:t>o process more rules than necessary.</w:t>
      </w:r>
    </w:p>
    <w:p w14:paraId="30F2E796" w14:textId="79F167DC" w:rsidR="00972BD0" w:rsidRPr="0030508E" w:rsidRDefault="00972BD0">
      <w:pPr>
        <w:pStyle w:val="BodyText"/>
        <w:numPr>
          <w:ilvl w:val="0"/>
          <w:numId w:val="12"/>
        </w:numPr>
        <w:ind w:left="540"/>
        <w:rPr>
          <w:lang w:bidi="en-US"/>
        </w:rPr>
      </w:pPr>
      <w:r w:rsidRPr="0030508E">
        <w:rPr>
          <w:lang w:bidi="en-US"/>
        </w:rPr>
        <w:t xml:space="preserve">Remove the rules that are obsolete or no longer in use. These make the firewall management more complex and </w:t>
      </w:r>
      <w:r w:rsidR="002804C0">
        <w:rPr>
          <w:lang w:bidi="en-US"/>
        </w:rPr>
        <w:t>may</w:t>
      </w:r>
      <w:r w:rsidRPr="0030508E">
        <w:rPr>
          <w:lang w:bidi="en-US"/>
        </w:rPr>
        <w:t xml:space="preserve"> even be a threat to network security if not updated.</w:t>
      </w:r>
    </w:p>
    <w:p w14:paraId="71AB2CAC" w14:textId="77777777" w:rsidR="00972BD0" w:rsidRPr="0030508E" w:rsidRDefault="00972BD0">
      <w:pPr>
        <w:pStyle w:val="BodyText"/>
        <w:numPr>
          <w:ilvl w:val="0"/>
          <w:numId w:val="12"/>
        </w:numPr>
        <w:ind w:left="540"/>
        <w:rPr>
          <w:lang w:bidi="en-US"/>
        </w:rPr>
      </w:pPr>
      <w:r w:rsidRPr="0030508E">
        <w:rPr>
          <w:lang w:bidi="en-US"/>
        </w:rPr>
        <w:t>Remove shadowed rules that are not essential. These may lead to more critical rules being neglected.</w:t>
      </w:r>
    </w:p>
    <w:p w14:paraId="4EDDB1C1" w14:textId="23053D1D" w:rsidR="00972BD0" w:rsidRPr="0030508E" w:rsidRDefault="00133CF9">
      <w:pPr>
        <w:pStyle w:val="BodyText"/>
        <w:numPr>
          <w:ilvl w:val="0"/>
          <w:numId w:val="12"/>
        </w:numPr>
        <w:ind w:left="540"/>
        <w:rPr>
          <w:lang w:bidi="en-US"/>
        </w:rPr>
      </w:pPr>
      <w:r>
        <w:rPr>
          <w:lang w:bidi="en-US"/>
        </w:rPr>
        <w:t>Eliminate c</w:t>
      </w:r>
      <w:r w:rsidR="00972BD0" w:rsidRPr="0030508E">
        <w:rPr>
          <w:lang w:bidi="en-US"/>
        </w:rPr>
        <w:t>onflicting rules.</w:t>
      </w:r>
    </w:p>
    <w:p w14:paraId="29F908EA" w14:textId="0DF28EC0" w:rsidR="00972BD0" w:rsidRDefault="00133CF9">
      <w:pPr>
        <w:pStyle w:val="BodyText"/>
        <w:numPr>
          <w:ilvl w:val="0"/>
          <w:numId w:val="12"/>
        </w:numPr>
        <w:ind w:left="540"/>
        <w:rPr>
          <w:lang w:bidi="en-US"/>
        </w:rPr>
      </w:pPr>
      <w:r>
        <w:rPr>
          <w:lang w:bidi="en-US"/>
        </w:rPr>
        <w:t>Eliminate a</w:t>
      </w:r>
      <w:r w:rsidR="00972BD0" w:rsidRPr="0030508E">
        <w:rPr>
          <w:lang w:bidi="en-US"/>
        </w:rPr>
        <w:t>ny errors or inaccuracies in the rules</w:t>
      </w:r>
      <w:r>
        <w:rPr>
          <w:lang w:bidi="en-US"/>
        </w:rPr>
        <w:t xml:space="preserve">. These may </w:t>
      </w:r>
      <w:r w:rsidR="00972BD0" w:rsidRPr="0030508E">
        <w:rPr>
          <w:lang w:bidi="en-US"/>
        </w:rPr>
        <w:t>result in malfunctions.</w:t>
      </w:r>
    </w:p>
    <w:p w14:paraId="353D91F3" w14:textId="128B82B8" w:rsidR="00733114" w:rsidRDefault="00972BD0" w:rsidP="00D42C5A">
      <w:pPr>
        <w:pStyle w:val="Heading3"/>
        <w:rPr>
          <w:rFonts w:eastAsia="Calibri"/>
          <w:lang w:bidi="en-US"/>
        </w:rPr>
      </w:pPr>
      <w:bookmarkStart w:id="66" w:name="_Toc135416670"/>
      <w:bookmarkStart w:id="67" w:name="_Toc146183266"/>
      <w:r w:rsidRPr="00CC5DB4">
        <w:rPr>
          <w:rFonts w:eastAsia="Calibri"/>
          <w:lang w:bidi="en-US"/>
        </w:rPr>
        <w:t xml:space="preserve">Update your firewall software </w:t>
      </w:r>
      <w:proofErr w:type="gramStart"/>
      <w:r w:rsidRPr="00CC5DB4">
        <w:rPr>
          <w:rFonts w:eastAsia="Calibri"/>
          <w:lang w:bidi="en-US"/>
        </w:rPr>
        <w:t>regularly</w:t>
      </w:r>
      <w:bookmarkEnd w:id="66"/>
      <w:bookmarkEnd w:id="67"/>
      <w:proofErr w:type="gramEnd"/>
    </w:p>
    <w:p w14:paraId="51D7BDA4" w14:textId="2F969E5A" w:rsidR="00972BD0" w:rsidRDefault="00972BD0" w:rsidP="00733114">
      <w:pPr>
        <w:pStyle w:val="BodyText"/>
        <w:rPr>
          <w:lang w:bidi="en-US"/>
        </w:rPr>
      </w:pPr>
      <w:r w:rsidRPr="00CC5DB4">
        <w:rPr>
          <w:lang w:bidi="en-US"/>
        </w:rPr>
        <w:t xml:space="preserve">It is important to keep updating </w:t>
      </w:r>
      <w:r>
        <w:rPr>
          <w:lang w:bidi="en-US"/>
        </w:rPr>
        <w:t>your</w:t>
      </w:r>
      <w:r w:rsidRPr="00CC5DB4">
        <w:rPr>
          <w:lang w:bidi="en-US"/>
        </w:rPr>
        <w:t xml:space="preserve"> firewall software to ensure that your network is secure and </w:t>
      </w:r>
      <w:r w:rsidR="002804C0">
        <w:rPr>
          <w:lang w:bidi="en-US"/>
        </w:rPr>
        <w:t xml:space="preserve">that </w:t>
      </w:r>
      <w:r w:rsidRPr="00CC5DB4">
        <w:rPr>
          <w:lang w:bidi="en-US"/>
        </w:rPr>
        <w:t xml:space="preserve">there are no loopholes in the system that could pose a threat to security. </w:t>
      </w:r>
      <w:r w:rsidR="002804C0">
        <w:rPr>
          <w:lang w:bidi="en-US"/>
        </w:rPr>
        <w:t>F</w:t>
      </w:r>
      <w:r w:rsidRPr="00CC5DB4">
        <w:rPr>
          <w:lang w:bidi="en-US"/>
        </w:rPr>
        <w:t>rom time to time</w:t>
      </w:r>
      <w:r w:rsidR="002804C0">
        <w:rPr>
          <w:lang w:bidi="en-US"/>
        </w:rPr>
        <w:t>, check</w:t>
      </w:r>
      <w:r w:rsidRPr="00CC5DB4">
        <w:rPr>
          <w:lang w:bidi="en-US"/>
        </w:rPr>
        <w:t xml:space="preserve"> if your firewall software is updated to the latest version.</w:t>
      </w:r>
    </w:p>
    <w:p w14:paraId="390ED021" w14:textId="027F52CC" w:rsidR="00733114" w:rsidRDefault="00972BD0" w:rsidP="00D42C5A">
      <w:pPr>
        <w:pStyle w:val="Heading3"/>
        <w:rPr>
          <w:rFonts w:eastAsia="Calibri"/>
          <w:lang w:bidi="en-US"/>
        </w:rPr>
      </w:pPr>
      <w:bookmarkStart w:id="68" w:name="_Toc135416671"/>
      <w:bookmarkStart w:id="69" w:name="_Toc146183267"/>
      <w:r w:rsidRPr="0066798B">
        <w:rPr>
          <w:rFonts w:eastAsia="Calibri"/>
          <w:lang w:bidi="en-US"/>
        </w:rPr>
        <w:t xml:space="preserve">Conduct regular firewall security </w:t>
      </w:r>
      <w:proofErr w:type="gramStart"/>
      <w:r w:rsidRPr="0066798B">
        <w:rPr>
          <w:rFonts w:eastAsia="Calibri"/>
          <w:lang w:bidi="en-US"/>
        </w:rPr>
        <w:t>audits</w:t>
      </w:r>
      <w:bookmarkEnd w:id="68"/>
      <w:bookmarkEnd w:id="69"/>
      <w:proofErr w:type="gramEnd"/>
    </w:p>
    <w:p w14:paraId="5C93251A" w14:textId="6B40183D" w:rsidR="00972BD0" w:rsidRDefault="00972BD0" w:rsidP="00733114">
      <w:pPr>
        <w:pStyle w:val="BodyText"/>
        <w:rPr>
          <w:lang w:bidi="en-US"/>
        </w:rPr>
      </w:pPr>
      <w:r w:rsidRPr="0066798B">
        <w:rPr>
          <w:lang w:bidi="en-US"/>
        </w:rPr>
        <w:t>Security audits are necessary to ensure that the firewall rules comply with the organizational</w:t>
      </w:r>
      <w:r w:rsidR="002804C0">
        <w:rPr>
          <w:lang w:bidi="en-US"/>
        </w:rPr>
        <w:t xml:space="preserve"> and</w:t>
      </w:r>
      <w:r w:rsidRPr="0066798B">
        <w:rPr>
          <w:lang w:bidi="en-US"/>
        </w:rPr>
        <w:t xml:space="preserve"> external security regulations that apply to the network. </w:t>
      </w:r>
    </w:p>
    <w:p w14:paraId="5B9C3874" w14:textId="2623C7F7" w:rsidR="00972BD0" w:rsidRPr="00F91ADF" w:rsidRDefault="00972BD0" w:rsidP="00F91ADF">
      <w:pPr>
        <w:pStyle w:val="BodyText"/>
        <w:rPr>
          <w:lang w:bidi="en-US"/>
        </w:rPr>
      </w:pPr>
      <w:r w:rsidRPr="0066798B">
        <w:rPr>
          <w:lang w:bidi="en-US"/>
        </w:rPr>
        <w:t xml:space="preserve">Unauthorized firewall configuration changes that are a policy violation can cause non-compliance. It is important for administrators and IT security staff to carry out regular security audits to ensure </w:t>
      </w:r>
      <w:r w:rsidR="002804C0">
        <w:rPr>
          <w:lang w:bidi="en-US"/>
        </w:rPr>
        <w:t xml:space="preserve">that </w:t>
      </w:r>
      <w:r w:rsidRPr="0066798B">
        <w:rPr>
          <w:lang w:bidi="en-US"/>
        </w:rPr>
        <w:t>no unauthorized changes have taken place.</w:t>
      </w:r>
    </w:p>
    <w:p w14:paraId="132EAB6F" w14:textId="77777777" w:rsidR="00972BD0" w:rsidRPr="00BB395E" w:rsidRDefault="00972BD0" w:rsidP="004267C0">
      <w:pPr>
        <w:pStyle w:val="Heading2"/>
        <w:rPr>
          <w:rFonts w:ascii="Calibri" w:eastAsia="Calibri" w:hAnsi="Calibri" w:cs="Calibri"/>
          <w:color w:val="1F4E79"/>
          <w:lang w:bidi="en-US"/>
        </w:rPr>
      </w:pPr>
      <w:bookmarkStart w:id="70" w:name="_Toc135416672"/>
      <w:bookmarkStart w:id="71" w:name="_Toc146183268"/>
      <w:r w:rsidRPr="00BB395E">
        <w:lastRenderedPageBreak/>
        <w:t>Incident</w:t>
      </w:r>
      <w:r w:rsidRPr="00BB395E">
        <w:rPr>
          <w:rFonts w:ascii="Calibri" w:eastAsia="Calibri" w:hAnsi="Calibri" w:cs="Calibri"/>
          <w:color w:val="1F4E79"/>
          <w:lang w:bidi="en-US"/>
        </w:rPr>
        <w:t xml:space="preserve"> </w:t>
      </w:r>
      <w:r w:rsidRPr="00BB395E">
        <w:t>Response and Log Review Protocol</w:t>
      </w:r>
      <w:bookmarkEnd w:id="70"/>
      <w:bookmarkEnd w:id="71"/>
    </w:p>
    <w:p w14:paraId="00738D61" w14:textId="24D520FC" w:rsidR="00972BD0" w:rsidRDefault="00972BD0" w:rsidP="00D42C5A">
      <w:pPr>
        <w:pStyle w:val="Heading3"/>
        <w:rPr>
          <w:rFonts w:eastAsia="Calibri"/>
          <w:lang w:bidi="en-US"/>
        </w:rPr>
      </w:pPr>
      <w:bookmarkStart w:id="72" w:name="_Toc135416673"/>
      <w:bookmarkStart w:id="73" w:name="_Toc146183269"/>
      <w:r>
        <w:rPr>
          <w:rFonts w:eastAsia="Calibri"/>
          <w:lang w:bidi="en-US"/>
        </w:rPr>
        <w:t>Information System Contingency Plan (ISCP)</w:t>
      </w:r>
      <w:bookmarkEnd w:id="72"/>
      <w:bookmarkEnd w:id="73"/>
    </w:p>
    <w:p w14:paraId="5DE146F8" w14:textId="1FD5C5E8" w:rsidR="00972BD0" w:rsidRPr="009A0D76" w:rsidRDefault="00972BD0" w:rsidP="004A2A35">
      <w:pPr>
        <w:pStyle w:val="BodyText"/>
        <w:keepNext/>
        <w:keepLines/>
        <w:rPr>
          <w:lang w:bidi="en-US"/>
        </w:rPr>
      </w:pPr>
      <w:r w:rsidRPr="009A0D76">
        <w:rPr>
          <w:lang w:bidi="en-US"/>
        </w:rPr>
        <w:t>An Information System Contingency Plan (ISCP) establishes comprehensive procedures to recover EDR quickly and effectively following a service disruption.</w:t>
      </w:r>
      <w:r w:rsidR="00021CB4">
        <w:rPr>
          <w:lang w:bidi="en-US"/>
        </w:rPr>
        <w:t xml:space="preserve"> Each clinic must have a</w:t>
      </w:r>
      <w:r w:rsidRPr="009A0D76">
        <w:rPr>
          <w:lang w:bidi="en-US"/>
        </w:rPr>
        <w:t xml:space="preserve"> robust IS</w:t>
      </w:r>
      <w:r w:rsidR="00021CB4">
        <w:rPr>
          <w:lang w:bidi="en-US"/>
        </w:rPr>
        <w:t>CP</w:t>
      </w:r>
      <w:r w:rsidRPr="009A0D76">
        <w:rPr>
          <w:lang w:bidi="en-US"/>
        </w:rPr>
        <w:t xml:space="preserve"> </w:t>
      </w:r>
      <w:r w:rsidR="00021CB4">
        <w:rPr>
          <w:lang w:bidi="en-US"/>
        </w:rPr>
        <w:t xml:space="preserve">that includes a </w:t>
      </w:r>
      <w:r w:rsidRPr="009A0D76">
        <w:rPr>
          <w:lang w:bidi="en-US"/>
        </w:rPr>
        <w:t>Disaster Recovery Plan (DRP).</w:t>
      </w:r>
    </w:p>
    <w:p w14:paraId="266C79BA" w14:textId="77777777" w:rsidR="00972BD0" w:rsidRPr="00F91ADF" w:rsidRDefault="00972BD0" w:rsidP="004A2A35">
      <w:pPr>
        <w:pStyle w:val="BodyText"/>
        <w:keepNext/>
        <w:keepLines/>
        <w:rPr>
          <w:lang w:bidi="en-US"/>
        </w:rPr>
      </w:pPr>
      <w:r w:rsidRPr="00F91ADF">
        <w:rPr>
          <w:lang w:bidi="en-US"/>
        </w:rPr>
        <w:t>The following recovery plan objectives have been established by IHS:</w:t>
      </w:r>
    </w:p>
    <w:p w14:paraId="2A86A20C" w14:textId="77777777" w:rsidR="00972BD0" w:rsidRDefault="00972BD0" w:rsidP="004A2A35">
      <w:pPr>
        <w:pStyle w:val="BodyText"/>
        <w:keepNext/>
        <w:keepLines/>
        <w:numPr>
          <w:ilvl w:val="0"/>
          <w:numId w:val="13"/>
        </w:numPr>
        <w:ind w:left="547"/>
        <w:rPr>
          <w:b/>
          <w:bCs/>
          <w:lang w:bidi="en-US"/>
        </w:rPr>
      </w:pPr>
      <w:r w:rsidRPr="003306BC">
        <w:rPr>
          <w:lang w:bidi="en-US"/>
        </w:rPr>
        <w:t>Maximize the effectiveness of contingency operations through an established plan that consists of the following phases:</w:t>
      </w:r>
    </w:p>
    <w:p w14:paraId="0A037929" w14:textId="7A30897E" w:rsidR="00972BD0" w:rsidRDefault="00972BD0">
      <w:pPr>
        <w:pStyle w:val="BodyText"/>
        <w:numPr>
          <w:ilvl w:val="1"/>
          <w:numId w:val="151"/>
        </w:numPr>
        <w:ind w:left="1080"/>
        <w:rPr>
          <w:b/>
          <w:bCs/>
          <w:lang w:bidi="en-US"/>
        </w:rPr>
      </w:pPr>
      <w:r w:rsidRPr="003306BC">
        <w:rPr>
          <w:lang w:bidi="en-US"/>
        </w:rPr>
        <w:t>A</w:t>
      </w:r>
      <w:r w:rsidR="00A21C07">
        <w:rPr>
          <w:lang w:bidi="en-US"/>
        </w:rPr>
        <w:t>n a</w:t>
      </w:r>
      <w:r w:rsidRPr="003306BC">
        <w:rPr>
          <w:lang w:bidi="en-US"/>
        </w:rPr>
        <w:t>ctivation and notification phase to activate the plan and determine the extent of damage</w:t>
      </w:r>
      <w:r w:rsidR="00021CB4">
        <w:rPr>
          <w:lang w:bidi="en-US"/>
        </w:rPr>
        <w:t>.</w:t>
      </w:r>
    </w:p>
    <w:p w14:paraId="424BC25B" w14:textId="5DBE17BD" w:rsidR="00972BD0" w:rsidRDefault="00A21C07">
      <w:pPr>
        <w:pStyle w:val="BodyText"/>
        <w:numPr>
          <w:ilvl w:val="1"/>
          <w:numId w:val="151"/>
        </w:numPr>
        <w:ind w:left="1080"/>
        <w:rPr>
          <w:b/>
          <w:bCs/>
          <w:lang w:bidi="en-US"/>
        </w:rPr>
      </w:pPr>
      <w:r>
        <w:rPr>
          <w:lang w:bidi="en-US"/>
        </w:rPr>
        <w:t>A r</w:t>
      </w:r>
      <w:r w:rsidR="00972BD0" w:rsidRPr="003306BC">
        <w:rPr>
          <w:lang w:bidi="en-US"/>
        </w:rPr>
        <w:t>ecovery phase to restore EDR operations</w:t>
      </w:r>
      <w:r w:rsidR="00021CB4">
        <w:rPr>
          <w:lang w:bidi="en-US"/>
        </w:rPr>
        <w:t>.</w:t>
      </w:r>
    </w:p>
    <w:p w14:paraId="6F6BFA31" w14:textId="274E0C6B" w:rsidR="00972BD0" w:rsidRDefault="00A21C07">
      <w:pPr>
        <w:pStyle w:val="BodyText"/>
        <w:numPr>
          <w:ilvl w:val="1"/>
          <w:numId w:val="151"/>
        </w:numPr>
        <w:ind w:left="1080"/>
        <w:rPr>
          <w:b/>
          <w:bCs/>
          <w:lang w:bidi="en-US"/>
        </w:rPr>
      </w:pPr>
      <w:r>
        <w:rPr>
          <w:lang w:bidi="en-US"/>
        </w:rPr>
        <w:t>A r</w:t>
      </w:r>
      <w:r w:rsidR="00972BD0" w:rsidRPr="003306BC">
        <w:rPr>
          <w:lang w:bidi="en-US"/>
        </w:rPr>
        <w:t>econstitution phase to ensure that EDR is validated through testing and that normal operations are resumed.</w:t>
      </w:r>
    </w:p>
    <w:p w14:paraId="1C6A218A" w14:textId="77777777" w:rsidR="00972BD0" w:rsidRDefault="00972BD0">
      <w:pPr>
        <w:pStyle w:val="BodyText"/>
        <w:numPr>
          <w:ilvl w:val="0"/>
          <w:numId w:val="13"/>
        </w:numPr>
        <w:ind w:left="540"/>
        <w:rPr>
          <w:b/>
          <w:bCs/>
          <w:lang w:bidi="en-US"/>
        </w:rPr>
      </w:pPr>
      <w:r w:rsidRPr="003306BC">
        <w:rPr>
          <w:lang w:bidi="en-US"/>
        </w:rPr>
        <w:t>Identify the activities, resources, and procedures to carry out EDR processing requirements during prolonged interruptions to normal operations.</w:t>
      </w:r>
    </w:p>
    <w:p w14:paraId="2E9568CD" w14:textId="77777777" w:rsidR="00972BD0" w:rsidRDefault="00972BD0">
      <w:pPr>
        <w:pStyle w:val="BodyText"/>
        <w:numPr>
          <w:ilvl w:val="0"/>
          <w:numId w:val="13"/>
        </w:numPr>
        <w:ind w:left="540"/>
        <w:rPr>
          <w:b/>
          <w:bCs/>
          <w:lang w:bidi="en-US"/>
        </w:rPr>
      </w:pPr>
      <w:r w:rsidRPr="003306BC">
        <w:rPr>
          <w:lang w:bidi="en-US"/>
        </w:rPr>
        <w:t xml:space="preserve">Assign responsibilities to designated EDR personnel and provide guidance for recovering EDR during prolonged periods of interruption to normal operations. </w:t>
      </w:r>
    </w:p>
    <w:p w14:paraId="34E246C2" w14:textId="77777777" w:rsidR="00972BD0" w:rsidRDefault="00972BD0">
      <w:pPr>
        <w:pStyle w:val="BodyText"/>
        <w:numPr>
          <w:ilvl w:val="0"/>
          <w:numId w:val="13"/>
        </w:numPr>
        <w:ind w:left="540"/>
        <w:rPr>
          <w:b/>
          <w:bCs/>
          <w:lang w:bidi="en-US"/>
        </w:rPr>
      </w:pPr>
      <w:r w:rsidRPr="003306BC">
        <w:rPr>
          <w:lang w:bidi="en-US"/>
        </w:rPr>
        <w:t>Ensure coordination with other internal personnel responsible for EDR contingency planning strategies.</w:t>
      </w:r>
    </w:p>
    <w:p w14:paraId="67C1427C" w14:textId="77777777" w:rsidR="00972BD0" w:rsidRPr="003306BC" w:rsidRDefault="00972BD0">
      <w:pPr>
        <w:pStyle w:val="BodyText"/>
        <w:numPr>
          <w:ilvl w:val="0"/>
          <w:numId w:val="13"/>
        </w:numPr>
        <w:ind w:left="540"/>
        <w:rPr>
          <w:b/>
          <w:bCs/>
          <w:lang w:bidi="en-US"/>
        </w:rPr>
      </w:pPr>
      <w:r w:rsidRPr="003306BC">
        <w:rPr>
          <w:lang w:bidi="en-US"/>
        </w:rPr>
        <w:t>Ensure coordination with external points of contact (POC) and vendors associated with the execution of this ISCP.</w:t>
      </w:r>
    </w:p>
    <w:p w14:paraId="30B94DF8" w14:textId="77777777" w:rsidR="001C6E97" w:rsidRDefault="00972BD0" w:rsidP="002202F7">
      <w:pPr>
        <w:pStyle w:val="BodyText"/>
        <w:keepNext/>
        <w:keepLines/>
        <w:rPr>
          <w:lang w:bidi="en-US"/>
        </w:rPr>
      </w:pPr>
      <w:r>
        <w:rPr>
          <w:lang w:bidi="en-US"/>
        </w:rPr>
        <w:t>The ISCP has the following three phases:</w:t>
      </w:r>
    </w:p>
    <w:p w14:paraId="0849BA3F" w14:textId="52A8CC7A" w:rsidR="00972BD0" w:rsidRPr="001C6E97" w:rsidRDefault="00972BD0">
      <w:pPr>
        <w:pStyle w:val="BodyText"/>
        <w:keepNext/>
        <w:keepLines/>
        <w:numPr>
          <w:ilvl w:val="0"/>
          <w:numId w:val="14"/>
        </w:numPr>
        <w:ind w:left="540"/>
      </w:pPr>
      <w:r w:rsidRPr="00B3072B">
        <w:rPr>
          <w:b/>
          <w:bCs/>
        </w:rPr>
        <w:t>Activation and Notification Phase</w:t>
      </w:r>
      <w:r w:rsidRPr="001C6E97">
        <w:t xml:space="preserve"> – Activation of the ISCP occurs after a disruption or outage that may reasonably extend beyond the Recovery Time Objective (RTO) established for a system.</w:t>
      </w:r>
    </w:p>
    <w:p w14:paraId="0F7AA6C8" w14:textId="77777777" w:rsidR="00972BD0" w:rsidRPr="001C6E97" w:rsidRDefault="00972BD0">
      <w:pPr>
        <w:pStyle w:val="BodyText"/>
        <w:keepNext/>
        <w:keepLines/>
        <w:numPr>
          <w:ilvl w:val="0"/>
          <w:numId w:val="14"/>
        </w:numPr>
        <w:ind w:left="540"/>
      </w:pPr>
      <w:r w:rsidRPr="00B3072B">
        <w:rPr>
          <w:b/>
          <w:bCs/>
        </w:rPr>
        <w:t>Recovery Phase</w:t>
      </w:r>
      <w:r w:rsidRPr="001C6E97">
        <w:t xml:space="preserve"> – The recovery phase details the activities and procedures for recovery of the affected system. Activities and procedures are written at a level that an appropriately skilled technician can recover the system without intimate system knowledge. This phase includes notification and awareness of escalation procedures for communication of recovery status to system owners and users.</w:t>
      </w:r>
    </w:p>
    <w:p w14:paraId="6F5CFA5B" w14:textId="55467442" w:rsidR="00972BD0" w:rsidRPr="001C6E97" w:rsidRDefault="00972BD0">
      <w:pPr>
        <w:pStyle w:val="BodyText"/>
        <w:keepLines/>
        <w:numPr>
          <w:ilvl w:val="0"/>
          <w:numId w:val="14"/>
        </w:numPr>
        <w:ind w:left="547"/>
      </w:pPr>
      <w:r w:rsidRPr="00B3072B">
        <w:rPr>
          <w:b/>
          <w:bCs/>
        </w:rPr>
        <w:t>Reconstitution Phase</w:t>
      </w:r>
      <w:r w:rsidRPr="001C6E97">
        <w:t xml:space="preserve"> – The reconstitution phase defines the actions taken to test and validate system capability and functionality. This phase consists of two major activities: validating successful recovery and deactivating the plan. During validation, the system is tested and validated as operational prior to returning operation to its normal state. Validation procedures may include functionality or regression testing, concurrent processing, and/or data validation. The system is declared recovered and operational by system owners upon successful completion of validation testing. Deactivation includes activities to notify users of system operational status. This phase also addresses recovery effort documentation, activity log finalization, incorporation of lessons learned into plan updates, and readying resources for any future recovery events.</w:t>
      </w:r>
    </w:p>
    <w:p w14:paraId="5CFD5BA2" w14:textId="77777777" w:rsidR="00972BD0" w:rsidRDefault="00972BD0" w:rsidP="00D42C5A">
      <w:pPr>
        <w:pStyle w:val="Heading3"/>
        <w:rPr>
          <w:rFonts w:eastAsia="Calibri"/>
          <w:lang w:bidi="en-US"/>
        </w:rPr>
      </w:pPr>
      <w:bookmarkStart w:id="74" w:name="_Toc135416674"/>
      <w:bookmarkStart w:id="75" w:name="_Toc146183270"/>
      <w:r w:rsidRPr="00143895">
        <w:rPr>
          <w:rFonts w:eastAsia="Calibri"/>
          <w:lang w:bidi="en-US"/>
        </w:rPr>
        <w:lastRenderedPageBreak/>
        <w:t>Security Alerts</w:t>
      </w:r>
      <w:bookmarkEnd w:id="74"/>
      <w:bookmarkEnd w:id="75"/>
    </w:p>
    <w:p w14:paraId="72567EBE" w14:textId="783F3D0F" w:rsidR="00972BD0" w:rsidRPr="00D720FB" w:rsidRDefault="00972BD0" w:rsidP="001C6E97">
      <w:pPr>
        <w:pStyle w:val="BodyText"/>
        <w:rPr>
          <w:lang w:bidi="en-US"/>
        </w:rPr>
      </w:pPr>
      <w:r w:rsidRPr="00D720FB">
        <w:rPr>
          <w:lang w:bidi="en-US"/>
        </w:rPr>
        <w:t xml:space="preserve">Cybersecurity and Infrastructure Security Agency </w:t>
      </w:r>
      <w:r>
        <w:rPr>
          <w:lang w:bidi="en-US"/>
        </w:rPr>
        <w:t>pushed</w:t>
      </w:r>
      <w:r w:rsidRPr="00D720FB">
        <w:rPr>
          <w:lang w:bidi="en-US"/>
        </w:rPr>
        <w:t xml:space="preserve"> the deployment of Falcon CrowdStrike in the government environment. This push trickled down from HHS to IHS for implementation</w:t>
      </w:r>
      <w:r>
        <w:rPr>
          <w:lang w:bidi="en-US"/>
        </w:rPr>
        <w:t xml:space="preserve"> </w:t>
      </w:r>
      <w:r w:rsidRPr="00D720FB">
        <w:rPr>
          <w:lang w:bidi="en-US"/>
        </w:rPr>
        <w:t xml:space="preserve">to all endpoints running Windows and Linux operating systems. The agent </w:t>
      </w:r>
      <w:r>
        <w:rPr>
          <w:lang w:bidi="en-US"/>
        </w:rPr>
        <w:t>is</w:t>
      </w:r>
      <w:r w:rsidRPr="00D720FB">
        <w:rPr>
          <w:lang w:bidi="en-US"/>
        </w:rPr>
        <w:t xml:space="preserve"> installed in a passive state and will not interfere with other agents or software running on your endpoints. Splunk is the data integrator for </w:t>
      </w:r>
      <w:r>
        <w:rPr>
          <w:lang w:bidi="en-US"/>
        </w:rPr>
        <w:t xml:space="preserve">the CrowdStrike </w:t>
      </w:r>
      <w:r w:rsidRPr="00D720FB">
        <w:rPr>
          <w:lang w:bidi="en-US"/>
        </w:rPr>
        <w:t>system logs</w:t>
      </w:r>
      <w:r>
        <w:rPr>
          <w:lang w:bidi="en-US"/>
        </w:rPr>
        <w:t>.</w:t>
      </w:r>
    </w:p>
    <w:p w14:paraId="7B492273" w14:textId="69A68750" w:rsidR="00972BD0" w:rsidRPr="00D720FB" w:rsidRDefault="00972BD0" w:rsidP="001C6E97">
      <w:pPr>
        <w:pStyle w:val="BodyText"/>
        <w:rPr>
          <w:lang w:bidi="en-US"/>
        </w:rPr>
      </w:pPr>
      <w:r w:rsidRPr="00D720FB">
        <w:rPr>
          <w:lang w:bidi="en-US"/>
        </w:rPr>
        <w:t>T</w:t>
      </w:r>
      <w:r w:rsidR="00A21C07">
        <w:rPr>
          <w:lang w:bidi="en-US"/>
        </w:rPr>
        <w:t xml:space="preserve">o set up a procedure for handling </w:t>
      </w:r>
      <w:r w:rsidRPr="00D720FB">
        <w:rPr>
          <w:lang w:bidi="en-US"/>
        </w:rPr>
        <w:t>security alerts</w:t>
      </w:r>
      <w:r w:rsidR="00A21C07">
        <w:rPr>
          <w:lang w:bidi="en-US"/>
        </w:rPr>
        <w:t>, do the following:</w:t>
      </w:r>
      <w:r w:rsidRPr="00D720FB">
        <w:rPr>
          <w:lang w:bidi="en-US"/>
        </w:rPr>
        <w:t xml:space="preserve">  </w:t>
      </w:r>
    </w:p>
    <w:p w14:paraId="3FBB977B" w14:textId="5FF3DE26" w:rsidR="00972BD0" w:rsidRPr="00D720FB" w:rsidRDefault="00A21C07">
      <w:pPr>
        <w:pStyle w:val="BodyText"/>
        <w:numPr>
          <w:ilvl w:val="0"/>
          <w:numId w:val="15"/>
        </w:numPr>
        <w:ind w:left="540"/>
        <w:rPr>
          <w:lang w:bidi="en-US"/>
        </w:rPr>
      </w:pPr>
      <w:r>
        <w:rPr>
          <w:lang w:bidi="en-US"/>
        </w:rPr>
        <w:t>Assign someone t</w:t>
      </w:r>
      <w:r w:rsidR="00972BD0" w:rsidRPr="00D720FB">
        <w:rPr>
          <w:lang w:bidi="en-US"/>
        </w:rPr>
        <w:t>o receive security alerts.</w:t>
      </w:r>
    </w:p>
    <w:p w14:paraId="1AAF0D59" w14:textId="290A7E0C" w:rsidR="00972BD0" w:rsidRPr="00D720FB" w:rsidRDefault="00A21C07">
      <w:pPr>
        <w:pStyle w:val="BodyText"/>
        <w:numPr>
          <w:ilvl w:val="0"/>
          <w:numId w:val="15"/>
        </w:numPr>
        <w:ind w:left="540"/>
        <w:rPr>
          <w:lang w:bidi="en-US"/>
        </w:rPr>
      </w:pPr>
      <w:r>
        <w:rPr>
          <w:lang w:bidi="en-US"/>
        </w:rPr>
        <w:t>Establish a timeframe for addressing</w:t>
      </w:r>
      <w:r w:rsidR="00972BD0" w:rsidRPr="00D720FB">
        <w:rPr>
          <w:lang w:bidi="en-US"/>
        </w:rPr>
        <w:t xml:space="preserve"> security alerts</w:t>
      </w:r>
      <w:r>
        <w:rPr>
          <w:lang w:bidi="en-US"/>
        </w:rPr>
        <w:t>.</w:t>
      </w:r>
    </w:p>
    <w:p w14:paraId="489FC3A2" w14:textId="23CCD856" w:rsidR="00972BD0" w:rsidRPr="00D720FB" w:rsidRDefault="00972BD0">
      <w:pPr>
        <w:pStyle w:val="BodyText"/>
        <w:numPr>
          <w:ilvl w:val="0"/>
          <w:numId w:val="15"/>
        </w:numPr>
        <w:ind w:left="540"/>
        <w:rPr>
          <w:lang w:bidi="en-US"/>
        </w:rPr>
      </w:pPr>
      <w:r w:rsidRPr="00D720FB">
        <w:rPr>
          <w:lang w:bidi="en-US"/>
        </w:rPr>
        <w:t xml:space="preserve">Establish an escalation process </w:t>
      </w:r>
      <w:r w:rsidR="00A21C07">
        <w:rPr>
          <w:lang w:bidi="en-US"/>
        </w:rPr>
        <w:t>according to</w:t>
      </w:r>
      <w:r w:rsidRPr="00D720FB">
        <w:rPr>
          <w:lang w:bidi="en-US"/>
        </w:rPr>
        <w:t xml:space="preserve"> the severity </w:t>
      </w:r>
      <w:r w:rsidR="00A21C07">
        <w:rPr>
          <w:lang w:bidi="en-US"/>
        </w:rPr>
        <w:t>of security alerts</w:t>
      </w:r>
      <w:r w:rsidRPr="00D720FB">
        <w:rPr>
          <w:lang w:bidi="en-US"/>
        </w:rPr>
        <w:t xml:space="preserve">. </w:t>
      </w:r>
    </w:p>
    <w:p w14:paraId="3BF52A8B" w14:textId="430009CB" w:rsidR="001C6E97" w:rsidRDefault="00972BD0" w:rsidP="00D42C5A">
      <w:pPr>
        <w:pStyle w:val="Heading3"/>
        <w:rPr>
          <w:rFonts w:eastAsia="Calibri"/>
          <w:lang w:bidi="en-US"/>
        </w:rPr>
      </w:pPr>
      <w:bookmarkStart w:id="76" w:name="_Toc135416675"/>
      <w:bookmarkStart w:id="77" w:name="_Toc146183271"/>
      <w:r>
        <w:rPr>
          <w:rFonts w:eastAsia="Calibri"/>
          <w:lang w:bidi="en-US"/>
        </w:rPr>
        <w:t xml:space="preserve">EDR </w:t>
      </w:r>
      <w:r w:rsidR="00A21C07">
        <w:rPr>
          <w:rFonts w:eastAsia="Calibri"/>
          <w:lang w:bidi="en-US"/>
        </w:rPr>
        <w:t>A</w:t>
      </w:r>
      <w:r>
        <w:rPr>
          <w:rFonts w:eastAsia="Calibri"/>
          <w:lang w:bidi="en-US"/>
        </w:rPr>
        <w:t xml:space="preserve">udit </w:t>
      </w:r>
      <w:r w:rsidR="00A21C07">
        <w:rPr>
          <w:rFonts w:eastAsia="Calibri"/>
          <w:lang w:bidi="en-US"/>
        </w:rPr>
        <w:t>L</w:t>
      </w:r>
      <w:r>
        <w:rPr>
          <w:rFonts w:eastAsia="Calibri"/>
          <w:lang w:bidi="en-US"/>
        </w:rPr>
        <w:t>ogs</w:t>
      </w:r>
      <w:bookmarkEnd w:id="76"/>
      <w:bookmarkEnd w:id="77"/>
    </w:p>
    <w:p w14:paraId="3420EF73" w14:textId="289527E9" w:rsidR="00972BD0" w:rsidRDefault="00972BD0" w:rsidP="001C6E97">
      <w:pPr>
        <w:pStyle w:val="BodyText"/>
        <w:rPr>
          <w:lang w:bidi="en-US"/>
        </w:rPr>
      </w:pPr>
      <w:r>
        <w:rPr>
          <w:lang w:bidi="en-US"/>
        </w:rPr>
        <w:t xml:space="preserve">Review EDR audit logs regularly to ensure </w:t>
      </w:r>
      <w:r w:rsidR="00A21C07">
        <w:rPr>
          <w:lang w:bidi="en-US"/>
        </w:rPr>
        <w:t xml:space="preserve">that </w:t>
      </w:r>
      <w:r>
        <w:rPr>
          <w:lang w:bidi="en-US"/>
        </w:rPr>
        <w:t>there are no malicious activities occurring.</w:t>
      </w:r>
      <w:r w:rsidR="00A21C07">
        <w:rPr>
          <w:lang w:bidi="en-US"/>
        </w:rPr>
        <w:t xml:space="preserve"> </w:t>
      </w:r>
      <w:r>
        <w:rPr>
          <w:lang w:bidi="en-US"/>
        </w:rPr>
        <w:t>Remove</w:t>
      </w:r>
      <w:r w:rsidR="00A21C07">
        <w:rPr>
          <w:lang w:bidi="en-US"/>
        </w:rPr>
        <w:t xml:space="preserve"> or </w:t>
      </w:r>
      <w:r>
        <w:rPr>
          <w:lang w:bidi="en-US"/>
        </w:rPr>
        <w:t xml:space="preserve">inactivate users </w:t>
      </w:r>
      <w:r w:rsidR="00A21C07">
        <w:rPr>
          <w:lang w:bidi="en-US"/>
        </w:rPr>
        <w:t>in</w:t>
      </w:r>
      <w:r>
        <w:rPr>
          <w:lang w:bidi="en-US"/>
        </w:rPr>
        <w:t xml:space="preserve"> Dentrix Enterprise when they are no longer actively working at the clinic.</w:t>
      </w:r>
      <w:r w:rsidR="00A21C07">
        <w:rPr>
          <w:lang w:bidi="en-US"/>
        </w:rPr>
        <w:t xml:space="preserve"> </w:t>
      </w:r>
      <w:r>
        <w:rPr>
          <w:lang w:bidi="en-US"/>
        </w:rPr>
        <w:t>Adjust user</w:t>
      </w:r>
      <w:r w:rsidR="00A21C07">
        <w:rPr>
          <w:lang w:bidi="en-US"/>
        </w:rPr>
        <w:t xml:space="preserve">s’ </w:t>
      </w:r>
      <w:r>
        <w:rPr>
          <w:lang w:bidi="en-US"/>
        </w:rPr>
        <w:t xml:space="preserve">access rights when staff </w:t>
      </w:r>
      <w:r w:rsidR="00A21C07">
        <w:rPr>
          <w:lang w:bidi="en-US"/>
        </w:rPr>
        <w:t>members change</w:t>
      </w:r>
      <w:r>
        <w:rPr>
          <w:lang w:bidi="en-US"/>
        </w:rPr>
        <w:t xml:space="preserve"> roles.</w:t>
      </w:r>
    </w:p>
    <w:p w14:paraId="79EE239A" w14:textId="72573F1D" w:rsidR="001C6E97" w:rsidRDefault="00972BD0" w:rsidP="00D42C5A">
      <w:pPr>
        <w:pStyle w:val="Heading3"/>
        <w:rPr>
          <w:rFonts w:eastAsia="Calibri"/>
          <w:lang w:bidi="en-US"/>
        </w:rPr>
      </w:pPr>
      <w:bookmarkStart w:id="78" w:name="_Toc135416676"/>
      <w:bookmarkStart w:id="79" w:name="_Toc146183272"/>
      <w:r>
        <w:rPr>
          <w:rFonts w:eastAsia="Calibri"/>
          <w:lang w:bidi="en-US"/>
        </w:rPr>
        <w:t xml:space="preserve">PHI/PII </w:t>
      </w:r>
      <w:r w:rsidR="00442B21">
        <w:rPr>
          <w:rFonts w:eastAsia="Calibri"/>
          <w:lang w:bidi="en-US"/>
        </w:rPr>
        <w:t>B</w:t>
      </w:r>
      <w:r>
        <w:rPr>
          <w:rFonts w:eastAsia="Calibri"/>
          <w:lang w:bidi="en-US"/>
        </w:rPr>
        <w:t>reach</w:t>
      </w:r>
      <w:bookmarkEnd w:id="78"/>
      <w:r w:rsidR="00442B21">
        <w:rPr>
          <w:rFonts w:eastAsia="Calibri"/>
          <w:lang w:bidi="en-US"/>
        </w:rPr>
        <w:t>es</w:t>
      </w:r>
      <w:bookmarkEnd w:id="79"/>
    </w:p>
    <w:p w14:paraId="7A6233DF" w14:textId="5F35EF7C" w:rsidR="00972BD0" w:rsidRPr="001C6E97" w:rsidRDefault="00972BD0" w:rsidP="001C6E97">
      <w:pPr>
        <w:pStyle w:val="BodyText"/>
        <w:rPr>
          <w:lang w:bidi="en-US"/>
        </w:rPr>
      </w:pPr>
      <w:r w:rsidRPr="007262D7">
        <w:rPr>
          <w:lang w:bidi="en-US"/>
        </w:rPr>
        <w:t>The HIPAA Breach Notification Rule</w:t>
      </w:r>
      <w:r w:rsidR="00442B21">
        <w:rPr>
          <w:lang w:bidi="en-US"/>
        </w:rPr>
        <w:t xml:space="preserve"> (</w:t>
      </w:r>
      <w:r w:rsidRPr="007262D7">
        <w:rPr>
          <w:lang w:bidi="en-US"/>
        </w:rPr>
        <w:t>45 CFR §§ 164.400-414</w:t>
      </w:r>
      <w:r w:rsidR="00442B21">
        <w:rPr>
          <w:lang w:bidi="en-US"/>
        </w:rPr>
        <w:t>)</w:t>
      </w:r>
      <w:r w:rsidRPr="007262D7">
        <w:rPr>
          <w:lang w:bidi="en-US"/>
        </w:rPr>
        <w:t xml:space="preserve"> requires HIPAA</w:t>
      </w:r>
      <w:r w:rsidR="00442B21">
        <w:rPr>
          <w:lang w:bidi="en-US"/>
        </w:rPr>
        <w:t>-</w:t>
      </w:r>
      <w:r w:rsidRPr="007262D7">
        <w:rPr>
          <w:lang w:bidi="en-US"/>
        </w:rPr>
        <w:t>covered entities and their business associates to provide notification following a breach of unsecured protected health information.</w:t>
      </w:r>
      <w:r>
        <w:rPr>
          <w:lang w:bidi="en-US"/>
        </w:rPr>
        <w:t xml:space="preserve"> Ensure </w:t>
      </w:r>
      <w:r w:rsidR="00442B21">
        <w:rPr>
          <w:lang w:bidi="en-US"/>
        </w:rPr>
        <w:t xml:space="preserve">that </w:t>
      </w:r>
      <w:r>
        <w:rPr>
          <w:lang w:bidi="en-US"/>
        </w:rPr>
        <w:t>a HIPAA breach incident response plan is included in your ISCP.</w:t>
      </w:r>
    </w:p>
    <w:p w14:paraId="006D1290" w14:textId="32C9593B" w:rsidR="00972BD0" w:rsidRPr="001C6E97" w:rsidRDefault="00442B21" w:rsidP="004267C0">
      <w:pPr>
        <w:pStyle w:val="Heading2"/>
        <w:rPr>
          <w:rFonts w:eastAsia="Calibri"/>
          <w:lang w:bidi="en-US"/>
        </w:rPr>
      </w:pPr>
      <w:bookmarkStart w:id="80" w:name="_Toc135416677"/>
      <w:bookmarkStart w:id="81" w:name="_Toc146183273"/>
      <w:r>
        <w:rPr>
          <w:rFonts w:eastAsia="Calibri"/>
          <w:lang w:bidi="en-US"/>
        </w:rPr>
        <w:t>P</w:t>
      </w:r>
      <w:r w:rsidR="00972BD0" w:rsidRPr="00990A8B">
        <w:rPr>
          <w:rFonts w:eastAsia="Calibri"/>
          <w:lang w:bidi="en-US"/>
        </w:rPr>
        <w:t xml:space="preserve">otential </w:t>
      </w:r>
      <w:r>
        <w:rPr>
          <w:rFonts w:eastAsia="Calibri"/>
          <w:lang w:bidi="en-US"/>
        </w:rPr>
        <w:t>S</w:t>
      </w:r>
      <w:r w:rsidR="00972BD0" w:rsidRPr="00990A8B">
        <w:rPr>
          <w:rFonts w:eastAsia="Calibri"/>
          <w:lang w:bidi="en-US"/>
        </w:rPr>
        <w:t xml:space="preserve">ecurity </w:t>
      </w:r>
      <w:r>
        <w:rPr>
          <w:rFonts w:eastAsia="Calibri"/>
          <w:lang w:bidi="en-US"/>
        </w:rPr>
        <w:t>P</w:t>
      </w:r>
      <w:r w:rsidR="00972BD0" w:rsidRPr="00990A8B">
        <w:rPr>
          <w:rFonts w:eastAsia="Calibri"/>
          <w:lang w:bidi="en-US"/>
        </w:rPr>
        <w:t>enalties</w:t>
      </w:r>
      <w:r>
        <w:rPr>
          <w:rFonts w:eastAsia="Calibri"/>
          <w:lang w:bidi="en-US"/>
        </w:rPr>
        <w:t xml:space="preserve"> and </w:t>
      </w:r>
      <w:r w:rsidR="00972BD0" w:rsidRPr="00990A8B">
        <w:rPr>
          <w:rFonts w:eastAsia="Calibri"/>
          <w:lang w:bidi="en-US"/>
        </w:rPr>
        <w:t>HIP</w:t>
      </w:r>
      <w:r w:rsidR="00972BD0">
        <w:rPr>
          <w:rFonts w:eastAsia="Calibri"/>
          <w:lang w:bidi="en-US"/>
        </w:rPr>
        <w:t>A</w:t>
      </w:r>
      <w:r w:rsidR="00972BD0" w:rsidRPr="00990A8B">
        <w:rPr>
          <w:rFonts w:eastAsia="Calibri"/>
          <w:lang w:bidi="en-US"/>
        </w:rPr>
        <w:t>A Fines</w:t>
      </w:r>
      <w:bookmarkEnd w:id="80"/>
      <w:bookmarkEnd w:id="81"/>
    </w:p>
    <w:p w14:paraId="62143660" w14:textId="08E68F3F" w:rsidR="001C6E97" w:rsidRDefault="00972BD0" w:rsidP="00D42C5A">
      <w:pPr>
        <w:pStyle w:val="Heading3"/>
        <w:rPr>
          <w:lang w:bidi="en-US"/>
        </w:rPr>
      </w:pPr>
      <w:bookmarkStart w:id="82" w:name="_Toc135416678"/>
      <w:bookmarkStart w:id="83" w:name="_Toc146183274"/>
      <w:r w:rsidRPr="001C6E97">
        <w:rPr>
          <w:rFonts w:eastAsia="Calibri"/>
          <w:lang w:bidi="en-US"/>
        </w:rPr>
        <w:t xml:space="preserve">Penalties for HIPAA </w:t>
      </w:r>
      <w:r w:rsidR="00442B21">
        <w:rPr>
          <w:rFonts w:eastAsia="Calibri"/>
          <w:lang w:bidi="en-US"/>
        </w:rPr>
        <w:t>V</w:t>
      </w:r>
      <w:r w:rsidRPr="001C6E97">
        <w:rPr>
          <w:rFonts w:eastAsia="Calibri"/>
          <w:lang w:bidi="en-US"/>
        </w:rPr>
        <w:t xml:space="preserve">iolations (PII/PHI </w:t>
      </w:r>
      <w:r w:rsidR="00442B21">
        <w:rPr>
          <w:rFonts w:eastAsia="Calibri"/>
          <w:lang w:bidi="en-US"/>
        </w:rPr>
        <w:t>B</w:t>
      </w:r>
      <w:r w:rsidRPr="001C6E97">
        <w:rPr>
          <w:rFonts w:eastAsia="Calibri"/>
          <w:lang w:bidi="en-US"/>
        </w:rPr>
        <w:t>reaches)</w:t>
      </w:r>
      <w:bookmarkEnd w:id="82"/>
      <w:bookmarkEnd w:id="83"/>
    </w:p>
    <w:p w14:paraId="736DC9EB" w14:textId="6CD5D333" w:rsidR="00972BD0" w:rsidRPr="001C6E97" w:rsidRDefault="00972BD0" w:rsidP="002202F7">
      <w:pPr>
        <w:pStyle w:val="BodyText"/>
        <w:keepNext/>
        <w:keepLines/>
        <w:rPr>
          <w:b/>
          <w:bCs/>
          <w:sz w:val="24"/>
          <w:lang w:bidi="en-US"/>
        </w:rPr>
      </w:pPr>
      <w:r w:rsidRPr="001C6E97">
        <w:rPr>
          <w:lang w:bidi="en-US"/>
        </w:rPr>
        <w:t>Penalties for HIPAA violations vary significantly. Factors that affect penalties include how serious the offense was and if it was an accident. If a violation goes on without any correction, it can also lead to a harsher punishment. Everyone working in health care is responsible for following HIPAA rules.</w:t>
      </w:r>
    </w:p>
    <w:p w14:paraId="55E831A2" w14:textId="77777777" w:rsidR="00972BD0" w:rsidRPr="00FD60E4" w:rsidRDefault="00972BD0" w:rsidP="002202F7">
      <w:pPr>
        <w:pStyle w:val="BodyText"/>
        <w:keepNext/>
        <w:keepLines/>
        <w:rPr>
          <w:b/>
          <w:bCs/>
          <w:lang w:bidi="en-US"/>
        </w:rPr>
      </w:pPr>
      <w:r w:rsidRPr="00FD60E4">
        <w:rPr>
          <w:lang w:bidi="en-US"/>
        </w:rPr>
        <w:t>There are four categories of violations and penalties</w:t>
      </w:r>
      <w:r>
        <w:rPr>
          <w:b/>
          <w:bCs/>
          <w:lang w:bidi="en-US"/>
        </w:rPr>
        <w:t>:</w:t>
      </w:r>
    </w:p>
    <w:p w14:paraId="6C26CB35" w14:textId="1DB7AE4A" w:rsidR="00972BD0" w:rsidRPr="00FD60E4" w:rsidRDefault="00972BD0">
      <w:pPr>
        <w:pStyle w:val="BodyText"/>
        <w:numPr>
          <w:ilvl w:val="0"/>
          <w:numId w:val="16"/>
        </w:numPr>
        <w:ind w:left="360"/>
        <w:rPr>
          <w:lang w:bidi="en-US"/>
        </w:rPr>
      </w:pPr>
      <w:r w:rsidRPr="00B3072B">
        <w:rPr>
          <w:b/>
          <w:bCs/>
          <w:lang w:bidi="en-US"/>
        </w:rPr>
        <w:t>Tier 1</w:t>
      </w:r>
      <w:r w:rsidR="001C6E97">
        <w:rPr>
          <w:lang w:bidi="en-US"/>
        </w:rPr>
        <w:t xml:space="preserve"> </w:t>
      </w:r>
      <w:r w:rsidR="00442B21">
        <w:rPr>
          <w:lang w:bidi="en-US"/>
        </w:rPr>
        <w:t>–</w:t>
      </w:r>
      <w:r w:rsidR="001C6E97">
        <w:rPr>
          <w:lang w:bidi="en-US"/>
        </w:rPr>
        <w:t xml:space="preserve"> </w:t>
      </w:r>
      <w:r w:rsidR="00442B21">
        <w:rPr>
          <w:lang w:bidi="en-US"/>
        </w:rPr>
        <w:t>T</w:t>
      </w:r>
      <w:r w:rsidRPr="00FD60E4">
        <w:rPr>
          <w:lang w:bidi="en-US"/>
        </w:rPr>
        <w:t>he covered entity could not prevent the violation. Usually, the covered entity is also not aware of the violation and couldn’t do anything to stop it.</w:t>
      </w:r>
    </w:p>
    <w:p w14:paraId="274EA1EC" w14:textId="7A1FFB61" w:rsidR="00972BD0" w:rsidRPr="00FD60E4" w:rsidRDefault="00BB0E05" w:rsidP="00A46FB0">
      <w:pPr>
        <w:pStyle w:val="BodyText"/>
        <w:ind w:left="360"/>
        <w:rPr>
          <w:lang w:bidi="en-US"/>
        </w:rPr>
      </w:pPr>
      <w:r>
        <w:rPr>
          <w:lang w:bidi="en-US"/>
        </w:rPr>
        <w:t>Fines</w:t>
      </w:r>
      <w:r w:rsidR="00442B21">
        <w:rPr>
          <w:lang w:bidi="en-US"/>
        </w:rPr>
        <w:t xml:space="preserve"> for violations</w:t>
      </w:r>
      <w:r w:rsidR="00972BD0" w:rsidRPr="00FD60E4">
        <w:rPr>
          <w:lang w:bidi="en-US"/>
        </w:rPr>
        <w:t xml:space="preserve"> in this category </w:t>
      </w:r>
      <w:r w:rsidR="00442B21">
        <w:rPr>
          <w:lang w:bidi="en-US"/>
        </w:rPr>
        <w:t>range from</w:t>
      </w:r>
      <w:r w:rsidR="00972BD0" w:rsidRPr="00FD60E4">
        <w:rPr>
          <w:lang w:bidi="en-US"/>
        </w:rPr>
        <w:t xml:space="preserve"> $100 to $50,000 per violation. </w:t>
      </w:r>
    </w:p>
    <w:p w14:paraId="6F72B870" w14:textId="4273E6F4" w:rsidR="00972BD0" w:rsidRDefault="00972BD0">
      <w:pPr>
        <w:pStyle w:val="BodyText"/>
        <w:numPr>
          <w:ilvl w:val="0"/>
          <w:numId w:val="16"/>
        </w:numPr>
        <w:ind w:left="360"/>
        <w:rPr>
          <w:lang w:bidi="en-US"/>
        </w:rPr>
      </w:pPr>
      <w:r w:rsidRPr="00442B21">
        <w:rPr>
          <w:b/>
          <w:bCs/>
          <w:lang w:bidi="en-US"/>
        </w:rPr>
        <w:t>Tier 2</w:t>
      </w:r>
      <w:r w:rsidR="001C6E97">
        <w:rPr>
          <w:lang w:bidi="en-US"/>
        </w:rPr>
        <w:t xml:space="preserve"> </w:t>
      </w:r>
      <w:r w:rsidR="00442B21">
        <w:rPr>
          <w:lang w:bidi="en-US"/>
        </w:rPr>
        <w:t>–</w:t>
      </w:r>
      <w:r w:rsidR="001C6E97">
        <w:rPr>
          <w:lang w:bidi="en-US"/>
        </w:rPr>
        <w:t xml:space="preserve"> </w:t>
      </w:r>
      <w:r w:rsidR="00442B21">
        <w:rPr>
          <w:lang w:bidi="en-US"/>
        </w:rPr>
        <w:t>The</w:t>
      </w:r>
      <w:r w:rsidRPr="00FD60E4">
        <w:rPr>
          <w:lang w:bidi="en-US"/>
        </w:rPr>
        <w:t xml:space="preserve"> covered entity should have known of the violation. However, the violation still may have been inevitable </w:t>
      </w:r>
      <w:r w:rsidR="00442B21">
        <w:rPr>
          <w:lang w:bidi="en-US"/>
        </w:rPr>
        <w:t xml:space="preserve">even </w:t>
      </w:r>
      <w:r w:rsidRPr="00FD60E4">
        <w:rPr>
          <w:lang w:bidi="en-US"/>
        </w:rPr>
        <w:t>with enough care.</w:t>
      </w:r>
      <w:r w:rsidR="00442B21">
        <w:rPr>
          <w:lang w:bidi="en-US"/>
        </w:rPr>
        <w:t xml:space="preserve"> </w:t>
      </w:r>
      <w:r w:rsidRPr="00FD60E4">
        <w:rPr>
          <w:lang w:bidi="en-US"/>
        </w:rPr>
        <w:t xml:space="preserve">Willful neglect of HIPAA rules does not fall into this category. You should do what you can to prevent the violation once you know it can happen. </w:t>
      </w:r>
    </w:p>
    <w:p w14:paraId="1F1A8BD6" w14:textId="01704393" w:rsidR="00972BD0" w:rsidRPr="00FD60E4" w:rsidRDefault="00BB0E05" w:rsidP="00A46FB0">
      <w:pPr>
        <w:pStyle w:val="BodyText"/>
        <w:ind w:left="360"/>
        <w:rPr>
          <w:lang w:bidi="en-US"/>
        </w:rPr>
      </w:pPr>
      <w:r>
        <w:rPr>
          <w:lang w:bidi="en-US"/>
        </w:rPr>
        <w:t xml:space="preserve">Fines </w:t>
      </w:r>
      <w:r w:rsidR="00972BD0" w:rsidRPr="00FD60E4">
        <w:rPr>
          <w:lang w:bidi="en-US"/>
        </w:rPr>
        <w:t xml:space="preserve">for violations in this category range from $1,000 to $50,000 per violation. </w:t>
      </w:r>
    </w:p>
    <w:p w14:paraId="5D5CB85A" w14:textId="0DFDD4EC" w:rsidR="00972BD0" w:rsidRPr="00FD60E4" w:rsidRDefault="00972BD0" w:rsidP="00776AB8">
      <w:pPr>
        <w:pStyle w:val="BodyText"/>
        <w:keepNext/>
        <w:keepLines/>
        <w:numPr>
          <w:ilvl w:val="0"/>
          <w:numId w:val="16"/>
        </w:numPr>
        <w:ind w:left="360"/>
        <w:rPr>
          <w:lang w:bidi="en-US"/>
        </w:rPr>
      </w:pPr>
      <w:r w:rsidRPr="00B3072B">
        <w:rPr>
          <w:b/>
          <w:bCs/>
          <w:lang w:bidi="en-US"/>
        </w:rPr>
        <w:lastRenderedPageBreak/>
        <w:t>Tier 3</w:t>
      </w:r>
      <w:r w:rsidR="001C6E97">
        <w:rPr>
          <w:lang w:bidi="en-US"/>
        </w:rPr>
        <w:t xml:space="preserve"> </w:t>
      </w:r>
      <w:r w:rsidR="00442B21">
        <w:rPr>
          <w:lang w:bidi="en-US"/>
        </w:rPr>
        <w:t>–</w:t>
      </w:r>
      <w:r w:rsidR="001C6E97">
        <w:rPr>
          <w:lang w:bidi="en-US"/>
        </w:rPr>
        <w:t xml:space="preserve"> </w:t>
      </w:r>
      <w:r w:rsidR="00442B21">
        <w:rPr>
          <w:lang w:bidi="en-US"/>
        </w:rPr>
        <w:t>The covered entity willfully</w:t>
      </w:r>
      <w:r w:rsidRPr="00FD60E4">
        <w:rPr>
          <w:lang w:bidi="en-US"/>
        </w:rPr>
        <w:t xml:space="preserve"> neglect</w:t>
      </w:r>
      <w:r w:rsidR="00BB0E05">
        <w:rPr>
          <w:lang w:bidi="en-US"/>
        </w:rPr>
        <w:t>ed</w:t>
      </w:r>
      <w:r w:rsidRPr="00FD60E4">
        <w:rPr>
          <w:lang w:bidi="en-US"/>
        </w:rPr>
        <w:t xml:space="preserve"> HIPAA rules</w:t>
      </w:r>
      <w:r w:rsidR="00BB0E05">
        <w:rPr>
          <w:lang w:bidi="en-US"/>
        </w:rPr>
        <w:t>, which led to a violation,</w:t>
      </w:r>
      <w:r w:rsidR="00442B21">
        <w:rPr>
          <w:lang w:bidi="en-US"/>
        </w:rPr>
        <w:t xml:space="preserve"> and </w:t>
      </w:r>
      <w:r w:rsidR="00BB0E05">
        <w:rPr>
          <w:lang w:bidi="en-US"/>
        </w:rPr>
        <w:t xml:space="preserve">then </w:t>
      </w:r>
      <w:r w:rsidR="00442B21">
        <w:rPr>
          <w:lang w:bidi="en-US"/>
        </w:rPr>
        <w:t>attempt</w:t>
      </w:r>
      <w:r w:rsidR="00BB0E05">
        <w:rPr>
          <w:lang w:bidi="en-US"/>
        </w:rPr>
        <w:t>ed</w:t>
      </w:r>
      <w:r w:rsidRPr="00FD60E4">
        <w:rPr>
          <w:lang w:bidi="en-US"/>
        </w:rPr>
        <w:t xml:space="preserve"> to correct </w:t>
      </w:r>
      <w:r w:rsidR="00442B21">
        <w:rPr>
          <w:lang w:bidi="en-US"/>
        </w:rPr>
        <w:t xml:space="preserve">the </w:t>
      </w:r>
      <w:r w:rsidRPr="00FD60E4">
        <w:rPr>
          <w:lang w:bidi="en-US"/>
        </w:rPr>
        <w:t>issue.</w:t>
      </w:r>
    </w:p>
    <w:p w14:paraId="49194ADB" w14:textId="1B0FB86D" w:rsidR="00972BD0" w:rsidRPr="00FD60E4" w:rsidRDefault="00BB0E05" w:rsidP="00A46FB0">
      <w:pPr>
        <w:pStyle w:val="BodyText"/>
        <w:ind w:left="360"/>
        <w:rPr>
          <w:lang w:bidi="en-US"/>
        </w:rPr>
      </w:pPr>
      <w:r>
        <w:rPr>
          <w:lang w:bidi="en-US"/>
        </w:rPr>
        <w:t xml:space="preserve">Fines </w:t>
      </w:r>
      <w:r w:rsidR="00442B21" w:rsidRPr="00FD60E4">
        <w:rPr>
          <w:lang w:bidi="en-US"/>
        </w:rPr>
        <w:t>for violations in this category range from</w:t>
      </w:r>
      <w:r w:rsidR="00972BD0" w:rsidRPr="00FD60E4">
        <w:rPr>
          <w:lang w:bidi="en-US"/>
        </w:rPr>
        <w:t xml:space="preserve"> $10,000 to $50,000 per violation. </w:t>
      </w:r>
      <w:r w:rsidR="00972BD0">
        <w:rPr>
          <w:lang w:bidi="en-US"/>
        </w:rPr>
        <w:t>Factors</w:t>
      </w:r>
      <w:r>
        <w:rPr>
          <w:lang w:bidi="en-US"/>
        </w:rPr>
        <w:t>,</w:t>
      </w:r>
      <w:r w:rsidR="00972BD0">
        <w:rPr>
          <w:lang w:bidi="en-US"/>
        </w:rPr>
        <w:t xml:space="preserve"> such as</w:t>
      </w:r>
      <w:r w:rsidR="00972BD0" w:rsidRPr="00FD60E4">
        <w:rPr>
          <w:lang w:bidi="en-US"/>
        </w:rPr>
        <w:t xml:space="preserve"> the level of harm</w:t>
      </w:r>
      <w:r>
        <w:rPr>
          <w:lang w:bidi="en-US"/>
        </w:rPr>
        <w:t>,</w:t>
      </w:r>
      <w:r w:rsidR="00972BD0" w:rsidRPr="00FD60E4">
        <w:rPr>
          <w:lang w:bidi="en-US"/>
        </w:rPr>
        <w:t xml:space="preserve"> can affect the exact amount.</w:t>
      </w:r>
    </w:p>
    <w:p w14:paraId="159F98ED" w14:textId="16827A2B" w:rsidR="00972BD0" w:rsidRDefault="00972BD0">
      <w:pPr>
        <w:pStyle w:val="BodyText"/>
        <w:numPr>
          <w:ilvl w:val="0"/>
          <w:numId w:val="16"/>
        </w:numPr>
        <w:ind w:left="360"/>
        <w:rPr>
          <w:lang w:bidi="en-US"/>
        </w:rPr>
      </w:pPr>
      <w:r w:rsidRPr="00BB0E05">
        <w:rPr>
          <w:b/>
          <w:bCs/>
          <w:lang w:bidi="en-US"/>
        </w:rPr>
        <w:t>Tier 4</w:t>
      </w:r>
      <w:r w:rsidR="001C6E97">
        <w:rPr>
          <w:lang w:bidi="en-US"/>
        </w:rPr>
        <w:t xml:space="preserve"> </w:t>
      </w:r>
      <w:r w:rsidR="00442B21">
        <w:rPr>
          <w:lang w:bidi="en-US"/>
        </w:rPr>
        <w:t>–</w:t>
      </w:r>
      <w:r w:rsidR="001C6E97">
        <w:rPr>
          <w:lang w:bidi="en-US"/>
        </w:rPr>
        <w:t xml:space="preserve"> </w:t>
      </w:r>
      <w:r w:rsidR="00BB0E05">
        <w:rPr>
          <w:lang w:bidi="en-US"/>
        </w:rPr>
        <w:t>The covered entity willfully</w:t>
      </w:r>
      <w:r w:rsidR="00BB0E05" w:rsidRPr="00FD60E4">
        <w:rPr>
          <w:lang w:bidi="en-US"/>
        </w:rPr>
        <w:t xml:space="preserve"> neglect</w:t>
      </w:r>
      <w:r w:rsidR="00BB0E05">
        <w:rPr>
          <w:lang w:bidi="en-US"/>
        </w:rPr>
        <w:t>ed</w:t>
      </w:r>
      <w:r w:rsidR="00BB0E05" w:rsidRPr="00FD60E4">
        <w:rPr>
          <w:lang w:bidi="en-US"/>
        </w:rPr>
        <w:t xml:space="preserve"> HIPAA rules</w:t>
      </w:r>
      <w:r w:rsidR="00BB0E05">
        <w:rPr>
          <w:lang w:bidi="en-US"/>
        </w:rPr>
        <w:t>, which led to a violation, but</w:t>
      </w:r>
      <w:r w:rsidRPr="00FD60E4">
        <w:rPr>
          <w:lang w:bidi="en-US"/>
        </w:rPr>
        <w:t xml:space="preserve"> </w:t>
      </w:r>
      <w:r w:rsidR="00BB0E05">
        <w:rPr>
          <w:lang w:bidi="en-US"/>
        </w:rPr>
        <w:t>did not try to</w:t>
      </w:r>
      <w:r w:rsidRPr="00FD60E4">
        <w:rPr>
          <w:lang w:bidi="en-US"/>
        </w:rPr>
        <w:t xml:space="preserve"> correct the issue.</w:t>
      </w:r>
      <w:r w:rsidR="00BB0E05">
        <w:rPr>
          <w:lang w:bidi="en-US"/>
        </w:rPr>
        <w:t xml:space="preserve"> </w:t>
      </w:r>
      <w:r w:rsidRPr="00FD60E4">
        <w:rPr>
          <w:lang w:bidi="en-US"/>
        </w:rPr>
        <w:t xml:space="preserve">Consistently leaving patient records out or not logging out of electronic records may </w:t>
      </w:r>
      <w:r>
        <w:rPr>
          <w:lang w:bidi="en-US"/>
        </w:rPr>
        <w:t>fall under this category</w:t>
      </w:r>
      <w:r w:rsidRPr="00FD60E4">
        <w:rPr>
          <w:lang w:bidi="en-US"/>
        </w:rPr>
        <w:t xml:space="preserve">. </w:t>
      </w:r>
    </w:p>
    <w:p w14:paraId="26BA6D07" w14:textId="64C7CD74" w:rsidR="00972BD0" w:rsidRPr="00FD60E4" w:rsidRDefault="00972BD0" w:rsidP="00A46FB0">
      <w:pPr>
        <w:pStyle w:val="BodyText"/>
        <w:ind w:left="360"/>
        <w:rPr>
          <w:lang w:bidi="en-US"/>
        </w:rPr>
      </w:pPr>
      <w:r w:rsidRPr="00FD60E4">
        <w:rPr>
          <w:lang w:bidi="en-US"/>
        </w:rPr>
        <w:t>Th</w:t>
      </w:r>
      <w:r w:rsidR="00BB0E05">
        <w:rPr>
          <w:lang w:bidi="en-US"/>
        </w:rPr>
        <w:t>ese types</w:t>
      </w:r>
      <w:r w:rsidRPr="00FD60E4">
        <w:rPr>
          <w:lang w:bidi="en-US"/>
        </w:rPr>
        <w:t xml:space="preserve"> of HIPAA violation</w:t>
      </w:r>
      <w:r w:rsidR="00BB0E05">
        <w:rPr>
          <w:lang w:bidi="en-US"/>
        </w:rPr>
        <w:t>s are the most serious</w:t>
      </w:r>
      <w:r w:rsidRPr="00FD60E4">
        <w:rPr>
          <w:lang w:bidi="en-US"/>
        </w:rPr>
        <w:t xml:space="preserve">, so </w:t>
      </w:r>
      <w:r w:rsidR="00BB0E05">
        <w:rPr>
          <w:lang w:bidi="en-US"/>
        </w:rPr>
        <w:t>they incur</w:t>
      </w:r>
      <w:r w:rsidRPr="00FD60E4">
        <w:rPr>
          <w:lang w:bidi="en-US"/>
        </w:rPr>
        <w:t xml:space="preserve"> the biggest penalt</w:t>
      </w:r>
      <w:r w:rsidR="00BB0E05">
        <w:rPr>
          <w:lang w:bidi="en-US"/>
        </w:rPr>
        <w:t>ies</w:t>
      </w:r>
      <w:r w:rsidRPr="00FD60E4">
        <w:rPr>
          <w:lang w:bidi="en-US"/>
        </w:rPr>
        <w:t>.</w:t>
      </w:r>
      <w:r w:rsidR="00BB0E05">
        <w:rPr>
          <w:lang w:bidi="en-US"/>
        </w:rPr>
        <w:t xml:space="preserve"> </w:t>
      </w:r>
      <w:r w:rsidR="00BB0E05" w:rsidRPr="00FD60E4">
        <w:rPr>
          <w:lang w:bidi="en-US"/>
        </w:rPr>
        <w:t xml:space="preserve">While other types </w:t>
      </w:r>
      <w:r w:rsidR="00BB0E05">
        <w:rPr>
          <w:lang w:bidi="en-US"/>
        </w:rPr>
        <w:t xml:space="preserve">of violations </w:t>
      </w:r>
      <w:r w:rsidR="00BB0E05" w:rsidRPr="00FD60E4">
        <w:rPr>
          <w:lang w:bidi="en-US"/>
        </w:rPr>
        <w:t xml:space="preserve">may qualify for a waiver, these </w:t>
      </w:r>
      <w:r w:rsidR="00BB0E05">
        <w:rPr>
          <w:lang w:bidi="en-US"/>
        </w:rPr>
        <w:t xml:space="preserve">types of </w:t>
      </w:r>
      <w:r w:rsidR="00BB0E05" w:rsidRPr="00FD60E4">
        <w:rPr>
          <w:lang w:bidi="en-US"/>
        </w:rPr>
        <w:t>violations do not.</w:t>
      </w:r>
    </w:p>
    <w:p w14:paraId="58F57078" w14:textId="25D8F315" w:rsidR="00972BD0" w:rsidRPr="002A14D6" w:rsidRDefault="00BB0E05" w:rsidP="00A46FB0">
      <w:pPr>
        <w:pStyle w:val="BodyText"/>
        <w:ind w:left="360"/>
        <w:rPr>
          <w:lang w:bidi="en-US"/>
        </w:rPr>
      </w:pPr>
      <w:r>
        <w:rPr>
          <w:lang w:bidi="en-US"/>
        </w:rPr>
        <w:t>F</w:t>
      </w:r>
      <w:r w:rsidRPr="00FD60E4">
        <w:rPr>
          <w:lang w:bidi="en-US"/>
        </w:rPr>
        <w:t>or violations in this category</w:t>
      </w:r>
      <w:r>
        <w:rPr>
          <w:lang w:bidi="en-US"/>
        </w:rPr>
        <w:t>, there is</w:t>
      </w:r>
      <w:r w:rsidR="00972BD0" w:rsidRPr="00FD60E4">
        <w:rPr>
          <w:lang w:bidi="en-US"/>
        </w:rPr>
        <w:t xml:space="preserve"> a minimum fine of $50,000</w:t>
      </w:r>
      <w:r>
        <w:rPr>
          <w:lang w:bidi="en-US"/>
        </w:rPr>
        <w:t xml:space="preserve"> per violation</w:t>
      </w:r>
      <w:r w:rsidR="00972BD0" w:rsidRPr="00FD60E4">
        <w:rPr>
          <w:lang w:bidi="en-US"/>
        </w:rPr>
        <w:t xml:space="preserve">. </w:t>
      </w:r>
      <w:r>
        <w:rPr>
          <w:lang w:bidi="en-US"/>
        </w:rPr>
        <w:t>Also, s</w:t>
      </w:r>
      <w:r w:rsidR="00972BD0" w:rsidRPr="00FD60E4">
        <w:rPr>
          <w:lang w:bidi="en-US"/>
        </w:rPr>
        <w:t>ome of these violations may also result in jail time.</w:t>
      </w:r>
    </w:p>
    <w:p w14:paraId="1CE80CB5" w14:textId="76712EA2" w:rsidR="001C6E97" w:rsidRPr="001C6E97" w:rsidRDefault="00972BD0" w:rsidP="00D42C5A">
      <w:pPr>
        <w:pStyle w:val="Heading3"/>
        <w:rPr>
          <w:rFonts w:eastAsia="Calibri"/>
          <w:lang w:bidi="en-US"/>
        </w:rPr>
      </w:pPr>
      <w:bookmarkStart w:id="84" w:name="_Toc135416679"/>
      <w:bookmarkStart w:id="85" w:name="_Toc146183275"/>
      <w:r>
        <w:rPr>
          <w:rFonts w:eastAsia="Calibri"/>
          <w:lang w:bidi="en-US"/>
        </w:rPr>
        <w:t>False Claims Act</w:t>
      </w:r>
      <w:bookmarkEnd w:id="84"/>
      <w:bookmarkEnd w:id="85"/>
    </w:p>
    <w:p w14:paraId="5AE89E02" w14:textId="5CBEC067" w:rsidR="00972BD0" w:rsidRDefault="00972BD0" w:rsidP="001C6E97">
      <w:pPr>
        <w:pStyle w:val="BodyText"/>
        <w:rPr>
          <w:lang w:bidi="en-US"/>
        </w:rPr>
      </w:pPr>
      <w:r w:rsidRPr="002A14D6">
        <w:rPr>
          <w:lang w:bidi="en-US"/>
        </w:rPr>
        <w:t xml:space="preserve">The False Claim Act is a federal law that makes it a crime for any person or organization to knowingly make a false record or file a false claim regarding any federal health care program, which includes any plan or program that provides health benefits, whether directly, through insurance or otherwise, which is funded directly, in whole or in part, by the United States Government or any state healthcare system.  </w:t>
      </w:r>
    </w:p>
    <w:p w14:paraId="29029A94" w14:textId="6C7960E7" w:rsidR="00972BD0" w:rsidRPr="002A14D6" w:rsidRDefault="00972BD0" w:rsidP="001C6E97">
      <w:pPr>
        <w:pStyle w:val="BodyText"/>
        <w:rPr>
          <w:lang w:bidi="en-US"/>
        </w:rPr>
      </w:pPr>
      <w:r>
        <w:rPr>
          <w:lang w:bidi="en-US"/>
        </w:rPr>
        <w:t xml:space="preserve">Penalties </w:t>
      </w:r>
      <w:r w:rsidRPr="002A14D6">
        <w:rPr>
          <w:lang w:bidi="en-US"/>
        </w:rPr>
        <w:t>Under the False Claims Act</w:t>
      </w:r>
      <w:r w:rsidR="001C6E97">
        <w:rPr>
          <w:lang w:bidi="en-US"/>
        </w:rPr>
        <w:t>:</w:t>
      </w:r>
    </w:p>
    <w:p w14:paraId="63F0F029" w14:textId="77777777" w:rsidR="00972BD0" w:rsidRPr="002A14D6" w:rsidRDefault="00972BD0">
      <w:pPr>
        <w:pStyle w:val="BodyText"/>
        <w:numPr>
          <w:ilvl w:val="0"/>
          <w:numId w:val="16"/>
        </w:numPr>
        <w:ind w:left="540"/>
        <w:rPr>
          <w:lang w:bidi="en-US"/>
        </w:rPr>
      </w:pPr>
      <w:r w:rsidRPr="002A14D6">
        <w:rPr>
          <w:lang w:bidi="en-US"/>
        </w:rPr>
        <w:t>Violations under the federal False Claims Act can result in significant fines and penalties. Financial penalties to the person or organization includes recovery of three times the amount of the false claim(s), plus an additional penalty of $5,500 to $11,000 per claim.</w:t>
      </w:r>
    </w:p>
    <w:p w14:paraId="2D3A5147" w14:textId="29DBF436" w:rsidR="00972BD0" w:rsidRPr="002A14D6" w:rsidRDefault="00972BD0">
      <w:pPr>
        <w:pStyle w:val="BodyText"/>
        <w:numPr>
          <w:ilvl w:val="0"/>
          <w:numId w:val="16"/>
        </w:numPr>
        <w:ind w:left="540"/>
        <w:rPr>
          <w:lang w:bidi="en-US"/>
        </w:rPr>
      </w:pPr>
      <w:r w:rsidRPr="002A14D6">
        <w:rPr>
          <w:lang w:bidi="en-US"/>
        </w:rPr>
        <w:t xml:space="preserve">In addition to the federal law, </w:t>
      </w:r>
      <w:r>
        <w:rPr>
          <w:lang w:bidi="en-US"/>
        </w:rPr>
        <w:t>states have</w:t>
      </w:r>
      <w:r w:rsidRPr="002A14D6">
        <w:rPr>
          <w:lang w:bidi="en-US"/>
        </w:rPr>
        <w:t xml:space="preserve"> adopted similar laws designed to prevent fraud, kickbacks</w:t>
      </w:r>
      <w:r w:rsidR="001A1857">
        <w:rPr>
          <w:lang w:bidi="en-US"/>
        </w:rPr>
        <w:t>,</w:t>
      </w:r>
      <w:r w:rsidRPr="002A14D6">
        <w:rPr>
          <w:lang w:bidi="en-US"/>
        </w:rPr>
        <w:t xml:space="preserve"> and conspiracies in connection with the Medicaid program.</w:t>
      </w:r>
      <w:r>
        <w:rPr>
          <w:lang w:bidi="en-US"/>
        </w:rPr>
        <w:t xml:space="preserve"> </w:t>
      </w:r>
      <w:r w:rsidRPr="002A14D6">
        <w:rPr>
          <w:lang w:bidi="en-US"/>
        </w:rPr>
        <w:t>Examples of false claims include billing for services not provided, billing for the same service more than once</w:t>
      </w:r>
      <w:r w:rsidR="001A1857">
        <w:rPr>
          <w:lang w:bidi="en-US"/>
        </w:rPr>
        <w:t>,</w:t>
      </w:r>
      <w:r w:rsidRPr="002A14D6">
        <w:rPr>
          <w:lang w:bidi="en-US"/>
        </w:rPr>
        <w:t xml:space="preserve"> or making false statements to obtain payment for services.</w:t>
      </w:r>
      <w:r>
        <w:rPr>
          <w:lang w:bidi="en-US"/>
        </w:rPr>
        <w:t xml:space="preserve"> </w:t>
      </w:r>
      <w:r w:rsidRPr="002A14D6">
        <w:rPr>
          <w:lang w:bidi="en-US"/>
        </w:rPr>
        <w:t xml:space="preserve">Violation of </w:t>
      </w:r>
      <w:r>
        <w:rPr>
          <w:lang w:bidi="en-US"/>
        </w:rPr>
        <w:t xml:space="preserve">these </w:t>
      </w:r>
      <w:r w:rsidR="001A1857">
        <w:rPr>
          <w:lang w:bidi="en-US"/>
        </w:rPr>
        <w:t xml:space="preserve">laws </w:t>
      </w:r>
      <w:r>
        <w:rPr>
          <w:lang w:bidi="en-US"/>
        </w:rPr>
        <w:t>can</w:t>
      </w:r>
      <w:r w:rsidRPr="002A14D6">
        <w:rPr>
          <w:lang w:bidi="en-US"/>
        </w:rPr>
        <w:t xml:space="preserve"> constitute a felony </w:t>
      </w:r>
      <w:r w:rsidR="001A1857">
        <w:rPr>
          <w:lang w:bidi="en-US"/>
        </w:rPr>
        <w:t xml:space="preserve">that is </w:t>
      </w:r>
      <w:r w:rsidRPr="002A14D6">
        <w:rPr>
          <w:lang w:bidi="en-US"/>
        </w:rPr>
        <w:t>punishable by imprisonment, a fine of $50,000 or less for each violation</w:t>
      </w:r>
      <w:r w:rsidR="001A1857">
        <w:rPr>
          <w:lang w:bidi="en-US"/>
        </w:rPr>
        <w:t>, or both</w:t>
      </w:r>
      <w:r w:rsidRPr="002A14D6">
        <w:rPr>
          <w:lang w:bidi="en-US"/>
        </w:rPr>
        <w:t>. A person who receives a benefit by reason of fraud</w:t>
      </w:r>
      <w:r>
        <w:rPr>
          <w:lang w:bidi="en-US"/>
        </w:rPr>
        <w:t>,</w:t>
      </w:r>
      <w:r w:rsidRPr="002A14D6">
        <w:rPr>
          <w:lang w:bidi="en-US"/>
        </w:rPr>
        <w:t xml:space="preserve"> makes a fraudulent statement</w:t>
      </w:r>
      <w:r>
        <w:rPr>
          <w:lang w:bidi="en-US"/>
        </w:rPr>
        <w:t>,</w:t>
      </w:r>
      <w:r w:rsidRPr="002A14D6">
        <w:rPr>
          <w:lang w:bidi="en-US"/>
        </w:rPr>
        <w:t xml:space="preserve"> or knowingly conceals a material fact is liable to the state for a civil penalty equal to the full amount received plus triple </w:t>
      </w:r>
      <w:r w:rsidR="001A1857">
        <w:rPr>
          <w:lang w:bidi="en-US"/>
        </w:rPr>
        <w:t xml:space="preserve">the </w:t>
      </w:r>
      <w:r w:rsidRPr="002A14D6">
        <w:rPr>
          <w:lang w:bidi="en-US"/>
        </w:rPr>
        <w:t>damages.</w:t>
      </w:r>
    </w:p>
    <w:p w14:paraId="27DB4CF0" w14:textId="6F16E1C7" w:rsidR="001C6E97" w:rsidRDefault="00972BD0" w:rsidP="00D42C5A">
      <w:pPr>
        <w:pStyle w:val="Heading3"/>
        <w:rPr>
          <w:lang w:bidi="en-US"/>
        </w:rPr>
      </w:pPr>
      <w:bookmarkStart w:id="86" w:name="_Toc135416680"/>
      <w:bookmarkStart w:id="87" w:name="_Toc146183276"/>
      <w:r w:rsidRPr="001C6E97">
        <w:rPr>
          <w:rFonts w:eastAsia="Calibri"/>
          <w:lang w:bidi="en-US"/>
        </w:rPr>
        <w:t>Data breaches</w:t>
      </w:r>
      <w:bookmarkEnd w:id="86"/>
      <w:bookmarkEnd w:id="87"/>
    </w:p>
    <w:p w14:paraId="3AC5EF5D" w14:textId="650E9454" w:rsidR="00972BD0" w:rsidRPr="001C6E97" w:rsidRDefault="00972BD0" w:rsidP="001C6E97">
      <w:pPr>
        <w:pStyle w:val="BodyText"/>
        <w:rPr>
          <w:lang w:bidi="en-US"/>
        </w:rPr>
      </w:pPr>
      <w:r w:rsidRPr="001C6E97">
        <w:rPr>
          <w:lang w:bidi="en-US"/>
        </w:rPr>
        <w:t>Personal information in the United States is currently protected by a patchwork of industry-specific federal laws and state legislation whose scope (notification/remediation processes and fines) and jurisdiction vary.</w:t>
      </w:r>
    </w:p>
    <w:p w14:paraId="6AD20C1B" w14:textId="17274C37" w:rsidR="001C6E97" w:rsidRDefault="00972BD0" w:rsidP="00D42C5A">
      <w:pPr>
        <w:pStyle w:val="Heading3"/>
        <w:rPr>
          <w:lang w:bidi="en-US"/>
        </w:rPr>
      </w:pPr>
      <w:bookmarkStart w:id="88" w:name="_Toc135416681"/>
      <w:bookmarkStart w:id="89" w:name="_Toc146183277"/>
      <w:r w:rsidRPr="001C6E97">
        <w:rPr>
          <w:rFonts w:eastAsia="Calibri"/>
          <w:lang w:bidi="en-US"/>
        </w:rPr>
        <w:t>Cost of remediation of breaches/incidents</w:t>
      </w:r>
      <w:bookmarkEnd w:id="88"/>
      <w:bookmarkEnd w:id="89"/>
    </w:p>
    <w:p w14:paraId="567CA4DE" w14:textId="4C2973A9" w:rsidR="00972BD0" w:rsidRPr="001C6E97" w:rsidRDefault="00972BD0" w:rsidP="001C6E97">
      <w:pPr>
        <w:pStyle w:val="BodyText"/>
        <w:rPr>
          <w:lang w:bidi="en-US"/>
        </w:rPr>
      </w:pPr>
      <w:r w:rsidRPr="001C6E97">
        <w:rPr>
          <w:lang w:bidi="en-US"/>
        </w:rPr>
        <w:t>Costs of remediation are more than just the imposed fines by laws.  Cost</w:t>
      </w:r>
      <w:r w:rsidR="001A1857">
        <w:rPr>
          <w:lang w:bidi="en-US"/>
        </w:rPr>
        <w:t>s</w:t>
      </w:r>
      <w:r w:rsidRPr="001C6E97">
        <w:rPr>
          <w:lang w:bidi="en-US"/>
        </w:rPr>
        <w:t xml:space="preserve"> can also include</w:t>
      </w:r>
      <w:r w:rsidR="001A1857">
        <w:rPr>
          <w:lang w:bidi="en-US"/>
        </w:rPr>
        <w:t xml:space="preserve"> the </w:t>
      </w:r>
      <w:proofErr w:type="spellStart"/>
      <w:r w:rsidR="001A1857">
        <w:rPr>
          <w:lang w:bidi="en-US"/>
        </w:rPr>
        <w:t>followin</w:t>
      </w:r>
      <w:proofErr w:type="spellEnd"/>
      <w:r w:rsidRPr="001C6E97">
        <w:rPr>
          <w:lang w:bidi="en-US"/>
        </w:rPr>
        <w:t>:</w:t>
      </w:r>
    </w:p>
    <w:p w14:paraId="06CDA993" w14:textId="6D46E59F" w:rsidR="00972BD0" w:rsidRDefault="00972BD0">
      <w:pPr>
        <w:pStyle w:val="BodyText"/>
        <w:numPr>
          <w:ilvl w:val="0"/>
          <w:numId w:val="17"/>
        </w:numPr>
        <w:ind w:left="540"/>
        <w:rPr>
          <w:lang w:bidi="en-US"/>
        </w:rPr>
      </w:pPr>
      <w:r>
        <w:rPr>
          <w:lang w:bidi="en-US"/>
        </w:rPr>
        <w:t>I</w:t>
      </w:r>
      <w:r w:rsidRPr="004470C4">
        <w:rPr>
          <w:lang w:bidi="en-US"/>
        </w:rPr>
        <w:t>ncreased cyber insurance</w:t>
      </w:r>
      <w:r>
        <w:rPr>
          <w:lang w:bidi="en-US"/>
        </w:rPr>
        <w:t xml:space="preserve"> and</w:t>
      </w:r>
      <w:r w:rsidRPr="004470C4">
        <w:rPr>
          <w:lang w:bidi="en-US"/>
        </w:rPr>
        <w:t xml:space="preserve"> legal fees</w:t>
      </w:r>
      <w:r w:rsidR="001A1857">
        <w:rPr>
          <w:lang w:bidi="en-US"/>
        </w:rPr>
        <w:t>.</w:t>
      </w:r>
    </w:p>
    <w:p w14:paraId="1AEF2679" w14:textId="53E3ECB0" w:rsidR="00972BD0" w:rsidRDefault="00972BD0">
      <w:pPr>
        <w:pStyle w:val="BodyText"/>
        <w:numPr>
          <w:ilvl w:val="0"/>
          <w:numId w:val="17"/>
        </w:numPr>
        <w:ind w:left="540"/>
        <w:rPr>
          <w:lang w:bidi="en-US"/>
        </w:rPr>
      </w:pPr>
      <w:r>
        <w:rPr>
          <w:lang w:bidi="en-US"/>
        </w:rPr>
        <w:t>Cost of recovering applications/programs/data</w:t>
      </w:r>
      <w:r w:rsidR="001A1857">
        <w:rPr>
          <w:lang w:bidi="en-US"/>
        </w:rPr>
        <w:t>.</w:t>
      </w:r>
    </w:p>
    <w:p w14:paraId="63A3C107" w14:textId="69FBF360" w:rsidR="00972BD0" w:rsidRDefault="00972BD0">
      <w:pPr>
        <w:pStyle w:val="BodyText"/>
        <w:numPr>
          <w:ilvl w:val="0"/>
          <w:numId w:val="17"/>
        </w:numPr>
        <w:ind w:left="540"/>
        <w:rPr>
          <w:lang w:bidi="en-US"/>
        </w:rPr>
      </w:pPr>
      <w:r>
        <w:rPr>
          <w:lang w:bidi="en-US"/>
        </w:rPr>
        <w:t>R</w:t>
      </w:r>
      <w:r w:rsidRPr="004470C4">
        <w:rPr>
          <w:lang w:bidi="en-US"/>
        </w:rPr>
        <w:t>eporting</w:t>
      </w:r>
      <w:r>
        <w:rPr>
          <w:lang w:bidi="en-US"/>
        </w:rPr>
        <w:t xml:space="preserve"> burden</w:t>
      </w:r>
      <w:r w:rsidR="001A1857">
        <w:rPr>
          <w:lang w:bidi="en-US"/>
        </w:rPr>
        <w:t>.</w:t>
      </w:r>
    </w:p>
    <w:p w14:paraId="1C3117EA" w14:textId="01B4A91B" w:rsidR="00972BD0" w:rsidRDefault="00972BD0">
      <w:pPr>
        <w:pStyle w:val="BodyText"/>
        <w:numPr>
          <w:ilvl w:val="0"/>
          <w:numId w:val="17"/>
        </w:numPr>
        <w:ind w:left="540"/>
        <w:rPr>
          <w:lang w:bidi="en-US"/>
        </w:rPr>
      </w:pPr>
      <w:r>
        <w:rPr>
          <w:lang w:bidi="en-US"/>
        </w:rPr>
        <w:lastRenderedPageBreak/>
        <w:t>Diminished trust</w:t>
      </w:r>
      <w:r w:rsidR="001A1857">
        <w:rPr>
          <w:lang w:bidi="en-US"/>
        </w:rPr>
        <w:t>.</w:t>
      </w:r>
    </w:p>
    <w:p w14:paraId="226F34D7" w14:textId="0AC8349F" w:rsidR="00972BD0" w:rsidRDefault="00972BD0">
      <w:pPr>
        <w:pStyle w:val="BodyText"/>
        <w:numPr>
          <w:ilvl w:val="0"/>
          <w:numId w:val="17"/>
        </w:numPr>
        <w:ind w:left="540"/>
        <w:rPr>
          <w:lang w:bidi="en-US"/>
        </w:rPr>
      </w:pPr>
      <w:r>
        <w:rPr>
          <w:lang w:bidi="en-US"/>
        </w:rPr>
        <w:t>L</w:t>
      </w:r>
      <w:r w:rsidRPr="004470C4">
        <w:rPr>
          <w:lang w:bidi="en-US"/>
        </w:rPr>
        <w:t>ost revenue</w:t>
      </w:r>
      <w:r w:rsidR="001A1857">
        <w:rPr>
          <w:lang w:bidi="en-US"/>
        </w:rPr>
        <w:t>.</w:t>
      </w:r>
    </w:p>
    <w:p w14:paraId="45192FAF" w14:textId="77777777" w:rsidR="00972BD0" w:rsidRDefault="00972BD0" w:rsidP="00972BD0">
      <w:pPr>
        <w:pStyle w:val="BodyText"/>
      </w:pPr>
    </w:p>
    <w:p w14:paraId="642240BE" w14:textId="111AADD7" w:rsidR="00B629CF" w:rsidRDefault="00B629CF" w:rsidP="00B629CF"/>
    <w:p w14:paraId="5906EE08" w14:textId="77777777" w:rsidR="00B629CF" w:rsidRDefault="00B629CF" w:rsidP="00B629CF">
      <w:pPr>
        <w:sectPr w:rsidR="00B629CF" w:rsidSect="007074D3">
          <w:headerReference w:type="even" r:id="rId33"/>
          <w:headerReference w:type="default" r:id="rId34"/>
          <w:footerReference w:type="even" r:id="rId35"/>
          <w:footerReference w:type="default" r:id="rId36"/>
          <w:pgSz w:w="12240" w:h="15840"/>
          <w:pgMar w:top="1440" w:right="1440" w:bottom="1440" w:left="1440" w:header="360" w:footer="360" w:gutter="0"/>
          <w:cols w:space="720"/>
          <w:docGrid w:linePitch="299"/>
        </w:sectPr>
      </w:pPr>
    </w:p>
    <w:p w14:paraId="478BCB66" w14:textId="29B50BF1" w:rsidR="00B629CF" w:rsidRDefault="00B629CF" w:rsidP="00B629CF">
      <w:pPr>
        <w:pStyle w:val="Heading1"/>
      </w:pPr>
      <w:bookmarkStart w:id="90" w:name="_Toc135416593"/>
      <w:bookmarkStart w:id="91" w:name="_Toc135416682"/>
      <w:bookmarkStart w:id="92" w:name="_Toc146183278"/>
      <w:r>
        <w:lastRenderedPageBreak/>
        <w:t>Schedule Optimization</w:t>
      </w:r>
      <w:bookmarkEnd w:id="90"/>
      <w:bookmarkEnd w:id="91"/>
      <w:bookmarkEnd w:id="92"/>
    </w:p>
    <w:p w14:paraId="48624B3F" w14:textId="77777777" w:rsidR="00762137" w:rsidRDefault="001C6E97" w:rsidP="00762137">
      <w:pPr>
        <w:pStyle w:val="BodyText"/>
      </w:pPr>
      <w:r>
        <w:t>Optimized scheduling balances provider preferences with your organization's needs and demand- creating the perfect schedule for each location. Schedule optimization management can help your practice meet its goals, bring in a steady revenue stream, and stay productive and busy.</w:t>
      </w:r>
    </w:p>
    <w:p w14:paraId="6EBD7967" w14:textId="075E5151" w:rsidR="001C6E97" w:rsidRDefault="001C6E97" w:rsidP="004267C0">
      <w:pPr>
        <w:pStyle w:val="Heading2"/>
        <w:numPr>
          <w:ilvl w:val="0"/>
          <w:numId w:val="29"/>
        </w:numPr>
      </w:pPr>
      <w:bookmarkStart w:id="93" w:name="_Toc135416683"/>
      <w:bookmarkStart w:id="94" w:name="_Toc146183279"/>
      <w:r>
        <w:t>Scheduling Templates</w:t>
      </w:r>
      <w:bookmarkEnd w:id="93"/>
      <w:bookmarkEnd w:id="94"/>
    </w:p>
    <w:p w14:paraId="111C29B6" w14:textId="11F615DD" w:rsidR="001C6E97" w:rsidRDefault="001A1857" w:rsidP="001C6E97">
      <w:pPr>
        <w:pStyle w:val="BodyText"/>
      </w:pPr>
      <w:r>
        <w:t xml:space="preserve">Scheduling templates </w:t>
      </w:r>
      <w:r w:rsidR="001C6E97">
        <w:t xml:space="preserve">allow you to define and maintain a schedule that supports your organization's specific goals. Your scheduling templates should be tailored to your organization and help you grow and improve toward your goals.  </w:t>
      </w:r>
    </w:p>
    <w:p w14:paraId="0078DC33" w14:textId="77777777" w:rsidR="001C6E97" w:rsidRDefault="001C6E97" w:rsidP="001C6E97">
      <w:pPr>
        <w:pStyle w:val="BodyText"/>
      </w:pPr>
      <w:r w:rsidRPr="00A37B2A">
        <w:rPr>
          <w:color w:val="00B050"/>
        </w:rPr>
        <w:t>&lt;&lt;Insert Scheduling Templates decision support/SOP/guidance here&gt;&gt;</w:t>
      </w:r>
      <w:r>
        <w:t xml:space="preserve">  </w:t>
      </w:r>
    </w:p>
    <w:p w14:paraId="37A44308" w14:textId="3E5A24C8" w:rsidR="001C6E97" w:rsidRPr="002A50BA" w:rsidRDefault="001C6E97" w:rsidP="001C6E97">
      <w:pPr>
        <w:pStyle w:val="BodyText"/>
        <w:rPr>
          <w:color w:val="00B050"/>
        </w:rPr>
      </w:pPr>
      <w:r w:rsidRPr="002A50BA">
        <w:rPr>
          <w:color w:val="00B050"/>
        </w:rPr>
        <w:t>Defin</w:t>
      </w:r>
      <w:r w:rsidR="001A1857" w:rsidRPr="002A50BA">
        <w:rPr>
          <w:color w:val="00B050"/>
        </w:rPr>
        <w:t>e</w:t>
      </w:r>
      <w:r w:rsidRPr="002A50BA">
        <w:rPr>
          <w:color w:val="00B050"/>
        </w:rPr>
        <w:t xml:space="preserve"> the desired goal of your schedule to </w:t>
      </w:r>
      <w:r w:rsidR="001A1857" w:rsidRPr="002A50BA">
        <w:rPr>
          <w:color w:val="00B050"/>
        </w:rPr>
        <w:t>help align</w:t>
      </w:r>
      <w:r w:rsidRPr="002A50BA">
        <w:rPr>
          <w:color w:val="00B050"/>
        </w:rPr>
        <w:t xml:space="preserve"> best practice</w:t>
      </w:r>
      <w:r w:rsidR="001A1857" w:rsidRPr="002A50BA">
        <w:rPr>
          <w:color w:val="00B050"/>
        </w:rPr>
        <w:t>s for</w:t>
      </w:r>
      <w:r w:rsidRPr="002A50BA">
        <w:rPr>
          <w:color w:val="00B050"/>
        </w:rPr>
        <w:t xml:space="preserve"> us</w:t>
      </w:r>
      <w:r w:rsidR="001A1857" w:rsidRPr="002A50BA">
        <w:rPr>
          <w:color w:val="00B050"/>
        </w:rPr>
        <w:t>ing</w:t>
      </w:r>
      <w:r w:rsidRPr="002A50BA">
        <w:rPr>
          <w:color w:val="00B050"/>
        </w:rPr>
        <w:t xml:space="preserve"> the software with your organization's needs. Some examples of various goals or guidance </w:t>
      </w:r>
      <w:r w:rsidR="001A1857" w:rsidRPr="002A50BA">
        <w:rPr>
          <w:color w:val="00B050"/>
        </w:rPr>
        <w:t xml:space="preserve">that are </w:t>
      </w:r>
      <w:r w:rsidRPr="002A50BA">
        <w:rPr>
          <w:color w:val="00B050"/>
        </w:rPr>
        <w:t xml:space="preserve">associated with scheduling strategies include </w:t>
      </w:r>
      <w:r w:rsidR="001A1857" w:rsidRPr="002A50BA">
        <w:rPr>
          <w:color w:val="00B050"/>
        </w:rPr>
        <w:t>the following: m</w:t>
      </w:r>
      <w:r w:rsidRPr="002A50BA">
        <w:rPr>
          <w:color w:val="00B050"/>
        </w:rPr>
        <w:t xml:space="preserve">eeting </w:t>
      </w:r>
      <w:r w:rsidR="001A1857" w:rsidRPr="002A50BA">
        <w:rPr>
          <w:color w:val="00B050"/>
        </w:rPr>
        <w:t>c</w:t>
      </w:r>
      <w:r w:rsidRPr="002A50BA">
        <w:rPr>
          <w:color w:val="00B050"/>
        </w:rPr>
        <w:t xml:space="preserve">apacity, </w:t>
      </w:r>
      <w:r w:rsidR="001A1857" w:rsidRPr="002A50BA">
        <w:rPr>
          <w:color w:val="00B050"/>
        </w:rPr>
        <w:t>having a h</w:t>
      </w:r>
      <w:r w:rsidRPr="002A50BA">
        <w:rPr>
          <w:color w:val="00B050"/>
        </w:rPr>
        <w:t xml:space="preserve">ealthy </w:t>
      </w:r>
      <w:r w:rsidR="001A1857" w:rsidRPr="002A50BA">
        <w:rPr>
          <w:color w:val="00B050"/>
        </w:rPr>
        <w:t>p</w:t>
      </w:r>
      <w:r w:rsidRPr="002A50BA">
        <w:rPr>
          <w:color w:val="00B050"/>
        </w:rPr>
        <w:t xml:space="preserve">ayor </w:t>
      </w:r>
      <w:r w:rsidR="001A1857" w:rsidRPr="002A50BA">
        <w:rPr>
          <w:color w:val="00B050"/>
        </w:rPr>
        <w:t>m</w:t>
      </w:r>
      <w:r w:rsidRPr="002A50BA">
        <w:rPr>
          <w:color w:val="00B050"/>
        </w:rPr>
        <w:t xml:space="preserve">ix, </w:t>
      </w:r>
      <w:r w:rsidR="001A1857" w:rsidRPr="002A50BA">
        <w:rPr>
          <w:color w:val="00B050"/>
        </w:rPr>
        <w:t>m</w:t>
      </w:r>
      <w:r w:rsidRPr="002A50BA">
        <w:rPr>
          <w:color w:val="00B050"/>
        </w:rPr>
        <w:t xml:space="preserve">aximizing </w:t>
      </w:r>
      <w:r w:rsidR="001A1857" w:rsidRPr="002A50BA">
        <w:rPr>
          <w:color w:val="00B050"/>
        </w:rPr>
        <w:t>p</w:t>
      </w:r>
      <w:r w:rsidRPr="002A50BA">
        <w:rPr>
          <w:color w:val="00B050"/>
        </w:rPr>
        <w:t xml:space="preserve">atient </w:t>
      </w:r>
      <w:r w:rsidR="001A1857" w:rsidRPr="002A50BA">
        <w:rPr>
          <w:color w:val="00B050"/>
        </w:rPr>
        <w:t>a</w:t>
      </w:r>
      <w:r w:rsidRPr="002A50BA">
        <w:rPr>
          <w:color w:val="00B050"/>
        </w:rPr>
        <w:t xml:space="preserve">cquisitions, </w:t>
      </w:r>
      <w:r w:rsidR="001A1857" w:rsidRPr="002A50BA">
        <w:rPr>
          <w:color w:val="00B050"/>
        </w:rPr>
        <w:t>m</w:t>
      </w:r>
      <w:r w:rsidRPr="002A50BA">
        <w:rPr>
          <w:color w:val="00B050"/>
        </w:rPr>
        <w:t xml:space="preserve">anaging </w:t>
      </w:r>
      <w:r w:rsidR="001A1857" w:rsidRPr="002A50BA">
        <w:rPr>
          <w:color w:val="00B050"/>
        </w:rPr>
        <w:t>r</w:t>
      </w:r>
      <w:r w:rsidRPr="002A50BA">
        <w:rPr>
          <w:color w:val="00B050"/>
        </w:rPr>
        <w:t>e-</w:t>
      </w:r>
      <w:r w:rsidR="001A1857" w:rsidRPr="002A50BA">
        <w:rPr>
          <w:color w:val="00B050"/>
        </w:rPr>
        <w:t>c</w:t>
      </w:r>
      <w:r w:rsidRPr="002A50BA">
        <w:rPr>
          <w:color w:val="00B050"/>
        </w:rPr>
        <w:t xml:space="preserve">are </w:t>
      </w:r>
      <w:r w:rsidR="001A1857" w:rsidRPr="002A50BA">
        <w:rPr>
          <w:color w:val="00B050"/>
        </w:rPr>
        <w:t>r</w:t>
      </w:r>
      <w:r w:rsidRPr="002A50BA">
        <w:rPr>
          <w:color w:val="00B050"/>
        </w:rPr>
        <w:t xml:space="preserve">ates, </w:t>
      </w:r>
      <w:r w:rsidR="001A1857" w:rsidRPr="002A50BA">
        <w:rPr>
          <w:color w:val="00B050"/>
        </w:rPr>
        <w:t>m</w:t>
      </w:r>
      <w:r w:rsidRPr="002A50BA">
        <w:rPr>
          <w:color w:val="00B050"/>
        </w:rPr>
        <w:t xml:space="preserve">eeting </w:t>
      </w:r>
      <w:r w:rsidR="001A1857" w:rsidRPr="002A50BA">
        <w:rPr>
          <w:color w:val="00B050"/>
        </w:rPr>
        <w:t>d</w:t>
      </w:r>
      <w:r w:rsidRPr="002A50BA">
        <w:rPr>
          <w:color w:val="00B050"/>
        </w:rPr>
        <w:t xml:space="preserve">ental </w:t>
      </w:r>
      <w:r w:rsidR="001A1857" w:rsidRPr="002A50BA">
        <w:rPr>
          <w:color w:val="00B050"/>
        </w:rPr>
        <w:t>t</w:t>
      </w:r>
      <w:r w:rsidRPr="002A50BA">
        <w:rPr>
          <w:color w:val="00B050"/>
        </w:rPr>
        <w:t xml:space="preserve">reatment acceptance, </w:t>
      </w:r>
      <w:r w:rsidR="001A1857" w:rsidRPr="002A50BA">
        <w:rPr>
          <w:color w:val="00B050"/>
        </w:rPr>
        <w:t xml:space="preserve">having </w:t>
      </w:r>
      <w:r w:rsidRPr="002A50BA">
        <w:rPr>
          <w:color w:val="00B050"/>
        </w:rPr>
        <w:t xml:space="preserve">production goals, and </w:t>
      </w:r>
      <w:r w:rsidR="001A1857" w:rsidRPr="002A50BA">
        <w:rPr>
          <w:color w:val="00B050"/>
        </w:rPr>
        <w:t>i</w:t>
      </w:r>
      <w:r w:rsidRPr="002A50BA">
        <w:rPr>
          <w:color w:val="00B050"/>
        </w:rPr>
        <w:t xml:space="preserve">ncreasing </w:t>
      </w:r>
      <w:r w:rsidR="001A1857" w:rsidRPr="002A50BA">
        <w:rPr>
          <w:color w:val="00B050"/>
        </w:rPr>
        <w:t>e</w:t>
      </w:r>
      <w:r w:rsidRPr="002A50BA">
        <w:rPr>
          <w:color w:val="00B050"/>
        </w:rPr>
        <w:t xml:space="preserve">ncounter </w:t>
      </w:r>
      <w:r w:rsidR="001A1857" w:rsidRPr="002A50BA">
        <w:rPr>
          <w:color w:val="00B050"/>
        </w:rPr>
        <w:t>r</w:t>
      </w:r>
      <w:r w:rsidRPr="002A50BA">
        <w:rPr>
          <w:color w:val="00B050"/>
        </w:rPr>
        <w:t>ates.</w:t>
      </w:r>
    </w:p>
    <w:p w14:paraId="7105A29A" w14:textId="18EFF5F0" w:rsidR="00A30FFA" w:rsidRDefault="001C6E97" w:rsidP="00D42C5A">
      <w:pPr>
        <w:pStyle w:val="Heading3"/>
      </w:pPr>
      <w:bookmarkStart w:id="95" w:name="_Toc135416684"/>
      <w:bookmarkStart w:id="96" w:name="_Toc146183280"/>
      <w:r>
        <w:t>Maintaining Schedule Accuracy</w:t>
      </w:r>
      <w:bookmarkEnd w:id="95"/>
      <w:bookmarkEnd w:id="96"/>
    </w:p>
    <w:p w14:paraId="33AC4DB8" w14:textId="603B4E5E" w:rsidR="001C6E97" w:rsidRDefault="001A1857" w:rsidP="001C6E97">
      <w:pPr>
        <w:pStyle w:val="BodyText"/>
      </w:pPr>
      <w:r>
        <w:t>Clearly define t</w:t>
      </w:r>
      <w:r w:rsidR="001C6E97">
        <w:t xml:space="preserve">emporary changes using the following settings to reflect accurate availability in your schedule.  </w:t>
      </w:r>
    </w:p>
    <w:p w14:paraId="742E598B" w14:textId="72146A18" w:rsidR="001C6E97" w:rsidRPr="001A1857" w:rsidRDefault="001C6E97" w:rsidP="00A30FFA">
      <w:pPr>
        <w:pStyle w:val="BodyText"/>
        <w:rPr>
          <w:i/>
          <w:iCs/>
        </w:rPr>
      </w:pPr>
      <w:r w:rsidRPr="001A1857">
        <w:rPr>
          <w:b/>
          <w:bCs/>
          <w:i/>
          <w:iCs/>
        </w:rPr>
        <w:t>Operations Insight</w:t>
      </w:r>
      <w:r w:rsidR="00A46FB0" w:rsidRPr="001A1857">
        <w:rPr>
          <w:i/>
          <w:iCs/>
        </w:rPr>
        <w:t xml:space="preserve">: </w:t>
      </w:r>
      <w:r w:rsidRPr="001A1857">
        <w:rPr>
          <w:i/>
          <w:iCs/>
        </w:rPr>
        <w:t xml:space="preserve">The </w:t>
      </w:r>
      <w:r w:rsidR="00C51D1D">
        <w:rPr>
          <w:i/>
          <w:iCs/>
        </w:rPr>
        <w:t>default A</w:t>
      </w:r>
      <w:r w:rsidRPr="001A1857">
        <w:rPr>
          <w:i/>
          <w:iCs/>
        </w:rPr>
        <w:t xml:space="preserve">ppointment </w:t>
      </w:r>
      <w:r w:rsidR="00C51D1D">
        <w:rPr>
          <w:i/>
          <w:iCs/>
        </w:rPr>
        <w:t>B</w:t>
      </w:r>
      <w:r w:rsidRPr="001A1857">
        <w:rPr>
          <w:i/>
          <w:iCs/>
        </w:rPr>
        <w:t xml:space="preserve">ook settings for each clinic are established and maintained during </w:t>
      </w:r>
      <w:r w:rsidR="00C51D1D">
        <w:rPr>
          <w:i/>
          <w:iCs/>
        </w:rPr>
        <w:t>d</w:t>
      </w:r>
      <w:r w:rsidRPr="001A1857">
        <w:rPr>
          <w:i/>
          <w:iCs/>
        </w:rPr>
        <w:t xml:space="preserve">atabase </w:t>
      </w:r>
      <w:r w:rsidR="00C51D1D">
        <w:rPr>
          <w:i/>
          <w:iCs/>
        </w:rPr>
        <w:t>d</w:t>
      </w:r>
      <w:r w:rsidRPr="001A1857">
        <w:rPr>
          <w:i/>
          <w:iCs/>
        </w:rPr>
        <w:t xml:space="preserve">esign. </w:t>
      </w:r>
      <w:r w:rsidR="00C51D1D">
        <w:rPr>
          <w:i/>
          <w:iCs/>
        </w:rPr>
        <w:t xml:space="preserve">For information about making </w:t>
      </w:r>
      <w:r w:rsidRPr="001A1857">
        <w:rPr>
          <w:i/>
          <w:iCs/>
        </w:rPr>
        <w:t>permanent changes to the default schedules for a clinic</w:t>
      </w:r>
      <w:r w:rsidR="00C51D1D">
        <w:rPr>
          <w:i/>
          <w:iCs/>
        </w:rPr>
        <w:t>, refer to the “Database Design” section</w:t>
      </w:r>
      <w:r w:rsidRPr="001A1857">
        <w:rPr>
          <w:i/>
          <w:iCs/>
        </w:rPr>
        <w:t xml:space="preserve">.  </w:t>
      </w:r>
    </w:p>
    <w:p w14:paraId="378423E0" w14:textId="0DCFF8D1" w:rsidR="00C51D1D" w:rsidRDefault="00C51D1D" w:rsidP="00A46FB0">
      <w:pPr>
        <w:pStyle w:val="Heading4"/>
      </w:pPr>
      <w:r>
        <w:t>Clinic Schedules</w:t>
      </w:r>
    </w:p>
    <w:p w14:paraId="7E890F50" w14:textId="5B4FD8E6" w:rsidR="00C51D1D" w:rsidRDefault="00C51D1D" w:rsidP="00C51D1D">
      <w:pPr>
        <w:pStyle w:val="BodyText"/>
      </w:pPr>
      <w:r>
        <w:t>For a clinic in</w:t>
      </w:r>
      <w:r w:rsidRPr="00A46FB0">
        <w:t xml:space="preserve"> </w:t>
      </w:r>
      <w:r>
        <w:t>A</w:t>
      </w:r>
      <w:r w:rsidRPr="00A46FB0">
        <w:t xml:space="preserve">ppointment </w:t>
      </w:r>
      <w:r>
        <w:t>B</w:t>
      </w:r>
      <w:r w:rsidRPr="00A46FB0">
        <w:t xml:space="preserve">ook, you can change </w:t>
      </w:r>
      <w:r>
        <w:t>the</w:t>
      </w:r>
      <w:r w:rsidRPr="00A46FB0">
        <w:t xml:space="preserve"> working hours for a single day or close the office entirely for a</w:t>
      </w:r>
      <w:r>
        <w:t xml:space="preserve"> specific</w:t>
      </w:r>
      <w:r w:rsidRPr="00A46FB0">
        <w:t xml:space="preserve"> date</w:t>
      </w:r>
      <w:r>
        <w:t xml:space="preserve"> or holiday</w:t>
      </w:r>
      <w:r w:rsidRPr="00A46FB0">
        <w:t>.</w:t>
      </w:r>
      <w:r>
        <w:t xml:space="preserve"> To change the clinic</w:t>
      </w:r>
      <w:r w:rsidR="00614C1A">
        <w:t>’s</w:t>
      </w:r>
      <w:r>
        <w:t xml:space="preserve"> schedule, do the following:</w:t>
      </w:r>
    </w:p>
    <w:p w14:paraId="7C007257" w14:textId="3359CE40" w:rsidR="005E5DBF" w:rsidRDefault="005E5DBF">
      <w:pPr>
        <w:pStyle w:val="BodyText"/>
        <w:numPr>
          <w:ilvl w:val="0"/>
          <w:numId w:val="152"/>
        </w:numPr>
        <w:ind w:left="540"/>
      </w:pPr>
      <w:r>
        <w:t xml:space="preserve">On the </w:t>
      </w:r>
      <w:r w:rsidRPr="00C51D1D">
        <w:rPr>
          <w:b/>
          <w:bCs/>
        </w:rPr>
        <w:t>Setup</w:t>
      </w:r>
      <w:r w:rsidRPr="00A46FB0">
        <w:t xml:space="preserve"> </w:t>
      </w:r>
      <w:r>
        <w:t>menu, click</w:t>
      </w:r>
      <w:r w:rsidRPr="00A46FB0">
        <w:t xml:space="preserve"> </w:t>
      </w:r>
      <w:r w:rsidRPr="00C51D1D">
        <w:rPr>
          <w:b/>
          <w:bCs/>
        </w:rPr>
        <w:t>Clinic Schedule</w:t>
      </w:r>
      <w:r>
        <w:t>.</w:t>
      </w:r>
    </w:p>
    <w:p w14:paraId="174A2E71" w14:textId="57DA50F2" w:rsidR="00614C1A" w:rsidRDefault="00614C1A" w:rsidP="00614C1A">
      <w:pPr>
        <w:pStyle w:val="BodyText"/>
        <w:ind w:left="540"/>
      </w:pPr>
      <w:r>
        <w:t>T</w:t>
      </w:r>
      <w:r w:rsidRPr="00614C1A">
        <w:t xml:space="preserve">he </w:t>
      </w:r>
      <w:r w:rsidRPr="00614C1A">
        <w:rPr>
          <w:b/>
          <w:bCs/>
        </w:rPr>
        <w:t>Schedule Calendar for Clinic</w:t>
      </w:r>
      <w:r w:rsidRPr="00614C1A">
        <w:t xml:space="preserve"> dialog box</w:t>
      </w:r>
      <w:r>
        <w:t xml:space="preserve"> appears.</w:t>
      </w:r>
    </w:p>
    <w:p w14:paraId="26807464" w14:textId="09BAE3C0" w:rsidR="005E5DBF" w:rsidRPr="00C51D1D" w:rsidRDefault="005E5DBF">
      <w:pPr>
        <w:pStyle w:val="BodyText"/>
        <w:numPr>
          <w:ilvl w:val="0"/>
          <w:numId w:val="152"/>
        </w:numPr>
        <w:ind w:left="540"/>
      </w:pPr>
      <w:r>
        <w:t>Do any of the following as needed:</w:t>
      </w:r>
    </w:p>
    <w:p w14:paraId="02232996" w14:textId="57C03C19" w:rsidR="005E5DBF" w:rsidRDefault="005E5DBF">
      <w:pPr>
        <w:pStyle w:val="BodyText"/>
        <w:numPr>
          <w:ilvl w:val="1"/>
          <w:numId w:val="153"/>
        </w:numPr>
        <w:ind w:left="1080"/>
      </w:pPr>
      <w:r>
        <w:t>To c</w:t>
      </w:r>
      <w:r w:rsidR="001C6E97">
        <w:t>lo</w:t>
      </w:r>
      <w:r w:rsidR="001C6E97" w:rsidRPr="00A30FFA">
        <w:t>se</w:t>
      </w:r>
      <w:r w:rsidR="001C6E97" w:rsidRPr="00A46FB0">
        <w:t xml:space="preserve"> </w:t>
      </w:r>
      <w:r>
        <w:t>the o</w:t>
      </w:r>
      <w:r w:rsidR="001C6E97" w:rsidRPr="00A46FB0">
        <w:t xml:space="preserve">ffice </w:t>
      </w:r>
      <w:r>
        <w:t>for</w:t>
      </w:r>
      <w:r w:rsidR="001C6E97" w:rsidRPr="00A46FB0">
        <w:t xml:space="preserve"> </w:t>
      </w:r>
      <w:r>
        <w:t>a specific d</w:t>
      </w:r>
      <w:r w:rsidR="001C6E97" w:rsidRPr="00A46FB0">
        <w:t>ate</w:t>
      </w:r>
      <w:r>
        <w:t xml:space="preserve">, select the date, expand the </w:t>
      </w:r>
      <w:r w:rsidRPr="005E5DBF">
        <w:rPr>
          <w:b/>
          <w:bCs/>
        </w:rPr>
        <w:t>Office Closed</w:t>
      </w:r>
      <w:r>
        <w:t xml:space="preserve"> menu, and then click </w:t>
      </w:r>
      <w:r w:rsidRPr="005E5DBF">
        <w:rPr>
          <w:b/>
          <w:bCs/>
        </w:rPr>
        <w:t>Close Office on selected date</w:t>
      </w:r>
      <w:r>
        <w:t xml:space="preserve">. </w:t>
      </w:r>
      <w:r w:rsidRPr="005E5DBF">
        <w:t>You can use this option to close the office for a yearly holiday that does not occur on the same day of the month every year (for example, Thanksgiving).</w:t>
      </w:r>
    </w:p>
    <w:p w14:paraId="0B0AD4E9" w14:textId="537321FC" w:rsidR="005E5DBF" w:rsidRPr="00A46FB0" w:rsidRDefault="005E5DBF">
      <w:pPr>
        <w:pStyle w:val="BodyText"/>
        <w:numPr>
          <w:ilvl w:val="1"/>
          <w:numId w:val="153"/>
        </w:numPr>
        <w:ind w:left="1080"/>
      </w:pPr>
      <w:r>
        <w:t>To set</w:t>
      </w:r>
      <w:r w:rsidRPr="00A46FB0">
        <w:t xml:space="preserve"> </w:t>
      </w:r>
      <w:r>
        <w:t xml:space="preserve">a yearly holiday for the office, select the date, expand the </w:t>
      </w:r>
      <w:r w:rsidRPr="005E5DBF">
        <w:rPr>
          <w:b/>
          <w:bCs/>
        </w:rPr>
        <w:t>Office Closed</w:t>
      </w:r>
      <w:r>
        <w:t xml:space="preserve"> menu, and then click </w:t>
      </w:r>
      <w:r>
        <w:rPr>
          <w:b/>
          <w:bCs/>
        </w:rPr>
        <w:t>Set Yearly Holiday on selected day</w:t>
      </w:r>
      <w:r>
        <w:t xml:space="preserve">. </w:t>
      </w:r>
      <w:r w:rsidRPr="005E5DBF">
        <w:t>You can use this option to close the office for a yearly holiday that falls on the same day of the month every year (for example, Christmas is always on December 25).</w:t>
      </w:r>
    </w:p>
    <w:p w14:paraId="47782F2B" w14:textId="730222FE" w:rsidR="001C6E97" w:rsidRDefault="005E5DBF" w:rsidP="00776AB8">
      <w:pPr>
        <w:pStyle w:val="BodyText"/>
        <w:keepNext/>
        <w:keepLines/>
        <w:numPr>
          <w:ilvl w:val="1"/>
          <w:numId w:val="153"/>
        </w:numPr>
        <w:ind w:left="1080"/>
      </w:pPr>
      <w:r>
        <w:lastRenderedPageBreak/>
        <w:t>To u</w:t>
      </w:r>
      <w:r w:rsidR="001C6E97" w:rsidRPr="00A46FB0">
        <w:t xml:space="preserve">pdate </w:t>
      </w:r>
      <w:r>
        <w:t>the office’s working hours for a specific date, double-click the date</w:t>
      </w:r>
      <w:r w:rsidR="00614C1A">
        <w:t xml:space="preserve">, change the date </w:t>
      </w:r>
      <w:proofErr w:type="gramStart"/>
      <w:r w:rsidR="00614C1A">
        <w:t>ranges</w:t>
      </w:r>
      <w:proofErr w:type="gramEnd"/>
      <w:r w:rsidR="00614C1A">
        <w:t xml:space="preserve"> accordingly, select the </w:t>
      </w:r>
      <w:r w:rsidR="001C6E97" w:rsidRPr="00614C1A">
        <w:rPr>
          <w:b/>
          <w:bCs/>
        </w:rPr>
        <w:t>Update Op Schedules</w:t>
      </w:r>
      <w:r w:rsidR="00614C1A">
        <w:t xml:space="preserve"> checkbox</w:t>
      </w:r>
      <w:r w:rsidR="001C6E97" w:rsidRPr="00A46FB0">
        <w:t xml:space="preserve"> to </w:t>
      </w:r>
      <w:r w:rsidR="00614C1A" w:rsidRPr="00614C1A">
        <w:t>apply the time changes to the</w:t>
      </w:r>
      <w:r w:rsidR="00614C1A">
        <w:t xml:space="preserve"> office’s</w:t>
      </w:r>
      <w:r w:rsidR="00614C1A" w:rsidRPr="00614C1A">
        <w:t xml:space="preserve"> schedule for all operatories on this date (overriding but not changing the default availability)</w:t>
      </w:r>
      <w:r w:rsidR="00614C1A">
        <w:t xml:space="preserve">, and then click </w:t>
      </w:r>
      <w:r w:rsidR="00614C1A" w:rsidRPr="00614C1A">
        <w:rPr>
          <w:b/>
          <w:bCs/>
        </w:rPr>
        <w:t>OK</w:t>
      </w:r>
      <w:r w:rsidR="001C6E97" w:rsidRPr="00A46FB0">
        <w:t>.</w:t>
      </w:r>
    </w:p>
    <w:p w14:paraId="34054EE7" w14:textId="37B8860B" w:rsidR="00614C1A" w:rsidRPr="00A46FB0" w:rsidRDefault="00614C1A">
      <w:pPr>
        <w:pStyle w:val="BodyText"/>
        <w:numPr>
          <w:ilvl w:val="0"/>
          <w:numId w:val="152"/>
        </w:numPr>
        <w:ind w:left="540"/>
      </w:pPr>
      <w:r>
        <w:t xml:space="preserve">Click </w:t>
      </w:r>
      <w:r w:rsidRPr="00614C1A">
        <w:rPr>
          <w:b/>
          <w:bCs/>
        </w:rPr>
        <w:t>Close</w:t>
      </w:r>
      <w:r>
        <w:t>.</w:t>
      </w:r>
    </w:p>
    <w:p w14:paraId="3B46FA7B" w14:textId="77777777" w:rsidR="00A46FB0" w:rsidRDefault="001C6E97" w:rsidP="00A46FB0">
      <w:pPr>
        <w:pStyle w:val="Heading4"/>
      </w:pPr>
      <w:r w:rsidRPr="00A46FB0">
        <w:t>Provider Schedules</w:t>
      </w:r>
    </w:p>
    <w:p w14:paraId="3D861E94" w14:textId="6C94DE01" w:rsidR="00614C1A" w:rsidRDefault="00614C1A" w:rsidP="00A46FB0">
      <w:pPr>
        <w:pStyle w:val="BodyText"/>
      </w:pPr>
      <w:r>
        <w:t>For a provider in A</w:t>
      </w:r>
      <w:r w:rsidR="001C6E97" w:rsidRPr="00A46FB0">
        <w:t xml:space="preserve">ppointment </w:t>
      </w:r>
      <w:r>
        <w:t>B</w:t>
      </w:r>
      <w:r w:rsidR="001C6E97" w:rsidRPr="00A46FB0">
        <w:t>ook</w:t>
      </w:r>
      <w:r>
        <w:t xml:space="preserve">, </w:t>
      </w:r>
      <w:r w:rsidR="001C6E97" w:rsidRPr="00A46FB0">
        <w:t xml:space="preserve">you can </w:t>
      </w:r>
      <w:r>
        <w:t xml:space="preserve">change the working </w:t>
      </w:r>
      <w:r w:rsidR="001C6E97" w:rsidRPr="00A46FB0">
        <w:t xml:space="preserve">hours for a single day or set </w:t>
      </w:r>
      <w:r>
        <w:t>a v</w:t>
      </w:r>
      <w:r w:rsidR="001C6E97" w:rsidRPr="00A46FB0">
        <w:t>acation day.</w:t>
      </w:r>
      <w:r>
        <w:t xml:space="preserve"> To change the provider’s schedule, do the following:</w:t>
      </w:r>
    </w:p>
    <w:p w14:paraId="2DA91BAD" w14:textId="5CF288E8" w:rsidR="00614C1A" w:rsidRDefault="00614C1A">
      <w:pPr>
        <w:pStyle w:val="BodyText"/>
        <w:numPr>
          <w:ilvl w:val="0"/>
          <w:numId w:val="154"/>
        </w:numPr>
        <w:ind w:left="540"/>
      </w:pPr>
      <w:r>
        <w:t xml:space="preserve">On the </w:t>
      </w:r>
      <w:r w:rsidRPr="00C51D1D">
        <w:rPr>
          <w:b/>
          <w:bCs/>
        </w:rPr>
        <w:t>Setup</w:t>
      </w:r>
      <w:r w:rsidRPr="00A46FB0">
        <w:t xml:space="preserve"> </w:t>
      </w:r>
      <w:r>
        <w:t>menu, click</w:t>
      </w:r>
      <w:r w:rsidRPr="00A46FB0">
        <w:t xml:space="preserve"> </w:t>
      </w:r>
      <w:r>
        <w:rPr>
          <w:b/>
          <w:bCs/>
        </w:rPr>
        <w:t>Provider Setup</w:t>
      </w:r>
      <w:r>
        <w:t>.</w:t>
      </w:r>
    </w:p>
    <w:p w14:paraId="4B978EB8" w14:textId="155A9B3B" w:rsidR="00614C1A" w:rsidRDefault="00614C1A" w:rsidP="00614C1A">
      <w:pPr>
        <w:pStyle w:val="BodyText"/>
        <w:ind w:left="540"/>
      </w:pPr>
      <w:r>
        <w:t>T</w:t>
      </w:r>
      <w:r w:rsidRPr="00614C1A">
        <w:t xml:space="preserve">he </w:t>
      </w:r>
      <w:r>
        <w:rPr>
          <w:b/>
          <w:bCs/>
        </w:rPr>
        <w:t>Provider Setup</w:t>
      </w:r>
      <w:r w:rsidRPr="00614C1A">
        <w:t xml:space="preserve"> dialog box</w:t>
      </w:r>
      <w:r>
        <w:t xml:space="preserve"> appears.</w:t>
      </w:r>
    </w:p>
    <w:p w14:paraId="0C5C4CC4" w14:textId="64A59D4C" w:rsidR="00614C1A" w:rsidRDefault="00614C1A">
      <w:pPr>
        <w:pStyle w:val="BodyText"/>
        <w:numPr>
          <w:ilvl w:val="0"/>
          <w:numId w:val="154"/>
        </w:numPr>
        <w:ind w:left="540"/>
      </w:pPr>
      <w:r>
        <w:t xml:space="preserve">Select the </w:t>
      </w:r>
      <w:r w:rsidRPr="00B33D9B">
        <w:rPr>
          <w:b/>
          <w:bCs/>
        </w:rPr>
        <w:t>Clinic</w:t>
      </w:r>
      <w:r>
        <w:t>.</w:t>
      </w:r>
    </w:p>
    <w:p w14:paraId="3DFDBB4B" w14:textId="77777777" w:rsidR="00614C1A" w:rsidRDefault="00614C1A">
      <w:pPr>
        <w:pStyle w:val="BodyText"/>
        <w:numPr>
          <w:ilvl w:val="0"/>
          <w:numId w:val="154"/>
        </w:numPr>
        <w:ind w:left="540"/>
      </w:pPr>
      <w:r>
        <w:t xml:space="preserve">Select the </w:t>
      </w:r>
      <w:r w:rsidRPr="00B33D9B">
        <w:rPr>
          <w:b/>
          <w:bCs/>
        </w:rPr>
        <w:t>Provider</w:t>
      </w:r>
      <w:r>
        <w:t>.</w:t>
      </w:r>
    </w:p>
    <w:p w14:paraId="7774D5E4" w14:textId="73C8327B" w:rsidR="00B33D9B" w:rsidRDefault="00B33D9B">
      <w:pPr>
        <w:pStyle w:val="BodyText"/>
        <w:numPr>
          <w:ilvl w:val="0"/>
          <w:numId w:val="154"/>
        </w:numPr>
        <w:ind w:left="540"/>
      </w:pPr>
      <w:r>
        <w:t xml:space="preserve">Click </w:t>
      </w:r>
      <w:r w:rsidRPr="00B33D9B">
        <w:rPr>
          <w:b/>
          <w:bCs/>
        </w:rPr>
        <w:t>Schedule</w:t>
      </w:r>
      <w:r>
        <w:t>.</w:t>
      </w:r>
    </w:p>
    <w:p w14:paraId="62457D3C" w14:textId="4082D968" w:rsidR="00B33D9B" w:rsidRDefault="00B33D9B" w:rsidP="00B33D9B">
      <w:pPr>
        <w:pStyle w:val="BodyText"/>
        <w:ind w:left="540"/>
      </w:pPr>
      <w:r>
        <w:t>T</w:t>
      </w:r>
      <w:r w:rsidRPr="00614C1A">
        <w:t xml:space="preserve">he </w:t>
      </w:r>
      <w:r>
        <w:rPr>
          <w:b/>
          <w:bCs/>
        </w:rPr>
        <w:t>Schedule Calendar for</w:t>
      </w:r>
      <w:r w:rsidRPr="00614C1A">
        <w:t xml:space="preserve"> dialog box</w:t>
      </w:r>
      <w:r>
        <w:t xml:space="preserve"> appears.</w:t>
      </w:r>
    </w:p>
    <w:p w14:paraId="104AFEA4" w14:textId="38217AE8" w:rsidR="00614C1A" w:rsidRPr="00C51D1D" w:rsidRDefault="00614C1A">
      <w:pPr>
        <w:pStyle w:val="BodyText"/>
        <w:numPr>
          <w:ilvl w:val="0"/>
          <w:numId w:val="154"/>
        </w:numPr>
        <w:ind w:left="540"/>
      </w:pPr>
      <w:r>
        <w:t>Do any of the following as needed:</w:t>
      </w:r>
    </w:p>
    <w:p w14:paraId="28178C3B" w14:textId="7608FD5A" w:rsidR="00614C1A" w:rsidRDefault="00614C1A">
      <w:pPr>
        <w:pStyle w:val="BodyText"/>
        <w:numPr>
          <w:ilvl w:val="1"/>
          <w:numId w:val="153"/>
        </w:numPr>
        <w:ind w:left="1080"/>
      </w:pPr>
      <w:r>
        <w:t xml:space="preserve">To </w:t>
      </w:r>
      <w:r w:rsidR="00B33D9B">
        <w:t>set a vacation day</w:t>
      </w:r>
      <w:r w:rsidRPr="00A46FB0">
        <w:t xml:space="preserve"> </w:t>
      </w:r>
      <w:r>
        <w:t>for</w:t>
      </w:r>
      <w:r w:rsidRPr="00A46FB0">
        <w:t xml:space="preserve"> </w:t>
      </w:r>
      <w:r>
        <w:t>a specific d</w:t>
      </w:r>
      <w:r w:rsidRPr="00A46FB0">
        <w:t>ate</w:t>
      </w:r>
      <w:r>
        <w:t xml:space="preserve">, select the date, expand the </w:t>
      </w:r>
      <w:r w:rsidR="00B33D9B">
        <w:rPr>
          <w:b/>
          <w:bCs/>
        </w:rPr>
        <w:t>Options</w:t>
      </w:r>
      <w:r>
        <w:t xml:space="preserve"> menu, and then click </w:t>
      </w:r>
      <w:r w:rsidR="00B33D9B">
        <w:rPr>
          <w:b/>
          <w:bCs/>
        </w:rPr>
        <w:t xml:space="preserve">Set Vacation </w:t>
      </w:r>
      <w:r w:rsidRPr="005E5DBF">
        <w:rPr>
          <w:b/>
          <w:bCs/>
        </w:rPr>
        <w:t>on selected date</w:t>
      </w:r>
      <w:r>
        <w:t>.</w:t>
      </w:r>
    </w:p>
    <w:p w14:paraId="79E11611" w14:textId="79B3B8AF" w:rsidR="00614C1A" w:rsidRDefault="00614C1A">
      <w:pPr>
        <w:pStyle w:val="BodyText"/>
        <w:numPr>
          <w:ilvl w:val="1"/>
          <w:numId w:val="153"/>
        </w:numPr>
        <w:ind w:left="1080"/>
      </w:pPr>
      <w:r>
        <w:t>To u</w:t>
      </w:r>
      <w:r w:rsidRPr="00A46FB0">
        <w:t xml:space="preserve">pdate </w:t>
      </w:r>
      <w:r>
        <w:t xml:space="preserve">the </w:t>
      </w:r>
      <w:r w:rsidR="00B33D9B">
        <w:t>provider</w:t>
      </w:r>
      <w:r>
        <w:t xml:space="preserve">’s working hours for a specific date, double-click the date, change the date </w:t>
      </w:r>
      <w:proofErr w:type="gramStart"/>
      <w:r>
        <w:t>ranges</w:t>
      </w:r>
      <w:proofErr w:type="gramEnd"/>
      <w:r>
        <w:t xml:space="preserve"> accordingly, select the </w:t>
      </w:r>
      <w:r w:rsidRPr="00614C1A">
        <w:rPr>
          <w:b/>
          <w:bCs/>
        </w:rPr>
        <w:t>Update Op Schedules</w:t>
      </w:r>
      <w:r>
        <w:t xml:space="preserve"> checkbox</w:t>
      </w:r>
      <w:r w:rsidRPr="00A46FB0">
        <w:t xml:space="preserve"> to </w:t>
      </w:r>
      <w:r w:rsidRPr="00614C1A">
        <w:t>apply the time changes to the</w:t>
      </w:r>
      <w:r>
        <w:t xml:space="preserve"> office’s</w:t>
      </w:r>
      <w:r w:rsidRPr="00614C1A">
        <w:t xml:space="preserve"> schedule for all operatories on this date (overriding but not changing the default availability)</w:t>
      </w:r>
      <w:r>
        <w:t xml:space="preserve">, and then click </w:t>
      </w:r>
      <w:r w:rsidRPr="00614C1A">
        <w:rPr>
          <w:b/>
          <w:bCs/>
        </w:rPr>
        <w:t>OK</w:t>
      </w:r>
      <w:r w:rsidRPr="00A46FB0">
        <w:t>.</w:t>
      </w:r>
    </w:p>
    <w:p w14:paraId="4B187AA5" w14:textId="77777777" w:rsidR="00614C1A" w:rsidRPr="00A46FB0" w:rsidRDefault="00614C1A">
      <w:pPr>
        <w:pStyle w:val="BodyText"/>
        <w:numPr>
          <w:ilvl w:val="0"/>
          <w:numId w:val="154"/>
        </w:numPr>
        <w:ind w:left="540"/>
      </w:pPr>
      <w:r>
        <w:t xml:space="preserve">Click </w:t>
      </w:r>
      <w:r w:rsidRPr="00614C1A">
        <w:rPr>
          <w:b/>
          <w:bCs/>
        </w:rPr>
        <w:t>Close</w:t>
      </w:r>
      <w:r>
        <w:t>.</w:t>
      </w:r>
    </w:p>
    <w:p w14:paraId="3A38452C" w14:textId="7F0A1A7B" w:rsidR="001C6E97" w:rsidRPr="00A0596B" w:rsidRDefault="001C6E97" w:rsidP="00A46FB0">
      <w:pPr>
        <w:pStyle w:val="BodyText"/>
        <w:rPr>
          <w:i/>
          <w:iCs/>
        </w:rPr>
      </w:pPr>
      <w:r w:rsidRPr="00A0596B">
        <w:rPr>
          <w:b/>
          <w:bCs/>
          <w:i/>
          <w:iCs/>
        </w:rPr>
        <w:t>Workflow Insight</w:t>
      </w:r>
      <w:r w:rsidRPr="00A0596B">
        <w:rPr>
          <w:i/>
          <w:iCs/>
        </w:rPr>
        <w:t xml:space="preserve">: Provider vacation days do not visually look different in </w:t>
      </w:r>
      <w:r w:rsidR="005D640F" w:rsidRPr="00A0596B">
        <w:rPr>
          <w:i/>
          <w:iCs/>
        </w:rPr>
        <w:t>A</w:t>
      </w:r>
      <w:r w:rsidRPr="00A0596B">
        <w:rPr>
          <w:i/>
          <w:iCs/>
        </w:rPr>
        <w:t xml:space="preserve">ppointment </w:t>
      </w:r>
      <w:r w:rsidR="005D640F" w:rsidRPr="00A0596B">
        <w:rPr>
          <w:i/>
          <w:iCs/>
        </w:rPr>
        <w:t>B</w:t>
      </w:r>
      <w:r w:rsidRPr="00A0596B">
        <w:rPr>
          <w:i/>
          <w:iCs/>
        </w:rPr>
        <w:t xml:space="preserve">ook. A pop-up message </w:t>
      </w:r>
      <w:r w:rsidR="005D640F" w:rsidRPr="00A0596B">
        <w:rPr>
          <w:i/>
          <w:iCs/>
        </w:rPr>
        <w:t>appears</w:t>
      </w:r>
      <w:r w:rsidRPr="00A0596B">
        <w:rPr>
          <w:i/>
          <w:iCs/>
        </w:rPr>
        <w:t xml:space="preserve"> if a selected appointment time is outside of the clinic</w:t>
      </w:r>
      <w:r w:rsidR="005D640F" w:rsidRPr="00A0596B">
        <w:rPr>
          <w:i/>
          <w:iCs/>
        </w:rPr>
        <w:t>’s</w:t>
      </w:r>
      <w:r w:rsidRPr="00A0596B">
        <w:rPr>
          <w:i/>
          <w:iCs/>
        </w:rPr>
        <w:t xml:space="preserve"> or provider</w:t>
      </w:r>
      <w:r w:rsidR="005D640F" w:rsidRPr="00A0596B">
        <w:rPr>
          <w:i/>
          <w:iCs/>
        </w:rPr>
        <w:t>’</w:t>
      </w:r>
      <w:r w:rsidRPr="00A0596B">
        <w:rPr>
          <w:i/>
          <w:iCs/>
        </w:rPr>
        <w:t xml:space="preserve">s </w:t>
      </w:r>
      <w:r w:rsidR="005D640F" w:rsidRPr="00A0596B">
        <w:rPr>
          <w:i/>
          <w:iCs/>
        </w:rPr>
        <w:t>working hours</w:t>
      </w:r>
      <w:r w:rsidRPr="00A0596B">
        <w:rPr>
          <w:i/>
          <w:iCs/>
        </w:rPr>
        <w:t xml:space="preserve">. Using the pre-visit workflow or </w:t>
      </w:r>
      <w:r w:rsidR="00A0596B" w:rsidRPr="00A0596B">
        <w:rPr>
          <w:i/>
          <w:iCs/>
        </w:rPr>
        <w:t>F</w:t>
      </w:r>
      <w:r w:rsidRPr="00A0596B">
        <w:rPr>
          <w:i/>
          <w:iCs/>
        </w:rPr>
        <w:t xml:space="preserve">ind </w:t>
      </w:r>
      <w:r w:rsidR="00A0596B" w:rsidRPr="00A0596B">
        <w:rPr>
          <w:i/>
          <w:iCs/>
        </w:rPr>
        <w:t>A</w:t>
      </w:r>
      <w:r w:rsidRPr="00A0596B">
        <w:rPr>
          <w:i/>
          <w:iCs/>
        </w:rPr>
        <w:t xml:space="preserve">vailable </w:t>
      </w:r>
      <w:r w:rsidR="00A0596B" w:rsidRPr="00A0596B">
        <w:rPr>
          <w:i/>
          <w:iCs/>
        </w:rPr>
        <w:t>A</w:t>
      </w:r>
      <w:r w:rsidRPr="00A0596B">
        <w:rPr>
          <w:i/>
          <w:iCs/>
        </w:rPr>
        <w:t>ppointment feature supports the scheduling templates for the open clinic and provider times without eliminating wasted time reviewing temporary changes in the schedule visually</w:t>
      </w:r>
      <w:r w:rsidR="00A0596B" w:rsidRPr="00A0596B">
        <w:rPr>
          <w:i/>
          <w:iCs/>
        </w:rPr>
        <w:t xml:space="preserve"> each day</w:t>
      </w:r>
      <w:r w:rsidRPr="00A0596B">
        <w:rPr>
          <w:i/>
          <w:iCs/>
        </w:rPr>
        <w:t>.</w:t>
      </w:r>
    </w:p>
    <w:p w14:paraId="5EED1770" w14:textId="77777777" w:rsidR="00A46FB0" w:rsidRDefault="001C6E97" w:rsidP="002202F7">
      <w:pPr>
        <w:pStyle w:val="Heading4"/>
      </w:pPr>
      <w:r w:rsidRPr="00A46FB0">
        <w:t>Events</w:t>
      </w:r>
    </w:p>
    <w:p w14:paraId="1BC28D51" w14:textId="4ADB4D31" w:rsidR="001C6E97" w:rsidRDefault="001C6E97" w:rsidP="002202F7">
      <w:pPr>
        <w:pStyle w:val="BodyText"/>
        <w:keepNext/>
        <w:keepLines/>
      </w:pPr>
      <w:r w:rsidRPr="00A46FB0">
        <w:t xml:space="preserve">Events block out time and provide a visual indicator in </w:t>
      </w:r>
      <w:proofErr w:type="gramStart"/>
      <w:r w:rsidRPr="00A46FB0">
        <w:t>Appointment</w:t>
      </w:r>
      <w:proofErr w:type="gramEnd"/>
      <w:r w:rsidRPr="00A46FB0">
        <w:t xml:space="preserve"> Book that the schedule is unavailable. Scheduled events prevent appointments from being scheduled for the planned event date and time. </w:t>
      </w:r>
      <w:r w:rsidR="00A0596B">
        <w:t>You can schedule an e</w:t>
      </w:r>
      <w:r w:rsidRPr="00A46FB0">
        <w:t>vent</w:t>
      </w:r>
      <w:r w:rsidR="00A0596B">
        <w:t xml:space="preserve"> for a single day</w:t>
      </w:r>
      <w:r w:rsidRPr="00A46FB0">
        <w:t xml:space="preserve"> or </w:t>
      </w:r>
      <w:r w:rsidR="00A0596B">
        <w:t xml:space="preserve">an </w:t>
      </w:r>
      <w:r>
        <w:t xml:space="preserve">event </w:t>
      </w:r>
      <w:r w:rsidR="00A0596B">
        <w:t xml:space="preserve">that recurs </w:t>
      </w:r>
      <w:r>
        <w:t xml:space="preserve">for up to one year.  </w:t>
      </w:r>
    </w:p>
    <w:p w14:paraId="11B41839" w14:textId="57EFE870" w:rsidR="001C6E97" w:rsidRPr="00EF6061" w:rsidRDefault="001C6E97" w:rsidP="00A46FB0">
      <w:pPr>
        <w:pStyle w:val="BodyText"/>
        <w:rPr>
          <w:i/>
          <w:iCs/>
        </w:rPr>
      </w:pPr>
      <w:r w:rsidRPr="00EF6061">
        <w:rPr>
          <w:b/>
          <w:bCs/>
          <w:i/>
          <w:iCs/>
        </w:rPr>
        <w:t>Operations Insight</w:t>
      </w:r>
      <w:r w:rsidRPr="00EF6061">
        <w:rPr>
          <w:i/>
          <w:iCs/>
        </w:rPr>
        <w:t xml:space="preserve">:  </w:t>
      </w:r>
      <w:r w:rsidR="00A0596B" w:rsidRPr="00EF6061">
        <w:rPr>
          <w:i/>
          <w:iCs/>
        </w:rPr>
        <w:t>You can prohibit</w:t>
      </w:r>
      <w:r w:rsidRPr="00EF6061">
        <w:rPr>
          <w:i/>
          <w:iCs/>
        </w:rPr>
        <w:t xml:space="preserve"> users from deleting or editing events in the schedule </w:t>
      </w:r>
      <w:r w:rsidR="00A0596B" w:rsidRPr="00EF6061">
        <w:rPr>
          <w:i/>
          <w:iCs/>
        </w:rPr>
        <w:t xml:space="preserve">to prevent them from </w:t>
      </w:r>
      <w:r w:rsidRPr="00EF6061">
        <w:rPr>
          <w:i/>
          <w:iCs/>
        </w:rPr>
        <w:t xml:space="preserve">scheduling appointments during the blocked time. </w:t>
      </w:r>
      <w:r w:rsidR="00A0596B" w:rsidRPr="00EF6061">
        <w:rPr>
          <w:i/>
          <w:iCs/>
        </w:rPr>
        <w:t xml:space="preserve">You can </w:t>
      </w:r>
      <w:r w:rsidR="00EF6061" w:rsidRPr="00EF6061">
        <w:rPr>
          <w:i/>
          <w:iCs/>
        </w:rPr>
        <w:t>assign</w:t>
      </w:r>
      <w:r w:rsidR="00A0596B" w:rsidRPr="00EF6061">
        <w:rPr>
          <w:i/>
          <w:iCs/>
        </w:rPr>
        <w:t xml:space="preserve"> these </w:t>
      </w:r>
      <w:r w:rsidR="00EF6061" w:rsidRPr="00EF6061">
        <w:rPr>
          <w:i/>
          <w:iCs/>
        </w:rPr>
        <w:t xml:space="preserve">security right </w:t>
      </w:r>
      <w:r w:rsidR="00A0596B" w:rsidRPr="00EF6061">
        <w:rPr>
          <w:i/>
          <w:iCs/>
        </w:rPr>
        <w:t>restrictions</w:t>
      </w:r>
      <w:r w:rsidR="00EF6061" w:rsidRPr="00EF6061">
        <w:rPr>
          <w:i/>
          <w:iCs/>
        </w:rPr>
        <w:t xml:space="preserve"> </w:t>
      </w:r>
      <w:r w:rsidR="00A0596B" w:rsidRPr="00EF6061">
        <w:rPr>
          <w:i/>
          <w:iCs/>
        </w:rPr>
        <w:t>by individual user or by user group.</w:t>
      </w:r>
    </w:p>
    <w:p w14:paraId="2744AEE2" w14:textId="77777777" w:rsidR="00A30FFA" w:rsidRDefault="001C6E97" w:rsidP="00D42C5A">
      <w:pPr>
        <w:pStyle w:val="Heading3"/>
      </w:pPr>
      <w:bookmarkStart w:id="97" w:name="_Toc135416685"/>
      <w:bookmarkStart w:id="98" w:name="_Toc146183281"/>
      <w:r>
        <w:lastRenderedPageBreak/>
        <w:t>Procedure Times</w:t>
      </w:r>
      <w:bookmarkEnd w:id="97"/>
      <w:bookmarkEnd w:id="98"/>
    </w:p>
    <w:p w14:paraId="4511F43C" w14:textId="4178106A" w:rsidR="001C6E97" w:rsidRDefault="00C02AE8" w:rsidP="004A2A35">
      <w:pPr>
        <w:pStyle w:val="BodyText"/>
        <w:keepNext/>
        <w:keepLines/>
      </w:pPr>
      <w:r>
        <w:t xml:space="preserve">With the average length of time necessary </w:t>
      </w:r>
      <w:r w:rsidR="00EF6061">
        <w:t xml:space="preserve">to </w:t>
      </w:r>
      <w:r>
        <w:t>perform procedures specified beforehand, when you schedule</w:t>
      </w:r>
      <w:r w:rsidR="00EF6061">
        <w:t xml:space="preserve"> </w:t>
      </w:r>
      <w:r>
        <w:t xml:space="preserve">an </w:t>
      </w:r>
      <w:r w:rsidR="00EF6061">
        <w:t>appointment for a procedure or blend of procedure</w:t>
      </w:r>
      <w:r w:rsidR="001C6E97">
        <w:t>s</w:t>
      </w:r>
      <w:r>
        <w:t>, the default length of time for the appointment is set automatically</w:t>
      </w:r>
      <w:r w:rsidR="001C6E97">
        <w:t>.</w:t>
      </w:r>
    </w:p>
    <w:p w14:paraId="0D89AC24" w14:textId="18C11B42" w:rsidR="00A46FB0" w:rsidRDefault="001C6E97" w:rsidP="00A46FB0">
      <w:pPr>
        <w:pStyle w:val="Heading4"/>
      </w:pPr>
      <w:r>
        <w:t xml:space="preserve">Individual </w:t>
      </w:r>
      <w:r w:rsidR="00C02AE8">
        <w:t>P</w:t>
      </w:r>
      <w:r>
        <w:t xml:space="preserve">rocedure </w:t>
      </w:r>
      <w:r w:rsidR="00C02AE8">
        <w:t>T</w:t>
      </w:r>
      <w:r>
        <w:t>iming</w:t>
      </w:r>
    </w:p>
    <w:p w14:paraId="5CD37E1B" w14:textId="335274A0" w:rsidR="001C6E97" w:rsidRDefault="00A939B0" w:rsidP="00A46FB0">
      <w:pPr>
        <w:pStyle w:val="BodyText"/>
      </w:pPr>
      <w:r>
        <w:t>A p</w:t>
      </w:r>
      <w:r w:rsidR="001C6E97">
        <w:t>rocedure code</w:t>
      </w:r>
      <w:r>
        <w:t>’s</w:t>
      </w:r>
      <w:r w:rsidR="001C6E97">
        <w:t xml:space="preserve"> time should meet the needs of all clinics </w:t>
      </w:r>
      <w:r>
        <w:t>that perform that procedure</w:t>
      </w:r>
      <w:r w:rsidR="001C6E97">
        <w:t xml:space="preserve">. When </w:t>
      </w:r>
      <w:r>
        <w:t>you schedule</w:t>
      </w:r>
      <w:r w:rsidR="001C6E97">
        <w:t xml:space="preserve"> more than one procedure for an appointment, </w:t>
      </w:r>
      <w:r>
        <w:t>Dentrix Enterprise</w:t>
      </w:r>
      <w:r w:rsidR="001C6E97">
        <w:t xml:space="preserve"> </w:t>
      </w:r>
      <w:r w:rsidR="00626E37">
        <w:t xml:space="preserve">automatically </w:t>
      </w:r>
      <w:r>
        <w:t>sets the combined default times of those procedures as the appointment length</w:t>
      </w:r>
      <w:r w:rsidR="001C6E97">
        <w:t xml:space="preserve">.  </w:t>
      </w:r>
    </w:p>
    <w:p w14:paraId="3899C99F" w14:textId="6518F1B8" w:rsidR="001C6E97" w:rsidRPr="00A939B0" w:rsidRDefault="001C6E97" w:rsidP="00A46FB0">
      <w:pPr>
        <w:pStyle w:val="BodyText"/>
        <w:rPr>
          <w:i/>
          <w:iCs/>
        </w:rPr>
      </w:pPr>
      <w:r w:rsidRPr="00A939B0">
        <w:rPr>
          <w:b/>
          <w:bCs/>
          <w:i/>
          <w:iCs/>
        </w:rPr>
        <w:t>Workflow insight</w:t>
      </w:r>
      <w:r w:rsidRPr="00A939B0">
        <w:rPr>
          <w:i/>
          <w:iCs/>
        </w:rPr>
        <w:t xml:space="preserve">: Getting these times accurate </w:t>
      </w:r>
      <w:r w:rsidR="00A939B0" w:rsidRPr="00A939B0">
        <w:rPr>
          <w:i/>
          <w:iCs/>
        </w:rPr>
        <w:t>for</w:t>
      </w:r>
      <w:r w:rsidRPr="00A939B0">
        <w:rPr>
          <w:i/>
          <w:iCs/>
        </w:rPr>
        <w:t xml:space="preserve"> your organization</w:t>
      </w:r>
      <w:r w:rsidR="00A939B0" w:rsidRPr="00A939B0">
        <w:rPr>
          <w:i/>
          <w:iCs/>
        </w:rPr>
        <w:t>’</w:t>
      </w:r>
      <w:r w:rsidRPr="00A939B0">
        <w:rPr>
          <w:i/>
          <w:iCs/>
        </w:rPr>
        <w:t xml:space="preserve">s needs significantly reduces scheduling errors and the number of </w:t>
      </w:r>
      <w:r w:rsidR="00A939B0" w:rsidRPr="00A939B0">
        <w:rPr>
          <w:i/>
          <w:iCs/>
        </w:rPr>
        <w:t>steps</w:t>
      </w:r>
      <w:r w:rsidRPr="00A939B0">
        <w:rPr>
          <w:i/>
          <w:iCs/>
        </w:rPr>
        <w:t xml:space="preserve"> required to schedule an appointment. </w:t>
      </w:r>
      <w:r w:rsidR="00A939B0" w:rsidRPr="00A939B0">
        <w:rPr>
          <w:i/>
          <w:iCs/>
        </w:rPr>
        <w:t>Having p</w:t>
      </w:r>
      <w:r w:rsidRPr="00A939B0">
        <w:rPr>
          <w:i/>
          <w:iCs/>
        </w:rPr>
        <w:t xml:space="preserve">rocedure times </w:t>
      </w:r>
      <w:r w:rsidR="00A939B0" w:rsidRPr="00A939B0">
        <w:rPr>
          <w:i/>
          <w:iCs/>
        </w:rPr>
        <w:t>set up is</w:t>
      </w:r>
      <w:r w:rsidRPr="00A939B0">
        <w:rPr>
          <w:i/>
          <w:iCs/>
        </w:rPr>
        <w:t xml:space="preserve"> ideal for supporting call center operations or centralized scheduling processes. </w:t>
      </w:r>
    </w:p>
    <w:p w14:paraId="0A6999A1" w14:textId="62107D7D" w:rsidR="00626E37" w:rsidRDefault="00626E37" w:rsidP="00626E37">
      <w:pPr>
        <w:pStyle w:val="Heading4"/>
      </w:pPr>
      <w:r>
        <w:t>Multi-code Timing</w:t>
      </w:r>
    </w:p>
    <w:p w14:paraId="37863682" w14:textId="0A83DF36" w:rsidR="00626E37" w:rsidRDefault="00626E37" w:rsidP="00626E37">
      <w:pPr>
        <w:pStyle w:val="BodyText"/>
      </w:pPr>
      <w:r>
        <w:t>You can create multi-codes to assist with scheduling needs. A multi-</w:t>
      </w:r>
      <w:proofErr w:type="gramStart"/>
      <w:r>
        <w:t>codes</w:t>
      </w:r>
      <w:proofErr w:type="gramEnd"/>
      <w:r>
        <w:t xml:space="preserve"> is a set of procedures that are performed together. When you schedule a multi-code for an appointment, Dentrix Enterprise automatically sets the default time of that multi-code as the appointment length.</w:t>
      </w:r>
    </w:p>
    <w:p w14:paraId="3C2AD6A8" w14:textId="581EFABE" w:rsidR="00A46FB0" w:rsidRDefault="001C6E97" w:rsidP="00A46FB0">
      <w:pPr>
        <w:pStyle w:val="Heading4"/>
      </w:pPr>
      <w:r>
        <w:t xml:space="preserve">Time </w:t>
      </w:r>
      <w:r w:rsidR="00A939B0">
        <w:t>P</w:t>
      </w:r>
      <w:r>
        <w:t>atterns</w:t>
      </w:r>
    </w:p>
    <w:p w14:paraId="7ED89D3E" w14:textId="42366F9B" w:rsidR="001C6E97" w:rsidRDefault="00A46FB0" w:rsidP="00A46FB0">
      <w:pPr>
        <w:pStyle w:val="BodyText"/>
      </w:pPr>
      <w:r>
        <w:t>Time patterns</w:t>
      </w:r>
      <w:r w:rsidR="00A939B0">
        <w:t xml:space="preserve"> (X, /, and - </w:t>
      </w:r>
      <w:r w:rsidR="00F47D1F">
        <w:t xml:space="preserve">symbols </w:t>
      </w:r>
      <w:r w:rsidR="00A939B0">
        <w:t>on the left edge of an appointment tile)</w:t>
      </w:r>
      <w:r>
        <w:t xml:space="preserve"> </w:t>
      </w:r>
      <w:r w:rsidR="00A939B0">
        <w:t>can help you identify</w:t>
      </w:r>
      <w:r w:rsidR="001C6E97">
        <w:t xml:space="preserve"> the intended </w:t>
      </w:r>
      <w:r w:rsidR="00A939B0">
        <w:t>allotment</w:t>
      </w:r>
      <w:r w:rsidR="001C6E97">
        <w:t xml:space="preserve"> of provider</w:t>
      </w:r>
      <w:r w:rsidR="00626E37">
        <w:t xml:space="preserve"> (X)</w:t>
      </w:r>
      <w:r w:rsidR="001C6E97">
        <w:t>, assistant</w:t>
      </w:r>
      <w:r w:rsidR="00626E37">
        <w:t xml:space="preserve"> (/)</w:t>
      </w:r>
      <w:r w:rsidR="001C6E97">
        <w:t>, and chair</w:t>
      </w:r>
      <w:r w:rsidR="00626E37">
        <w:t xml:space="preserve"> (-)</w:t>
      </w:r>
      <w:r w:rsidR="001C6E97">
        <w:t xml:space="preserve"> time.</w:t>
      </w:r>
      <w:r w:rsidR="00A939B0">
        <w:t xml:space="preserve"> </w:t>
      </w:r>
      <w:r w:rsidR="00626E37">
        <w:t xml:space="preserve">You can assign time patterns to procedure codes and multi-codes. </w:t>
      </w:r>
      <w:r w:rsidR="001C6E97">
        <w:t xml:space="preserve">Time patterns can be useful when </w:t>
      </w:r>
      <w:r w:rsidR="00A939B0">
        <w:t xml:space="preserve">you are </w:t>
      </w:r>
      <w:r w:rsidR="001C6E97">
        <w:t>scheduling an individual provider across multiple operatories. These patterns indicate whe</w:t>
      </w:r>
      <w:r w:rsidR="00A939B0">
        <w:t>n</w:t>
      </w:r>
      <w:r w:rsidR="001C6E97">
        <w:t xml:space="preserve"> providers are available. </w:t>
      </w:r>
    </w:p>
    <w:p w14:paraId="68569706" w14:textId="6115EA31" w:rsidR="001C6E97" w:rsidRPr="00B57D8B" w:rsidRDefault="001C6E97" w:rsidP="00A46FB0">
      <w:pPr>
        <w:pStyle w:val="BodyText"/>
        <w:rPr>
          <w:i/>
          <w:iCs/>
        </w:rPr>
      </w:pPr>
      <w:r w:rsidRPr="00B57D8B">
        <w:rPr>
          <w:b/>
          <w:bCs/>
          <w:i/>
          <w:iCs/>
        </w:rPr>
        <w:t>Workflow Insight</w:t>
      </w:r>
      <w:r w:rsidRPr="00B57D8B">
        <w:rPr>
          <w:i/>
          <w:iCs/>
        </w:rPr>
        <w:t xml:space="preserve">: </w:t>
      </w:r>
      <w:r w:rsidR="00626E37" w:rsidRPr="00B57D8B">
        <w:rPr>
          <w:i/>
          <w:iCs/>
        </w:rPr>
        <w:t xml:space="preserve">A warning message appears if you attempt to double-book a provider (schedule an appointment with </w:t>
      </w:r>
      <w:r w:rsidR="00F47D1F" w:rsidRPr="00B57D8B">
        <w:rPr>
          <w:i/>
          <w:iCs/>
        </w:rPr>
        <w:t>that</w:t>
      </w:r>
      <w:r w:rsidR="00626E37" w:rsidRPr="00B57D8B">
        <w:rPr>
          <w:i/>
          <w:iCs/>
        </w:rPr>
        <w:t xml:space="preserve"> provider </w:t>
      </w:r>
      <w:r w:rsidR="00F47D1F" w:rsidRPr="00B57D8B">
        <w:rPr>
          <w:i/>
          <w:iCs/>
        </w:rPr>
        <w:t xml:space="preserve">if the appointment has </w:t>
      </w:r>
      <w:r w:rsidR="00626E37" w:rsidRPr="00B57D8B">
        <w:rPr>
          <w:i/>
          <w:iCs/>
        </w:rPr>
        <w:t xml:space="preserve">provider time that overlaps </w:t>
      </w:r>
      <w:r w:rsidR="00F47D1F" w:rsidRPr="00B57D8B">
        <w:rPr>
          <w:i/>
          <w:iCs/>
        </w:rPr>
        <w:t xml:space="preserve">with the provider time of an appointment with the same provider in another </w:t>
      </w:r>
      <w:r w:rsidR="00626E37" w:rsidRPr="00B57D8B">
        <w:rPr>
          <w:i/>
          <w:iCs/>
        </w:rPr>
        <w:t>operatory</w:t>
      </w:r>
      <w:r w:rsidR="00F47D1F" w:rsidRPr="00B57D8B">
        <w:rPr>
          <w:i/>
          <w:iCs/>
        </w:rPr>
        <w:t>)</w:t>
      </w:r>
      <w:r w:rsidR="00626E37" w:rsidRPr="00B57D8B">
        <w:rPr>
          <w:i/>
          <w:iCs/>
        </w:rPr>
        <w:t>. Dentrix Enterprise</w:t>
      </w:r>
      <w:r w:rsidRPr="00B57D8B">
        <w:rPr>
          <w:i/>
          <w:iCs/>
        </w:rPr>
        <w:t xml:space="preserve"> prevent</w:t>
      </w:r>
      <w:r w:rsidR="00626E37" w:rsidRPr="00B57D8B">
        <w:rPr>
          <w:i/>
          <w:iCs/>
        </w:rPr>
        <w:t>s</w:t>
      </w:r>
      <w:r w:rsidRPr="00B57D8B">
        <w:rPr>
          <w:i/>
          <w:iCs/>
        </w:rPr>
        <w:t xml:space="preserve"> </w:t>
      </w:r>
      <w:r w:rsidR="00626E37" w:rsidRPr="00B57D8B">
        <w:rPr>
          <w:i/>
          <w:iCs/>
        </w:rPr>
        <w:t xml:space="preserve">you from </w:t>
      </w:r>
      <w:r w:rsidRPr="00B57D8B">
        <w:rPr>
          <w:i/>
          <w:iCs/>
        </w:rPr>
        <w:t xml:space="preserve">scheduling </w:t>
      </w:r>
      <w:r w:rsidR="00F47D1F" w:rsidRPr="00B57D8B">
        <w:rPr>
          <w:i/>
          <w:iCs/>
        </w:rPr>
        <w:t xml:space="preserve">a </w:t>
      </w:r>
      <w:r w:rsidRPr="00B57D8B">
        <w:rPr>
          <w:i/>
          <w:iCs/>
        </w:rPr>
        <w:t>provider</w:t>
      </w:r>
      <w:r w:rsidR="00F47D1F" w:rsidRPr="00B57D8B">
        <w:rPr>
          <w:i/>
          <w:iCs/>
        </w:rPr>
        <w:t>’s time</w:t>
      </w:r>
      <w:r w:rsidRPr="00B57D8B">
        <w:rPr>
          <w:i/>
          <w:iCs/>
        </w:rPr>
        <w:t xml:space="preserve"> </w:t>
      </w:r>
      <w:r w:rsidR="00F47D1F" w:rsidRPr="00B57D8B">
        <w:rPr>
          <w:i/>
          <w:iCs/>
        </w:rPr>
        <w:t xml:space="preserve">that overlaps </w:t>
      </w:r>
      <w:r w:rsidRPr="00B57D8B">
        <w:rPr>
          <w:i/>
          <w:iCs/>
        </w:rPr>
        <w:t xml:space="preserve">across three or more operatories.   </w:t>
      </w:r>
    </w:p>
    <w:p w14:paraId="5CEC9EB0" w14:textId="0A14C724" w:rsidR="001C6E97" w:rsidRPr="00B57D8B" w:rsidRDefault="001C6E97" w:rsidP="00A46FB0">
      <w:pPr>
        <w:pStyle w:val="BodyText"/>
        <w:rPr>
          <w:i/>
          <w:iCs/>
        </w:rPr>
      </w:pPr>
      <w:r w:rsidRPr="00B57D8B">
        <w:rPr>
          <w:b/>
          <w:bCs/>
          <w:i/>
          <w:iCs/>
        </w:rPr>
        <w:t>Operations Insight</w:t>
      </w:r>
      <w:r w:rsidRPr="00B57D8B">
        <w:rPr>
          <w:i/>
          <w:iCs/>
        </w:rPr>
        <w:t xml:space="preserve">: One thing you can do to optimize your schedule is to know how long specific procedures take. Conducting a time study to determine average procedure times will assist </w:t>
      </w:r>
      <w:r w:rsidR="00B57D8B" w:rsidRPr="00B57D8B">
        <w:rPr>
          <w:i/>
          <w:iCs/>
        </w:rPr>
        <w:t xml:space="preserve">you </w:t>
      </w:r>
      <w:r w:rsidRPr="00B57D8B">
        <w:rPr>
          <w:i/>
          <w:iCs/>
        </w:rPr>
        <w:t xml:space="preserve">in creating more accurate scheduling blocks and lead to less empty-chair time. </w:t>
      </w:r>
    </w:p>
    <w:p w14:paraId="3DE19A48" w14:textId="77777777" w:rsidR="00A30FFA" w:rsidRDefault="001C6E97" w:rsidP="00D42C5A">
      <w:pPr>
        <w:pStyle w:val="Heading3"/>
      </w:pPr>
      <w:bookmarkStart w:id="99" w:name="_Toc135416686"/>
      <w:bookmarkStart w:id="100" w:name="_Toc146183282"/>
      <w:r>
        <w:t>Perfect Day Scheduling</w:t>
      </w:r>
      <w:bookmarkEnd w:id="99"/>
      <w:bookmarkEnd w:id="100"/>
    </w:p>
    <w:p w14:paraId="7C90BA26" w14:textId="1A655E5B" w:rsidR="001C6E97" w:rsidRDefault="001C6E97" w:rsidP="001C6E97">
      <w:pPr>
        <w:pStyle w:val="BodyText"/>
      </w:pPr>
      <w:r>
        <w:t xml:space="preserve">Maintain and update templates for the “perfect” daily schedule that meets the needs of the individual provider, clinic, and the organization.  </w:t>
      </w:r>
    </w:p>
    <w:p w14:paraId="57423971" w14:textId="77777777" w:rsidR="001C6E97" w:rsidRDefault="001C6E97" w:rsidP="001C6E97">
      <w:pPr>
        <w:pStyle w:val="BodyText"/>
      </w:pPr>
      <w:r w:rsidRPr="00A37B2A">
        <w:rPr>
          <w:color w:val="00B050"/>
        </w:rPr>
        <w:t>&lt;&lt;Insert Perfect Day Scheduling decision support/SOP/guidance here&gt;&gt;</w:t>
      </w:r>
    </w:p>
    <w:p w14:paraId="22A284C9" w14:textId="196D014A" w:rsidR="001C6E97" w:rsidRPr="001D78C1" w:rsidRDefault="001C6E97" w:rsidP="001C6E97">
      <w:pPr>
        <w:pStyle w:val="BodyText"/>
        <w:rPr>
          <w:color w:val="00B050"/>
        </w:rPr>
      </w:pPr>
      <w:r w:rsidRPr="001D78C1">
        <w:rPr>
          <w:color w:val="00B050"/>
        </w:rPr>
        <w:t xml:space="preserve">Sample </w:t>
      </w:r>
      <w:r w:rsidR="005B68B1" w:rsidRPr="001D78C1">
        <w:rPr>
          <w:color w:val="00B050"/>
        </w:rPr>
        <w:t>guidelines</w:t>
      </w:r>
      <w:r w:rsidRPr="001D78C1">
        <w:rPr>
          <w:color w:val="00B050"/>
        </w:rPr>
        <w:t xml:space="preserve">: </w:t>
      </w:r>
    </w:p>
    <w:p w14:paraId="4FCCD99A" w14:textId="4B68EA54" w:rsidR="001C6E97" w:rsidRPr="001D78C1" w:rsidRDefault="001C6E97">
      <w:pPr>
        <w:pStyle w:val="BodyText"/>
        <w:numPr>
          <w:ilvl w:val="0"/>
          <w:numId w:val="18"/>
        </w:numPr>
        <w:ind w:left="540" w:hanging="360"/>
        <w:rPr>
          <w:color w:val="00B050"/>
        </w:rPr>
      </w:pPr>
      <w:r w:rsidRPr="001D78C1">
        <w:rPr>
          <w:color w:val="00B050"/>
        </w:rPr>
        <w:t xml:space="preserve">To allow for </w:t>
      </w:r>
      <w:r w:rsidR="00B57D8B" w:rsidRPr="001D78C1">
        <w:rPr>
          <w:color w:val="00B050"/>
        </w:rPr>
        <w:t>n</w:t>
      </w:r>
      <w:r w:rsidRPr="001D78C1">
        <w:rPr>
          <w:color w:val="00B050"/>
        </w:rPr>
        <w:t xml:space="preserve">ew </w:t>
      </w:r>
      <w:r w:rsidR="00B57D8B" w:rsidRPr="001D78C1">
        <w:rPr>
          <w:color w:val="00B050"/>
        </w:rPr>
        <w:t>p</w:t>
      </w:r>
      <w:r w:rsidRPr="001D78C1">
        <w:rPr>
          <w:color w:val="00B050"/>
        </w:rPr>
        <w:t>atient’s to be seen without extended wait times</w:t>
      </w:r>
      <w:r w:rsidR="00B57D8B" w:rsidRPr="001D78C1">
        <w:rPr>
          <w:color w:val="00B050"/>
        </w:rPr>
        <w:t>, u</w:t>
      </w:r>
      <w:r w:rsidRPr="001D78C1">
        <w:rPr>
          <w:color w:val="00B050"/>
        </w:rPr>
        <w:t xml:space="preserve">se time blocks to </w:t>
      </w:r>
      <w:r w:rsidR="00B57D8B" w:rsidRPr="001D78C1">
        <w:rPr>
          <w:color w:val="00B050"/>
        </w:rPr>
        <w:t>r</w:t>
      </w:r>
      <w:r w:rsidRPr="001D78C1">
        <w:rPr>
          <w:color w:val="00B050"/>
        </w:rPr>
        <w:t xml:space="preserve">eserve </w:t>
      </w:r>
      <w:r w:rsidR="00B57D8B" w:rsidRPr="001D78C1">
        <w:rPr>
          <w:color w:val="00B050"/>
        </w:rPr>
        <w:t>three</w:t>
      </w:r>
      <w:r w:rsidRPr="001D78C1">
        <w:rPr>
          <w:color w:val="00B050"/>
        </w:rPr>
        <w:t xml:space="preserve"> </w:t>
      </w:r>
      <w:r w:rsidR="00B57D8B" w:rsidRPr="001D78C1">
        <w:rPr>
          <w:color w:val="00B050"/>
        </w:rPr>
        <w:t>n</w:t>
      </w:r>
      <w:r w:rsidRPr="001D78C1">
        <w:rPr>
          <w:color w:val="00B050"/>
        </w:rPr>
        <w:t>ew</w:t>
      </w:r>
      <w:r w:rsidR="00B57D8B" w:rsidRPr="001D78C1">
        <w:rPr>
          <w:color w:val="00B050"/>
        </w:rPr>
        <w:t>-p</w:t>
      </w:r>
      <w:r w:rsidRPr="001D78C1">
        <w:rPr>
          <w:color w:val="00B050"/>
        </w:rPr>
        <w:t xml:space="preserve">atient appointments per week.  Do not release these times for other patients until 48 hours </w:t>
      </w:r>
      <w:r w:rsidR="00B57D8B" w:rsidRPr="001D78C1">
        <w:rPr>
          <w:color w:val="00B050"/>
        </w:rPr>
        <w:t>before</w:t>
      </w:r>
      <w:r w:rsidRPr="001D78C1">
        <w:rPr>
          <w:color w:val="00B050"/>
        </w:rPr>
        <w:t xml:space="preserve">.  </w:t>
      </w:r>
    </w:p>
    <w:p w14:paraId="00C4C6D6" w14:textId="7A3C29D2" w:rsidR="001C6E97" w:rsidRPr="001D78C1" w:rsidRDefault="001C6E97">
      <w:pPr>
        <w:pStyle w:val="BodyText"/>
        <w:numPr>
          <w:ilvl w:val="0"/>
          <w:numId w:val="18"/>
        </w:numPr>
        <w:ind w:left="540" w:hanging="360"/>
        <w:rPr>
          <w:color w:val="00B050"/>
        </w:rPr>
      </w:pPr>
      <w:r w:rsidRPr="001D78C1">
        <w:rPr>
          <w:color w:val="00B050"/>
        </w:rPr>
        <w:t>To meet production goals</w:t>
      </w:r>
      <w:r w:rsidR="00B57D8B" w:rsidRPr="001D78C1">
        <w:rPr>
          <w:color w:val="00B050"/>
        </w:rPr>
        <w:t>, set up t</w:t>
      </w:r>
      <w:r w:rsidRPr="001D78C1">
        <w:rPr>
          <w:color w:val="00B050"/>
        </w:rPr>
        <w:t>ime blocks</w:t>
      </w:r>
      <w:r w:rsidR="00B57D8B" w:rsidRPr="001D78C1">
        <w:rPr>
          <w:color w:val="00B050"/>
        </w:rPr>
        <w:t xml:space="preserve"> to</w:t>
      </w:r>
      <w:r w:rsidRPr="001D78C1">
        <w:rPr>
          <w:color w:val="00B050"/>
        </w:rPr>
        <w:t xml:space="preserve"> ensure </w:t>
      </w:r>
      <w:r w:rsidR="00B57D8B" w:rsidRPr="001D78C1">
        <w:rPr>
          <w:color w:val="00B050"/>
        </w:rPr>
        <w:t xml:space="preserve">that </w:t>
      </w:r>
      <w:r w:rsidRPr="001D78C1">
        <w:rPr>
          <w:color w:val="00B050"/>
        </w:rPr>
        <w:t xml:space="preserve">each provider is scheduled to meet the daily goal. Use the blocks to search for the available times that align with the amount of production </w:t>
      </w:r>
      <w:r w:rsidR="00B57D8B" w:rsidRPr="001D78C1">
        <w:rPr>
          <w:color w:val="00B050"/>
        </w:rPr>
        <w:t xml:space="preserve">that </w:t>
      </w:r>
      <w:r w:rsidRPr="001D78C1">
        <w:rPr>
          <w:color w:val="00B050"/>
        </w:rPr>
        <w:t xml:space="preserve">you are scheduling.  </w:t>
      </w:r>
    </w:p>
    <w:p w14:paraId="37F137CA" w14:textId="6D81210D" w:rsidR="001C6E97" w:rsidRPr="001D78C1" w:rsidRDefault="00B57D8B">
      <w:pPr>
        <w:pStyle w:val="BodyText"/>
        <w:numPr>
          <w:ilvl w:val="0"/>
          <w:numId w:val="18"/>
        </w:numPr>
        <w:ind w:left="540" w:hanging="360"/>
        <w:rPr>
          <w:color w:val="00B050"/>
        </w:rPr>
      </w:pPr>
      <w:r w:rsidRPr="001D78C1">
        <w:rPr>
          <w:color w:val="00B050"/>
        </w:rPr>
        <w:lastRenderedPageBreak/>
        <w:t>To identify e</w:t>
      </w:r>
      <w:r w:rsidR="001C6E97" w:rsidRPr="001D78C1">
        <w:rPr>
          <w:color w:val="00B050"/>
        </w:rPr>
        <w:t xml:space="preserve">mergency </w:t>
      </w:r>
      <w:proofErr w:type="gramStart"/>
      <w:r w:rsidRPr="001D78C1">
        <w:rPr>
          <w:color w:val="00B050"/>
        </w:rPr>
        <w:t>t</w:t>
      </w:r>
      <w:r w:rsidR="001C6E97" w:rsidRPr="001D78C1">
        <w:rPr>
          <w:color w:val="00B050"/>
        </w:rPr>
        <w:t>ime</w:t>
      </w:r>
      <w:proofErr w:type="gramEnd"/>
      <w:r w:rsidRPr="001D78C1">
        <w:rPr>
          <w:color w:val="00B050"/>
        </w:rPr>
        <w:t xml:space="preserve"> and communicate the optimal time to schedule emergencies each day,</w:t>
      </w:r>
      <w:r w:rsidR="001C6E97" w:rsidRPr="001D78C1">
        <w:rPr>
          <w:color w:val="00B050"/>
        </w:rPr>
        <w:t xml:space="preserve"> use the emergency time block.</w:t>
      </w:r>
    </w:p>
    <w:p w14:paraId="5D57467C" w14:textId="5AA0A4D2" w:rsidR="00A46FB0" w:rsidRPr="00A46FB0" w:rsidRDefault="001C6E97" w:rsidP="00A46FB0">
      <w:pPr>
        <w:pStyle w:val="Heading4"/>
      </w:pPr>
      <w:r>
        <w:t>Provid</w:t>
      </w:r>
      <w:r w:rsidRPr="00A46FB0">
        <w:t xml:space="preserve">er </w:t>
      </w:r>
      <w:r w:rsidR="00B57D8B">
        <w:t>S</w:t>
      </w:r>
      <w:r w:rsidRPr="00A46FB0">
        <w:t>etup</w:t>
      </w:r>
    </w:p>
    <w:p w14:paraId="3BF607FA" w14:textId="69050C9B" w:rsidR="001C6E97" w:rsidRDefault="00B57D8B" w:rsidP="00A46FB0">
      <w:pPr>
        <w:pStyle w:val="BodyText"/>
      </w:pPr>
      <w:r>
        <w:t>P</w:t>
      </w:r>
      <w:r w:rsidR="001C6E97" w:rsidRPr="00A46FB0">
        <w:t>rovid</w:t>
      </w:r>
      <w:r w:rsidR="001C6E97">
        <w:t xml:space="preserve">er hours and time block templates create the framework for searching </w:t>
      </w:r>
      <w:r>
        <w:t>for available appointment times.</w:t>
      </w:r>
    </w:p>
    <w:p w14:paraId="6DC7979E" w14:textId="2B8971CB" w:rsidR="00A46FB0" w:rsidRDefault="001C6E97" w:rsidP="00A46FB0">
      <w:pPr>
        <w:pStyle w:val="Heading4"/>
      </w:pPr>
      <w:r>
        <w:t xml:space="preserve">Appointment </w:t>
      </w:r>
      <w:r w:rsidR="00B57D8B">
        <w:t>T</w:t>
      </w:r>
      <w:r>
        <w:t>ypes</w:t>
      </w:r>
    </w:p>
    <w:p w14:paraId="64F71050" w14:textId="11116189" w:rsidR="001C6E97" w:rsidRDefault="00B57D8B" w:rsidP="001C6E97">
      <w:pPr>
        <w:pStyle w:val="BodyText"/>
      </w:pPr>
      <w:r>
        <w:t xml:space="preserve">Appointment </w:t>
      </w:r>
      <w:proofErr w:type="gramStart"/>
      <w:r>
        <w:t>types</w:t>
      </w:r>
      <w:proofErr w:type="gramEnd"/>
      <w:r w:rsidR="001C6E97">
        <w:t xml:space="preserve"> </w:t>
      </w:r>
      <w:r>
        <w:t>aid</w:t>
      </w:r>
      <w:r w:rsidR="001C6E97">
        <w:t xml:space="preserve"> in decision support messages</w:t>
      </w:r>
      <w:r w:rsidR="00A46FB0">
        <w:t xml:space="preserve">. </w:t>
      </w:r>
      <w:r>
        <w:t>Define</w:t>
      </w:r>
      <w:r w:rsidR="001C6E97">
        <w:t xml:space="preserve"> appointment types that support the needed templates</w:t>
      </w:r>
      <w:r w:rsidR="00A46FB0">
        <w:t>:</w:t>
      </w:r>
    </w:p>
    <w:p w14:paraId="7539C864" w14:textId="62D77206" w:rsidR="001C6E97" w:rsidRDefault="001C6E97">
      <w:pPr>
        <w:pStyle w:val="BodyText"/>
        <w:numPr>
          <w:ilvl w:val="0"/>
          <w:numId w:val="19"/>
        </w:numPr>
        <w:ind w:left="540"/>
      </w:pPr>
      <w:r>
        <w:t>New patients</w:t>
      </w:r>
      <w:r w:rsidR="00B57D8B">
        <w:t>.</w:t>
      </w:r>
    </w:p>
    <w:p w14:paraId="44C9A3C8" w14:textId="7E3E454A" w:rsidR="001C6E97" w:rsidRDefault="001C6E97">
      <w:pPr>
        <w:pStyle w:val="BodyText"/>
        <w:numPr>
          <w:ilvl w:val="0"/>
          <w:numId w:val="19"/>
        </w:numPr>
        <w:ind w:left="540"/>
      </w:pPr>
      <w:r>
        <w:t>Emergencies</w:t>
      </w:r>
      <w:r w:rsidR="00B57D8B">
        <w:t>.</w:t>
      </w:r>
    </w:p>
    <w:p w14:paraId="069D0873" w14:textId="35F5246A" w:rsidR="001C6E97" w:rsidRDefault="001C6E97">
      <w:pPr>
        <w:pStyle w:val="BodyText"/>
        <w:numPr>
          <w:ilvl w:val="0"/>
          <w:numId w:val="19"/>
        </w:numPr>
        <w:ind w:left="540"/>
      </w:pPr>
      <w:r>
        <w:t>Production goals</w:t>
      </w:r>
      <w:r w:rsidR="00B57D8B">
        <w:t>.</w:t>
      </w:r>
    </w:p>
    <w:p w14:paraId="1F43924B" w14:textId="6CDEBF3E" w:rsidR="00A46FB0" w:rsidRDefault="001C6E97" w:rsidP="00A46FB0">
      <w:pPr>
        <w:pStyle w:val="Heading4"/>
      </w:pPr>
      <w:r>
        <w:t xml:space="preserve">Procedure </w:t>
      </w:r>
      <w:r w:rsidR="00B57D8B">
        <w:t>C</w:t>
      </w:r>
      <w:r>
        <w:t>odes</w:t>
      </w:r>
    </w:p>
    <w:p w14:paraId="5159E09E" w14:textId="6225A25D" w:rsidR="001C6E97" w:rsidRDefault="00B57D8B" w:rsidP="001C6E97">
      <w:pPr>
        <w:pStyle w:val="BodyText"/>
      </w:pPr>
      <w:r>
        <w:t xml:space="preserve">Link </w:t>
      </w:r>
      <w:r w:rsidR="001C6E97">
        <w:t>appointment types to support the scheduled time block templates</w:t>
      </w:r>
      <w:r>
        <w:t>:</w:t>
      </w:r>
    </w:p>
    <w:p w14:paraId="000AFA20" w14:textId="607574C7" w:rsidR="001C6E97" w:rsidRDefault="001C6E97">
      <w:pPr>
        <w:pStyle w:val="BodyText"/>
        <w:numPr>
          <w:ilvl w:val="0"/>
          <w:numId w:val="20"/>
        </w:numPr>
        <w:ind w:left="540"/>
      </w:pPr>
      <w:r>
        <w:t>Schedule with codes to support or avoid time blocks.</w:t>
      </w:r>
    </w:p>
    <w:p w14:paraId="402A403E" w14:textId="7EF16A1C" w:rsidR="001C6E97" w:rsidRDefault="001C6E97">
      <w:pPr>
        <w:pStyle w:val="BodyText"/>
        <w:numPr>
          <w:ilvl w:val="0"/>
          <w:numId w:val="20"/>
        </w:numPr>
        <w:ind w:left="540"/>
      </w:pPr>
      <w:r>
        <w:t>Edit procedures codes to include a supporting appointment type</w:t>
      </w:r>
      <w:r w:rsidR="009529C5">
        <w:t>:</w:t>
      </w:r>
    </w:p>
    <w:p w14:paraId="2FEF6138" w14:textId="06A21FCC" w:rsidR="001C6E97" w:rsidRDefault="0046697F">
      <w:pPr>
        <w:pStyle w:val="BodyText"/>
        <w:numPr>
          <w:ilvl w:val="0"/>
          <w:numId w:val="20"/>
        </w:numPr>
        <w:ind w:left="1080"/>
      </w:pPr>
      <w:r>
        <w:t>“</w:t>
      </w:r>
      <w:r w:rsidR="00B57D8B">
        <w:t>N</w:t>
      </w:r>
      <w:r w:rsidR="001C6E97">
        <w:t>ew patient</w:t>
      </w:r>
      <w:r>
        <w:t>” for</w:t>
      </w:r>
      <w:r w:rsidR="00B57D8B">
        <w:t xml:space="preserve"> D0150.</w:t>
      </w:r>
    </w:p>
    <w:p w14:paraId="0D716887" w14:textId="19C92292" w:rsidR="001C6E97" w:rsidRDefault="0046697F">
      <w:pPr>
        <w:pStyle w:val="BodyText"/>
        <w:numPr>
          <w:ilvl w:val="0"/>
          <w:numId w:val="20"/>
        </w:numPr>
        <w:ind w:left="1080"/>
      </w:pPr>
      <w:r>
        <w:t>“</w:t>
      </w:r>
      <w:r w:rsidR="001C6E97">
        <w:t>Emergency</w:t>
      </w:r>
      <w:r>
        <w:t>”</w:t>
      </w:r>
      <w:r w:rsidR="00B57D8B">
        <w:t xml:space="preserve"> </w:t>
      </w:r>
      <w:r>
        <w:t>for</w:t>
      </w:r>
      <w:r w:rsidR="00B57D8B">
        <w:t xml:space="preserve"> D0140.</w:t>
      </w:r>
    </w:p>
    <w:p w14:paraId="52C3CBF3" w14:textId="6E6C314F" w:rsidR="001C6E97" w:rsidRDefault="0046697F">
      <w:pPr>
        <w:pStyle w:val="BodyText"/>
        <w:numPr>
          <w:ilvl w:val="0"/>
          <w:numId w:val="20"/>
        </w:numPr>
        <w:ind w:left="1080"/>
      </w:pPr>
      <w:r>
        <w:t>“</w:t>
      </w:r>
      <w:r w:rsidR="00B57D8B">
        <w:t>Production</w:t>
      </w:r>
      <w:r>
        <w:t>”</w:t>
      </w:r>
      <w:r w:rsidR="00B57D8B">
        <w:t xml:space="preserve"> </w:t>
      </w:r>
      <w:r>
        <w:t>for</w:t>
      </w:r>
      <w:r w:rsidR="00B57D8B">
        <w:t xml:space="preserve"> </w:t>
      </w:r>
      <w:r w:rsidR="001C6E97">
        <w:t>D2750, D3310</w:t>
      </w:r>
      <w:r w:rsidR="00B57D8B">
        <w:t>–</w:t>
      </w:r>
      <w:r w:rsidR="001C6E97">
        <w:t xml:space="preserve">D3330, D4341, </w:t>
      </w:r>
      <w:r w:rsidR="00B57D8B">
        <w:t xml:space="preserve">and </w:t>
      </w:r>
      <w:r w:rsidR="001C6E97">
        <w:t>D5110</w:t>
      </w:r>
      <w:r w:rsidR="00B57D8B">
        <w:t>–</w:t>
      </w:r>
      <w:r w:rsidR="001C6E97">
        <w:t>D5226</w:t>
      </w:r>
      <w:r w:rsidR="00B57D8B">
        <w:t>.</w:t>
      </w:r>
    </w:p>
    <w:p w14:paraId="5FA2621C" w14:textId="5B7C8FBF" w:rsidR="00595AC7" w:rsidRDefault="001C6E97" w:rsidP="00595AC7">
      <w:pPr>
        <w:pStyle w:val="Heading4"/>
      </w:pPr>
      <w:r>
        <w:t xml:space="preserve">Find </w:t>
      </w:r>
      <w:r w:rsidR="009529C5">
        <w:t>N</w:t>
      </w:r>
      <w:r>
        <w:t xml:space="preserve">ew Appointment </w:t>
      </w:r>
      <w:r w:rsidR="009529C5">
        <w:t>T</w:t>
      </w:r>
      <w:r>
        <w:t>ime</w:t>
      </w:r>
    </w:p>
    <w:p w14:paraId="48245907" w14:textId="29263665" w:rsidR="001C6E97" w:rsidRDefault="001C6E97" w:rsidP="001C6E97">
      <w:pPr>
        <w:pStyle w:val="BodyText"/>
      </w:pPr>
      <w:r>
        <w:t>Search by selected time blocks</w:t>
      </w:r>
      <w:r w:rsidR="009529C5">
        <w:t>, i</w:t>
      </w:r>
      <w:r>
        <w:t xml:space="preserve">ncorporating the Next Available Appointment Time </w:t>
      </w:r>
      <w:r w:rsidR="009529C5">
        <w:t>m</w:t>
      </w:r>
      <w:r>
        <w:t>etric (</w:t>
      </w:r>
      <w:r w:rsidR="009529C5">
        <w:t>third</w:t>
      </w:r>
      <w:r>
        <w:t xml:space="preserve"> next appointment)</w:t>
      </w:r>
      <w:r w:rsidR="009529C5">
        <w:t>.</w:t>
      </w:r>
    </w:p>
    <w:p w14:paraId="6B909BC9" w14:textId="77777777" w:rsidR="00595AC7" w:rsidRDefault="001C6E97" w:rsidP="00595AC7">
      <w:pPr>
        <w:pStyle w:val="Heading4"/>
      </w:pPr>
      <w:r>
        <w:t>Time Blocks</w:t>
      </w:r>
    </w:p>
    <w:p w14:paraId="35784E31" w14:textId="5A0BB2F4" w:rsidR="001C6E97" w:rsidRDefault="00595AC7" w:rsidP="001C6E97">
      <w:pPr>
        <w:pStyle w:val="BodyText"/>
      </w:pPr>
      <w:r>
        <w:t xml:space="preserve">Time blocks </w:t>
      </w:r>
      <w:r w:rsidR="001C6E97">
        <w:t xml:space="preserve">are set up per provider and </w:t>
      </w:r>
      <w:proofErr w:type="gramStart"/>
      <w:r w:rsidR="001C6E97">
        <w:t>operatory</w:t>
      </w:r>
      <w:proofErr w:type="gramEnd"/>
      <w:r w:rsidR="001C6E97">
        <w:t xml:space="preserve">. </w:t>
      </w:r>
      <w:r w:rsidR="009529C5">
        <w:t>Keep t</w:t>
      </w:r>
      <w:r w:rsidR="001C6E97">
        <w:t>he following essential</w:t>
      </w:r>
      <w:r w:rsidR="009529C5">
        <w:t>s</w:t>
      </w:r>
      <w:r w:rsidR="001C6E97">
        <w:t xml:space="preserve"> in mind when </w:t>
      </w:r>
      <w:r w:rsidR="009529C5">
        <w:t xml:space="preserve">you are </w:t>
      </w:r>
      <w:r w:rsidR="001C6E97">
        <w:t>setting up time blocks:</w:t>
      </w:r>
    </w:p>
    <w:p w14:paraId="635C6FD0" w14:textId="0CA77D2A" w:rsidR="001C6E97" w:rsidRDefault="001C6E97">
      <w:pPr>
        <w:pStyle w:val="BodyText"/>
        <w:numPr>
          <w:ilvl w:val="0"/>
          <w:numId w:val="21"/>
        </w:numPr>
        <w:ind w:left="540"/>
      </w:pPr>
      <w:r>
        <w:t xml:space="preserve">The </w:t>
      </w:r>
      <w:r w:rsidR="009529C5">
        <w:t xml:space="preserve">number of available </w:t>
      </w:r>
      <w:r>
        <w:t>time blocks</w:t>
      </w:r>
      <w:r w:rsidR="009529C5">
        <w:t xml:space="preserve"> is </w:t>
      </w:r>
      <w:r>
        <w:t xml:space="preserve">limited to </w:t>
      </w:r>
      <w:r w:rsidR="009529C5">
        <w:t>six</w:t>
      </w:r>
      <w:r>
        <w:t xml:space="preserve"> per provider and a total of 20 per view.  </w:t>
      </w:r>
    </w:p>
    <w:p w14:paraId="6C3A5960" w14:textId="079699D8" w:rsidR="001C6E97" w:rsidRDefault="001C6E97">
      <w:pPr>
        <w:pStyle w:val="BodyText"/>
        <w:numPr>
          <w:ilvl w:val="0"/>
          <w:numId w:val="21"/>
        </w:numPr>
        <w:ind w:left="540"/>
      </w:pPr>
      <w:r>
        <w:t xml:space="preserve">The use of time blocks significantly enhances the process for identifying available appointment times that meet the needs of both the organization and the patients. </w:t>
      </w:r>
    </w:p>
    <w:p w14:paraId="15839769" w14:textId="3EAAE541" w:rsidR="001C6E97" w:rsidRDefault="009529C5">
      <w:pPr>
        <w:pStyle w:val="BodyText"/>
        <w:numPr>
          <w:ilvl w:val="0"/>
          <w:numId w:val="21"/>
        </w:numPr>
        <w:ind w:left="540"/>
      </w:pPr>
      <w:r>
        <w:t>You can adjust t</w:t>
      </w:r>
      <w:r w:rsidR="001C6E97">
        <w:t xml:space="preserve">ime </w:t>
      </w:r>
      <w:r>
        <w:t>b</w:t>
      </w:r>
      <w:r w:rsidR="001C6E97">
        <w:t xml:space="preserve">locks individually as needed. Time block flexibility provides a streamlined process for the teams to communicate scheduling changes or needs.  </w:t>
      </w:r>
    </w:p>
    <w:p w14:paraId="74546165" w14:textId="2E127DAD" w:rsidR="001C6E97" w:rsidRDefault="001C6E97">
      <w:pPr>
        <w:pStyle w:val="BodyText"/>
        <w:numPr>
          <w:ilvl w:val="0"/>
          <w:numId w:val="21"/>
        </w:numPr>
        <w:ind w:left="540"/>
      </w:pPr>
      <w:r>
        <w:t xml:space="preserve">There are no security </w:t>
      </w:r>
      <w:r w:rsidR="009529C5">
        <w:t>rights that</w:t>
      </w:r>
      <w:r>
        <w:t xml:space="preserve"> restrict </w:t>
      </w:r>
      <w:r w:rsidR="009529C5">
        <w:t xml:space="preserve">the </w:t>
      </w:r>
      <w:r>
        <w:t xml:space="preserve">editing, overriding, or clearing </w:t>
      </w:r>
      <w:r w:rsidR="009529C5">
        <w:t xml:space="preserve">of </w:t>
      </w:r>
      <w:r>
        <w:t xml:space="preserve">time blocks </w:t>
      </w:r>
      <w:r w:rsidR="009529C5">
        <w:t>in</w:t>
      </w:r>
      <w:r>
        <w:t xml:space="preserve"> the schedule.  </w:t>
      </w:r>
    </w:p>
    <w:p w14:paraId="6429601E" w14:textId="46F63E81" w:rsidR="001C6E97" w:rsidRDefault="009529C5">
      <w:pPr>
        <w:pStyle w:val="BodyText"/>
        <w:numPr>
          <w:ilvl w:val="0"/>
          <w:numId w:val="21"/>
        </w:numPr>
        <w:ind w:left="540"/>
      </w:pPr>
      <w:r>
        <w:t xml:space="preserve">Time blocks appear only if </w:t>
      </w:r>
      <w:r w:rsidR="001C6E97">
        <w:t xml:space="preserve">Perfect Day Scheduling </w:t>
      </w:r>
      <w:r>
        <w:t>is active in Appointment Book</w:t>
      </w:r>
      <w:r w:rsidR="001C6E97">
        <w:t xml:space="preserve">.  </w:t>
      </w:r>
    </w:p>
    <w:p w14:paraId="55D0E616" w14:textId="293171C1" w:rsidR="001C6E97" w:rsidRPr="009529C5" w:rsidRDefault="001C6E97" w:rsidP="001C6E97">
      <w:pPr>
        <w:pStyle w:val="BodyText"/>
        <w:rPr>
          <w:i/>
          <w:iCs/>
        </w:rPr>
      </w:pPr>
      <w:r w:rsidRPr="009529C5">
        <w:rPr>
          <w:b/>
          <w:bCs/>
          <w:i/>
          <w:iCs/>
        </w:rPr>
        <w:t>Operations Insight</w:t>
      </w:r>
      <w:r w:rsidRPr="009529C5">
        <w:rPr>
          <w:i/>
          <w:iCs/>
        </w:rPr>
        <w:t>: Effective scheduling templates stabilize production from one day to the next and reduce stress due to inconsistency in schedules.</w:t>
      </w:r>
    </w:p>
    <w:p w14:paraId="0E6BC6DB" w14:textId="48233404" w:rsidR="00A30FFA" w:rsidRDefault="001C6E97" w:rsidP="004267C0">
      <w:pPr>
        <w:pStyle w:val="Heading2"/>
      </w:pPr>
      <w:bookmarkStart w:id="101" w:name="_Toc135416687"/>
      <w:bookmarkStart w:id="102" w:name="_Toc146183283"/>
      <w:r>
        <w:lastRenderedPageBreak/>
        <w:t>Appointment Management</w:t>
      </w:r>
      <w:bookmarkEnd w:id="101"/>
      <w:bookmarkEnd w:id="102"/>
    </w:p>
    <w:p w14:paraId="4A17C776" w14:textId="66E586A8" w:rsidR="001C6E97" w:rsidRDefault="001C6E97" w:rsidP="001C6E97">
      <w:pPr>
        <w:pStyle w:val="BodyText"/>
      </w:pPr>
      <w:r>
        <w:t xml:space="preserve">Manage, document, and communicate modifications to your schedule.   </w:t>
      </w:r>
    </w:p>
    <w:p w14:paraId="0D4BE22C" w14:textId="77777777" w:rsidR="001C6E97" w:rsidRDefault="001C6E97" w:rsidP="001C6E97">
      <w:pPr>
        <w:pStyle w:val="BodyText"/>
      </w:pPr>
      <w:r w:rsidRPr="00A37B2A">
        <w:rPr>
          <w:color w:val="00B050"/>
        </w:rPr>
        <w:t>&lt;&lt;Insert Appointment Management decision support/SOP/guidance for scheduling policies&gt;&gt;</w:t>
      </w:r>
      <w:r>
        <w:t xml:space="preserve">  </w:t>
      </w:r>
    </w:p>
    <w:p w14:paraId="50DF17AB" w14:textId="77777777" w:rsidR="00595AC7" w:rsidRDefault="001C6E97" w:rsidP="00D42C5A">
      <w:pPr>
        <w:pStyle w:val="Heading3"/>
      </w:pPr>
      <w:bookmarkStart w:id="103" w:name="_Toc135416688"/>
      <w:bookmarkStart w:id="104" w:name="_Toc146183284"/>
      <w:r>
        <w:t>Broken Appointments</w:t>
      </w:r>
      <w:bookmarkEnd w:id="103"/>
      <w:bookmarkEnd w:id="104"/>
    </w:p>
    <w:p w14:paraId="0DCB0630" w14:textId="77777777" w:rsidR="00D800B3" w:rsidRDefault="009529C5" w:rsidP="001C6E97">
      <w:pPr>
        <w:pStyle w:val="BodyText"/>
      </w:pPr>
      <w:r>
        <w:t xml:space="preserve">You can break </w:t>
      </w:r>
      <w:r w:rsidR="001C6E97">
        <w:t>appointments to keep track of patient care</w:t>
      </w:r>
      <w:r>
        <w:t xml:space="preserve"> and </w:t>
      </w:r>
      <w:r w:rsidR="001C6E97">
        <w:t xml:space="preserve">document any </w:t>
      </w:r>
      <w:r>
        <w:t xml:space="preserve">no-shows or </w:t>
      </w:r>
      <w:r w:rsidR="001C6E97">
        <w:t>last-minute cancellations</w:t>
      </w:r>
      <w:r>
        <w:t xml:space="preserve"> </w:t>
      </w:r>
      <w:r w:rsidR="001C6E97">
        <w:t xml:space="preserve">or modifications. </w:t>
      </w:r>
      <w:r w:rsidR="00D800B3">
        <w:t>To break an appointment, do the following:</w:t>
      </w:r>
    </w:p>
    <w:p w14:paraId="36F6220B" w14:textId="77777777" w:rsidR="00D800B3" w:rsidRDefault="009529C5">
      <w:pPr>
        <w:pStyle w:val="BodyText"/>
        <w:numPr>
          <w:ilvl w:val="0"/>
          <w:numId w:val="155"/>
        </w:numPr>
        <w:ind w:left="540"/>
      </w:pPr>
      <w:r>
        <w:t>In</w:t>
      </w:r>
      <w:r w:rsidR="001C6E97">
        <w:t xml:space="preserve"> More Information, select </w:t>
      </w:r>
      <w:r w:rsidR="00D800B3">
        <w:t>the</w:t>
      </w:r>
      <w:r w:rsidR="001C6E97">
        <w:t xml:space="preserve"> appointment </w:t>
      </w:r>
      <w:r w:rsidR="00D800B3">
        <w:t>in</w:t>
      </w:r>
      <w:r w:rsidR="001C6E97">
        <w:t xml:space="preserve"> the </w:t>
      </w:r>
      <w:r w:rsidR="001C6E97" w:rsidRPr="00D800B3">
        <w:rPr>
          <w:b/>
          <w:bCs/>
        </w:rPr>
        <w:t>Next Appointments</w:t>
      </w:r>
      <w:r w:rsidR="001C6E97">
        <w:t xml:space="preserve"> list</w:t>
      </w:r>
      <w:r w:rsidR="00D800B3">
        <w:t>.</w:t>
      </w:r>
    </w:p>
    <w:p w14:paraId="33305F78" w14:textId="1B84C8D4" w:rsidR="001C6E97" w:rsidRDefault="00D800B3">
      <w:pPr>
        <w:pStyle w:val="BodyText"/>
        <w:numPr>
          <w:ilvl w:val="0"/>
          <w:numId w:val="155"/>
        </w:numPr>
        <w:ind w:left="540"/>
      </w:pPr>
      <w:r>
        <w:t xml:space="preserve">Click the </w:t>
      </w:r>
      <w:r w:rsidRPr="00D800B3">
        <w:rPr>
          <w:b/>
          <w:bCs/>
        </w:rPr>
        <w:t>Loca</w:t>
      </w:r>
      <w:r w:rsidR="001C6E97" w:rsidRPr="00D800B3">
        <w:rPr>
          <w:b/>
          <w:bCs/>
        </w:rPr>
        <w:t xml:space="preserve">te </w:t>
      </w:r>
      <w:r w:rsidRPr="00D800B3">
        <w:rPr>
          <w:b/>
          <w:bCs/>
        </w:rPr>
        <w:t>A</w:t>
      </w:r>
      <w:r w:rsidR="001C6E97" w:rsidRPr="00D800B3">
        <w:rPr>
          <w:b/>
          <w:bCs/>
        </w:rPr>
        <w:t>ppointment</w:t>
      </w:r>
      <w:r w:rsidR="001C6E97">
        <w:t xml:space="preserve"> </w:t>
      </w:r>
      <w:r>
        <w:t>button</w:t>
      </w:r>
      <w:bookmarkStart w:id="105" w:name="_Hlk137034931"/>
      <w:r>
        <w:t xml:space="preserve"> to view the appointment in </w:t>
      </w:r>
      <w:proofErr w:type="gramStart"/>
      <w:r>
        <w:t>Appointment</w:t>
      </w:r>
      <w:proofErr w:type="gramEnd"/>
      <w:r>
        <w:t xml:space="preserve"> Book using</w:t>
      </w:r>
      <w:r w:rsidR="001C6E97">
        <w:t xml:space="preserve"> the </w:t>
      </w:r>
      <w:r>
        <w:t xml:space="preserve">applicable </w:t>
      </w:r>
      <w:r w:rsidR="001C6E97">
        <w:t>view.</w:t>
      </w:r>
      <w:bookmarkEnd w:id="105"/>
    </w:p>
    <w:p w14:paraId="486EDB63" w14:textId="4D59F4CA" w:rsidR="00D800B3" w:rsidRDefault="001C6E97">
      <w:pPr>
        <w:pStyle w:val="BodyText"/>
        <w:numPr>
          <w:ilvl w:val="0"/>
          <w:numId w:val="155"/>
        </w:numPr>
        <w:ind w:left="540"/>
      </w:pPr>
      <w:r>
        <w:t>Right-click the appointment</w:t>
      </w:r>
      <w:r w:rsidR="00D800B3">
        <w:t>, and then click</w:t>
      </w:r>
      <w:r>
        <w:t xml:space="preserve"> </w:t>
      </w:r>
      <w:r w:rsidRPr="00D800B3">
        <w:rPr>
          <w:b/>
          <w:bCs/>
        </w:rPr>
        <w:t>Break Appointment</w:t>
      </w:r>
      <w:r>
        <w:t>.</w:t>
      </w:r>
    </w:p>
    <w:p w14:paraId="0F10D090" w14:textId="1050E29E" w:rsidR="00D800B3" w:rsidRDefault="00D800B3" w:rsidP="00D800B3">
      <w:pPr>
        <w:pStyle w:val="BodyText"/>
        <w:ind w:left="540"/>
      </w:pPr>
      <w:r w:rsidRPr="00D800B3">
        <w:t xml:space="preserve">The </w:t>
      </w:r>
      <w:r w:rsidRPr="00D800B3">
        <w:rPr>
          <w:b/>
          <w:bCs/>
        </w:rPr>
        <w:t>Break Appointment</w:t>
      </w:r>
      <w:r w:rsidRPr="00D800B3">
        <w:t xml:space="preserve"> dialog box appears.</w:t>
      </w:r>
    </w:p>
    <w:p w14:paraId="2DAD3951" w14:textId="77777777" w:rsidR="00D800B3" w:rsidRDefault="001C6E97">
      <w:pPr>
        <w:pStyle w:val="BodyText"/>
        <w:numPr>
          <w:ilvl w:val="0"/>
          <w:numId w:val="155"/>
        </w:numPr>
        <w:ind w:left="540"/>
      </w:pPr>
      <w:r>
        <w:t xml:space="preserve">Select the </w:t>
      </w:r>
      <w:r w:rsidR="00D800B3" w:rsidRPr="00D800B3">
        <w:rPr>
          <w:b/>
          <w:bCs/>
        </w:rPr>
        <w:t>R</w:t>
      </w:r>
      <w:r w:rsidRPr="00D800B3">
        <w:rPr>
          <w:b/>
          <w:bCs/>
        </w:rPr>
        <w:t>eason</w:t>
      </w:r>
      <w:r>
        <w:t xml:space="preserve"> </w:t>
      </w:r>
      <w:r w:rsidR="00D800B3">
        <w:t xml:space="preserve">that </w:t>
      </w:r>
      <w:r>
        <w:t>you are breaking the appointment.</w:t>
      </w:r>
    </w:p>
    <w:p w14:paraId="61CB3BE2" w14:textId="271CD867" w:rsidR="001C6E97" w:rsidRDefault="00D800B3">
      <w:pPr>
        <w:pStyle w:val="BodyText"/>
        <w:numPr>
          <w:ilvl w:val="0"/>
          <w:numId w:val="155"/>
        </w:numPr>
        <w:ind w:left="540"/>
      </w:pPr>
      <w:r>
        <w:t xml:space="preserve">Click </w:t>
      </w:r>
      <w:r w:rsidRPr="00D800B3">
        <w:rPr>
          <w:b/>
          <w:bCs/>
        </w:rPr>
        <w:t>OK</w:t>
      </w:r>
      <w:r>
        <w:t>.</w:t>
      </w:r>
      <w:r w:rsidR="001C6E97">
        <w:t xml:space="preserve">  </w:t>
      </w:r>
    </w:p>
    <w:p w14:paraId="4CC53D45" w14:textId="2029E686" w:rsidR="001C6E97" w:rsidRDefault="001C6E97" w:rsidP="001C6E97">
      <w:pPr>
        <w:pStyle w:val="BodyText"/>
      </w:pPr>
      <w:r>
        <w:t xml:space="preserve">Breaking the appointment </w:t>
      </w:r>
      <w:r w:rsidR="00D800B3">
        <w:t>accomplishes</w:t>
      </w:r>
      <w:r>
        <w:t xml:space="preserve"> the following: </w:t>
      </w:r>
    </w:p>
    <w:p w14:paraId="45CC56AF" w14:textId="53E415CA" w:rsidR="001C6E97" w:rsidRDefault="001C6E97">
      <w:pPr>
        <w:pStyle w:val="BodyText"/>
        <w:numPr>
          <w:ilvl w:val="0"/>
          <w:numId w:val="22"/>
        </w:numPr>
        <w:ind w:left="540"/>
      </w:pPr>
      <w:r>
        <w:t xml:space="preserve">Removes the appointment from </w:t>
      </w:r>
      <w:r w:rsidR="00D800B3">
        <w:t>A</w:t>
      </w:r>
      <w:r>
        <w:t xml:space="preserve">ppointment </w:t>
      </w:r>
      <w:r w:rsidR="00D800B3">
        <w:t>B</w:t>
      </w:r>
      <w:r>
        <w:t>ook and moves it to the Unscheduled List</w:t>
      </w:r>
      <w:r w:rsidR="00D800B3">
        <w:t xml:space="preserve">, which you can use </w:t>
      </w:r>
      <w:r>
        <w:t>for scheduling</w:t>
      </w:r>
      <w:r w:rsidR="005B68B1">
        <w:t xml:space="preserve"> appointments in the future</w:t>
      </w:r>
      <w:r>
        <w:t>.</w:t>
      </w:r>
    </w:p>
    <w:p w14:paraId="4B265084" w14:textId="37CF5F12" w:rsidR="001C6E97" w:rsidRDefault="001C6E97">
      <w:pPr>
        <w:pStyle w:val="BodyText"/>
        <w:numPr>
          <w:ilvl w:val="0"/>
          <w:numId w:val="22"/>
        </w:numPr>
        <w:ind w:left="540"/>
      </w:pPr>
      <w:r>
        <w:t xml:space="preserve">Updates </w:t>
      </w:r>
      <w:r w:rsidR="00D800B3">
        <w:t xml:space="preserve">the </w:t>
      </w:r>
      <w:r>
        <w:t xml:space="preserve">missed appointment information in the </w:t>
      </w:r>
      <w:r w:rsidR="00D800B3">
        <w:t>patient’s F</w:t>
      </w:r>
      <w:r>
        <w:t xml:space="preserve">amily </w:t>
      </w:r>
      <w:r w:rsidR="00D800B3">
        <w:t>F</w:t>
      </w:r>
      <w:r>
        <w:t xml:space="preserve">ile </w:t>
      </w:r>
      <w:r w:rsidR="00D800B3">
        <w:t xml:space="preserve">record </w:t>
      </w:r>
      <w:r>
        <w:t xml:space="preserve">to reflect the date of the broken appointment and the </w:t>
      </w:r>
      <w:r w:rsidR="00D800B3">
        <w:t xml:space="preserve">patient’s total </w:t>
      </w:r>
      <w:r>
        <w:t xml:space="preserve">number of broken appointments.  </w:t>
      </w:r>
    </w:p>
    <w:p w14:paraId="17EBA2BC" w14:textId="0D6A4BF9" w:rsidR="001C6E97" w:rsidRDefault="001C6E97">
      <w:pPr>
        <w:pStyle w:val="BodyText"/>
        <w:numPr>
          <w:ilvl w:val="0"/>
          <w:numId w:val="22"/>
        </w:numPr>
        <w:ind w:left="540"/>
      </w:pPr>
      <w:r>
        <w:t xml:space="preserve">Adds </w:t>
      </w:r>
      <w:r w:rsidR="00D800B3">
        <w:t>an Office Journal entry</w:t>
      </w:r>
      <w:r>
        <w:t xml:space="preserve"> that shows the date, time, operator, and description of the broken appointment.  </w:t>
      </w:r>
    </w:p>
    <w:p w14:paraId="391B33F3" w14:textId="77777777" w:rsidR="00595AC7" w:rsidRDefault="001C6E97" w:rsidP="00D42C5A">
      <w:pPr>
        <w:pStyle w:val="Heading3"/>
      </w:pPr>
      <w:bookmarkStart w:id="106" w:name="_Toc135416689"/>
      <w:bookmarkStart w:id="107" w:name="_Toc146183285"/>
      <w:r>
        <w:t>Wait/Will Call</w:t>
      </w:r>
      <w:bookmarkEnd w:id="106"/>
      <w:bookmarkEnd w:id="107"/>
    </w:p>
    <w:p w14:paraId="45CEC46A" w14:textId="1DB81190" w:rsidR="001C6E97" w:rsidRDefault="00D800B3" w:rsidP="001C6E97">
      <w:pPr>
        <w:pStyle w:val="BodyText"/>
      </w:pPr>
      <w:r>
        <w:t>You can mark an appointment as “</w:t>
      </w:r>
      <w:r w:rsidR="001C6E97">
        <w:t>Wait/Will Call</w:t>
      </w:r>
      <w:r>
        <w:t>”</w:t>
      </w:r>
      <w:r w:rsidR="001C6E97">
        <w:t xml:space="preserve"> to place </w:t>
      </w:r>
      <w:r>
        <w:t xml:space="preserve">it </w:t>
      </w:r>
      <w:r w:rsidR="001C6E97">
        <w:t xml:space="preserve">on the </w:t>
      </w:r>
      <w:r>
        <w:t>U</w:t>
      </w:r>
      <w:r w:rsidR="001C6E97">
        <w:t xml:space="preserve">nscheduled </w:t>
      </w:r>
      <w:r>
        <w:t>L</w:t>
      </w:r>
      <w:r w:rsidR="001C6E97">
        <w:t xml:space="preserve">ist without having </w:t>
      </w:r>
      <w:r>
        <w:t>the appointment</w:t>
      </w:r>
      <w:r w:rsidR="001C6E97">
        <w:t xml:space="preserve"> count towards </w:t>
      </w:r>
      <w:r>
        <w:t>the</w:t>
      </w:r>
      <w:r w:rsidR="001C6E97">
        <w:t xml:space="preserve"> patient's broken appointment count. </w:t>
      </w:r>
      <w:r w:rsidR="005B68B1">
        <w:t xml:space="preserve">You can use this </w:t>
      </w:r>
      <w:r w:rsidR="001C6E97">
        <w:t xml:space="preserve">list for </w:t>
      </w:r>
      <w:r w:rsidR="005B68B1">
        <w:t xml:space="preserve">scheduling an appointment in the </w:t>
      </w:r>
      <w:r w:rsidR="001C6E97">
        <w:t xml:space="preserve">future when </w:t>
      </w:r>
      <w:r w:rsidR="005B68B1">
        <w:t>the patient initially contacts the office to schedule an appointment but cannot decide on a date or time yet</w:t>
      </w:r>
      <w:r w:rsidR="001C6E97">
        <w:t>.</w:t>
      </w:r>
    </w:p>
    <w:p w14:paraId="2851E03D" w14:textId="77777777" w:rsidR="001C6E97" w:rsidRDefault="001C6E97" w:rsidP="001C6E97">
      <w:pPr>
        <w:pStyle w:val="BodyText"/>
      </w:pPr>
      <w:r w:rsidRPr="00A37B2A">
        <w:rPr>
          <w:color w:val="00B050"/>
        </w:rPr>
        <w:t>&lt;&lt;Insert Wait/Will Call decision support/SOP/guidance here&gt;&gt;</w:t>
      </w:r>
    </w:p>
    <w:p w14:paraId="681453CF" w14:textId="774C6A85" w:rsidR="001C6E97" w:rsidRPr="001D78C1" w:rsidRDefault="001C6E97" w:rsidP="001C6E97">
      <w:pPr>
        <w:pStyle w:val="BodyText"/>
        <w:rPr>
          <w:color w:val="00B050"/>
        </w:rPr>
      </w:pPr>
      <w:r w:rsidRPr="001D78C1">
        <w:rPr>
          <w:color w:val="00B050"/>
        </w:rPr>
        <w:t>Sample guidelines:</w:t>
      </w:r>
    </w:p>
    <w:p w14:paraId="6EE00942" w14:textId="20444D0B" w:rsidR="001C6E97" w:rsidRPr="001D78C1" w:rsidRDefault="001C6E97">
      <w:pPr>
        <w:pStyle w:val="BodyText"/>
        <w:numPr>
          <w:ilvl w:val="0"/>
          <w:numId w:val="23"/>
        </w:numPr>
        <w:ind w:left="540"/>
        <w:rPr>
          <w:color w:val="00B050"/>
        </w:rPr>
      </w:pPr>
      <w:r w:rsidRPr="001D78C1">
        <w:rPr>
          <w:b/>
          <w:bCs/>
          <w:color w:val="00B050"/>
        </w:rPr>
        <w:t>Cancellation</w:t>
      </w:r>
      <w:r w:rsidR="005B68B1" w:rsidRPr="001D78C1">
        <w:rPr>
          <w:color w:val="00B050"/>
        </w:rPr>
        <w:t xml:space="preserve"> – </w:t>
      </w:r>
      <w:r w:rsidRPr="001D78C1">
        <w:rPr>
          <w:color w:val="00B050"/>
        </w:rPr>
        <w:t xml:space="preserve">A fee could apply if </w:t>
      </w:r>
      <w:r w:rsidR="005B68B1" w:rsidRPr="001D78C1">
        <w:rPr>
          <w:color w:val="00B050"/>
        </w:rPr>
        <w:t>the patient</w:t>
      </w:r>
      <w:r w:rsidRPr="001D78C1">
        <w:rPr>
          <w:color w:val="00B050"/>
        </w:rPr>
        <w:t xml:space="preserve"> cancel</w:t>
      </w:r>
      <w:r w:rsidR="005B68B1" w:rsidRPr="001D78C1">
        <w:rPr>
          <w:color w:val="00B050"/>
        </w:rPr>
        <w:t>s an</w:t>
      </w:r>
      <w:r w:rsidRPr="001D78C1">
        <w:rPr>
          <w:color w:val="00B050"/>
        </w:rPr>
        <w:t xml:space="preserve"> appointment with less than 48</w:t>
      </w:r>
      <w:r w:rsidR="005B68B1" w:rsidRPr="001D78C1">
        <w:rPr>
          <w:color w:val="00B050"/>
        </w:rPr>
        <w:t>-</w:t>
      </w:r>
      <w:r w:rsidRPr="001D78C1">
        <w:rPr>
          <w:color w:val="00B050"/>
        </w:rPr>
        <w:t>hour</w:t>
      </w:r>
      <w:r w:rsidR="005B68B1" w:rsidRPr="001D78C1">
        <w:rPr>
          <w:color w:val="00B050"/>
        </w:rPr>
        <w:t xml:space="preserve"> </w:t>
      </w:r>
      <w:proofErr w:type="gramStart"/>
      <w:r w:rsidR="005B68B1" w:rsidRPr="001D78C1">
        <w:rPr>
          <w:color w:val="00B050"/>
        </w:rPr>
        <w:t>notice</w:t>
      </w:r>
      <w:proofErr w:type="gramEnd"/>
      <w:r w:rsidRPr="001D78C1">
        <w:rPr>
          <w:color w:val="00B050"/>
        </w:rPr>
        <w:t xml:space="preserve">. If </w:t>
      </w:r>
      <w:r w:rsidR="005B68B1" w:rsidRPr="001D78C1">
        <w:rPr>
          <w:color w:val="00B050"/>
        </w:rPr>
        <w:t>the patient</w:t>
      </w:r>
      <w:r w:rsidRPr="001D78C1">
        <w:rPr>
          <w:color w:val="00B050"/>
        </w:rPr>
        <w:t xml:space="preserve"> cancel</w:t>
      </w:r>
      <w:r w:rsidR="005B68B1" w:rsidRPr="001D78C1">
        <w:rPr>
          <w:color w:val="00B050"/>
        </w:rPr>
        <w:t>s</w:t>
      </w:r>
      <w:r w:rsidRPr="001D78C1">
        <w:rPr>
          <w:color w:val="00B050"/>
        </w:rPr>
        <w:t xml:space="preserve"> </w:t>
      </w:r>
      <w:r w:rsidR="005B68B1" w:rsidRPr="001D78C1">
        <w:rPr>
          <w:color w:val="00B050"/>
        </w:rPr>
        <w:t xml:space="preserve">an appointment </w:t>
      </w:r>
      <w:r w:rsidRPr="001D78C1">
        <w:rPr>
          <w:color w:val="00B050"/>
        </w:rPr>
        <w:t>48 hours or more before, there is no fee.</w:t>
      </w:r>
    </w:p>
    <w:p w14:paraId="23D019BF" w14:textId="35C9F838" w:rsidR="001C6E97" w:rsidRPr="001D78C1" w:rsidRDefault="001C6E97">
      <w:pPr>
        <w:pStyle w:val="BodyText"/>
        <w:numPr>
          <w:ilvl w:val="0"/>
          <w:numId w:val="23"/>
        </w:numPr>
        <w:ind w:left="540"/>
        <w:rPr>
          <w:color w:val="00B050"/>
        </w:rPr>
      </w:pPr>
      <w:r w:rsidRPr="001D78C1">
        <w:rPr>
          <w:b/>
          <w:bCs/>
          <w:color w:val="00B050"/>
        </w:rPr>
        <w:t>Rescheduling</w:t>
      </w:r>
      <w:r w:rsidR="005B68B1" w:rsidRPr="001D78C1">
        <w:rPr>
          <w:color w:val="00B050"/>
        </w:rPr>
        <w:t xml:space="preserve"> – A fee could apply if the patient reschedules an appointment with less than 48-hour </w:t>
      </w:r>
      <w:proofErr w:type="gramStart"/>
      <w:r w:rsidR="005B68B1" w:rsidRPr="001D78C1">
        <w:rPr>
          <w:color w:val="00B050"/>
        </w:rPr>
        <w:t>notice</w:t>
      </w:r>
      <w:proofErr w:type="gramEnd"/>
      <w:r w:rsidR="005B68B1" w:rsidRPr="001D78C1">
        <w:rPr>
          <w:color w:val="00B050"/>
        </w:rPr>
        <w:t xml:space="preserve">. If the patient </w:t>
      </w:r>
      <w:r w:rsidR="00D336FE" w:rsidRPr="001D78C1">
        <w:rPr>
          <w:color w:val="00B050"/>
        </w:rPr>
        <w:t>reschedules</w:t>
      </w:r>
      <w:r w:rsidR="005B68B1" w:rsidRPr="001D78C1">
        <w:rPr>
          <w:color w:val="00B050"/>
        </w:rPr>
        <w:t xml:space="preserve"> an appointment 48 hours or more before, there is no fee.</w:t>
      </w:r>
    </w:p>
    <w:p w14:paraId="0178761A" w14:textId="6E1A9B06" w:rsidR="001C6E97" w:rsidRPr="001D78C1" w:rsidRDefault="00A37B2A">
      <w:pPr>
        <w:pStyle w:val="BodyText"/>
        <w:numPr>
          <w:ilvl w:val="0"/>
          <w:numId w:val="23"/>
        </w:numPr>
        <w:ind w:left="540"/>
        <w:rPr>
          <w:color w:val="00B050"/>
        </w:rPr>
      </w:pPr>
      <w:r w:rsidRPr="001D78C1">
        <w:rPr>
          <w:b/>
          <w:bCs/>
          <w:color w:val="00B050"/>
        </w:rPr>
        <w:t>No Show</w:t>
      </w:r>
      <w:r w:rsidR="005B68B1" w:rsidRPr="001D78C1">
        <w:rPr>
          <w:color w:val="00B050"/>
        </w:rPr>
        <w:t xml:space="preserve"> – </w:t>
      </w:r>
      <w:r w:rsidR="001C6E97" w:rsidRPr="001D78C1">
        <w:rPr>
          <w:color w:val="00B050"/>
        </w:rPr>
        <w:t xml:space="preserve">A </w:t>
      </w:r>
      <w:r w:rsidR="00D336FE" w:rsidRPr="001D78C1">
        <w:rPr>
          <w:color w:val="00B050"/>
        </w:rPr>
        <w:t xml:space="preserve">fee for 100% of the session amount could apply if the patient </w:t>
      </w:r>
      <w:r w:rsidR="001C6E97" w:rsidRPr="001D78C1">
        <w:rPr>
          <w:color w:val="00B050"/>
        </w:rPr>
        <w:t xml:space="preserve">misses a scheduled appointment without canceling or rescheduling in advance. </w:t>
      </w:r>
      <w:r w:rsidR="00D336FE" w:rsidRPr="001D78C1">
        <w:rPr>
          <w:color w:val="00B050"/>
        </w:rPr>
        <w:t>The a</w:t>
      </w:r>
      <w:r w:rsidR="001C6E97" w:rsidRPr="001D78C1">
        <w:rPr>
          <w:color w:val="00B050"/>
        </w:rPr>
        <w:t xml:space="preserve">ppointment </w:t>
      </w:r>
      <w:r w:rsidR="00D336FE" w:rsidRPr="001D78C1">
        <w:rPr>
          <w:color w:val="00B050"/>
        </w:rPr>
        <w:t>length</w:t>
      </w:r>
      <w:r w:rsidR="001C6E97" w:rsidRPr="001D78C1">
        <w:rPr>
          <w:color w:val="00B050"/>
        </w:rPr>
        <w:t xml:space="preserve"> and the provider determine the session amount.</w:t>
      </w:r>
    </w:p>
    <w:p w14:paraId="0931D9A0" w14:textId="473BC20D" w:rsidR="001C6E97" w:rsidRPr="001D78C1" w:rsidRDefault="001C6E97" w:rsidP="004B64C5">
      <w:pPr>
        <w:pStyle w:val="BodyText"/>
        <w:ind w:left="540"/>
        <w:rPr>
          <w:color w:val="00B050"/>
        </w:rPr>
      </w:pPr>
      <w:r w:rsidRPr="001D78C1">
        <w:rPr>
          <w:color w:val="00B050"/>
        </w:rPr>
        <w:t xml:space="preserve">If a patient accumulates </w:t>
      </w:r>
      <w:r w:rsidR="00D336FE" w:rsidRPr="001D78C1">
        <w:rPr>
          <w:color w:val="00B050"/>
        </w:rPr>
        <w:t>three no shows</w:t>
      </w:r>
      <w:r w:rsidRPr="001D78C1">
        <w:rPr>
          <w:color w:val="00B050"/>
        </w:rPr>
        <w:t xml:space="preserve">, he or she may be </w:t>
      </w:r>
      <w:r w:rsidR="00D336FE" w:rsidRPr="001D78C1">
        <w:rPr>
          <w:color w:val="00B050"/>
        </w:rPr>
        <w:t xml:space="preserve">put </w:t>
      </w:r>
      <w:r w:rsidRPr="001D78C1">
        <w:rPr>
          <w:color w:val="00B050"/>
        </w:rPr>
        <w:t>on an emergency/wait call list and no longer allowed to reserve time in the schedule.</w:t>
      </w:r>
    </w:p>
    <w:p w14:paraId="58767CF0" w14:textId="6DD61013" w:rsidR="001C6E97" w:rsidRDefault="001C6E97" w:rsidP="00D42C5A">
      <w:pPr>
        <w:pStyle w:val="Heading3"/>
      </w:pPr>
      <w:bookmarkStart w:id="108" w:name="_Toc135416690"/>
      <w:bookmarkStart w:id="109" w:name="_Toc146183286"/>
      <w:r>
        <w:lastRenderedPageBreak/>
        <w:t>Rescheduling Appointments</w:t>
      </w:r>
      <w:bookmarkEnd w:id="108"/>
      <w:bookmarkEnd w:id="109"/>
    </w:p>
    <w:p w14:paraId="30431B10" w14:textId="77777777" w:rsidR="00595AC7" w:rsidRDefault="001C6E97" w:rsidP="00595AC7">
      <w:pPr>
        <w:pStyle w:val="Heading4"/>
      </w:pPr>
      <w:r>
        <w:t>Broken/No Show Appointments</w:t>
      </w:r>
    </w:p>
    <w:p w14:paraId="54A3EB65" w14:textId="0F28EE1A" w:rsidR="001C6E97" w:rsidRDefault="001C6E97" w:rsidP="001C6E97">
      <w:pPr>
        <w:pStyle w:val="BodyText"/>
      </w:pPr>
      <w:r>
        <w:t xml:space="preserve">If the appointment is considered broken, but the patient wants to reschedule, follow the process and internal guidelines for breaking the appointment to automate the system’s ability to track the intended data before moving to the next step.  </w:t>
      </w:r>
    </w:p>
    <w:p w14:paraId="2F8A5670" w14:textId="661D605E" w:rsidR="001C6E97" w:rsidRDefault="000E592D" w:rsidP="001C6E97">
      <w:pPr>
        <w:pStyle w:val="BodyText"/>
      </w:pPr>
      <w:bookmarkStart w:id="110" w:name="_Hlk137034649"/>
      <w:r>
        <w:t xml:space="preserve">In </w:t>
      </w:r>
      <w:r w:rsidR="001C6E97" w:rsidRPr="000E592D">
        <w:t>More Info</w:t>
      </w:r>
      <w:r>
        <w:t xml:space="preserve">rmation, </w:t>
      </w:r>
      <w:bookmarkEnd w:id="110"/>
      <w:r>
        <w:t>use</w:t>
      </w:r>
      <w:r w:rsidR="001C6E97">
        <w:t xml:space="preserve"> the pre-appointment workflow, </w:t>
      </w:r>
      <w:r>
        <w:t xml:space="preserve">and </w:t>
      </w:r>
      <w:r w:rsidR="001C6E97">
        <w:t xml:space="preserve">review unscheduled appointments and other clinical/financial readiness information according to your internal guidelines.  </w:t>
      </w:r>
    </w:p>
    <w:p w14:paraId="6922CADF" w14:textId="15BFABCA" w:rsidR="001C6E97" w:rsidRDefault="001C6E97" w:rsidP="001C6E97">
      <w:pPr>
        <w:pStyle w:val="BodyText"/>
      </w:pPr>
      <w:r>
        <w:t xml:space="preserve">When </w:t>
      </w:r>
      <w:r w:rsidR="006A3ED6">
        <w:t xml:space="preserve">you attempt to </w:t>
      </w:r>
      <w:r>
        <w:t>schedul</w:t>
      </w:r>
      <w:r w:rsidR="006A3ED6">
        <w:t>e</w:t>
      </w:r>
      <w:r>
        <w:t xml:space="preserve"> a</w:t>
      </w:r>
      <w:r w:rsidR="000E592D">
        <w:t>n appointment for a</w:t>
      </w:r>
      <w:r>
        <w:t xml:space="preserve"> patient </w:t>
      </w:r>
      <w:r w:rsidR="000E592D">
        <w:t>who has</w:t>
      </w:r>
      <w:r>
        <w:t xml:space="preserve"> an appointment on the </w:t>
      </w:r>
      <w:r w:rsidR="000E592D">
        <w:t>U</w:t>
      </w:r>
      <w:r>
        <w:t xml:space="preserve">nscheduled </w:t>
      </w:r>
      <w:r w:rsidR="000E592D">
        <w:t>L</w:t>
      </w:r>
      <w:r>
        <w:t xml:space="preserve">ist, </w:t>
      </w:r>
      <w:r w:rsidR="000E592D">
        <w:t xml:space="preserve">a message appears. Click </w:t>
      </w:r>
      <w:r w:rsidR="000E592D" w:rsidRPr="006A3ED6">
        <w:rPr>
          <w:b/>
          <w:bCs/>
        </w:rPr>
        <w:t>Yes</w:t>
      </w:r>
      <w:r>
        <w:t xml:space="preserve"> to view the patient</w:t>
      </w:r>
      <w:r w:rsidR="000E592D">
        <w:t>’s</w:t>
      </w:r>
      <w:r>
        <w:t xml:space="preserve"> appointment list and use the </w:t>
      </w:r>
      <w:r w:rsidR="000E592D">
        <w:t xml:space="preserve">unscheduled </w:t>
      </w:r>
      <w:r>
        <w:t xml:space="preserve">appointment </w:t>
      </w:r>
      <w:r w:rsidR="006A3ED6">
        <w:t>to schedule</w:t>
      </w:r>
      <w:r w:rsidR="000E592D">
        <w:t xml:space="preserve"> th</w:t>
      </w:r>
      <w:r w:rsidR="006A3ED6">
        <w:t xml:space="preserve">e new </w:t>
      </w:r>
      <w:r w:rsidR="000E592D">
        <w:t>appointment</w:t>
      </w:r>
      <w:r>
        <w:t xml:space="preserve">. Clicking </w:t>
      </w:r>
      <w:r w:rsidR="006A3ED6" w:rsidRPr="006A3ED6">
        <w:rPr>
          <w:b/>
          <w:bCs/>
        </w:rPr>
        <w:t>No</w:t>
      </w:r>
      <w:r>
        <w:t xml:space="preserve"> and</w:t>
      </w:r>
      <w:r w:rsidR="006A3ED6">
        <w:t xml:space="preserve"> scheduling </w:t>
      </w:r>
      <w:r>
        <w:t xml:space="preserve">a new appointment will leave the </w:t>
      </w:r>
      <w:r w:rsidR="006A3ED6">
        <w:t>unscheduled</w:t>
      </w:r>
      <w:r>
        <w:t xml:space="preserve"> appointment on the </w:t>
      </w:r>
      <w:r w:rsidR="006A3ED6">
        <w:t>Unscheduled L</w:t>
      </w:r>
      <w:r>
        <w:t>ist</w:t>
      </w:r>
      <w:r w:rsidR="006A3ED6">
        <w:t>,</w:t>
      </w:r>
      <w:r>
        <w:t xml:space="preserve"> and </w:t>
      </w:r>
      <w:r w:rsidR="006A3ED6">
        <w:t xml:space="preserve">the message that indicates the patient has unscheduled appointments will </w:t>
      </w:r>
      <w:r>
        <w:t xml:space="preserve">continue to </w:t>
      </w:r>
      <w:r w:rsidR="006A3ED6">
        <w:t>appear whenever you attempt to schedule future appointments for this patient</w:t>
      </w:r>
      <w:r>
        <w:t xml:space="preserve">.  </w:t>
      </w:r>
    </w:p>
    <w:p w14:paraId="69D7D9C5" w14:textId="77777777" w:rsidR="00595AC7" w:rsidRDefault="001C6E97" w:rsidP="00595AC7">
      <w:pPr>
        <w:pStyle w:val="Heading4"/>
      </w:pPr>
      <w:r>
        <w:t>Moving Scheduled Appointments</w:t>
      </w:r>
    </w:p>
    <w:p w14:paraId="76CDB216" w14:textId="29306461" w:rsidR="001C6E97" w:rsidRDefault="006A3ED6" w:rsidP="001C6E97">
      <w:pPr>
        <w:pStyle w:val="BodyText"/>
      </w:pPr>
      <w:r>
        <w:t>You can r</w:t>
      </w:r>
      <w:r w:rsidR="001C6E97">
        <w:t>eschedul</w:t>
      </w:r>
      <w:r w:rsidR="000E592D">
        <w:t>e</w:t>
      </w:r>
      <w:r w:rsidR="001C6E97">
        <w:t xml:space="preserve"> an appointment that isn’t considered broken.</w:t>
      </w:r>
      <w:r w:rsidR="000D6768">
        <w:t xml:space="preserve"> To move an appointment, do the following:</w:t>
      </w:r>
    </w:p>
    <w:p w14:paraId="4C35F778" w14:textId="603AA7D1" w:rsidR="001C6E97" w:rsidRDefault="006A3ED6">
      <w:pPr>
        <w:pStyle w:val="BodyText"/>
        <w:numPr>
          <w:ilvl w:val="0"/>
          <w:numId w:val="156"/>
        </w:numPr>
        <w:ind w:left="540"/>
      </w:pPr>
      <w:r w:rsidRPr="006A3ED6">
        <w:t xml:space="preserve">In More Information, </w:t>
      </w:r>
      <w:r>
        <w:t>r</w:t>
      </w:r>
      <w:r w:rsidR="001C6E97">
        <w:t xml:space="preserve">eview </w:t>
      </w:r>
      <w:r>
        <w:t xml:space="preserve">the </w:t>
      </w:r>
      <w:r w:rsidR="001C6E97">
        <w:t>patient</w:t>
      </w:r>
      <w:r>
        <w:t>’s</w:t>
      </w:r>
      <w:r w:rsidR="001C6E97">
        <w:t xml:space="preserve"> financial and clinical readiness. </w:t>
      </w:r>
    </w:p>
    <w:p w14:paraId="4D638BA3" w14:textId="14476126" w:rsidR="001C6E97" w:rsidRDefault="006A3ED6">
      <w:pPr>
        <w:pStyle w:val="BodyText"/>
        <w:numPr>
          <w:ilvl w:val="0"/>
          <w:numId w:val="156"/>
        </w:numPr>
        <w:ind w:left="540"/>
      </w:pPr>
      <w:r>
        <w:t xml:space="preserve">On the </w:t>
      </w:r>
      <w:r w:rsidRPr="006A3ED6">
        <w:rPr>
          <w:b/>
          <w:bCs/>
        </w:rPr>
        <w:t>S</w:t>
      </w:r>
      <w:r w:rsidR="001C6E97" w:rsidRPr="006A3ED6">
        <w:rPr>
          <w:b/>
          <w:bCs/>
        </w:rPr>
        <w:t>ummary</w:t>
      </w:r>
      <w:r w:rsidR="001C6E97">
        <w:t xml:space="preserve"> tab</w:t>
      </w:r>
      <w:r>
        <w:t>, select the</w:t>
      </w:r>
      <w:r w:rsidR="001C6E97">
        <w:t xml:space="preserve"> scheduled appointment</w:t>
      </w:r>
      <w:r>
        <w:t xml:space="preserve"> in the </w:t>
      </w:r>
      <w:r w:rsidRPr="006A3ED6">
        <w:rPr>
          <w:b/>
          <w:bCs/>
        </w:rPr>
        <w:t>Next Appointments</w:t>
      </w:r>
      <w:r>
        <w:t xml:space="preserve"> list, and then click the </w:t>
      </w:r>
      <w:r w:rsidRPr="006A3ED6">
        <w:rPr>
          <w:b/>
          <w:bCs/>
        </w:rPr>
        <w:t>L</w:t>
      </w:r>
      <w:r w:rsidR="001C6E97" w:rsidRPr="006A3ED6">
        <w:rPr>
          <w:b/>
          <w:bCs/>
        </w:rPr>
        <w:t xml:space="preserve">ocate </w:t>
      </w:r>
      <w:r w:rsidRPr="006A3ED6">
        <w:rPr>
          <w:b/>
          <w:bCs/>
        </w:rPr>
        <w:t>A</w:t>
      </w:r>
      <w:r w:rsidR="001C6E97" w:rsidRPr="006A3ED6">
        <w:rPr>
          <w:b/>
          <w:bCs/>
        </w:rPr>
        <w:t>ppointment</w:t>
      </w:r>
      <w:r w:rsidR="001C6E97">
        <w:t xml:space="preserve"> </w:t>
      </w:r>
      <w:r>
        <w:t>button</w:t>
      </w:r>
      <w:r w:rsidR="000D6768" w:rsidRPr="000D6768">
        <w:t xml:space="preserve"> to view the appointment in Appointment Book using the applicable view.</w:t>
      </w:r>
    </w:p>
    <w:p w14:paraId="33CB1132" w14:textId="77777777" w:rsidR="000D6768" w:rsidRDefault="001C6E97">
      <w:pPr>
        <w:pStyle w:val="BodyText"/>
        <w:numPr>
          <w:ilvl w:val="0"/>
          <w:numId w:val="156"/>
        </w:numPr>
        <w:ind w:left="540"/>
      </w:pPr>
      <w:r>
        <w:t>Double</w:t>
      </w:r>
      <w:r w:rsidR="000D6768">
        <w:t>-</w:t>
      </w:r>
      <w:r>
        <w:t>click the appointment</w:t>
      </w:r>
      <w:r w:rsidR="000D6768">
        <w:t>.</w:t>
      </w:r>
    </w:p>
    <w:p w14:paraId="4C314C22" w14:textId="77777777" w:rsidR="000D6768" w:rsidRDefault="000D6768" w:rsidP="000D6768">
      <w:pPr>
        <w:pStyle w:val="BodyText"/>
        <w:ind w:left="540"/>
      </w:pPr>
      <w:r>
        <w:t xml:space="preserve">The </w:t>
      </w:r>
      <w:r w:rsidRPr="000D6768">
        <w:rPr>
          <w:b/>
          <w:bCs/>
        </w:rPr>
        <w:t>Appointment Information</w:t>
      </w:r>
      <w:r>
        <w:t xml:space="preserve"> dialog box appears.</w:t>
      </w:r>
    </w:p>
    <w:p w14:paraId="7EF0CC45" w14:textId="104FB5E8" w:rsidR="001C6E97" w:rsidRDefault="000D6768">
      <w:pPr>
        <w:pStyle w:val="BodyText"/>
        <w:numPr>
          <w:ilvl w:val="0"/>
          <w:numId w:val="156"/>
        </w:numPr>
        <w:ind w:left="540"/>
      </w:pPr>
      <w:r>
        <w:t xml:space="preserve">Click </w:t>
      </w:r>
      <w:r w:rsidRPr="000D6768">
        <w:rPr>
          <w:b/>
          <w:bCs/>
        </w:rPr>
        <w:t>F</w:t>
      </w:r>
      <w:r w:rsidR="001C6E97" w:rsidRPr="000D6768">
        <w:rPr>
          <w:b/>
          <w:bCs/>
        </w:rPr>
        <w:t>ind</w:t>
      </w:r>
      <w:r w:rsidR="001C6E97">
        <w:t xml:space="preserve"> to locate available times</w:t>
      </w:r>
      <w:r>
        <w:t>, and move the appointment</w:t>
      </w:r>
      <w:r w:rsidR="001C6E97">
        <w:t xml:space="preserve">.  </w:t>
      </w:r>
    </w:p>
    <w:p w14:paraId="3817EDA5" w14:textId="77777777" w:rsidR="00595AC7" w:rsidRDefault="001C6E97" w:rsidP="00D42C5A">
      <w:pPr>
        <w:pStyle w:val="Heading3"/>
      </w:pPr>
      <w:bookmarkStart w:id="111" w:name="_Toc135416691"/>
      <w:bookmarkStart w:id="112" w:name="_Toc146183287"/>
      <w:r>
        <w:t>ASAP/Open/Fixed Schedule</w:t>
      </w:r>
      <w:bookmarkEnd w:id="111"/>
      <w:bookmarkEnd w:id="112"/>
    </w:p>
    <w:p w14:paraId="76D96E05" w14:textId="5E1DCB95" w:rsidR="001C6E97" w:rsidRDefault="001C6E97" w:rsidP="001C6E97">
      <w:pPr>
        <w:pStyle w:val="BodyText"/>
      </w:pPr>
      <w:r>
        <w:t xml:space="preserve">Placing appointments on the ASAP/Open lists is ideal for sorting and strategically managing changes and requests for </w:t>
      </w:r>
      <w:proofErr w:type="gramStart"/>
      <w:r>
        <w:t>next</w:t>
      </w:r>
      <w:proofErr w:type="gramEnd"/>
      <w:r>
        <w:t xml:space="preserve"> available appointments in your schedule.  </w:t>
      </w:r>
    </w:p>
    <w:p w14:paraId="30A990B5" w14:textId="77777777" w:rsidR="004B64C5" w:rsidRDefault="001C6E97" w:rsidP="004B64C5">
      <w:pPr>
        <w:pStyle w:val="Heading4"/>
      </w:pPr>
      <w:r>
        <w:t>ASAP</w:t>
      </w:r>
    </w:p>
    <w:p w14:paraId="0E5EB8DF" w14:textId="5BA2B586" w:rsidR="001C6E97" w:rsidRDefault="001C6E97" w:rsidP="001C6E97">
      <w:pPr>
        <w:pStyle w:val="BodyText"/>
      </w:pPr>
      <w:r>
        <w:t xml:space="preserve">If a patient requests a </w:t>
      </w:r>
      <w:r w:rsidR="000D6768">
        <w:t>date and time</w:t>
      </w:r>
      <w:r>
        <w:t xml:space="preserve"> this week, but </w:t>
      </w:r>
      <w:r w:rsidR="000D6768">
        <w:t>the</w:t>
      </w:r>
      <w:r>
        <w:t xml:space="preserve"> next opening isn’t for </w:t>
      </w:r>
      <w:r w:rsidR="000D6768">
        <w:t>two or more</w:t>
      </w:r>
      <w:r>
        <w:t xml:space="preserve"> weeks, </w:t>
      </w:r>
      <w:r w:rsidR="000D6768">
        <w:t>assign</w:t>
      </w:r>
      <w:r>
        <w:t xml:space="preserve"> this status to </w:t>
      </w:r>
      <w:r w:rsidR="000D6768">
        <w:t>the appointment. The patient will appear on</w:t>
      </w:r>
      <w:r>
        <w:t xml:space="preserve"> a list of patients </w:t>
      </w:r>
      <w:r w:rsidR="000D6768">
        <w:t>that you can</w:t>
      </w:r>
      <w:r>
        <w:t xml:space="preserve"> contact when there are unexpected changes in </w:t>
      </w:r>
      <w:r w:rsidR="000D6768">
        <w:t>the</w:t>
      </w:r>
      <w:r>
        <w:t xml:space="preserve"> schedule.  </w:t>
      </w:r>
    </w:p>
    <w:p w14:paraId="0D57B925" w14:textId="77777777" w:rsidR="004B64C5" w:rsidRDefault="001C6E97" w:rsidP="004B64C5">
      <w:pPr>
        <w:pStyle w:val="Heading4"/>
      </w:pPr>
      <w:r>
        <w:t>Open</w:t>
      </w:r>
    </w:p>
    <w:p w14:paraId="3612D675" w14:textId="7F9F1D5E" w:rsidR="00D26E65" w:rsidRDefault="000D6768" w:rsidP="001C6E97">
      <w:pPr>
        <w:pStyle w:val="BodyText"/>
      </w:pPr>
      <w:r>
        <w:t xml:space="preserve">Assign this status to a </w:t>
      </w:r>
      <w:r w:rsidR="001C6E97">
        <w:t>patient</w:t>
      </w:r>
      <w:r>
        <w:t>’</w:t>
      </w:r>
      <w:r w:rsidR="001C6E97">
        <w:t>s</w:t>
      </w:r>
      <w:r>
        <w:t xml:space="preserve"> appointment if the patient is</w:t>
      </w:r>
      <w:r w:rsidR="001C6E97">
        <w:t xml:space="preserve"> open to last-minute changes or d</w:t>
      </w:r>
      <w:r>
        <w:t>oes</w:t>
      </w:r>
      <w:r w:rsidR="001C6E97">
        <w:t>n’t require notice for shifting appointment times.</w:t>
      </w:r>
      <w:r w:rsidR="00D26E65" w:rsidRPr="00D26E65">
        <w:t xml:space="preserve"> The patient will appear on a list of patients that you can contact when there are unexpected changes in the schedule.</w:t>
      </w:r>
    </w:p>
    <w:p w14:paraId="62E6EAA6" w14:textId="6E33BB0A" w:rsidR="001C6E97" w:rsidRPr="00D26E65" w:rsidRDefault="00D26E65" w:rsidP="001C6E97">
      <w:pPr>
        <w:pStyle w:val="BodyText"/>
        <w:rPr>
          <w:i/>
          <w:iCs/>
        </w:rPr>
      </w:pPr>
      <w:r w:rsidRPr="00D26E65">
        <w:rPr>
          <w:b/>
          <w:bCs/>
          <w:i/>
          <w:iCs/>
        </w:rPr>
        <w:t>Note</w:t>
      </w:r>
      <w:r w:rsidRPr="00D26E65">
        <w:rPr>
          <w:i/>
          <w:iCs/>
        </w:rPr>
        <w:t xml:space="preserve">: Having an Open List </w:t>
      </w:r>
      <w:r w:rsidR="001C6E97" w:rsidRPr="00D26E65">
        <w:rPr>
          <w:i/>
          <w:iCs/>
        </w:rPr>
        <w:t>separate</w:t>
      </w:r>
      <w:r w:rsidRPr="00D26E65">
        <w:rPr>
          <w:i/>
          <w:iCs/>
        </w:rPr>
        <w:t xml:space="preserve"> from an ASAP List</w:t>
      </w:r>
      <w:r w:rsidR="001C6E97" w:rsidRPr="00D26E65">
        <w:rPr>
          <w:i/>
          <w:iCs/>
        </w:rPr>
        <w:t xml:space="preserve"> assist</w:t>
      </w:r>
      <w:r w:rsidRPr="00D26E65">
        <w:rPr>
          <w:i/>
          <w:iCs/>
        </w:rPr>
        <w:t>s</w:t>
      </w:r>
      <w:r w:rsidR="001C6E97" w:rsidRPr="00D26E65">
        <w:rPr>
          <w:i/>
          <w:iCs/>
        </w:rPr>
        <w:t xml:space="preserve"> with targeting the correct patients with less research or wasted contact time.</w:t>
      </w:r>
    </w:p>
    <w:p w14:paraId="39C468AE" w14:textId="77777777" w:rsidR="004B64C5" w:rsidRDefault="001C6E97" w:rsidP="004B64C5">
      <w:pPr>
        <w:pStyle w:val="Heading4"/>
      </w:pPr>
      <w:r>
        <w:lastRenderedPageBreak/>
        <w:t>Fixed</w:t>
      </w:r>
    </w:p>
    <w:p w14:paraId="4FC4BF84" w14:textId="214DAAA0" w:rsidR="001C6E97" w:rsidRDefault="00D26E65" w:rsidP="001C6E97">
      <w:pPr>
        <w:pStyle w:val="BodyText"/>
      </w:pPr>
      <w:r w:rsidRPr="00D26E65">
        <w:t xml:space="preserve">Assign this status to a patient’s appointment if </w:t>
      </w:r>
      <w:r>
        <w:t>it is</w:t>
      </w:r>
      <w:r w:rsidR="001C6E97">
        <w:t xml:space="preserve"> scheduled as intended, and the patient does not </w:t>
      </w:r>
      <w:r>
        <w:t>want</w:t>
      </w:r>
      <w:r w:rsidR="001C6E97">
        <w:t xml:space="preserve"> to make changes to their appointment.  </w:t>
      </w:r>
    </w:p>
    <w:p w14:paraId="312F3401" w14:textId="0F38E5E9" w:rsidR="001C6E97" w:rsidRPr="00A70342" w:rsidRDefault="001C6E97" w:rsidP="001C6E97">
      <w:pPr>
        <w:pStyle w:val="BodyText"/>
        <w:rPr>
          <w:i/>
          <w:iCs/>
        </w:rPr>
      </w:pPr>
      <w:r w:rsidRPr="00A70342">
        <w:rPr>
          <w:b/>
          <w:bCs/>
          <w:i/>
          <w:iCs/>
        </w:rPr>
        <w:t>Workflow Insight</w:t>
      </w:r>
      <w:r w:rsidRPr="00A70342">
        <w:rPr>
          <w:i/>
          <w:iCs/>
        </w:rPr>
        <w:t>:</w:t>
      </w:r>
      <w:r w:rsidR="00D26E65" w:rsidRPr="00A70342">
        <w:rPr>
          <w:i/>
          <w:iCs/>
        </w:rPr>
        <w:t xml:space="preserve"> </w:t>
      </w:r>
      <w:r w:rsidRPr="00A70342">
        <w:rPr>
          <w:i/>
          <w:iCs/>
        </w:rPr>
        <w:t xml:space="preserve">When adding an appointment to the ASAP or </w:t>
      </w:r>
      <w:r w:rsidR="00D26E65" w:rsidRPr="00A70342">
        <w:rPr>
          <w:i/>
          <w:iCs/>
        </w:rPr>
        <w:t>O</w:t>
      </w:r>
      <w:r w:rsidRPr="00A70342">
        <w:rPr>
          <w:i/>
          <w:iCs/>
        </w:rPr>
        <w:t xml:space="preserve">pen list, use the appointment note to annotate any specifics </w:t>
      </w:r>
      <w:r w:rsidR="00D26E65" w:rsidRPr="00A70342">
        <w:rPr>
          <w:i/>
          <w:iCs/>
        </w:rPr>
        <w:t>regarding</w:t>
      </w:r>
      <w:r w:rsidRPr="00A70342">
        <w:rPr>
          <w:i/>
          <w:iCs/>
        </w:rPr>
        <w:t xml:space="preserve"> the patient’s ability to come in sooner</w:t>
      </w:r>
      <w:r w:rsidR="00D26E65" w:rsidRPr="00A70342">
        <w:rPr>
          <w:i/>
          <w:iCs/>
        </w:rPr>
        <w:t xml:space="preserve"> (f</w:t>
      </w:r>
      <w:r w:rsidRPr="00A70342">
        <w:rPr>
          <w:i/>
          <w:iCs/>
        </w:rPr>
        <w:t>or example</w:t>
      </w:r>
      <w:r w:rsidR="00D26E65" w:rsidRPr="00A70342">
        <w:rPr>
          <w:i/>
          <w:iCs/>
        </w:rPr>
        <w:t>, t</w:t>
      </w:r>
      <w:r w:rsidRPr="00A70342">
        <w:rPr>
          <w:i/>
          <w:iCs/>
        </w:rPr>
        <w:t>ime of day</w:t>
      </w:r>
      <w:r w:rsidR="00D26E65" w:rsidRPr="00A70342">
        <w:rPr>
          <w:i/>
          <w:iCs/>
        </w:rPr>
        <w:t xml:space="preserve"> and </w:t>
      </w:r>
      <w:r w:rsidRPr="00A70342">
        <w:rPr>
          <w:i/>
          <w:iCs/>
        </w:rPr>
        <w:t xml:space="preserve"> frequency limitations</w:t>
      </w:r>
      <w:r w:rsidR="00D26E65" w:rsidRPr="00A70342">
        <w:rPr>
          <w:i/>
          <w:iCs/>
        </w:rPr>
        <w:t>)</w:t>
      </w:r>
      <w:r w:rsidRPr="00A70342">
        <w:rPr>
          <w:i/>
          <w:iCs/>
        </w:rPr>
        <w:t xml:space="preserve">. These lists </w:t>
      </w:r>
      <w:r w:rsidR="00D26E65" w:rsidRPr="00A70342">
        <w:rPr>
          <w:i/>
          <w:iCs/>
        </w:rPr>
        <w:t xml:space="preserve">can </w:t>
      </w:r>
      <w:r w:rsidRPr="00A70342">
        <w:rPr>
          <w:i/>
          <w:iCs/>
        </w:rPr>
        <w:t xml:space="preserve">reduce the amount of time </w:t>
      </w:r>
      <w:r w:rsidR="00D26E65" w:rsidRPr="00A70342">
        <w:rPr>
          <w:i/>
          <w:iCs/>
        </w:rPr>
        <w:t>you spend</w:t>
      </w:r>
      <w:r w:rsidRPr="00A70342">
        <w:rPr>
          <w:i/>
          <w:iCs/>
        </w:rPr>
        <w:t xml:space="preserve"> </w:t>
      </w:r>
      <w:r w:rsidR="00D26E65" w:rsidRPr="00A70342">
        <w:rPr>
          <w:i/>
          <w:iCs/>
        </w:rPr>
        <w:t>trying</w:t>
      </w:r>
      <w:r w:rsidRPr="00A70342">
        <w:rPr>
          <w:i/>
          <w:iCs/>
        </w:rPr>
        <w:t xml:space="preserve"> to fill open times on your schedule.  </w:t>
      </w:r>
    </w:p>
    <w:p w14:paraId="310DDFA7" w14:textId="7C49D844" w:rsidR="00A30FFA" w:rsidRDefault="001C6E97" w:rsidP="004267C0">
      <w:pPr>
        <w:pStyle w:val="Heading2"/>
      </w:pPr>
      <w:bookmarkStart w:id="113" w:name="_Toc135416692"/>
      <w:bookmarkStart w:id="114" w:name="_Toc146183288"/>
      <w:r>
        <w:t>Patient Communication</w:t>
      </w:r>
      <w:bookmarkEnd w:id="113"/>
      <w:bookmarkEnd w:id="114"/>
    </w:p>
    <w:p w14:paraId="7AEAE972" w14:textId="38A6A8FB" w:rsidR="001C6E97" w:rsidRDefault="00A70342" w:rsidP="001C6E97">
      <w:pPr>
        <w:pStyle w:val="BodyText"/>
      </w:pPr>
      <w:r>
        <w:t>There are m</w:t>
      </w:r>
      <w:r w:rsidR="001C6E97">
        <w:t xml:space="preserve">anual and </w:t>
      </w:r>
      <w:r>
        <w:t>a</w:t>
      </w:r>
      <w:r w:rsidR="001C6E97">
        <w:t xml:space="preserve">utomated processes for communication </w:t>
      </w:r>
      <w:r>
        <w:t>about</w:t>
      </w:r>
      <w:r w:rsidR="001C6E97">
        <w:t xml:space="preserve"> patient appointments. </w:t>
      </w:r>
    </w:p>
    <w:p w14:paraId="210AA783" w14:textId="77777777" w:rsidR="001C6E97" w:rsidRDefault="001C6E97" w:rsidP="001C6E97">
      <w:pPr>
        <w:pStyle w:val="BodyText"/>
      </w:pPr>
      <w:r w:rsidRPr="00A37B2A">
        <w:rPr>
          <w:color w:val="00B050"/>
        </w:rPr>
        <w:t>&lt;&lt;Insert Patient Communication decision support/SOP/guidance&gt;&gt;</w:t>
      </w:r>
    </w:p>
    <w:p w14:paraId="0A416AFC" w14:textId="77777777" w:rsidR="004B64C5" w:rsidRDefault="001C6E97" w:rsidP="00D42C5A">
      <w:pPr>
        <w:pStyle w:val="Heading3"/>
      </w:pPr>
      <w:bookmarkStart w:id="115" w:name="_Toc135416693"/>
      <w:bookmarkStart w:id="116" w:name="_Toc146183289"/>
      <w:r>
        <w:t>Manual Communication</w:t>
      </w:r>
      <w:bookmarkEnd w:id="115"/>
      <w:bookmarkEnd w:id="116"/>
    </w:p>
    <w:p w14:paraId="30C9120D" w14:textId="33F88B79" w:rsidR="001C6E97" w:rsidRDefault="001C6E97" w:rsidP="001C6E97">
      <w:pPr>
        <w:pStyle w:val="BodyText"/>
      </w:pPr>
      <w:r>
        <w:t>Us</w:t>
      </w:r>
      <w:r w:rsidR="00826A6B">
        <w:t>e</w:t>
      </w:r>
      <w:r>
        <w:t xml:space="preserve"> the lists and features within the system for communication needs.  </w:t>
      </w:r>
    </w:p>
    <w:p w14:paraId="2FC6EF25" w14:textId="77777777" w:rsidR="004B64C5" w:rsidRDefault="001C6E97" w:rsidP="004B64C5">
      <w:pPr>
        <w:pStyle w:val="Heading4"/>
      </w:pPr>
      <w:r>
        <w:t>Appointment Reminder System</w:t>
      </w:r>
    </w:p>
    <w:p w14:paraId="2CC63ED0" w14:textId="610B7FF7" w:rsidR="001C6E97" w:rsidRDefault="001C6E97" w:rsidP="001C6E97">
      <w:pPr>
        <w:pStyle w:val="BodyText"/>
      </w:pPr>
      <w:r>
        <w:t>Minimize the number of no-shows and broken appointments by implementing a system to contact patients at set intervals before their scheduled appointment</w:t>
      </w:r>
      <w:r w:rsidR="00826A6B">
        <w:t>s</w:t>
      </w:r>
      <w:r>
        <w:t xml:space="preserve">. </w:t>
      </w:r>
    </w:p>
    <w:p w14:paraId="4C646CFB" w14:textId="7E2C058B" w:rsidR="001C6E97" w:rsidRPr="00826A6B" w:rsidRDefault="001C6E97">
      <w:pPr>
        <w:pStyle w:val="BodyText"/>
        <w:numPr>
          <w:ilvl w:val="0"/>
          <w:numId w:val="24"/>
        </w:numPr>
        <w:ind w:left="540"/>
      </w:pPr>
      <w:r w:rsidRPr="0046697F">
        <w:rPr>
          <w:b/>
          <w:bCs/>
        </w:rPr>
        <w:t xml:space="preserve">Appointment </w:t>
      </w:r>
      <w:r w:rsidR="00826A6B" w:rsidRPr="0046697F">
        <w:rPr>
          <w:b/>
          <w:bCs/>
        </w:rPr>
        <w:t>s</w:t>
      </w:r>
      <w:r w:rsidRPr="0046697F">
        <w:rPr>
          <w:b/>
          <w:bCs/>
        </w:rPr>
        <w:t>tatuses</w:t>
      </w:r>
      <w:r w:rsidR="00826A6B">
        <w:t xml:space="preserve"> – L</w:t>
      </w:r>
      <w:r w:rsidRPr="00826A6B">
        <w:t>abel</w:t>
      </w:r>
      <w:r w:rsidR="00826A6B">
        <w:t>s</w:t>
      </w:r>
      <w:r w:rsidRPr="00826A6B">
        <w:t xml:space="preserve"> placed on appointments to communicate non-verbally the status of reminder/confirmation efforts</w:t>
      </w:r>
      <w:r w:rsidR="00826A6B">
        <w:t xml:space="preserve"> </w:t>
      </w:r>
      <w:r w:rsidR="00826A6B" w:rsidRPr="00826A6B">
        <w:t>to all teams</w:t>
      </w:r>
      <w:r w:rsidRPr="00826A6B">
        <w:t xml:space="preserve">.  </w:t>
      </w:r>
    </w:p>
    <w:p w14:paraId="43B5B499" w14:textId="33255DA8" w:rsidR="001C6E97" w:rsidRPr="0046697F" w:rsidRDefault="0046697F">
      <w:pPr>
        <w:pStyle w:val="BodyText"/>
        <w:numPr>
          <w:ilvl w:val="0"/>
          <w:numId w:val="24"/>
        </w:numPr>
        <w:ind w:left="540"/>
      </w:pPr>
      <w:r w:rsidRPr="0046697F">
        <w:rPr>
          <w:b/>
          <w:bCs/>
        </w:rPr>
        <w:t>Due dates</w:t>
      </w:r>
      <w:r>
        <w:t xml:space="preserve"> – </w:t>
      </w:r>
      <w:r w:rsidR="001C6E97" w:rsidRPr="0046697F">
        <w:t xml:space="preserve">Treatment and </w:t>
      </w:r>
      <w:r w:rsidRPr="0046697F">
        <w:t>c</w:t>
      </w:r>
      <w:r w:rsidR="001C6E97" w:rsidRPr="0046697F">
        <w:t xml:space="preserve">ontinuing </w:t>
      </w:r>
      <w:r w:rsidRPr="0046697F">
        <w:t>c</w:t>
      </w:r>
      <w:r w:rsidR="001C6E97" w:rsidRPr="0046697F">
        <w:t xml:space="preserve">are </w:t>
      </w:r>
      <w:r w:rsidR="00826A6B" w:rsidRPr="0046697F">
        <w:t>d</w:t>
      </w:r>
      <w:r w:rsidR="001C6E97" w:rsidRPr="0046697F">
        <w:t xml:space="preserve">ue </w:t>
      </w:r>
      <w:r w:rsidR="00826A6B" w:rsidRPr="0046697F">
        <w:t>d</w:t>
      </w:r>
      <w:r w:rsidR="001C6E97" w:rsidRPr="0046697F">
        <w:t>ates</w:t>
      </w:r>
      <w:r w:rsidR="00826A6B" w:rsidRPr="0046697F">
        <w:t>.</w:t>
      </w:r>
    </w:p>
    <w:p w14:paraId="2CDE1C23" w14:textId="1194AA81" w:rsidR="001C6E97" w:rsidRDefault="001C6E97" w:rsidP="004B64C5">
      <w:pPr>
        <w:pStyle w:val="Heading4"/>
      </w:pPr>
      <w:r>
        <w:t>Documenting Communication</w:t>
      </w:r>
    </w:p>
    <w:p w14:paraId="3CECB645" w14:textId="64C26275" w:rsidR="00826A6B" w:rsidRDefault="00826A6B" w:rsidP="00826A6B">
      <w:pPr>
        <w:pStyle w:val="BodyText"/>
      </w:pPr>
      <w:r>
        <w:t>Use the following features for documenting communication:</w:t>
      </w:r>
    </w:p>
    <w:p w14:paraId="5FEA3A49" w14:textId="79ADCFCF" w:rsidR="001C6E97" w:rsidRDefault="004B64C5">
      <w:pPr>
        <w:pStyle w:val="BodyText"/>
        <w:numPr>
          <w:ilvl w:val="0"/>
          <w:numId w:val="157"/>
        </w:numPr>
        <w:ind w:left="540"/>
      </w:pPr>
      <w:r w:rsidRPr="0046697F">
        <w:rPr>
          <w:b/>
          <w:bCs/>
        </w:rPr>
        <w:t xml:space="preserve">Quick </w:t>
      </w:r>
      <w:r w:rsidR="001C6E97" w:rsidRPr="0046697F">
        <w:rPr>
          <w:b/>
          <w:bCs/>
        </w:rPr>
        <w:t>Letters</w:t>
      </w:r>
      <w:r w:rsidR="00826A6B">
        <w:t xml:space="preserve"> – You can generate i</w:t>
      </w:r>
      <w:r w:rsidR="001C6E97">
        <w:t>ndividual letters or forms per patient</w:t>
      </w:r>
      <w:r w:rsidR="00826A6B">
        <w:t>, such as for school or work excuses</w:t>
      </w:r>
      <w:r w:rsidR="001C6E97">
        <w:t xml:space="preserve">. </w:t>
      </w:r>
    </w:p>
    <w:p w14:paraId="37CAFEFA" w14:textId="4C14666D" w:rsidR="001C6E97" w:rsidRDefault="001C6E97">
      <w:pPr>
        <w:pStyle w:val="BodyText"/>
        <w:numPr>
          <w:ilvl w:val="0"/>
          <w:numId w:val="157"/>
        </w:numPr>
        <w:ind w:left="540"/>
      </w:pPr>
      <w:r w:rsidRPr="0046697F">
        <w:rPr>
          <w:b/>
          <w:bCs/>
        </w:rPr>
        <w:t>Letters</w:t>
      </w:r>
      <w:r w:rsidR="00826A6B">
        <w:t xml:space="preserve"> – In Office Manager, you can perform a letter merge to generate batches of l</w:t>
      </w:r>
      <w:r>
        <w:t xml:space="preserve">etters for multiple patients in the same clinic.  </w:t>
      </w:r>
    </w:p>
    <w:p w14:paraId="2A212BE8" w14:textId="77777777" w:rsidR="004B64C5" w:rsidRDefault="001C6E97" w:rsidP="00D42C5A">
      <w:pPr>
        <w:pStyle w:val="Heading3"/>
      </w:pPr>
      <w:bookmarkStart w:id="117" w:name="_Toc135416694"/>
      <w:bookmarkStart w:id="118" w:name="_Toc146183290"/>
      <w:r>
        <w:lastRenderedPageBreak/>
        <w:t>Appointment Lists</w:t>
      </w:r>
      <w:bookmarkEnd w:id="117"/>
      <w:bookmarkEnd w:id="118"/>
    </w:p>
    <w:p w14:paraId="01A48B59" w14:textId="1D82486C" w:rsidR="001C6E97" w:rsidRDefault="001C6E97" w:rsidP="004A2A35">
      <w:pPr>
        <w:pStyle w:val="BodyText"/>
        <w:keepNext/>
        <w:keepLines/>
      </w:pPr>
      <w:r>
        <w:t>Maintain an optimal schedule utilizing the available scheduling lists and reports.</w:t>
      </w:r>
    </w:p>
    <w:p w14:paraId="22E84829" w14:textId="77777777" w:rsidR="004B64C5" w:rsidRDefault="001C6E97" w:rsidP="004B64C5">
      <w:pPr>
        <w:pStyle w:val="Heading4"/>
      </w:pPr>
      <w:r>
        <w:t>Scheduling Assistant</w:t>
      </w:r>
    </w:p>
    <w:p w14:paraId="20829699" w14:textId="0C6F68C5" w:rsidR="001C6E97" w:rsidRDefault="001C6E97" w:rsidP="004A2A35">
      <w:pPr>
        <w:pStyle w:val="BodyText"/>
        <w:keepNext/>
        <w:keepLines/>
      </w:pPr>
      <w:r>
        <w:t xml:space="preserve">Simply and easily schedule appointments by combining the appointment </w:t>
      </w:r>
      <w:proofErr w:type="gramStart"/>
      <w:r>
        <w:t>managing</w:t>
      </w:r>
      <w:proofErr w:type="gramEnd"/>
      <w:r>
        <w:t xml:space="preserve"> lists into one window. </w:t>
      </w:r>
      <w:r w:rsidR="00826A6B">
        <w:t>The Scheduling Assistant i</w:t>
      </w:r>
      <w:r>
        <w:t>ncludes quick access to a patient</w:t>
      </w:r>
      <w:r w:rsidR="00826A6B">
        <w:t>’s M</w:t>
      </w:r>
      <w:r>
        <w:t xml:space="preserve">ore </w:t>
      </w:r>
      <w:r w:rsidR="00826A6B">
        <w:t>I</w:t>
      </w:r>
      <w:r>
        <w:t xml:space="preserve">nformation and </w:t>
      </w:r>
      <w:r w:rsidR="00826A6B">
        <w:t>O</w:t>
      </w:r>
      <w:r>
        <w:t xml:space="preserve">ffice </w:t>
      </w:r>
      <w:r w:rsidR="00826A6B">
        <w:t>J</w:t>
      </w:r>
      <w:r>
        <w:t xml:space="preserve">ournal to easily start the pre-visit workflow or document your contact efforts. </w:t>
      </w:r>
    </w:p>
    <w:p w14:paraId="4CD82713" w14:textId="5AC83596" w:rsidR="001C6E97" w:rsidRPr="00826A6B" w:rsidRDefault="001C6E97" w:rsidP="004A2A35">
      <w:pPr>
        <w:pStyle w:val="BodyText"/>
        <w:keepNext/>
        <w:keepLines/>
        <w:numPr>
          <w:ilvl w:val="0"/>
          <w:numId w:val="25"/>
        </w:numPr>
        <w:ind w:left="540"/>
      </w:pPr>
      <w:r w:rsidRPr="0046697F">
        <w:rPr>
          <w:b/>
          <w:bCs/>
        </w:rPr>
        <w:t xml:space="preserve">ASAP </w:t>
      </w:r>
      <w:r w:rsidR="00826A6B" w:rsidRPr="0046697F">
        <w:rPr>
          <w:b/>
          <w:bCs/>
        </w:rPr>
        <w:t>L</w:t>
      </w:r>
      <w:r w:rsidRPr="0046697F">
        <w:rPr>
          <w:b/>
          <w:bCs/>
        </w:rPr>
        <w:t>ist</w:t>
      </w:r>
      <w:r w:rsidR="00826A6B">
        <w:t xml:space="preserve"> – </w:t>
      </w:r>
      <w:r w:rsidR="00F62955">
        <w:t>This list contains a</w:t>
      </w:r>
      <w:r w:rsidRPr="00826A6B">
        <w:t xml:space="preserve">ppointments </w:t>
      </w:r>
      <w:r w:rsidR="00F62955">
        <w:t>for</w:t>
      </w:r>
      <w:r w:rsidRPr="00826A6B">
        <w:t xml:space="preserve"> </w:t>
      </w:r>
      <w:r w:rsidR="00F62955">
        <w:t>patients who want</w:t>
      </w:r>
      <w:r w:rsidRPr="00826A6B">
        <w:t xml:space="preserve"> to come in sooner </w:t>
      </w:r>
      <w:r w:rsidR="00F62955">
        <w:t>if a time slot opens up. Use this list to help you fill</w:t>
      </w:r>
      <w:r w:rsidRPr="00826A6B">
        <w:t xml:space="preserve"> last</w:t>
      </w:r>
      <w:r w:rsidR="00F62955">
        <w:t>-</w:t>
      </w:r>
      <w:r w:rsidRPr="00826A6B">
        <w:t xml:space="preserve">minute openings in your schedule.  </w:t>
      </w:r>
    </w:p>
    <w:p w14:paraId="1B5FF1CA" w14:textId="3A7C3818" w:rsidR="001C6E97" w:rsidRPr="00826A6B" w:rsidRDefault="001C6E97">
      <w:pPr>
        <w:pStyle w:val="BodyText"/>
        <w:numPr>
          <w:ilvl w:val="0"/>
          <w:numId w:val="25"/>
        </w:numPr>
        <w:ind w:left="540"/>
      </w:pPr>
      <w:r w:rsidRPr="0046697F">
        <w:rPr>
          <w:b/>
          <w:bCs/>
        </w:rPr>
        <w:t xml:space="preserve">Unscheduled </w:t>
      </w:r>
      <w:r w:rsidR="00826A6B" w:rsidRPr="0046697F">
        <w:rPr>
          <w:b/>
          <w:bCs/>
        </w:rPr>
        <w:t>L</w:t>
      </w:r>
      <w:r w:rsidRPr="0046697F">
        <w:rPr>
          <w:b/>
          <w:bCs/>
        </w:rPr>
        <w:t>ist</w:t>
      </w:r>
      <w:r w:rsidR="00826A6B">
        <w:t xml:space="preserve"> – </w:t>
      </w:r>
      <w:r w:rsidR="00F62955">
        <w:t>This list contains b</w:t>
      </w:r>
      <w:r w:rsidRPr="00826A6B">
        <w:t xml:space="preserve">roken and </w:t>
      </w:r>
      <w:r w:rsidR="00F62955">
        <w:t>w</w:t>
      </w:r>
      <w:r w:rsidRPr="00826A6B">
        <w:t>ait/</w:t>
      </w:r>
      <w:r w:rsidR="00F62955">
        <w:t>w</w:t>
      </w:r>
      <w:r w:rsidRPr="00826A6B">
        <w:t xml:space="preserve">ill </w:t>
      </w:r>
      <w:r w:rsidR="00F62955">
        <w:t>c</w:t>
      </w:r>
      <w:r w:rsidRPr="00826A6B">
        <w:t xml:space="preserve">all </w:t>
      </w:r>
      <w:r w:rsidR="00F62955">
        <w:t>appointments. Use this list to help you keep</w:t>
      </w:r>
      <w:r w:rsidRPr="00826A6B">
        <w:t xml:space="preserve"> patients active in their care and regain balance in your schedule.  </w:t>
      </w:r>
    </w:p>
    <w:p w14:paraId="4ACB8123" w14:textId="3516DBFC" w:rsidR="001C6E97" w:rsidRPr="00826A6B" w:rsidRDefault="001C6E97">
      <w:pPr>
        <w:pStyle w:val="BodyText"/>
        <w:numPr>
          <w:ilvl w:val="0"/>
          <w:numId w:val="25"/>
        </w:numPr>
        <w:ind w:left="540"/>
      </w:pPr>
      <w:r w:rsidRPr="0046697F">
        <w:rPr>
          <w:b/>
          <w:bCs/>
        </w:rPr>
        <w:t>Continuing Care List</w:t>
      </w:r>
      <w:r w:rsidR="00826A6B">
        <w:t xml:space="preserve"> – </w:t>
      </w:r>
      <w:r w:rsidR="00F62955">
        <w:t xml:space="preserve">This list contains patients according to the specified continuing care </w:t>
      </w:r>
      <w:r w:rsidRPr="00826A6B">
        <w:t>due dates</w:t>
      </w:r>
      <w:r w:rsidR="00F62955">
        <w:t xml:space="preserve"> and </w:t>
      </w:r>
      <w:r w:rsidRPr="00826A6B">
        <w:t>type</w:t>
      </w:r>
      <w:r w:rsidR="00F62955">
        <w:t>s</w:t>
      </w:r>
      <w:r w:rsidRPr="00826A6B">
        <w:t xml:space="preserve"> and other parameters. </w:t>
      </w:r>
    </w:p>
    <w:p w14:paraId="7C2602BD" w14:textId="1106C716" w:rsidR="001C6E97" w:rsidRPr="00826A6B" w:rsidRDefault="001C6E97">
      <w:pPr>
        <w:pStyle w:val="BodyText"/>
        <w:numPr>
          <w:ilvl w:val="0"/>
          <w:numId w:val="25"/>
        </w:numPr>
        <w:ind w:left="540"/>
      </w:pPr>
      <w:r w:rsidRPr="0046697F">
        <w:rPr>
          <w:b/>
          <w:bCs/>
        </w:rPr>
        <w:t>Treatment Request Manager</w:t>
      </w:r>
      <w:r w:rsidRPr="00826A6B">
        <w:t xml:space="preserve"> – </w:t>
      </w:r>
      <w:r w:rsidR="00F62955">
        <w:t>This list contains</w:t>
      </w:r>
      <w:r w:rsidRPr="00826A6B">
        <w:t xml:space="preserve"> requests for treatment</w:t>
      </w:r>
      <w:r w:rsidR="008174AD">
        <w:t xml:space="preserve"> to be scheduled</w:t>
      </w:r>
      <w:r w:rsidRPr="00826A6B">
        <w:t>.</w:t>
      </w:r>
    </w:p>
    <w:p w14:paraId="4646DEEC" w14:textId="77777777" w:rsidR="004B64C5" w:rsidRDefault="001C6E97" w:rsidP="004B64C5">
      <w:pPr>
        <w:pStyle w:val="Heading4"/>
      </w:pPr>
      <w:r>
        <w:t>Patient List</w:t>
      </w:r>
    </w:p>
    <w:p w14:paraId="5944037F" w14:textId="3C51C18A" w:rsidR="001C6E97" w:rsidRDefault="001C6E97" w:rsidP="001C6E97">
      <w:pPr>
        <w:pStyle w:val="BodyText"/>
      </w:pPr>
      <w:r>
        <w:t xml:space="preserve">Generate custom lists for focused strategies </w:t>
      </w:r>
      <w:r w:rsidR="00826A6B">
        <w:t>to fill</w:t>
      </w:r>
      <w:r>
        <w:t xml:space="preserve"> your schedule. </w:t>
      </w:r>
    </w:p>
    <w:p w14:paraId="2146FC46" w14:textId="0CD5E4DA" w:rsidR="001C6E97" w:rsidRDefault="008174AD">
      <w:pPr>
        <w:pStyle w:val="BodyText"/>
        <w:numPr>
          <w:ilvl w:val="0"/>
          <w:numId w:val="26"/>
        </w:numPr>
        <w:ind w:left="540"/>
      </w:pPr>
      <w:r>
        <w:t>You can generate a p</w:t>
      </w:r>
      <w:r w:rsidR="001C6E97">
        <w:t>atient list</w:t>
      </w:r>
      <w:r>
        <w:t xml:space="preserve"> once for a unique need</w:t>
      </w:r>
      <w:r w:rsidR="001C6E97">
        <w:t xml:space="preserve">. When </w:t>
      </w:r>
      <w:r>
        <w:t>setting up</w:t>
      </w:r>
      <w:r w:rsidR="001C6E97">
        <w:t xml:space="preserve"> the patient list, define the filters</w:t>
      </w:r>
      <w:r>
        <w:t xml:space="preserve"> to narrow down the list of patients,</w:t>
      </w:r>
      <w:r w:rsidR="001C6E97">
        <w:t xml:space="preserve"> and then identify the information </w:t>
      </w:r>
      <w:r>
        <w:t xml:space="preserve">that </w:t>
      </w:r>
      <w:r w:rsidR="001C6E97">
        <w:t xml:space="preserve">you want to see for </w:t>
      </w:r>
      <w:r>
        <w:t>each patient in the list</w:t>
      </w:r>
      <w:r w:rsidR="001C6E97">
        <w:t xml:space="preserve">. </w:t>
      </w:r>
    </w:p>
    <w:p w14:paraId="6E3F3167" w14:textId="6293CAB7" w:rsidR="001C6E97" w:rsidRDefault="008174AD">
      <w:pPr>
        <w:pStyle w:val="BodyText"/>
        <w:numPr>
          <w:ilvl w:val="0"/>
          <w:numId w:val="26"/>
        </w:numPr>
        <w:ind w:left="540"/>
      </w:pPr>
      <w:r>
        <w:t>You can store the criteria for a p</w:t>
      </w:r>
      <w:r w:rsidR="001C6E97">
        <w:t xml:space="preserve">atient list as a template if you want to </w:t>
      </w:r>
      <w:r>
        <w:t>generate that list</w:t>
      </w:r>
      <w:r w:rsidR="001C6E97">
        <w:t xml:space="preserve"> as a standard report. </w:t>
      </w:r>
      <w:r>
        <w:t xml:space="preserve">To add a template, click </w:t>
      </w:r>
      <w:r w:rsidRPr="00DA41D3">
        <w:rPr>
          <w:b/>
          <w:bCs/>
        </w:rPr>
        <w:t>Add</w:t>
      </w:r>
      <w:r>
        <w:t xml:space="preserve">, enter a </w:t>
      </w:r>
      <w:r w:rsidRPr="00DA41D3">
        <w:rPr>
          <w:b/>
          <w:bCs/>
        </w:rPr>
        <w:t>List name</w:t>
      </w:r>
      <w:r>
        <w:t xml:space="preserve">, set up </w:t>
      </w:r>
      <w:r w:rsidR="001C6E97">
        <w:t xml:space="preserve">the </w:t>
      </w:r>
      <w:r>
        <w:t xml:space="preserve">necessary </w:t>
      </w:r>
      <w:r w:rsidR="001C6E97">
        <w:t>filter</w:t>
      </w:r>
      <w:r>
        <w:t>s</w:t>
      </w:r>
      <w:r w:rsidR="001C6E97">
        <w:t xml:space="preserve"> and data fields</w:t>
      </w:r>
      <w:r>
        <w:t xml:space="preserve">, click the </w:t>
      </w:r>
      <w:r w:rsidRPr="00DA41D3">
        <w:rPr>
          <w:b/>
          <w:bCs/>
        </w:rPr>
        <w:t>Run</w:t>
      </w:r>
      <w:r>
        <w:t xml:space="preserve"> button, click </w:t>
      </w:r>
      <w:r w:rsidRPr="00DA41D3">
        <w:rPr>
          <w:b/>
          <w:bCs/>
        </w:rPr>
        <w:t>Save</w:t>
      </w:r>
      <w:r>
        <w:t xml:space="preserve">, and then click </w:t>
      </w:r>
      <w:r w:rsidRPr="00DA41D3">
        <w:rPr>
          <w:b/>
          <w:bCs/>
        </w:rPr>
        <w:t>OK</w:t>
      </w:r>
      <w:r>
        <w:t>.</w:t>
      </w:r>
      <w:r w:rsidR="00DA41D3">
        <w:t xml:space="preserve"> </w:t>
      </w:r>
      <w:r w:rsidR="001C6E97">
        <w:t xml:space="preserve">To </w:t>
      </w:r>
      <w:r w:rsidR="00DA41D3">
        <w:t>generate a patient</w:t>
      </w:r>
      <w:r w:rsidR="001C6E97">
        <w:t xml:space="preserve"> list </w:t>
      </w:r>
      <w:r w:rsidR="00DA41D3">
        <w:t xml:space="preserve">in the future using that saved </w:t>
      </w:r>
      <w:r w:rsidR="001C6E97">
        <w:t xml:space="preserve">template, </w:t>
      </w:r>
      <w:r w:rsidR="00DA41D3">
        <w:t xml:space="preserve">select that template, and then click </w:t>
      </w:r>
      <w:r w:rsidR="00DA41D3" w:rsidRPr="00DA41D3">
        <w:rPr>
          <w:b/>
          <w:bCs/>
        </w:rPr>
        <w:t>Run</w:t>
      </w:r>
      <w:r w:rsidR="001C6E97">
        <w:t>.</w:t>
      </w:r>
    </w:p>
    <w:p w14:paraId="788249F4" w14:textId="77777777" w:rsidR="004B64C5" w:rsidRDefault="001C6E97" w:rsidP="00D42C5A">
      <w:pPr>
        <w:pStyle w:val="Heading3"/>
      </w:pPr>
      <w:bookmarkStart w:id="119" w:name="_Toc135416695"/>
      <w:bookmarkStart w:id="120" w:name="_Toc146183291"/>
      <w:r>
        <w:t>Automated Campaigns</w:t>
      </w:r>
      <w:bookmarkEnd w:id="119"/>
      <w:bookmarkEnd w:id="120"/>
    </w:p>
    <w:p w14:paraId="37E57017" w14:textId="096F17F0" w:rsidR="003C7783" w:rsidRDefault="001C6E97" w:rsidP="00DA41D3">
      <w:pPr>
        <w:pStyle w:val="BodyText"/>
        <w:sectPr w:rsidR="003C7783" w:rsidSect="007074D3">
          <w:pgSz w:w="12240" w:h="15840"/>
          <w:pgMar w:top="1440" w:right="1440" w:bottom="1440" w:left="1440" w:header="360" w:footer="360" w:gutter="0"/>
          <w:cols w:space="720"/>
          <w:docGrid w:linePitch="299"/>
        </w:sectPr>
      </w:pPr>
      <w:r>
        <w:t>Dentrix Enterprise works with communication systems, such as Demand Force. This arrangement allow</w:t>
      </w:r>
      <w:r w:rsidR="00DA41D3">
        <w:t>s</w:t>
      </w:r>
      <w:r>
        <w:t xml:space="preserve"> for automated communication with the patients in your system and updating appointment statuses. Future development will include the ability to fully integrate with </w:t>
      </w:r>
      <w:r w:rsidR="00DA41D3">
        <w:t>P</w:t>
      </w:r>
      <w:r>
        <w:t xml:space="preserve">atient </w:t>
      </w:r>
      <w:r w:rsidR="00DA41D3">
        <w:t>E</w:t>
      </w:r>
      <w:r>
        <w:t>ngage products.</w:t>
      </w:r>
    </w:p>
    <w:p w14:paraId="75694BE4" w14:textId="17CCDFB1" w:rsidR="00B629CF" w:rsidRDefault="003C7783" w:rsidP="003C7783">
      <w:pPr>
        <w:pStyle w:val="Heading1"/>
      </w:pPr>
      <w:bookmarkStart w:id="121" w:name="_Toc135416594"/>
      <w:bookmarkStart w:id="122" w:name="_Toc135416696"/>
      <w:bookmarkStart w:id="123" w:name="_Toc146183292"/>
      <w:r>
        <w:lastRenderedPageBreak/>
        <w:t>Patient Records Management</w:t>
      </w:r>
      <w:bookmarkEnd w:id="121"/>
      <w:bookmarkEnd w:id="122"/>
      <w:bookmarkEnd w:id="123"/>
    </w:p>
    <w:p w14:paraId="0266A9EF" w14:textId="386C2595" w:rsidR="003C7783" w:rsidRPr="003C7783" w:rsidRDefault="007F563D" w:rsidP="00A37B2A">
      <w:pPr>
        <w:pStyle w:val="BodyText"/>
      </w:pPr>
      <w:r>
        <w:t>Managing patient records</w:t>
      </w:r>
      <w:r w:rsidR="003C7783" w:rsidRPr="003C7783">
        <w:t xml:space="preserve"> is an organizational function for </w:t>
      </w:r>
      <w:r>
        <w:t>creating</w:t>
      </w:r>
      <w:r w:rsidR="003C7783" w:rsidRPr="003C7783">
        <w:t>, maint</w:t>
      </w:r>
      <w:r>
        <w:t>aining</w:t>
      </w:r>
      <w:r w:rsidR="003C7783" w:rsidRPr="003C7783">
        <w:t>, stor</w:t>
      </w:r>
      <w:r>
        <w:t>ing</w:t>
      </w:r>
      <w:r w:rsidR="003C7783" w:rsidRPr="003C7783">
        <w:t>, and preserv</w:t>
      </w:r>
      <w:r>
        <w:t>ing</w:t>
      </w:r>
      <w:r w:rsidR="003C7783" w:rsidRPr="003C7783">
        <w:t xml:space="preserve"> administrative patient records. The electronic dental record (EDR) begins</w:t>
      </w:r>
      <w:r>
        <w:t xml:space="preserve"> with the </w:t>
      </w:r>
      <w:r w:rsidRPr="003C7783">
        <w:t>patient record</w:t>
      </w:r>
      <w:r>
        <w:t xml:space="preserve"> where you enter</w:t>
      </w:r>
      <w:r w:rsidR="003C7783" w:rsidRPr="003C7783">
        <w:t xml:space="preserve"> </w:t>
      </w:r>
      <w:r>
        <w:t>p</w:t>
      </w:r>
      <w:r w:rsidR="003C7783" w:rsidRPr="003C7783">
        <w:t xml:space="preserve">atient and </w:t>
      </w:r>
      <w:r>
        <w:t>f</w:t>
      </w:r>
      <w:r w:rsidR="003C7783" w:rsidRPr="003C7783">
        <w:t xml:space="preserve">amily demographics.  </w:t>
      </w:r>
    </w:p>
    <w:p w14:paraId="3791DE49" w14:textId="73FFA0D0" w:rsidR="003C7783" w:rsidRPr="007F563D" w:rsidRDefault="007F563D" w:rsidP="00B42C69">
      <w:pPr>
        <w:pStyle w:val="BodyText"/>
        <w:rPr>
          <w:i/>
          <w:iCs/>
        </w:rPr>
      </w:pPr>
      <w:r w:rsidRPr="007F563D">
        <w:rPr>
          <w:b/>
          <w:bCs/>
          <w:i/>
          <w:iCs/>
        </w:rPr>
        <w:t>Note</w:t>
      </w:r>
      <w:r w:rsidRPr="007F563D">
        <w:rPr>
          <w:i/>
          <w:iCs/>
        </w:rPr>
        <w:t xml:space="preserve">: </w:t>
      </w:r>
      <w:r w:rsidR="003C7783" w:rsidRPr="007F563D">
        <w:rPr>
          <w:i/>
          <w:iCs/>
        </w:rPr>
        <w:t>Check with your state</w:t>
      </w:r>
      <w:r w:rsidR="007F2E58">
        <w:rPr>
          <w:i/>
          <w:iCs/>
        </w:rPr>
        <w:t>’s</w:t>
      </w:r>
      <w:r w:rsidR="003C7783" w:rsidRPr="007F563D">
        <w:rPr>
          <w:i/>
          <w:iCs/>
        </w:rPr>
        <w:t xml:space="preserve"> dental society or board of dentistry for information on recordkeeping requirements in your state.</w:t>
      </w:r>
    </w:p>
    <w:p w14:paraId="720973A8" w14:textId="16635871" w:rsidR="003C7783" w:rsidRPr="004267C0" w:rsidRDefault="003C7783" w:rsidP="004267C0">
      <w:pPr>
        <w:pStyle w:val="Heading2"/>
        <w:numPr>
          <w:ilvl w:val="0"/>
          <w:numId w:val="30"/>
        </w:numPr>
        <w:rPr>
          <w:lang w:val="en"/>
        </w:rPr>
      </w:pPr>
      <w:bookmarkStart w:id="124" w:name="_Toc135416697"/>
      <w:bookmarkStart w:id="125" w:name="_Toc146183293"/>
      <w:r w:rsidRPr="004267C0">
        <w:rPr>
          <w:lang w:val="en"/>
        </w:rPr>
        <w:t>Patient Forms</w:t>
      </w:r>
      <w:bookmarkEnd w:id="124"/>
      <w:bookmarkEnd w:id="125"/>
    </w:p>
    <w:p w14:paraId="6FA6DC67" w14:textId="111FEB5A" w:rsidR="003C7783" w:rsidRPr="003C7783" w:rsidRDefault="007F563D" w:rsidP="008A0FF3">
      <w:pPr>
        <w:pStyle w:val="BodyText"/>
        <w:rPr>
          <w:lang w:val="en"/>
        </w:rPr>
      </w:pPr>
      <w:r>
        <w:rPr>
          <w:lang w:val="en"/>
        </w:rPr>
        <w:t>You can use p</w:t>
      </w:r>
      <w:r w:rsidR="003C7783" w:rsidRPr="003C7783">
        <w:rPr>
          <w:lang w:val="en"/>
        </w:rPr>
        <w:t xml:space="preserve">atient forms </w:t>
      </w:r>
      <w:r>
        <w:rPr>
          <w:lang w:val="en"/>
        </w:rPr>
        <w:t xml:space="preserve">to record </w:t>
      </w:r>
      <w:r w:rsidR="00323063">
        <w:rPr>
          <w:lang w:val="en"/>
        </w:rPr>
        <w:t xml:space="preserve">various types of </w:t>
      </w:r>
      <w:r>
        <w:rPr>
          <w:lang w:val="en"/>
        </w:rPr>
        <w:t>data</w:t>
      </w:r>
      <w:r w:rsidR="00323063">
        <w:rPr>
          <w:lang w:val="en"/>
        </w:rPr>
        <w:t>,</w:t>
      </w:r>
      <w:r>
        <w:rPr>
          <w:lang w:val="en"/>
        </w:rPr>
        <w:t xml:space="preserve"> such as</w:t>
      </w:r>
      <w:r w:rsidR="003C7783" w:rsidRPr="003C7783">
        <w:rPr>
          <w:lang w:val="en"/>
        </w:rPr>
        <w:t xml:space="preserve"> patient information, medical history, billing information, and consent</w:t>
      </w:r>
      <w:r>
        <w:rPr>
          <w:lang w:val="en"/>
        </w:rPr>
        <w:t xml:space="preserve"> form</w:t>
      </w:r>
      <w:r w:rsidR="003C7783" w:rsidRPr="003C7783">
        <w:rPr>
          <w:lang w:val="en"/>
        </w:rPr>
        <w:t xml:space="preserve">s.  </w:t>
      </w:r>
    </w:p>
    <w:p w14:paraId="6F625CAB" w14:textId="77777777" w:rsidR="003C7783" w:rsidRPr="003C7783" w:rsidRDefault="003C7783" w:rsidP="00A37B2A">
      <w:pPr>
        <w:pStyle w:val="BodyText"/>
      </w:pPr>
      <w:r w:rsidRPr="00A37B2A">
        <w:rPr>
          <w:color w:val="00B050"/>
        </w:rPr>
        <w:t>&lt;&lt;Insert Patient Forms decision support/SOP/guidance&gt;&gt;</w:t>
      </w:r>
    </w:p>
    <w:p w14:paraId="4AE018F8" w14:textId="77777777" w:rsidR="008A0FF3" w:rsidRDefault="003C7783" w:rsidP="00D42C5A">
      <w:pPr>
        <w:pStyle w:val="Heading3"/>
        <w:rPr>
          <w:lang w:val="en"/>
        </w:rPr>
      </w:pPr>
      <w:bookmarkStart w:id="126" w:name="_Toc146183294"/>
      <w:r w:rsidRPr="003C7783">
        <w:rPr>
          <w:lang w:val="en"/>
        </w:rPr>
        <w:t>Quick Letters</w:t>
      </w:r>
      <w:bookmarkEnd w:id="126"/>
    </w:p>
    <w:p w14:paraId="66308A20" w14:textId="70DD72E8" w:rsidR="003C7783" w:rsidRPr="003C7783" w:rsidRDefault="00E31134" w:rsidP="008A0FF3">
      <w:pPr>
        <w:pStyle w:val="BodyText"/>
        <w:rPr>
          <w:lang w:val="en"/>
        </w:rPr>
      </w:pPr>
      <w:r>
        <w:rPr>
          <w:lang w:val="en"/>
        </w:rPr>
        <w:t>With t</w:t>
      </w:r>
      <w:r w:rsidR="003C7783" w:rsidRPr="003C7783">
        <w:rPr>
          <w:lang w:val="en"/>
        </w:rPr>
        <w:t>hese template letters and forms</w:t>
      </w:r>
      <w:r>
        <w:rPr>
          <w:lang w:val="en"/>
        </w:rPr>
        <w:t>, you can</w:t>
      </w:r>
      <w:r w:rsidR="003C7783" w:rsidRPr="003C7783">
        <w:rPr>
          <w:lang w:val="en"/>
        </w:rPr>
        <w:t xml:space="preserve"> use </w:t>
      </w:r>
      <w:r w:rsidR="00910C63">
        <w:rPr>
          <w:lang w:val="en"/>
        </w:rPr>
        <w:t xml:space="preserve">the </w:t>
      </w:r>
      <w:r w:rsidR="003C7783" w:rsidRPr="003C7783">
        <w:rPr>
          <w:lang w:val="en"/>
        </w:rPr>
        <w:t xml:space="preserve">Microsoft Word letter merge </w:t>
      </w:r>
      <w:r w:rsidR="00910C63">
        <w:rPr>
          <w:lang w:val="en"/>
        </w:rPr>
        <w:t>features to insert patient information from</w:t>
      </w:r>
      <w:r w:rsidR="003C7783" w:rsidRPr="003C7783">
        <w:rPr>
          <w:lang w:val="en"/>
        </w:rPr>
        <w:t xml:space="preserve"> Dentrix Enterprise</w:t>
      </w:r>
      <w:r w:rsidR="00910C63">
        <w:rPr>
          <w:lang w:val="en"/>
        </w:rPr>
        <w:t xml:space="preserve"> </w:t>
      </w:r>
      <w:r w:rsidR="003C7783" w:rsidRPr="003C7783">
        <w:rPr>
          <w:lang w:val="en"/>
        </w:rPr>
        <w:t xml:space="preserve">into a </w:t>
      </w:r>
      <w:r w:rsidR="00910C63">
        <w:rPr>
          <w:lang w:val="en"/>
        </w:rPr>
        <w:t>template</w:t>
      </w:r>
      <w:r w:rsidR="003C7783" w:rsidRPr="003C7783">
        <w:rPr>
          <w:lang w:val="en"/>
        </w:rPr>
        <w:t xml:space="preserve">. </w:t>
      </w:r>
      <w:r w:rsidR="00910C63">
        <w:rPr>
          <w:lang w:val="en"/>
        </w:rPr>
        <w:t xml:space="preserve">Use </w:t>
      </w:r>
      <w:r w:rsidR="003C7783" w:rsidRPr="003C7783">
        <w:rPr>
          <w:lang w:val="en"/>
        </w:rPr>
        <w:t xml:space="preserve">Quick </w:t>
      </w:r>
      <w:r w:rsidR="00910C63">
        <w:rPr>
          <w:lang w:val="en"/>
        </w:rPr>
        <w:t>L</w:t>
      </w:r>
      <w:r w:rsidR="003C7783" w:rsidRPr="003C7783">
        <w:rPr>
          <w:lang w:val="en"/>
        </w:rPr>
        <w:t xml:space="preserve">etters </w:t>
      </w:r>
      <w:r w:rsidR="00910C63">
        <w:rPr>
          <w:lang w:val="en"/>
        </w:rPr>
        <w:t>to quickly populate</w:t>
      </w:r>
      <w:r w:rsidR="003C7783" w:rsidRPr="003C7783">
        <w:rPr>
          <w:lang w:val="en"/>
        </w:rPr>
        <w:t xml:space="preserve"> a patient form.  </w:t>
      </w:r>
    </w:p>
    <w:p w14:paraId="6F2FEA4E" w14:textId="25893DFD" w:rsidR="003C7783" w:rsidRPr="00910C63" w:rsidRDefault="003C7783" w:rsidP="00B42C69">
      <w:pPr>
        <w:pStyle w:val="BodyText"/>
        <w:rPr>
          <w:i/>
          <w:iCs/>
        </w:rPr>
      </w:pPr>
      <w:r w:rsidRPr="00910C63">
        <w:rPr>
          <w:b/>
          <w:bCs/>
          <w:i/>
          <w:iCs/>
        </w:rPr>
        <w:t>Workflow Insight</w:t>
      </w:r>
      <w:r w:rsidRPr="00910C63">
        <w:rPr>
          <w:i/>
          <w:iCs/>
        </w:rPr>
        <w:t xml:space="preserve">: </w:t>
      </w:r>
      <w:r w:rsidR="00910C63" w:rsidRPr="00910C63">
        <w:rPr>
          <w:i/>
          <w:iCs/>
        </w:rPr>
        <w:t>Use</w:t>
      </w:r>
      <w:r w:rsidRPr="00910C63">
        <w:rPr>
          <w:i/>
          <w:iCs/>
        </w:rPr>
        <w:t xml:space="preserve"> Quick Letters for correspondence</w:t>
      </w:r>
      <w:r w:rsidR="00910C63" w:rsidRPr="00910C63">
        <w:rPr>
          <w:i/>
          <w:iCs/>
        </w:rPr>
        <w:t>,</w:t>
      </w:r>
      <w:r w:rsidRPr="00910C63">
        <w:rPr>
          <w:i/>
          <w:iCs/>
        </w:rPr>
        <w:t xml:space="preserve"> such as school excuse forms and revenue cycle letters. </w:t>
      </w:r>
      <w:r w:rsidR="00910C63" w:rsidRPr="00910C63">
        <w:rPr>
          <w:i/>
          <w:iCs/>
        </w:rPr>
        <w:t xml:space="preserve">Generating a Quick Letter automatically adds an </w:t>
      </w:r>
      <w:r w:rsidRPr="00910C63">
        <w:rPr>
          <w:i/>
          <w:iCs/>
        </w:rPr>
        <w:t xml:space="preserve">Office Journal </w:t>
      </w:r>
      <w:r w:rsidR="00910C63" w:rsidRPr="00910C63">
        <w:rPr>
          <w:i/>
          <w:iCs/>
        </w:rPr>
        <w:t>entry that includes the date, time, and type of the letter</w:t>
      </w:r>
      <w:r w:rsidRPr="00910C63">
        <w:rPr>
          <w:i/>
          <w:iCs/>
        </w:rPr>
        <w:t>.</w:t>
      </w:r>
    </w:p>
    <w:p w14:paraId="15F1BC1C" w14:textId="77777777" w:rsidR="008A0FF3" w:rsidRDefault="003C7783" w:rsidP="00D42C5A">
      <w:pPr>
        <w:pStyle w:val="Heading3"/>
        <w:rPr>
          <w:lang w:val="en"/>
        </w:rPr>
      </w:pPr>
      <w:bookmarkStart w:id="127" w:name="_Toc146183295"/>
      <w:r w:rsidRPr="003C7783">
        <w:rPr>
          <w:lang w:val="en"/>
        </w:rPr>
        <w:t>Consent Forms</w:t>
      </w:r>
      <w:bookmarkEnd w:id="127"/>
    </w:p>
    <w:p w14:paraId="1C3C95C5" w14:textId="5353738D" w:rsidR="003C7783" w:rsidRPr="003C7783" w:rsidRDefault="003C7783" w:rsidP="008A0FF3">
      <w:pPr>
        <w:pStyle w:val="BodyText"/>
        <w:rPr>
          <w:lang w:val="en"/>
        </w:rPr>
      </w:pPr>
      <w:r w:rsidRPr="003C7783">
        <w:rPr>
          <w:bCs/>
          <w:lang w:val="en"/>
        </w:rPr>
        <w:t xml:space="preserve">Consent forms </w:t>
      </w:r>
      <w:r w:rsidRPr="003C7783">
        <w:rPr>
          <w:lang w:val="en"/>
        </w:rPr>
        <w:t>are directly related to a patient’s specific treatment</w:t>
      </w:r>
      <w:r w:rsidR="00910C63">
        <w:rPr>
          <w:lang w:val="en"/>
        </w:rPr>
        <w:t>-</w:t>
      </w:r>
      <w:r w:rsidRPr="003C7783">
        <w:rPr>
          <w:lang w:val="en"/>
        </w:rPr>
        <w:t xml:space="preserve">planned procedures and provide a method to inform a patient about planned treatment and capture signatures.  </w:t>
      </w:r>
    </w:p>
    <w:p w14:paraId="5B4A5B8A" w14:textId="2BC86302" w:rsidR="003C7783" w:rsidRPr="00910C63" w:rsidRDefault="003C7783" w:rsidP="00B42C69">
      <w:pPr>
        <w:pStyle w:val="BodyText"/>
        <w:rPr>
          <w:i/>
          <w:iCs/>
        </w:rPr>
      </w:pPr>
      <w:r w:rsidRPr="00910C63">
        <w:rPr>
          <w:b/>
          <w:bCs/>
          <w:i/>
          <w:iCs/>
        </w:rPr>
        <w:t>Workflow Insight</w:t>
      </w:r>
      <w:r w:rsidRPr="00910C63">
        <w:rPr>
          <w:i/>
          <w:iCs/>
        </w:rPr>
        <w:t>:</w:t>
      </w:r>
      <w:r w:rsidR="00910C63" w:rsidRPr="00910C63">
        <w:rPr>
          <w:i/>
          <w:iCs/>
        </w:rPr>
        <w:t xml:space="preserve"> </w:t>
      </w:r>
      <w:r w:rsidRPr="00910C63">
        <w:rPr>
          <w:i/>
          <w:iCs/>
        </w:rPr>
        <w:t>C</w:t>
      </w:r>
      <w:r w:rsidR="00910C63" w:rsidRPr="00910C63">
        <w:rPr>
          <w:i/>
          <w:iCs/>
        </w:rPr>
        <w:t>apture c</w:t>
      </w:r>
      <w:r w:rsidRPr="00910C63">
        <w:rPr>
          <w:i/>
          <w:iCs/>
        </w:rPr>
        <w:t>onsent form signatures during the patient visit lifecycle.</w:t>
      </w:r>
    </w:p>
    <w:p w14:paraId="2B5C4CDB" w14:textId="3C855FEA" w:rsidR="008A0FF3" w:rsidRDefault="003C7783" w:rsidP="00D42C5A">
      <w:pPr>
        <w:pStyle w:val="Heading3"/>
        <w:rPr>
          <w:lang w:val="en"/>
        </w:rPr>
      </w:pPr>
      <w:bookmarkStart w:id="128" w:name="_Toc146183296"/>
      <w:r w:rsidRPr="003C7783">
        <w:rPr>
          <w:lang w:val="en"/>
        </w:rPr>
        <w:t>Questionnaires</w:t>
      </w:r>
      <w:bookmarkEnd w:id="128"/>
    </w:p>
    <w:p w14:paraId="4EA6A715" w14:textId="6BDD9EC7" w:rsidR="003C7783" w:rsidRPr="003C7783" w:rsidRDefault="00910C63" w:rsidP="008A0FF3">
      <w:pPr>
        <w:pStyle w:val="BodyText"/>
        <w:rPr>
          <w:lang w:val="en"/>
        </w:rPr>
      </w:pPr>
      <w:r>
        <w:rPr>
          <w:lang w:val="en"/>
        </w:rPr>
        <w:t>Questionnaires are</w:t>
      </w:r>
      <w:r w:rsidR="003C7783" w:rsidRPr="003C7783">
        <w:rPr>
          <w:lang w:val="en"/>
        </w:rPr>
        <w:t xml:space="preserve"> customizable forms </w:t>
      </w:r>
      <w:r>
        <w:rPr>
          <w:lang w:val="en"/>
        </w:rPr>
        <w:t>that</w:t>
      </w:r>
      <w:r w:rsidR="003C7783" w:rsidRPr="003C7783">
        <w:rPr>
          <w:lang w:val="en"/>
        </w:rPr>
        <w:t xml:space="preserve"> staff and patients can </w:t>
      </w:r>
      <w:r>
        <w:rPr>
          <w:lang w:val="en"/>
        </w:rPr>
        <w:t xml:space="preserve">use to </w:t>
      </w:r>
      <w:r w:rsidR="003C7783" w:rsidRPr="003C7783">
        <w:rPr>
          <w:lang w:val="en"/>
        </w:rPr>
        <w:t xml:space="preserve">answer pre-defined questions.  </w:t>
      </w:r>
      <w:r>
        <w:rPr>
          <w:lang w:val="en"/>
        </w:rPr>
        <w:t>You can attach m</w:t>
      </w:r>
      <w:r w:rsidR="003C7783" w:rsidRPr="003C7783">
        <w:rPr>
          <w:lang w:val="en"/>
        </w:rPr>
        <w:t xml:space="preserve">ultiple </w:t>
      </w:r>
      <w:r>
        <w:rPr>
          <w:lang w:val="en"/>
        </w:rPr>
        <w:t>q</w:t>
      </w:r>
      <w:r w:rsidR="003C7783" w:rsidRPr="003C7783">
        <w:rPr>
          <w:lang w:val="en"/>
        </w:rPr>
        <w:t>uestionnaires to a patient.</w:t>
      </w:r>
      <w:r>
        <w:rPr>
          <w:lang w:val="en"/>
        </w:rPr>
        <w:t xml:space="preserve"> Questionnaires </w:t>
      </w:r>
      <w:r w:rsidR="003C7783" w:rsidRPr="003C7783">
        <w:rPr>
          <w:lang w:val="en"/>
        </w:rPr>
        <w:t xml:space="preserve">have many uses, such as </w:t>
      </w:r>
      <w:r>
        <w:rPr>
          <w:lang w:val="en"/>
        </w:rPr>
        <w:t xml:space="preserve">for </w:t>
      </w:r>
      <w:r w:rsidR="003C7783" w:rsidRPr="003C7783">
        <w:rPr>
          <w:lang w:val="en"/>
        </w:rPr>
        <w:t>emergency/pain evaluation</w:t>
      </w:r>
      <w:r>
        <w:rPr>
          <w:lang w:val="en"/>
        </w:rPr>
        <w:t>s</w:t>
      </w:r>
      <w:r w:rsidR="003C7783" w:rsidRPr="003C7783">
        <w:rPr>
          <w:lang w:val="en"/>
        </w:rPr>
        <w:t xml:space="preserve">, cosmetic rating scales, </w:t>
      </w:r>
      <w:r>
        <w:rPr>
          <w:lang w:val="en"/>
        </w:rPr>
        <w:t xml:space="preserve">and </w:t>
      </w:r>
      <w:r w:rsidR="003C7783" w:rsidRPr="003C7783">
        <w:rPr>
          <w:lang w:val="en"/>
        </w:rPr>
        <w:t>new</w:t>
      </w:r>
      <w:r>
        <w:rPr>
          <w:lang w:val="en"/>
        </w:rPr>
        <w:t>-</w:t>
      </w:r>
      <w:r w:rsidR="003C7783" w:rsidRPr="003C7783">
        <w:rPr>
          <w:lang w:val="en"/>
        </w:rPr>
        <w:t>patient experience</w:t>
      </w:r>
      <w:r>
        <w:rPr>
          <w:lang w:val="en"/>
        </w:rPr>
        <w:t>s</w:t>
      </w:r>
      <w:r w:rsidR="003C7783" w:rsidRPr="003C7783">
        <w:rPr>
          <w:lang w:val="en"/>
        </w:rPr>
        <w:t xml:space="preserve">. </w:t>
      </w:r>
      <w:r>
        <w:rPr>
          <w:lang w:val="en"/>
        </w:rPr>
        <w:t>You can easily access q</w:t>
      </w:r>
      <w:r w:rsidR="003C7783" w:rsidRPr="003C7783">
        <w:rPr>
          <w:lang w:val="en"/>
        </w:rPr>
        <w:t>uestionnaires from all patient</w:t>
      </w:r>
      <w:r>
        <w:rPr>
          <w:lang w:val="en"/>
        </w:rPr>
        <w:t>-</w:t>
      </w:r>
      <w:r w:rsidR="003C7783" w:rsidRPr="003C7783">
        <w:rPr>
          <w:lang w:val="en"/>
        </w:rPr>
        <w:t>specific modules.</w:t>
      </w:r>
    </w:p>
    <w:p w14:paraId="6A64A452" w14:textId="073859D9" w:rsidR="003C7783" w:rsidRPr="004752C7" w:rsidRDefault="003C7783" w:rsidP="00B42C69">
      <w:pPr>
        <w:pStyle w:val="BodyText"/>
        <w:rPr>
          <w:i/>
          <w:iCs/>
        </w:rPr>
      </w:pPr>
      <w:r w:rsidRPr="004752C7">
        <w:rPr>
          <w:b/>
          <w:bCs/>
          <w:i/>
          <w:iCs/>
        </w:rPr>
        <w:t>Workflow Insight</w:t>
      </w:r>
      <w:r w:rsidRPr="004752C7">
        <w:rPr>
          <w:i/>
          <w:iCs/>
        </w:rPr>
        <w:t>:</w:t>
      </w:r>
      <w:r w:rsidR="00910C63" w:rsidRPr="004752C7">
        <w:rPr>
          <w:i/>
          <w:iCs/>
        </w:rPr>
        <w:t xml:space="preserve"> </w:t>
      </w:r>
      <w:r w:rsidRPr="004752C7">
        <w:rPr>
          <w:i/>
          <w:iCs/>
        </w:rPr>
        <w:t xml:space="preserve">Questionnaires are designed </w:t>
      </w:r>
      <w:r w:rsidR="00910C63" w:rsidRPr="004752C7">
        <w:rPr>
          <w:i/>
          <w:iCs/>
        </w:rPr>
        <w:t>as an</w:t>
      </w:r>
      <w:r w:rsidRPr="004752C7">
        <w:rPr>
          <w:i/>
          <w:iCs/>
        </w:rPr>
        <w:t xml:space="preserve"> “interview style” </w:t>
      </w:r>
      <w:r w:rsidR="00910C63" w:rsidRPr="004752C7">
        <w:rPr>
          <w:i/>
          <w:iCs/>
        </w:rPr>
        <w:t xml:space="preserve">of </w:t>
      </w:r>
      <w:r w:rsidRPr="004752C7">
        <w:rPr>
          <w:i/>
          <w:iCs/>
        </w:rPr>
        <w:t xml:space="preserve">data </w:t>
      </w:r>
      <w:r w:rsidR="00910C63" w:rsidRPr="004752C7">
        <w:rPr>
          <w:i/>
          <w:iCs/>
        </w:rPr>
        <w:t>collection</w:t>
      </w:r>
      <w:r w:rsidRPr="004752C7">
        <w:rPr>
          <w:i/>
          <w:iCs/>
        </w:rPr>
        <w:t xml:space="preserve"> by a staff member.</w:t>
      </w:r>
      <w:r w:rsidR="00910C63" w:rsidRPr="004752C7">
        <w:rPr>
          <w:i/>
          <w:iCs/>
        </w:rPr>
        <w:t xml:space="preserve"> </w:t>
      </w:r>
      <w:r w:rsidR="004752C7" w:rsidRPr="004752C7">
        <w:rPr>
          <w:i/>
          <w:iCs/>
        </w:rPr>
        <w:t>You can enter answers directly in Dentrix Enterprise or print the questionnaire for the patient to write answers on</w:t>
      </w:r>
      <w:r w:rsidRPr="004752C7">
        <w:rPr>
          <w:i/>
          <w:iCs/>
        </w:rPr>
        <w:t>.</w:t>
      </w:r>
      <w:r w:rsidR="004752C7" w:rsidRPr="004752C7">
        <w:rPr>
          <w:i/>
          <w:iCs/>
        </w:rPr>
        <w:t xml:space="preserve"> </w:t>
      </w:r>
      <w:r w:rsidRPr="004752C7">
        <w:rPr>
          <w:i/>
          <w:iCs/>
        </w:rPr>
        <w:t xml:space="preserve">Questionnaires </w:t>
      </w:r>
      <w:r w:rsidR="004752C7" w:rsidRPr="004752C7">
        <w:rPr>
          <w:i/>
          <w:iCs/>
        </w:rPr>
        <w:t>do not integrate</w:t>
      </w:r>
      <w:r w:rsidRPr="004752C7">
        <w:rPr>
          <w:i/>
          <w:iCs/>
        </w:rPr>
        <w:t xml:space="preserve"> with </w:t>
      </w:r>
      <w:r w:rsidR="004752C7" w:rsidRPr="004752C7">
        <w:rPr>
          <w:i/>
          <w:iCs/>
        </w:rPr>
        <w:t xml:space="preserve">any </w:t>
      </w:r>
      <w:r w:rsidRPr="004752C7">
        <w:rPr>
          <w:i/>
          <w:iCs/>
        </w:rPr>
        <w:t xml:space="preserve">websites or kiosks </w:t>
      </w:r>
      <w:r w:rsidR="004752C7" w:rsidRPr="004752C7">
        <w:rPr>
          <w:i/>
          <w:iCs/>
        </w:rPr>
        <w:t>that</w:t>
      </w:r>
      <w:r w:rsidRPr="004752C7">
        <w:rPr>
          <w:i/>
          <w:iCs/>
        </w:rPr>
        <w:t xml:space="preserve"> patient</w:t>
      </w:r>
      <w:r w:rsidR="004752C7" w:rsidRPr="004752C7">
        <w:rPr>
          <w:i/>
          <w:iCs/>
        </w:rPr>
        <w:t>s</w:t>
      </w:r>
      <w:r w:rsidRPr="004752C7">
        <w:rPr>
          <w:i/>
          <w:iCs/>
        </w:rPr>
        <w:t xml:space="preserve"> </w:t>
      </w:r>
      <w:r w:rsidR="004752C7" w:rsidRPr="004752C7">
        <w:rPr>
          <w:i/>
          <w:iCs/>
        </w:rPr>
        <w:t>can</w:t>
      </w:r>
      <w:r w:rsidRPr="004752C7">
        <w:rPr>
          <w:i/>
          <w:iCs/>
        </w:rPr>
        <w:t xml:space="preserve"> </w:t>
      </w:r>
      <w:r w:rsidR="004752C7" w:rsidRPr="004752C7">
        <w:rPr>
          <w:i/>
          <w:iCs/>
        </w:rPr>
        <w:t xml:space="preserve">use to </w:t>
      </w:r>
      <w:r w:rsidRPr="004752C7">
        <w:rPr>
          <w:i/>
          <w:iCs/>
        </w:rPr>
        <w:t xml:space="preserve">complete </w:t>
      </w:r>
      <w:r w:rsidR="004752C7" w:rsidRPr="004752C7">
        <w:rPr>
          <w:i/>
          <w:iCs/>
        </w:rPr>
        <w:t>forms</w:t>
      </w:r>
      <w:r w:rsidRPr="004752C7">
        <w:rPr>
          <w:i/>
          <w:iCs/>
        </w:rPr>
        <w:t>.</w:t>
      </w:r>
    </w:p>
    <w:p w14:paraId="3200D9DF" w14:textId="4F2141FC" w:rsidR="003C7783" w:rsidRPr="003C7783" w:rsidRDefault="003C7783" w:rsidP="004267C0">
      <w:pPr>
        <w:pStyle w:val="Heading2"/>
      </w:pPr>
      <w:bookmarkStart w:id="129" w:name="_Toc135416699"/>
      <w:bookmarkStart w:id="130" w:name="_Toc146183297"/>
      <w:r>
        <w:lastRenderedPageBreak/>
        <w:t>Patient/Household File</w:t>
      </w:r>
      <w:bookmarkEnd w:id="129"/>
      <w:bookmarkEnd w:id="130"/>
    </w:p>
    <w:p w14:paraId="65B3120E" w14:textId="5AF63D46" w:rsidR="003C7783" w:rsidRPr="003C7783" w:rsidRDefault="004752C7" w:rsidP="004A2A35">
      <w:pPr>
        <w:pStyle w:val="BodyText"/>
        <w:keepNext/>
        <w:keepLines/>
        <w:rPr>
          <w:lang w:val="en"/>
        </w:rPr>
      </w:pPr>
      <w:r>
        <w:rPr>
          <w:lang w:val="en"/>
        </w:rPr>
        <w:t>Dentrix Enterprise provides c</w:t>
      </w:r>
      <w:r w:rsidR="003C7783" w:rsidRPr="003C7783">
        <w:rPr>
          <w:lang w:val="en"/>
        </w:rPr>
        <w:t xml:space="preserve">omprehensive management of patient and household account information.   Patient registration workflows can vary greatly depending upon the presence or absence of an interface with a medical product/software.   </w:t>
      </w:r>
    </w:p>
    <w:p w14:paraId="21C89F52" w14:textId="77777777" w:rsidR="003C7783" w:rsidRPr="003C7783" w:rsidRDefault="003C7783" w:rsidP="00A37B2A">
      <w:pPr>
        <w:pStyle w:val="BodyText"/>
      </w:pPr>
      <w:r w:rsidRPr="00A37B2A">
        <w:rPr>
          <w:color w:val="00B050"/>
        </w:rPr>
        <w:t>&lt;&lt;Insert Patient/Household File decision support/SOP/guidance&gt;&gt;</w:t>
      </w:r>
    </w:p>
    <w:p w14:paraId="2894C669" w14:textId="42248AE2" w:rsidR="003C7783" w:rsidRPr="003C7783" w:rsidRDefault="003C7783" w:rsidP="00D42C5A">
      <w:pPr>
        <w:pStyle w:val="Heading3"/>
      </w:pPr>
      <w:bookmarkStart w:id="131" w:name="_Toc135416700"/>
      <w:bookmarkStart w:id="132" w:name="_Toc146183298"/>
      <w:r w:rsidRPr="003C7783">
        <w:t>Patient Information</w:t>
      </w:r>
      <w:bookmarkEnd w:id="131"/>
      <w:bookmarkEnd w:id="132"/>
    </w:p>
    <w:p w14:paraId="12CA2BE5" w14:textId="77777777" w:rsidR="008A0FF3" w:rsidRDefault="003C7783" w:rsidP="008A0FF3">
      <w:pPr>
        <w:pStyle w:val="Heading4"/>
      </w:pPr>
      <w:r w:rsidRPr="003C7783">
        <w:t>Individual or Family Accounts</w:t>
      </w:r>
    </w:p>
    <w:p w14:paraId="6E8C77C5" w14:textId="7F1279C4" w:rsidR="003C7783" w:rsidRPr="003C7783" w:rsidRDefault="004752C7" w:rsidP="008A0FF3">
      <w:pPr>
        <w:pStyle w:val="BodyText"/>
        <w:rPr>
          <w:b/>
          <w:bCs/>
        </w:rPr>
      </w:pPr>
      <w:r>
        <w:t xml:space="preserve">In </w:t>
      </w:r>
      <w:r w:rsidR="003C7783" w:rsidRPr="003C7783">
        <w:t>Dentrix Enterprise</w:t>
      </w:r>
      <w:r>
        <w:t xml:space="preserve">, </w:t>
      </w:r>
      <w:r w:rsidR="003C7783" w:rsidRPr="003C7783">
        <w:t xml:space="preserve">patients </w:t>
      </w:r>
      <w:r>
        <w:t xml:space="preserve">are grouped </w:t>
      </w:r>
      <w:r w:rsidR="003C7783" w:rsidRPr="003C7783">
        <w:t>into families.</w:t>
      </w:r>
      <w:r>
        <w:t xml:space="preserve"> F</w:t>
      </w:r>
      <w:r w:rsidR="003C7783" w:rsidRPr="003C7783">
        <w:t>amily accounts allow for</w:t>
      </w:r>
      <w:r>
        <w:t xml:space="preserve"> the</w:t>
      </w:r>
      <w:r w:rsidR="003C7783" w:rsidRPr="003C7783">
        <w:t xml:space="preserve"> sharing of insurance subscribers and benefit information across individual patients in the same family.  </w:t>
      </w:r>
    </w:p>
    <w:p w14:paraId="1DDBA14D" w14:textId="35C161EF" w:rsidR="003C7783" w:rsidRPr="004752C7" w:rsidRDefault="003C7783" w:rsidP="008A0FF3">
      <w:pPr>
        <w:pStyle w:val="BodyText"/>
        <w:rPr>
          <w:i/>
          <w:iCs/>
        </w:rPr>
      </w:pPr>
      <w:r w:rsidRPr="004752C7">
        <w:rPr>
          <w:b/>
          <w:bCs/>
          <w:i/>
          <w:iCs/>
        </w:rPr>
        <w:t>Workflow Insight</w:t>
      </w:r>
      <w:r w:rsidRPr="004752C7">
        <w:rPr>
          <w:i/>
          <w:iCs/>
        </w:rPr>
        <w:t>:</w:t>
      </w:r>
      <w:r w:rsidR="004752C7" w:rsidRPr="004752C7">
        <w:rPr>
          <w:i/>
          <w:iCs/>
        </w:rPr>
        <w:t xml:space="preserve"> When you are deciding whether to use</w:t>
      </w:r>
      <w:r w:rsidRPr="004752C7">
        <w:rPr>
          <w:i/>
          <w:iCs/>
        </w:rPr>
        <w:t xml:space="preserve"> individual patient </w:t>
      </w:r>
      <w:r w:rsidR="004752C7" w:rsidRPr="004752C7">
        <w:rPr>
          <w:i/>
          <w:iCs/>
        </w:rPr>
        <w:t>accounts or</w:t>
      </w:r>
      <w:r w:rsidRPr="004752C7">
        <w:rPr>
          <w:i/>
          <w:iCs/>
        </w:rPr>
        <w:t xml:space="preserve"> family accounts, it is important to define how your organization will assign subscriber information for current and non-patient subscribers in your system. Some HL7 restrictions require individual accounts instead of grouping patients by family. In this situation, sometimes </w:t>
      </w:r>
      <w:r w:rsidR="004752C7" w:rsidRPr="004752C7">
        <w:rPr>
          <w:i/>
          <w:iCs/>
        </w:rPr>
        <w:t>you must</w:t>
      </w:r>
      <w:r w:rsidRPr="004752C7">
        <w:rPr>
          <w:i/>
          <w:iCs/>
        </w:rPr>
        <w:t xml:space="preserve"> enter a subscriber into the system multiple times to allow for proper assignment of insurance benefits.</w:t>
      </w:r>
    </w:p>
    <w:p w14:paraId="3E56013F" w14:textId="0347D5D8" w:rsidR="008A0FF3" w:rsidRDefault="003C7783" w:rsidP="008A0FF3">
      <w:pPr>
        <w:pStyle w:val="Heading4"/>
      </w:pPr>
      <w:r w:rsidRPr="003C7783">
        <w:t>Personal</w:t>
      </w:r>
    </w:p>
    <w:p w14:paraId="0DC7CDA2" w14:textId="17C69CEA" w:rsidR="003C7783" w:rsidRPr="003C7783" w:rsidRDefault="003C7783" w:rsidP="008A0FF3">
      <w:pPr>
        <w:pStyle w:val="BodyText"/>
        <w:rPr>
          <w:b/>
          <w:bCs/>
        </w:rPr>
      </w:pPr>
      <w:r w:rsidRPr="003C7783">
        <w:t xml:space="preserve">When </w:t>
      </w:r>
      <w:r w:rsidR="004752C7">
        <w:t xml:space="preserve">you are </w:t>
      </w:r>
      <w:r w:rsidRPr="003C7783">
        <w:t xml:space="preserve">entering in the personal information for a patient, it is important to understand other workflows that may be affected by the data. </w:t>
      </w:r>
      <w:r w:rsidR="004752C7">
        <w:t>The r</w:t>
      </w:r>
      <w:r w:rsidRPr="003C7783">
        <w:t xml:space="preserve">evenue </w:t>
      </w:r>
      <w:r w:rsidR="004752C7">
        <w:t>c</w:t>
      </w:r>
      <w:r w:rsidRPr="003C7783">
        <w:t>ycle relies on complete and accurate information for each patient to achieve successful claim and billing process</w:t>
      </w:r>
      <w:r w:rsidR="004752C7">
        <w:t>ing</w:t>
      </w:r>
      <w:r w:rsidRPr="003C7783">
        <w:t xml:space="preserve"> results.  </w:t>
      </w:r>
    </w:p>
    <w:p w14:paraId="45287E57" w14:textId="286A4319" w:rsidR="003C7783" w:rsidRPr="004752C7" w:rsidRDefault="003C7783" w:rsidP="00B3072B">
      <w:pPr>
        <w:pStyle w:val="BodyText"/>
        <w:rPr>
          <w:b/>
          <w:bCs/>
          <w:i/>
          <w:iCs/>
        </w:rPr>
      </w:pPr>
      <w:r w:rsidRPr="004752C7">
        <w:rPr>
          <w:b/>
          <w:bCs/>
          <w:i/>
          <w:iCs/>
        </w:rPr>
        <w:t>Workflow Insight</w:t>
      </w:r>
      <w:r w:rsidRPr="004752C7">
        <w:rPr>
          <w:i/>
          <w:iCs/>
        </w:rPr>
        <w:t>:</w:t>
      </w:r>
      <w:r w:rsidR="004752C7" w:rsidRPr="004752C7">
        <w:rPr>
          <w:i/>
          <w:iCs/>
        </w:rPr>
        <w:t xml:space="preserve"> </w:t>
      </w:r>
      <w:r w:rsidRPr="004752C7">
        <w:rPr>
          <w:i/>
          <w:iCs/>
        </w:rPr>
        <w:t xml:space="preserve">Global settings can </w:t>
      </w:r>
      <w:r w:rsidR="004752C7" w:rsidRPr="004752C7">
        <w:rPr>
          <w:i/>
          <w:iCs/>
        </w:rPr>
        <w:t xml:space="preserve">help you make </w:t>
      </w:r>
      <w:r w:rsidRPr="004752C7">
        <w:rPr>
          <w:i/>
          <w:iCs/>
        </w:rPr>
        <w:t xml:space="preserve">certain information required, such as </w:t>
      </w:r>
      <w:r w:rsidR="004752C7" w:rsidRPr="004752C7">
        <w:rPr>
          <w:i/>
          <w:iCs/>
        </w:rPr>
        <w:t>a S</w:t>
      </w:r>
      <w:r w:rsidRPr="004752C7">
        <w:rPr>
          <w:i/>
          <w:iCs/>
        </w:rPr>
        <w:t xml:space="preserve">ocial </w:t>
      </w:r>
      <w:r w:rsidR="004752C7" w:rsidRPr="004752C7">
        <w:rPr>
          <w:i/>
          <w:iCs/>
        </w:rPr>
        <w:t>S</w:t>
      </w:r>
      <w:r w:rsidRPr="004752C7">
        <w:rPr>
          <w:i/>
          <w:iCs/>
        </w:rPr>
        <w:t xml:space="preserve">ecurity </w:t>
      </w:r>
      <w:r w:rsidR="004752C7" w:rsidRPr="004752C7">
        <w:rPr>
          <w:i/>
          <w:iCs/>
        </w:rPr>
        <w:t>N</w:t>
      </w:r>
      <w:r w:rsidRPr="004752C7">
        <w:rPr>
          <w:i/>
          <w:iCs/>
        </w:rPr>
        <w:t>umber.</w:t>
      </w:r>
    </w:p>
    <w:p w14:paraId="5C0F8B0F" w14:textId="1607C4EE" w:rsidR="008A0FF3" w:rsidRDefault="003C7783" w:rsidP="008A0FF3">
      <w:pPr>
        <w:pStyle w:val="Heading4"/>
      </w:pPr>
      <w:r w:rsidRPr="003C7783">
        <w:t>Demographics</w:t>
      </w:r>
    </w:p>
    <w:p w14:paraId="3D83BC2D" w14:textId="6809D3CF" w:rsidR="003C7783" w:rsidRPr="003C7783" w:rsidRDefault="003C7783" w:rsidP="008A0FF3">
      <w:pPr>
        <w:pStyle w:val="BodyText"/>
        <w:rPr>
          <w:b/>
          <w:bCs/>
        </w:rPr>
      </w:pPr>
      <w:r w:rsidRPr="003C7783">
        <w:t xml:space="preserve">The use and selection of demographics populated for each patient depends upon your organization’s specific reporting and operational needs. </w:t>
      </w:r>
    </w:p>
    <w:p w14:paraId="01D6EBC2" w14:textId="3384A1D4" w:rsidR="003C7783" w:rsidRPr="00F14D67" w:rsidRDefault="003C7783" w:rsidP="008A0FF3">
      <w:pPr>
        <w:pStyle w:val="BodyText"/>
        <w:rPr>
          <w:i/>
          <w:iCs/>
        </w:rPr>
      </w:pPr>
      <w:r w:rsidRPr="00F14D67">
        <w:rPr>
          <w:b/>
          <w:bCs/>
          <w:i/>
          <w:iCs/>
        </w:rPr>
        <w:t>Operations Insight</w:t>
      </w:r>
      <w:r w:rsidRPr="00F14D67">
        <w:rPr>
          <w:i/>
          <w:iCs/>
        </w:rPr>
        <w:t xml:space="preserve">: Demographics in Family File are often used to populate UDS reports and </w:t>
      </w:r>
      <w:r w:rsidR="00F14D67" w:rsidRPr="00F14D67">
        <w:rPr>
          <w:i/>
          <w:iCs/>
        </w:rPr>
        <w:t xml:space="preserve">for </w:t>
      </w:r>
      <w:r w:rsidRPr="00F14D67">
        <w:rPr>
          <w:i/>
          <w:iCs/>
        </w:rPr>
        <w:t>other government</w:t>
      </w:r>
      <w:r w:rsidR="00F14D67">
        <w:rPr>
          <w:i/>
          <w:iCs/>
        </w:rPr>
        <w:t>-related</w:t>
      </w:r>
      <w:r w:rsidRPr="00F14D67">
        <w:rPr>
          <w:i/>
          <w:iCs/>
        </w:rPr>
        <w:t xml:space="preserve"> data reporting needs.</w:t>
      </w:r>
    </w:p>
    <w:p w14:paraId="2D1F2A0D" w14:textId="647CE637" w:rsidR="003C7783" w:rsidRPr="003C7783" w:rsidRDefault="003C7783" w:rsidP="008A0FF3">
      <w:pPr>
        <w:pStyle w:val="Heading4"/>
      </w:pPr>
      <w:r w:rsidRPr="003C7783">
        <w:t>Office Info</w:t>
      </w:r>
    </w:p>
    <w:p w14:paraId="1F9CED86" w14:textId="2C42793E" w:rsidR="003C7783" w:rsidRPr="00F14D67" w:rsidRDefault="003C7783">
      <w:pPr>
        <w:pStyle w:val="BodyText"/>
        <w:numPr>
          <w:ilvl w:val="0"/>
          <w:numId w:val="31"/>
        </w:numPr>
        <w:ind w:left="540"/>
      </w:pPr>
      <w:r w:rsidRPr="00F14D67">
        <w:rPr>
          <w:b/>
          <w:bCs/>
        </w:rPr>
        <w:t>First Visit</w:t>
      </w:r>
      <w:r w:rsidR="00F14D67">
        <w:t xml:space="preserve"> – </w:t>
      </w:r>
      <w:r w:rsidRPr="00F14D67">
        <w:t xml:space="preserve">It is important to identify the office requirement for a first visit. Unless </w:t>
      </w:r>
      <w:r w:rsidR="00F14D67">
        <w:t xml:space="preserve">you </w:t>
      </w:r>
      <w:r w:rsidRPr="00F14D67">
        <w:t>modif</w:t>
      </w:r>
      <w:r w:rsidR="00F14D67">
        <w:t>y</w:t>
      </w:r>
      <w:r w:rsidRPr="00F14D67">
        <w:t xml:space="preserve"> </w:t>
      </w:r>
      <w:r w:rsidR="00F14D67">
        <w:t xml:space="preserve">the first visit date </w:t>
      </w:r>
      <w:r w:rsidRPr="00F14D67">
        <w:t xml:space="preserve">to reflect the date of </w:t>
      </w:r>
      <w:r w:rsidR="00F14D67">
        <w:t xml:space="preserve">the patient’s </w:t>
      </w:r>
      <w:r w:rsidRPr="00F14D67">
        <w:t xml:space="preserve">first visit, it is assumed </w:t>
      </w:r>
      <w:r w:rsidR="00F14D67">
        <w:t xml:space="preserve">that </w:t>
      </w:r>
      <w:r w:rsidRPr="00F14D67">
        <w:t xml:space="preserve">full registration occurred on the date the Family File </w:t>
      </w:r>
      <w:r w:rsidR="00F14D67">
        <w:t xml:space="preserve">record </w:t>
      </w:r>
      <w:r w:rsidRPr="00F14D67">
        <w:t>was created.</w:t>
      </w:r>
    </w:p>
    <w:p w14:paraId="6250EC05" w14:textId="308A2DD4" w:rsidR="003C7783" w:rsidRPr="00F14D67" w:rsidRDefault="003C7783">
      <w:pPr>
        <w:pStyle w:val="BodyText"/>
        <w:numPr>
          <w:ilvl w:val="0"/>
          <w:numId w:val="31"/>
        </w:numPr>
        <w:ind w:left="540"/>
      </w:pPr>
      <w:r w:rsidRPr="00F14D67">
        <w:rPr>
          <w:b/>
          <w:bCs/>
        </w:rPr>
        <w:t>Prov1</w:t>
      </w:r>
      <w:r w:rsidR="00F14D67">
        <w:t xml:space="preserve"> – Dentrix Enterprise uses a</w:t>
      </w:r>
      <w:r w:rsidRPr="00F14D67">
        <w:t xml:space="preserve"> patient’s primary provider (</w:t>
      </w:r>
      <w:r w:rsidR="00F14D67">
        <w:t>p</w:t>
      </w:r>
      <w:r w:rsidRPr="00F14D67">
        <w:t xml:space="preserve">rovider 1) to create clinical </w:t>
      </w:r>
      <w:r w:rsidR="00F14D67">
        <w:t>records</w:t>
      </w:r>
      <w:r w:rsidRPr="00F14D67">
        <w:t xml:space="preserve"> and </w:t>
      </w:r>
      <w:r w:rsidR="00F14D67">
        <w:t xml:space="preserve">for </w:t>
      </w:r>
      <w:r w:rsidRPr="00F14D67">
        <w:t xml:space="preserve">ease of future scheduling. </w:t>
      </w:r>
      <w:r w:rsidR="00F14D67">
        <w:t>I</w:t>
      </w:r>
      <w:r w:rsidRPr="00F14D67">
        <w:t>nsurance claim</w:t>
      </w:r>
      <w:r w:rsidR="00F14D67">
        <w:t>s may also use primary</w:t>
      </w:r>
      <w:r w:rsidRPr="00F14D67">
        <w:t xml:space="preserve"> providers.</w:t>
      </w:r>
    </w:p>
    <w:p w14:paraId="557B5A73" w14:textId="61CEE1B4" w:rsidR="003C7783" w:rsidRPr="00F14D67" w:rsidRDefault="003C7783">
      <w:pPr>
        <w:pStyle w:val="BodyText"/>
        <w:numPr>
          <w:ilvl w:val="0"/>
          <w:numId w:val="31"/>
        </w:numPr>
        <w:ind w:left="540"/>
      </w:pPr>
      <w:r w:rsidRPr="00F14D67">
        <w:rPr>
          <w:b/>
          <w:bCs/>
        </w:rPr>
        <w:t>Clinic</w:t>
      </w:r>
      <w:r w:rsidR="00F14D67">
        <w:t xml:space="preserve"> – A</w:t>
      </w:r>
      <w:r w:rsidRPr="00F14D67">
        <w:t>ssign a home clinic</w:t>
      </w:r>
      <w:r w:rsidR="00F14D67">
        <w:t xml:space="preserve"> to a patient. S</w:t>
      </w:r>
      <w:r w:rsidRPr="00F14D67">
        <w:t>ome reports</w:t>
      </w:r>
      <w:r w:rsidR="000E4994">
        <w:t>, such as the Patient List,</w:t>
      </w:r>
      <w:r w:rsidRPr="00F14D67">
        <w:t xml:space="preserve"> use the home clinic for calculation</w:t>
      </w:r>
      <w:r w:rsidR="000E4994">
        <w:t>s</w:t>
      </w:r>
      <w:r w:rsidRPr="00F14D67">
        <w:t xml:space="preserve">. </w:t>
      </w:r>
    </w:p>
    <w:p w14:paraId="7849D76C" w14:textId="7682138A" w:rsidR="003C7783" w:rsidRPr="003C7783" w:rsidRDefault="003C7783" w:rsidP="00B42C69">
      <w:pPr>
        <w:pStyle w:val="Heading4"/>
      </w:pPr>
      <w:r w:rsidRPr="003C7783">
        <w:lastRenderedPageBreak/>
        <w:t>Family Edit</w:t>
      </w:r>
    </w:p>
    <w:p w14:paraId="43DA4EC8" w14:textId="340EA4B7" w:rsidR="003C7783" w:rsidRPr="000E4994" w:rsidRDefault="003C7783" w:rsidP="004A2A35">
      <w:pPr>
        <w:pStyle w:val="BodyText"/>
        <w:keepNext/>
        <w:keepLines/>
        <w:numPr>
          <w:ilvl w:val="0"/>
          <w:numId w:val="32"/>
        </w:numPr>
        <w:ind w:left="547"/>
      </w:pPr>
      <w:r w:rsidRPr="000E4994">
        <w:rPr>
          <w:b/>
          <w:bCs/>
        </w:rPr>
        <w:t>Merge Patients</w:t>
      </w:r>
      <w:r w:rsidR="000E4994">
        <w:t xml:space="preserve"> – </w:t>
      </w:r>
      <w:r w:rsidRPr="000E4994">
        <w:t>Combine duplicate patient records into one with little to no data loss.</w:t>
      </w:r>
    </w:p>
    <w:p w14:paraId="290D34EF" w14:textId="4FE4C9DC" w:rsidR="003C7783" w:rsidRPr="000E4994" w:rsidRDefault="003C7783">
      <w:pPr>
        <w:pStyle w:val="BodyText"/>
        <w:numPr>
          <w:ilvl w:val="0"/>
          <w:numId w:val="32"/>
        </w:numPr>
        <w:ind w:left="540"/>
      </w:pPr>
      <w:r w:rsidRPr="000E4994">
        <w:rPr>
          <w:b/>
          <w:bCs/>
        </w:rPr>
        <w:t>Family Relations</w:t>
      </w:r>
      <w:r w:rsidR="000E4994">
        <w:t xml:space="preserve"> – </w:t>
      </w:r>
      <w:r w:rsidRPr="000E4994">
        <w:t xml:space="preserve">Allows </w:t>
      </w:r>
      <w:r w:rsidR="00DF6B13">
        <w:t xml:space="preserve">for </w:t>
      </w:r>
      <w:r w:rsidRPr="000E4994">
        <w:t>the handling of unique family relationships</w:t>
      </w:r>
      <w:r w:rsidR="000E4994">
        <w:t>:</w:t>
      </w:r>
    </w:p>
    <w:p w14:paraId="7AB48C56" w14:textId="2C7E698E" w:rsidR="003C7783" w:rsidRPr="000E4994" w:rsidRDefault="003C7783">
      <w:pPr>
        <w:pStyle w:val="BodyText"/>
        <w:numPr>
          <w:ilvl w:val="1"/>
          <w:numId w:val="158"/>
        </w:numPr>
      </w:pPr>
      <w:r w:rsidRPr="0046697F">
        <w:rPr>
          <w:b/>
          <w:bCs/>
        </w:rPr>
        <w:t xml:space="preserve">Changing the </w:t>
      </w:r>
      <w:r w:rsidR="000E4994" w:rsidRPr="0046697F">
        <w:rPr>
          <w:b/>
          <w:bCs/>
        </w:rPr>
        <w:t>h</w:t>
      </w:r>
      <w:r w:rsidRPr="0046697F">
        <w:rPr>
          <w:b/>
          <w:bCs/>
        </w:rPr>
        <w:t xml:space="preserve">ead of </w:t>
      </w:r>
      <w:r w:rsidR="000E4994" w:rsidRPr="0046697F">
        <w:rPr>
          <w:b/>
          <w:bCs/>
        </w:rPr>
        <w:t>h</w:t>
      </w:r>
      <w:r w:rsidRPr="0046697F">
        <w:rPr>
          <w:b/>
          <w:bCs/>
        </w:rPr>
        <w:t>ouse</w:t>
      </w:r>
      <w:r w:rsidR="000E4994">
        <w:t xml:space="preserve"> – </w:t>
      </w:r>
      <w:r w:rsidR="000E4994" w:rsidRPr="000E4994">
        <w:t>The head of household is also the guarantor (the person financially responsible for an account) in Dentrix Enterprise. Billing statements are generated based on a patient's guarantor and are addressed to that guarantor.</w:t>
      </w:r>
      <w:r w:rsidR="000E4994">
        <w:t xml:space="preserve"> </w:t>
      </w:r>
      <w:r w:rsidR="000E4994" w:rsidRPr="000E4994">
        <w:t>Changing the head of household transfers all guarantor transactions (current and in history) from the original head of household to the new head of household and assigns the new head of household to the entire family.</w:t>
      </w:r>
    </w:p>
    <w:p w14:paraId="7B78C56F" w14:textId="3B2246A5" w:rsidR="003C7783" w:rsidRPr="000E4994" w:rsidRDefault="003C7783">
      <w:pPr>
        <w:pStyle w:val="BodyText"/>
        <w:numPr>
          <w:ilvl w:val="1"/>
          <w:numId w:val="158"/>
        </w:numPr>
      </w:pPr>
      <w:r w:rsidRPr="0046697F">
        <w:rPr>
          <w:b/>
          <w:bCs/>
        </w:rPr>
        <w:t xml:space="preserve">Combining </w:t>
      </w:r>
      <w:r w:rsidR="000E4994" w:rsidRPr="0046697F">
        <w:rPr>
          <w:b/>
          <w:bCs/>
        </w:rPr>
        <w:t>f</w:t>
      </w:r>
      <w:r w:rsidRPr="0046697F">
        <w:rPr>
          <w:b/>
          <w:bCs/>
        </w:rPr>
        <w:t>amilies</w:t>
      </w:r>
      <w:r w:rsidR="000E4994">
        <w:t xml:space="preserve"> – C</w:t>
      </w:r>
      <w:r w:rsidR="000E4994" w:rsidRPr="000E4994">
        <w:t>ombin</w:t>
      </w:r>
      <w:r w:rsidR="000E4994">
        <w:t>ing</w:t>
      </w:r>
      <w:r w:rsidR="000E4994" w:rsidRPr="000E4994">
        <w:t xml:space="preserve"> families </w:t>
      </w:r>
      <w:r w:rsidR="000E4994">
        <w:t xml:space="preserve">allows you to join </w:t>
      </w:r>
      <w:r w:rsidR="000E4994" w:rsidRPr="000E4994">
        <w:t xml:space="preserve">two separate accounts into one account </w:t>
      </w:r>
      <w:r w:rsidR="000E4994">
        <w:t>so they receive</w:t>
      </w:r>
      <w:r w:rsidR="00BB6486">
        <w:t xml:space="preserve"> only</w:t>
      </w:r>
      <w:r w:rsidR="000E4994">
        <w:t xml:space="preserve"> one billing statement</w:t>
      </w:r>
      <w:r w:rsidR="00BB6486">
        <w:t>. You can combine</w:t>
      </w:r>
      <w:r w:rsidR="000E4994" w:rsidRPr="000E4994">
        <w:t xml:space="preserve"> families only if no current transactions are associated with those accounts.</w:t>
      </w:r>
    </w:p>
    <w:p w14:paraId="633B3FD0" w14:textId="43A67346" w:rsidR="003C7783" w:rsidRPr="000E4994" w:rsidRDefault="003C7783">
      <w:pPr>
        <w:pStyle w:val="BodyText"/>
        <w:numPr>
          <w:ilvl w:val="1"/>
          <w:numId w:val="158"/>
        </w:numPr>
      </w:pPr>
      <w:r w:rsidRPr="0046697F">
        <w:rPr>
          <w:b/>
          <w:bCs/>
        </w:rPr>
        <w:t xml:space="preserve">Separating </w:t>
      </w:r>
      <w:r w:rsidR="000E4994" w:rsidRPr="0046697F">
        <w:rPr>
          <w:b/>
          <w:bCs/>
        </w:rPr>
        <w:t>f</w:t>
      </w:r>
      <w:r w:rsidRPr="0046697F">
        <w:rPr>
          <w:b/>
          <w:bCs/>
        </w:rPr>
        <w:t>amilies</w:t>
      </w:r>
      <w:r w:rsidR="000E4994">
        <w:t xml:space="preserve"> – </w:t>
      </w:r>
      <w:r w:rsidR="00BB6486">
        <w:t xml:space="preserve">Separating a </w:t>
      </w:r>
      <w:r w:rsidR="000E4994" w:rsidRPr="000E4994">
        <w:t>famil</w:t>
      </w:r>
      <w:r w:rsidR="00BB6486">
        <w:t>y allows you to take one or more patients from one account and move them to another account, such as when children age out of parental care. You can separate a family</w:t>
      </w:r>
      <w:r w:rsidR="00BB6486" w:rsidRPr="000E4994">
        <w:t xml:space="preserve"> only if no current transactions are associated with th</w:t>
      </w:r>
      <w:r w:rsidR="00BB6486">
        <w:t>e</w:t>
      </w:r>
      <w:r w:rsidR="00BB6486" w:rsidRPr="000E4994">
        <w:t xml:space="preserve"> account.</w:t>
      </w:r>
      <w:r w:rsidR="000E4994" w:rsidRPr="000E4994">
        <w:t xml:space="preserve"> </w:t>
      </w:r>
    </w:p>
    <w:p w14:paraId="730BFE94" w14:textId="642CC92E" w:rsidR="003C7783" w:rsidRPr="00BB6486" w:rsidRDefault="003C7783" w:rsidP="00B42C69">
      <w:pPr>
        <w:pStyle w:val="BodyText"/>
        <w:rPr>
          <w:i/>
          <w:iCs/>
        </w:rPr>
      </w:pPr>
      <w:r w:rsidRPr="00BB6486">
        <w:rPr>
          <w:b/>
          <w:bCs/>
          <w:i/>
          <w:iCs/>
        </w:rPr>
        <w:t>Workflow Insight</w:t>
      </w:r>
      <w:r w:rsidRPr="00BB6486">
        <w:rPr>
          <w:i/>
          <w:iCs/>
        </w:rPr>
        <w:t>:</w:t>
      </w:r>
      <w:r w:rsidR="00BB6486" w:rsidRPr="00BB6486">
        <w:rPr>
          <w:i/>
          <w:iCs/>
        </w:rPr>
        <w:t xml:space="preserve"> </w:t>
      </w:r>
      <w:r w:rsidRPr="00BB6486">
        <w:rPr>
          <w:i/>
          <w:iCs/>
        </w:rPr>
        <w:t xml:space="preserve">Combining and separating families can result in </w:t>
      </w:r>
      <w:r w:rsidR="00BB6486" w:rsidRPr="00BB6486">
        <w:rPr>
          <w:i/>
          <w:iCs/>
        </w:rPr>
        <w:t>“</w:t>
      </w:r>
      <w:r w:rsidRPr="00BB6486">
        <w:rPr>
          <w:i/>
          <w:iCs/>
        </w:rPr>
        <w:t>special adjustments</w:t>
      </w:r>
      <w:r w:rsidR="00BB6486" w:rsidRPr="00BB6486">
        <w:rPr>
          <w:i/>
          <w:iCs/>
        </w:rPr>
        <w:t>”</w:t>
      </w:r>
      <w:r w:rsidRPr="00BB6486">
        <w:rPr>
          <w:i/>
          <w:iCs/>
        </w:rPr>
        <w:t xml:space="preserve"> </w:t>
      </w:r>
      <w:r w:rsidR="00BB6486" w:rsidRPr="00BB6486">
        <w:rPr>
          <w:i/>
          <w:iCs/>
        </w:rPr>
        <w:t>in situations where</w:t>
      </w:r>
      <w:r w:rsidRPr="00BB6486">
        <w:rPr>
          <w:i/>
          <w:iCs/>
        </w:rPr>
        <w:t xml:space="preserve"> a payment </w:t>
      </w:r>
      <w:r w:rsidR="00BB6486" w:rsidRPr="00BB6486">
        <w:rPr>
          <w:i/>
          <w:iCs/>
        </w:rPr>
        <w:t xml:space="preserve">was </w:t>
      </w:r>
      <w:r w:rsidRPr="00BB6486">
        <w:rPr>
          <w:i/>
          <w:iCs/>
        </w:rPr>
        <w:t xml:space="preserve">assigned to the family, </w:t>
      </w:r>
      <w:r w:rsidR="00BB6486" w:rsidRPr="00BB6486">
        <w:rPr>
          <w:i/>
          <w:iCs/>
        </w:rPr>
        <w:t xml:space="preserve">assigned to the </w:t>
      </w:r>
      <w:r w:rsidRPr="00BB6486">
        <w:rPr>
          <w:i/>
          <w:iCs/>
        </w:rPr>
        <w:t>guarantor</w:t>
      </w:r>
      <w:r w:rsidR="00BB6486" w:rsidRPr="00BB6486">
        <w:rPr>
          <w:i/>
          <w:iCs/>
        </w:rPr>
        <w:t>,</w:t>
      </w:r>
      <w:r w:rsidRPr="00BB6486">
        <w:rPr>
          <w:i/>
          <w:iCs/>
        </w:rPr>
        <w:t xml:space="preserve"> or split between family members.  </w:t>
      </w:r>
      <w:r w:rsidR="00BB6486" w:rsidRPr="00BB6486">
        <w:rPr>
          <w:i/>
          <w:iCs/>
        </w:rPr>
        <w:t>Because</w:t>
      </w:r>
      <w:r w:rsidRPr="00BB6486">
        <w:rPr>
          <w:i/>
          <w:iCs/>
        </w:rPr>
        <w:t xml:space="preserve"> a single family payment cannot exist </w:t>
      </w:r>
      <w:r w:rsidR="00BB6486" w:rsidRPr="00BB6486">
        <w:rPr>
          <w:i/>
          <w:iCs/>
        </w:rPr>
        <w:t>i</w:t>
      </w:r>
      <w:r w:rsidRPr="00BB6486">
        <w:rPr>
          <w:i/>
          <w:iCs/>
        </w:rPr>
        <w:t xml:space="preserve">n two different family accounts, </w:t>
      </w:r>
      <w:r w:rsidR="00BB6486" w:rsidRPr="00BB6486">
        <w:rPr>
          <w:i/>
          <w:iCs/>
        </w:rPr>
        <w:t xml:space="preserve">Dentrix Enterprise adds </w:t>
      </w:r>
      <w:r w:rsidRPr="00BB6486">
        <w:rPr>
          <w:i/>
          <w:iCs/>
        </w:rPr>
        <w:t xml:space="preserve">special adjustments </w:t>
      </w:r>
      <w:r w:rsidR="00BB6486" w:rsidRPr="00BB6486">
        <w:rPr>
          <w:i/>
          <w:iCs/>
        </w:rPr>
        <w:t>into</w:t>
      </w:r>
      <w:r w:rsidRPr="00BB6486">
        <w:rPr>
          <w:i/>
          <w:iCs/>
        </w:rPr>
        <w:t xml:space="preserve"> the affected accounts to recognize the credit of that prior payment.</w:t>
      </w:r>
    </w:p>
    <w:p w14:paraId="2E3262D0" w14:textId="6CBEFAE1" w:rsidR="003C7783" w:rsidRPr="003C7783" w:rsidRDefault="003C7783" w:rsidP="00D42C5A">
      <w:pPr>
        <w:pStyle w:val="Heading3"/>
      </w:pPr>
      <w:bookmarkStart w:id="133" w:name="_Toc135416701"/>
      <w:bookmarkStart w:id="134" w:name="_Toc146183299"/>
      <w:r w:rsidRPr="003C7783">
        <w:t>Continuing Care</w:t>
      </w:r>
      <w:bookmarkEnd w:id="133"/>
      <w:bookmarkEnd w:id="134"/>
    </w:p>
    <w:p w14:paraId="5E058088" w14:textId="533C218E" w:rsidR="003C7783" w:rsidRPr="003C7783" w:rsidRDefault="003C7783" w:rsidP="00B42C69">
      <w:pPr>
        <w:pStyle w:val="BodyText"/>
      </w:pPr>
      <w:r w:rsidRPr="003C7783">
        <w:t>As you schedule and reschedule a patient for a specific</w:t>
      </w:r>
      <w:r w:rsidR="00BB6486">
        <w:t>,</w:t>
      </w:r>
      <w:r w:rsidRPr="003C7783">
        <w:t xml:space="preserve"> routine service (such as a cleaning or X-rays) with the </w:t>
      </w:r>
      <w:r w:rsidR="00BB6486">
        <w:t>applicable</w:t>
      </w:r>
      <w:r w:rsidRPr="003C7783">
        <w:t xml:space="preserve"> </w:t>
      </w:r>
      <w:r w:rsidR="00BB6486">
        <w:t>c</w:t>
      </w:r>
      <w:r w:rsidRPr="003C7783">
        <w:t xml:space="preserve">ontinuing </w:t>
      </w:r>
      <w:r w:rsidR="00BB6486">
        <w:t>c</w:t>
      </w:r>
      <w:r w:rsidRPr="003C7783">
        <w:t xml:space="preserve">are flag assigned to it, Dentrix Enterprise automatically attaches that </w:t>
      </w:r>
      <w:r w:rsidR="00BB6486">
        <w:t>c</w:t>
      </w:r>
      <w:r w:rsidRPr="003C7783">
        <w:t xml:space="preserve">ontinuing </w:t>
      </w:r>
      <w:r w:rsidR="00BB6486">
        <w:t>c</w:t>
      </w:r>
      <w:r w:rsidRPr="003C7783">
        <w:t xml:space="preserve">are type to the patient and updates it accordingly.  </w:t>
      </w:r>
    </w:p>
    <w:p w14:paraId="1420B960" w14:textId="062145B3" w:rsidR="003C7783" w:rsidRPr="004A3187" w:rsidRDefault="003C7783" w:rsidP="00B42C69">
      <w:pPr>
        <w:pStyle w:val="BodyText"/>
        <w:rPr>
          <w:i/>
          <w:iCs/>
        </w:rPr>
      </w:pPr>
      <w:r w:rsidRPr="004A3187">
        <w:rPr>
          <w:b/>
          <w:i/>
          <w:iCs/>
        </w:rPr>
        <w:t>Workflow Insight</w:t>
      </w:r>
      <w:r w:rsidRPr="004A3187">
        <w:rPr>
          <w:bCs/>
          <w:i/>
          <w:iCs/>
        </w:rPr>
        <w:t xml:space="preserve">: </w:t>
      </w:r>
      <w:r w:rsidR="00BB6486" w:rsidRPr="004A3187">
        <w:rPr>
          <w:bCs/>
          <w:i/>
          <w:iCs/>
        </w:rPr>
        <w:t>You can manually assign c</w:t>
      </w:r>
      <w:r w:rsidRPr="004A3187">
        <w:rPr>
          <w:i/>
          <w:iCs/>
        </w:rPr>
        <w:t xml:space="preserve">ontinuing </w:t>
      </w:r>
      <w:r w:rsidR="00BB6486" w:rsidRPr="004A3187">
        <w:rPr>
          <w:i/>
          <w:iCs/>
        </w:rPr>
        <w:t>c</w:t>
      </w:r>
      <w:r w:rsidRPr="004A3187">
        <w:rPr>
          <w:i/>
          <w:iCs/>
        </w:rPr>
        <w:t xml:space="preserve">are types </w:t>
      </w:r>
      <w:r w:rsidR="00BB6486" w:rsidRPr="004A3187">
        <w:rPr>
          <w:i/>
          <w:iCs/>
        </w:rPr>
        <w:t>to a patient’s record, such as if continuing care was not attached</w:t>
      </w:r>
      <w:r w:rsidR="004A3187" w:rsidRPr="004A3187">
        <w:rPr>
          <w:i/>
          <w:iCs/>
        </w:rPr>
        <w:t xml:space="preserve"> after an appointment</w:t>
      </w:r>
      <w:r w:rsidRPr="004A3187">
        <w:rPr>
          <w:i/>
          <w:iCs/>
        </w:rPr>
        <w:t xml:space="preserve">. </w:t>
      </w:r>
      <w:r w:rsidR="00BB6486" w:rsidRPr="004A3187">
        <w:rPr>
          <w:i/>
          <w:iCs/>
        </w:rPr>
        <w:t xml:space="preserve">You may also need to </w:t>
      </w:r>
      <w:r w:rsidRPr="004A3187">
        <w:rPr>
          <w:i/>
          <w:iCs/>
        </w:rPr>
        <w:t xml:space="preserve">manually update </w:t>
      </w:r>
      <w:r w:rsidR="00BB6486" w:rsidRPr="004A3187">
        <w:rPr>
          <w:i/>
          <w:iCs/>
        </w:rPr>
        <w:t xml:space="preserve">continuing care types in </w:t>
      </w:r>
      <w:r w:rsidRPr="004A3187">
        <w:rPr>
          <w:i/>
          <w:iCs/>
        </w:rPr>
        <w:t>a patient's record,</w:t>
      </w:r>
      <w:r w:rsidR="00BB6486" w:rsidRPr="004A3187">
        <w:rPr>
          <w:i/>
          <w:iCs/>
        </w:rPr>
        <w:t xml:space="preserve"> such as during </w:t>
      </w:r>
      <w:r w:rsidR="004A3187" w:rsidRPr="004A3187">
        <w:rPr>
          <w:i/>
          <w:iCs/>
        </w:rPr>
        <w:t xml:space="preserve">an </w:t>
      </w:r>
      <w:r w:rsidRPr="004A3187">
        <w:rPr>
          <w:i/>
          <w:iCs/>
        </w:rPr>
        <w:t>appointment preparation.</w:t>
      </w:r>
    </w:p>
    <w:p w14:paraId="33306D5D" w14:textId="3BD3F394" w:rsidR="004A3187" w:rsidRDefault="004A3187" w:rsidP="004A3187">
      <w:pPr>
        <w:pStyle w:val="BodyText"/>
      </w:pPr>
      <w:r>
        <w:t>Do any of the following for a patient’s continuing care</w:t>
      </w:r>
      <w:r w:rsidR="005D415A">
        <w:t xml:space="preserve"> type</w:t>
      </w:r>
      <w:r>
        <w:t>:</w:t>
      </w:r>
    </w:p>
    <w:p w14:paraId="467454CB" w14:textId="022C5D52" w:rsidR="003C7783" w:rsidRPr="004A3187" w:rsidRDefault="003C7783">
      <w:pPr>
        <w:pStyle w:val="BodyText"/>
        <w:numPr>
          <w:ilvl w:val="0"/>
          <w:numId w:val="6"/>
        </w:numPr>
        <w:ind w:left="540"/>
      </w:pPr>
      <w:r w:rsidRPr="0046697F">
        <w:rPr>
          <w:b/>
          <w:bCs/>
        </w:rPr>
        <w:t>Overrid</w:t>
      </w:r>
      <w:r w:rsidR="004A3187" w:rsidRPr="0046697F">
        <w:rPr>
          <w:b/>
          <w:bCs/>
        </w:rPr>
        <w:t>e the d</w:t>
      </w:r>
      <w:r w:rsidRPr="0046697F">
        <w:rPr>
          <w:b/>
          <w:bCs/>
        </w:rPr>
        <w:t>efaults</w:t>
      </w:r>
      <w:r w:rsidR="004A3187">
        <w:t xml:space="preserve"> – For each continuing care type, y</w:t>
      </w:r>
      <w:r w:rsidRPr="004A3187">
        <w:t xml:space="preserve">ou can set up general default settings for all patients; however, </w:t>
      </w:r>
      <w:r w:rsidR="004A3187">
        <w:t>in</w:t>
      </w:r>
      <w:r w:rsidRPr="004A3187">
        <w:t xml:space="preserve"> Family File, you can override</w:t>
      </w:r>
      <w:r w:rsidR="004A3187">
        <w:t xml:space="preserve"> any of</w:t>
      </w:r>
      <w:r w:rsidRPr="004A3187">
        <w:t xml:space="preserve"> </w:t>
      </w:r>
      <w:r w:rsidR="004A3187">
        <w:t>the general defaults for a continuing care type after you attach it to a patient’s record</w:t>
      </w:r>
      <w:r w:rsidRPr="004A3187">
        <w:t>.</w:t>
      </w:r>
      <w:r w:rsidR="004A3187">
        <w:t xml:space="preserve"> </w:t>
      </w:r>
      <w:r w:rsidRPr="004A3187">
        <w:t xml:space="preserve">You can also specify </w:t>
      </w:r>
      <w:r w:rsidR="005D415A">
        <w:t xml:space="preserve">patient </w:t>
      </w:r>
      <w:r w:rsidRPr="004A3187">
        <w:t xml:space="preserve">overrides for </w:t>
      </w:r>
      <w:r w:rsidR="005D415A">
        <w:t xml:space="preserve">a </w:t>
      </w:r>
      <w:r w:rsidR="004A3187">
        <w:t>c</w:t>
      </w:r>
      <w:r w:rsidRPr="004A3187">
        <w:t xml:space="preserve">ontinuing </w:t>
      </w:r>
      <w:r w:rsidR="004A3187">
        <w:t>c</w:t>
      </w:r>
      <w:r w:rsidRPr="004A3187">
        <w:t xml:space="preserve">are </w:t>
      </w:r>
      <w:r w:rsidR="005D415A">
        <w:t xml:space="preserve">type </w:t>
      </w:r>
      <w:r w:rsidRPr="004A3187">
        <w:t xml:space="preserve">before you </w:t>
      </w:r>
      <w:r w:rsidR="005D415A">
        <w:t>attach it to a patient’s record.</w:t>
      </w:r>
    </w:p>
    <w:p w14:paraId="77E5BD12" w14:textId="0507F30A" w:rsidR="003C7783" w:rsidRDefault="004A3187">
      <w:pPr>
        <w:pStyle w:val="BodyText"/>
        <w:numPr>
          <w:ilvl w:val="0"/>
          <w:numId w:val="6"/>
        </w:numPr>
        <w:ind w:left="540"/>
      </w:pPr>
      <w:r w:rsidRPr="0046697F">
        <w:rPr>
          <w:b/>
          <w:bCs/>
        </w:rPr>
        <w:t>Edit</w:t>
      </w:r>
      <w:r w:rsidR="005D415A">
        <w:t xml:space="preserve"> </w:t>
      </w:r>
      <w:r>
        <w:t xml:space="preserve">– </w:t>
      </w:r>
      <w:r w:rsidR="005D415A">
        <w:t>Y</w:t>
      </w:r>
      <w:r w:rsidR="003C7783" w:rsidRPr="004A3187">
        <w:t xml:space="preserve">ou can edit a </w:t>
      </w:r>
      <w:r w:rsidR="005D415A">
        <w:t>c</w:t>
      </w:r>
      <w:r w:rsidR="003C7783" w:rsidRPr="004A3187">
        <w:t xml:space="preserve">ontinuing </w:t>
      </w:r>
      <w:r w:rsidR="005D415A">
        <w:t>c</w:t>
      </w:r>
      <w:r w:rsidR="003C7783" w:rsidRPr="004A3187">
        <w:t xml:space="preserve">are type </w:t>
      </w:r>
      <w:r w:rsidR="005D415A">
        <w:t>that is attached to a patient’s record</w:t>
      </w:r>
      <w:r w:rsidR="003C7783" w:rsidRPr="004A3187">
        <w:t>.</w:t>
      </w:r>
    </w:p>
    <w:p w14:paraId="258240A6" w14:textId="445E952C" w:rsidR="005D415A" w:rsidRPr="004A3187" w:rsidRDefault="005D415A" w:rsidP="005D415A">
      <w:pPr>
        <w:pStyle w:val="BodyText"/>
        <w:numPr>
          <w:ilvl w:val="0"/>
          <w:numId w:val="6"/>
        </w:numPr>
        <w:ind w:left="540"/>
      </w:pPr>
      <w:r w:rsidRPr="0046697F">
        <w:rPr>
          <w:b/>
          <w:bCs/>
        </w:rPr>
        <w:t>Clear</w:t>
      </w:r>
      <w:r>
        <w:t xml:space="preserve"> – You can remove</w:t>
      </w:r>
      <w:r w:rsidRPr="004A3187">
        <w:t xml:space="preserve"> a </w:t>
      </w:r>
      <w:r>
        <w:t>c</w:t>
      </w:r>
      <w:r w:rsidRPr="004A3187">
        <w:t xml:space="preserve">ontinuing </w:t>
      </w:r>
      <w:r>
        <w:t>c</w:t>
      </w:r>
      <w:r w:rsidRPr="004A3187">
        <w:t xml:space="preserve">are type from a patient </w:t>
      </w:r>
      <w:r>
        <w:t>if you</w:t>
      </w:r>
      <w:r w:rsidRPr="004A3187">
        <w:t xml:space="preserve"> no longer </w:t>
      </w:r>
      <w:r>
        <w:t xml:space="preserve">need to </w:t>
      </w:r>
      <w:r w:rsidRPr="004A3187">
        <w:t xml:space="preserve">track or update that </w:t>
      </w:r>
      <w:r>
        <w:t>c</w:t>
      </w:r>
      <w:r w:rsidRPr="004A3187">
        <w:t xml:space="preserve">ontinuing </w:t>
      </w:r>
      <w:r>
        <w:t>c</w:t>
      </w:r>
      <w:r w:rsidRPr="004A3187">
        <w:t>are type</w:t>
      </w:r>
      <w:r>
        <w:t xml:space="preserve"> for the patient</w:t>
      </w:r>
      <w:r w:rsidRPr="004A3187">
        <w:t>.</w:t>
      </w:r>
    </w:p>
    <w:p w14:paraId="6B9017E6" w14:textId="4AC1D0DD" w:rsidR="00B42C69" w:rsidRPr="00B42C69" w:rsidRDefault="003C7783" w:rsidP="00D42C5A">
      <w:pPr>
        <w:pStyle w:val="Heading3"/>
      </w:pPr>
      <w:bookmarkStart w:id="135" w:name="_Toc146183300"/>
      <w:r w:rsidRPr="003C7783">
        <w:lastRenderedPageBreak/>
        <w:t>Referral Information</w:t>
      </w:r>
      <w:bookmarkEnd w:id="135"/>
    </w:p>
    <w:p w14:paraId="439346C3" w14:textId="4E6EC684" w:rsidR="003C7783" w:rsidRPr="003C7783" w:rsidRDefault="003C7783" w:rsidP="004A2A35">
      <w:pPr>
        <w:pStyle w:val="BodyText"/>
        <w:keepNext/>
        <w:keepLines/>
      </w:pPr>
      <w:r w:rsidRPr="003C7783">
        <w:t xml:space="preserve">To track the effectiveness of your referral sources, you </w:t>
      </w:r>
      <w:r w:rsidR="005D415A">
        <w:t>must</w:t>
      </w:r>
      <w:r w:rsidRPr="003C7783">
        <w:t xml:space="preserve"> first add them to your Dentrix Enterprise database. Once you have added sources to the database, you can assign them to patients as they are referred to or from your office. </w:t>
      </w:r>
    </w:p>
    <w:p w14:paraId="040E7DFC" w14:textId="4EEE4025" w:rsidR="003C7783" w:rsidRPr="005D415A" w:rsidRDefault="003C7783" w:rsidP="004A2A35">
      <w:pPr>
        <w:pStyle w:val="BodyText"/>
        <w:keepNext/>
        <w:keepLines/>
        <w:numPr>
          <w:ilvl w:val="0"/>
          <w:numId w:val="33"/>
        </w:numPr>
        <w:ind w:left="540"/>
      </w:pPr>
      <w:r w:rsidRPr="0046697F">
        <w:rPr>
          <w:b/>
          <w:bCs/>
        </w:rPr>
        <w:t xml:space="preserve">Incoming </w:t>
      </w:r>
      <w:r w:rsidR="005D415A" w:rsidRPr="0046697F">
        <w:rPr>
          <w:b/>
          <w:bCs/>
        </w:rPr>
        <w:t>r</w:t>
      </w:r>
      <w:r w:rsidRPr="0046697F">
        <w:rPr>
          <w:b/>
          <w:bCs/>
        </w:rPr>
        <w:t>eferral</w:t>
      </w:r>
      <w:r w:rsidR="005D415A">
        <w:t xml:space="preserve"> – </w:t>
      </w:r>
      <w:r w:rsidRPr="005D415A">
        <w:t xml:space="preserve">From the </w:t>
      </w:r>
      <w:r w:rsidRPr="005D415A">
        <w:rPr>
          <w:b/>
          <w:bCs/>
        </w:rPr>
        <w:t>Referred By</w:t>
      </w:r>
      <w:r w:rsidRPr="005D415A">
        <w:t xml:space="preserve"> block in Family File, you can view and enter information about the individual or source that referred the current patient to your practice. </w:t>
      </w:r>
      <w:r w:rsidR="005D415A">
        <w:t>An incoming referral can be either a “</w:t>
      </w:r>
      <w:r w:rsidRPr="005D415A">
        <w:t>Referred By Patient</w:t>
      </w:r>
      <w:r w:rsidR="005D415A">
        <w:t>”</w:t>
      </w:r>
      <w:r w:rsidRPr="005D415A">
        <w:t xml:space="preserve"> </w:t>
      </w:r>
      <w:r w:rsidR="005D415A">
        <w:t>or a</w:t>
      </w:r>
      <w:r w:rsidRPr="005D415A">
        <w:t xml:space="preserve"> </w:t>
      </w:r>
      <w:r w:rsidR="005D415A">
        <w:t>“</w:t>
      </w:r>
      <w:r w:rsidRPr="005D415A">
        <w:t>Referred By Doctor/Other</w:t>
      </w:r>
      <w:r w:rsidR="005D415A">
        <w:t>”</w:t>
      </w:r>
      <w:r w:rsidRPr="005D415A">
        <w:t xml:space="preserve"> referral type. </w:t>
      </w:r>
    </w:p>
    <w:p w14:paraId="3B03E98A" w14:textId="6FA442B9" w:rsidR="003C7783" w:rsidRPr="003C7783" w:rsidRDefault="003C7783">
      <w:pPr>
        <w:pStyle w:val="BodyText"/>
        <w:numPr>
          <w:ilvl w:val="0"/>
          <w:numId w:val="33"/>
        </w:numPr>
        <w:ind w:left="540"/>
      </w:pPr>
      <w:r w:rsidRPr="0046697F">
        <w:rPr>
          <w:b/>
          <w:bCs/>
        </w:rPr>
        <w:t xml:space="preserve">Outgoing </w:t>
      </w:r>
      <w:r w:rsidR="005D415A" w:rsidRPr="0046697F">
        <w:rPr>
          <w:b/>
          <w:bCs/>
        </w:rPr>
        <w:t>r</w:t>
      </w:r>
      <w:r w:rsidRPr="0046697F">
        <w:rPr>
          <w:b/>
          <w:bCs/>
        </w:rPr>
        <w:t>eferral</w:t>
      </w:r>
      <w:r w:rsidR="005D415A">
        <w:t xml:space="preserve"> – </w:t>
      </w:r>
      <w:r w:rsidRPr="005D415A">
        <w:t>Fro</w:t>
      </w:r>
      <w:r w:rsidRPr="003C7783">
        <w:rPr>
          <w:bCs/>
        </w:rPr>
        <w:t xml:space="preserve">m the </w:t>
      </w:r>
      <w:r w:rsidRPr="005D415A">
        <w:rPr>
          <w:b/>
        </w:rPr>
        <w:t>Referred To</w:t>
      </w:r>
      <w:r w:rsidRPr="003C7783">
        <w:rPr>
          <w:bCs/>
        </w:rPr>
        <w:t xml:space="preserve"> block in Family File, you can view and enter information about </w:t>
      </w:r>
      <w:r w:rsidRPr="003C7783">
        <w:t xml:space="preserve">other dental providers, professionals, and specialists to whom you refer treatment or services as referrals. </w:t>
      </w:r>
      <w:r w:rsidR="005D415A">
        <w:t>You can attach an outgoing referral (a “Referred To” referral type)</w:t>
      </w:r>
      <w:r w:rsidRPr="003C7783">
        <w:t xml:space="preserve"> to treatment-planned procedures</w:t>
      </w:r>
      <w:r w:rsidR="005D415A">
        <w:t xml:space="preserve"> to have</w:t>
      </w:r>
      <w:r w:rsidRPr="003C7783">
        <w:t xml:space="preserve"> Dentrix Enterprise help you track the patients who have been referred to other doctor</w:t>
      </w:r>
      <w:r w:rsidR="005D415A">
        <w:t>s</w:t>
      </w:r>
      <w:r w:rsidRPr="003C7783">
        <w:t xml:space="preserve"> or specialist</w:t>
      </w:r>
      <w:r w:rsidR="005D415A">
        <w:t>s</w:t>
      </w:r>
      <w:r w:rsidRPr="003C7783">
        <w:t xml:space="preserve">. </w:t>
      </w:r>
    </w:p>
    <w:p w14:paraId="2023276E" w14:textId="40F30E2F" w:rsidR="003C7783" w:rsidRPr="003C7783" w:rsidRDefault="00395C6B" w:rsidP="004267C0">
      <w:pPr>
        <w:pStyle w:val="Heading2"/>
      </w:pPr>
      <w:bookmarkStart w:id="136" w:name="_Toc135416702"/>
      <w:bookmarkStart w:id="137" w:name="_Toc146183301"/>
      <w:r>
        <w:t xml:space="preserve">Patient Financial </w:t>
      </w:r>
      <w:r w:rsidR="005D0572">
        <w:t>and</w:t>
      </w:r>
      <w:r>
        <w:t xml:space="preserve"> Billing Info</w:t>
      </w:r>
      <w:bookmarkEnd w:id="136"/>
      <w:r w:rsidR="005D0572">
        <w:t>rmation</w:t>
      </w:r>
      <w:bookmarkEnd w:id="137"/>
    </w:p>
    <w:p w14:paraId="7FAC67B2" w14:textId="56C5BB93" w:rsidR="003C7783" w:rsidRPr="003C7783" w:rsidRDefault="00B42C69" w:rsidP="00B42C69">
      <w:pPr>
        <w:pStyle w:val="BodyText"/>
        <w:rPr>
          <w:b/>
          <w:bCs/>
        </w:rPr>
      </w:pPr>
      <w:r w:rsidRPr="00B42C69">
        <w:rPr>
          <w:bCs/>
        </w:rPr>
        <w:t>T</w:t>
      </w:r>
      <w:r w:rsidR="003C7783" w:rsidRPr="003C7783">
        <w:rPr>
          <w:bCs/>
        </w:rPr>
        <w:t>he</w:t>
      </w:r>
      <w:r w:rsidR="003C7783" w:rsidRPr="003C7783">
        <w:t xml:space="preserve"> </w:t>
      </w:r>
      <w:r w:rsidR="003C7783" w:rsidRPr="00DF6B13">
        <w:rPr>
          <w:b/>
          <w:bCs/>
        </w:rPr>
        <w:t>Financial Information</w:t>
      </w:r>
      <w:r w:rsidR="003C7783" w:rsidRPr="003C7783">
        <w:t xml:space="preserve"> block in the Family File displays certain financial details about the family account: billing type, balance, and payment details. You can also update this information, manage payment plans</w:t>
      </w:r>
      <w:r w:rsidR="00325DD5">
        <w:t>,</w:t>
      </w:r>
      <w:r w:rsidR="003C7783" w:rsidRPr="003C7783">
        <w:t xml:space="preserve"> and access guarantor notes. </w:t>
      </w:r>
    </w:p>
    <w:p w14:paraId="1C768156" w14:textId="171423A3" w:rsidR="003C7783" w:rsidRPr="003C7783" w:rsidRDefault="003C7783" w:rsidP="00325DD5">
      <w:pPr>
        <w:pStyle w:val="BodyText"/>
      </w:pPr>
      <w:r w:rsidRPr="00362555">
        <w:rPr>
          <w:b/>
          <w:bCs/>
        </w:rPr>
        <w:t>Why is it important?</w:t>
      </w:r>
      <w:r w:rsidRPr="003C7783">
        <w:t xml:space="preserve"> Documenting patients and financial information is the foundation for a successful </w:t>
      </w:r>
      <w:r w:rsidR="00325DD5">
        <w:t>r</w:t>
      </w:r>
      <w:r w:rsidRPr="003C7783">
        <w:t xml:space="preserve">evenue </w:t>
      </w:r>
      <w:r w:rsidR="00325DD5">
        <w:t>c</w:t>
      </w:r>
      <w:r w:rsidRPr="003C7783">
        <w:t xml:space="preserve">ycle </w:t>
      </w:r>
      <w:r w:rsidR="00325DD5">
        <w:t>m</w:t>
      </w:r>
      <w:r w:rsidRPr="003C7783">
        <w:t>anagement system. Attention to detail with data entry will result in accurate patient reporting. Errors in the patient financial and billing workflows will negatively impact treatment plan estimates</w:t>
      </w:r>
      <w:r w:rsidR="00325DD5">
        <w:t xml:space="preserve">, </w:t>
      </w:r>
      <w:r w:rsidRPr="003C7783">
        <w:t>collections</w:t>
      </w:r>
      <w:r w:rsidR="00325DD5">
        <w:t>, and</w:t>
      </w:r>
      <w:r w:rsidRPr="003C7783">
        <w:t xml:space="preserve"> financial and patient reporting</w:t>
      </w:r>
      <w:r w:rsidR="00325DD5">
        <w:t>.</w:t>
      </w:r>
    </w:p>
    <w:p w14:paraId="684F0463" w14:textId="2B077216" w:rsidR="00B42C69" w:rsidRPr="00B42C69" w:rsidRDefault="003C7783" w:rsidP="00D42C5A">
      <w:pPr>
        <w:pStyle w:val="Heading3"/>
      </w:pPr>
      <w:bookmarkStart w:id="138" w:name="_Toc135416703"/>
      <w:bookmarkStart w:id="139" w:name="_Toc146183302"/>
      <w:r w:rsidRPr="003C7783">
        <w:t>Billing Types</w:t>
      </w:r>
      <w:bookmarkEnd w:id="138"/>
      <w:bookmarkEnd w:id="139"/>
    </w:p>
    <w:p w14:paraId="094C8FE5" w14:textId="0406AEB8" w:rsidR="003C7783" w:rsidRDefault="003C7783" w:rsidP="00B42C69">
      <w:pPr>
        <w:pStyle w:val="BodyText"/>
      </w:pPr>
      <w:r w:rsidRPr="003C7783">
        <w:t xml:space="preserve">Billing </w:t>
      </w:r>
      <w:r w:rsidR="00325DD5">
        <w:t>t</w:t>
      </w:r>
      <w:r w:rsidRPr="003C7783">
        <w:t xml:space="preserve">ypes are account specific, meaning that all patients within a family will be assigned the same </w:t>
      </w:r>
      <w:r w:rsidR="00325DD5">
        <w:t>b</w:t>
      </w:r>
      <w:r w:rsidRPr="003C7783">
        <w:t>illin</w:t>
      </w:r>
      <w:r w:rsidRPr="005D415A">
        <w:t xml:space="preserve">g </w:t>
      </w:r>
      <w:r w:rsidR="00325DD5">
        <w:t>t</w:t>
      </w:r>
      <w:r w:rsidRPr="005D415A">
        <w:t xml:space="preserve">ype. You can assign </w:t>
      </w:r>
      <w:r w:rsidR="00325DD5">
        <w:t>b</w:t>
      </w:r>
      <w:r w:rsidRPr="005D415A">
        <w:t xml:space="preserve">illing </w:t>
      </w:r>
      <w:r w:rsidR="00325DD5">
        <w:t>t</w:t>
      </w:r>
      <w:r w:rsidRPr="005D415A">
        <w:t>ypes from either Family File or Ledger.</w:t>
      </w:r>
    </w:p>
    <w:p w14:paraId="0F69725B" w14:textId="600A870D" w:rsidR="00325DD5" w:rsidRPr="005D415A" w:rsidRDefault="00325DD5" w:rsidP="00B42C69">
      <w:pPr>
        <w:pStyle w:val="BodyText"/>
      </w:pPr>
      <w:r>
        <w:t>Benefits of using billing types:</w:t>
      </w:r>
    </w:p>
    <w:p w14:paraId="5938FAE3" w14:textId="754D984A" w:rsidR="003C7783" w:rsidRPr="005D415A" w:rsidRDefault="003C7783">
      <w:pPr>
        <w:pStyle w:val="BodyText"/>
        <w:numPr>
          <w:ilvl w:val="0"/>
          <w:numId w:val="35"/>
        </w:numPr>
        <w:ind w:left="540"/>
      </w:pPr>
      <w:r w:rsidRPr="0046697F">
        <w:rPr>
          <w:b/>
          <w:bCs/>
        </w:rPr>
        <w:t xml:space="preserve">Collection </w:t>
      </w:r>
      <w:r w:rsidR="00325DD5" w:rsidRPr="0046697F">
        <w:rPr>
          <w:b/>
          <w:bCs/>
        </w:rPr>
        <w:t>r</w:t>
      </w:r>
      <w:r w:rsidRPr="0046697F">
        <w:rPr>
          <w:b/>
          <w:bCs/>
        </w:rPr>
        <w:t>outines</w:t>
      </w:r>
      <w:r w:rsidRPr="005D415A">
        <w:t xml:space="preserve"> </w:t>
      </w:r>
      <w:r w:rsidR="00325DD5">
        <w:t>–</w:t>
      </w:r>
      <w:r w:rsidRPr="005D415A">
        <w:t xml:space="preserve"> Using </w:t>
      </w:r>
      <w:r w:rsidR="00325DD5">
        <w:t>b</w:t>
      </w:r>
      <w:r w:rsidRPr="005D415A">
        <w:t xml:space="preserve">illing </w:t>
      </w:r>
      <w:r w:rsidR="00325DD5">
        <w:t>t</w:t>
      </w:r>
      <w:r w:rsidRPr="005D415A">
        <w:t>ypes in Dentrix Enterprise, you can target specific groups when applying finance charges, processing bills, and generating reports.</w:t>
      </w:r>
    </w:p>
    <w:p w14:paraId="79FDC73B" w14:textId="10CF83F9" w:rsidR="003C7783" w:rsidRPr="003C7783" w:rsidRDefault="003C7783">
      <w:pPr>
        <w:pStyle w:val="BodyText"/>
        <w:numPr>
          <w:ilvl w:val="0"/>
          <w:numId w:val="35"/>
        </w:numPr>
        <w:ind w:left="540"/>
      </w:pPr>
      <w:r w:rsidRPr="0046697F">
        <w:rPr>
          <w:b/>
          <w:bCs/>
        </w:rPr>
        <w:t xml:space="preserve">Financial </w:t>
      </w:r>
      <w:r w:rsidR="00325DD5" w:rsidRPr="0046697F">
        <w:rPr>
          <w:b/>
          <w:bCs/>
        </w:rPr>
        <w:t>a</w:t>
      </w:r>
      <w:r w:rsidRPr="0046697F">
        <w:rPr>
          <w:b/>
          <w:bCs/>
        </w:rPr>
        <w:t>ssistance</w:t>
      </w:r>
      <w:r w:rsidRPr="005D415A">
        <w:t xml:space="preserve"> </w:t>
      </w:r>
      <w:r w:rsidR="00325DD5">
        <w:t>–</w:t>
      </w:r>
      <w:r w:rsidRPr="005D415A">
        <w:t xml:space="preserve"> </w:t>
      </w:r>
      <w:r w:rsidR="00325DD5">
        <w:t>Using</w:t>
      </w:r>
      <w:r w:rsidRPr="005D415A">
        <w:t xml:space="preserve"> </w:t>
      </w:r>
      <w:r w:rsidR="00325DD5">
        <w:t>b</w:t>
      </w:r>
      <w:r w:rsidRPr="005D415A">
        <w:t xml:space="preserve">illing </w:t>
      </w:r>
      <w:r w:rsidR="00325DD5">
        <w:t>t</w:t>
      </w:r>
      <w:r w:rsidRPr="005D415A">
        <w:t xml:space="preserve">ypes that are meaningful to your organization, everyone can be on the same page. For example, if you attach a </w:t>
      </w:r>
      <w:r w:rsidR="00325DD5">
        <w:t>b</w:t>
      </w:r>
      <w:r w:rsidRPr="005D415A">
        <w:t xml:space="preserve">illing </w:t>
      </w:r>
      <w:r w:rsidR="00325DD5">
        <w:t>t</w:t>
      </w:r>
      <w:r w:rsidRPr="005D415A">
        <w:t>ype to patient</w:t>
      </w:r>
      <w:r w:rsidR="00325DD5">
        <w:t>s</w:t>
      </w:r>
      <w:r w:rsidRPr="005D415A">
        <w:t xml:space="preserve"> </w:t>
      </w:r>
      <w:r w:rsidR="00325DD5">
        <w:t xml:space="preserve">who are </w:t>
      </w:r>
      <w:r w:rsidRPr="005D415A">
        <w:t>eligible for financial assistanc</w:t>
      </w:r>
      <w:r w:rsidRPr="003C7783">
        <w:t xml:space="preserve">e from slides or grants, you can easily see that </w:t>
      </w:r>
      <w:r w:rsidR="00325DD5">
        <w:t>b</w:t>
      </w:r>
      <w:r w:rsidRPr="003C7783">
        <w:t xml:space="preserve">illing </w:t>
      </w:r>
      <w:r w:rsidR="00325DD5">
        <w:t>t</w:t>
      </w:r>
      <w:r w:rsidRPr="003C7783">
        <w:t>ype in Family File and Ledger</w:t>
      </w:r>
      <w:r w:rsidR="00325DD5">
        <w:t>; t</w:t>
      </w:r>
      <w:r w:rsidRPr="003C7783">
        <w:t xml:space="preserve">hen, as you check those patients out, you will know that you need to collect payment for services today or run reports specific to the funding/financial type.  </w:t>
      </w:r>
    </w:p>
    <w:p w14:paraId="09107671" w14:textId="597E014A" w:rsidR="00362555" w:rsidRDefault="003C7783" w:rsidP="00D42C5A">
      <w:pPr>
        <w:pStyle w:val="Heading3"/>
      </w:pPr>
      <w:bookmarkStart w:id="140" w:name="_Toc135416704"/>
      <w:bookmarkStart w:id="141" w:name="_Toc146183303"/>
      <w:r w:rsidRPr="003C7783">
        <w:lastRenderedPageBreak/>
        <w:t>Insurance</w:t>
      </w:r>
      <w:bookmarkEnd w:id="140"/>
      <w:bookmarkEnd w:id="141"/>
    </w:p>
    <w:p w14:paraId="17D10A70" w14:textId="21147A23" w:rsidR="003C7783" w:rsidRPr="003C7783" w:rsidRDefault="003C7783" w:rsidP="004A2A35">
      <w:pPr>
        <w:pStyle w:val="BodyText"/>
        <w:keepNext/>
        <w:keepLines/>
      </w:pPr>
      <w:r w:rsidRPr="003C7783">
        <w:t xml:space="preserve">You can add insurance coverage to a head of household or patient in Family File. The insurance coverage </w:t>
      </w:r>
      <w:r w:rsidR="00DF6B13">
        <w:t xml:space="preserve">that is </w:t>
      </w:r>
      <w:r w:rsidRPr="003C7783">
        <w:t xml:space="preserve">attached to </w:t>
      </w:r>
      <w:proofErr w:type="gramStart"/>
      <w:r w:rsidRPr="003C7783">
        <w:t>a head</w:t>
      </w:r>
      <w:proofErr w:type="gramEnd"/>
      <w:r w:rsidRPr="003C7783">
        <w:t xml:space="preserve"> of household or patient appears in the </w:t>
      </w:r>
      <w:r w:rsidRPr="00DF6B13">
        <w:rPr>
          <w:b/>
          <w:bCs/>
        </w:rPr>
        <w:t>Insurance Information</w:t>
      </w:r>
      <w:r w:rsidRPr="003C7783">
        <w:t xml:space="preserve"> block.  If the dental insurance plan that you want to assign to a subscriber does not already exist, you can create a new dental insurance plan and assign it to the subscriber.</w:t>
      </w:r>
    </w:p>
    <w:p w14:paraId="498A22A9" w14:textId="493EF022" w:rsidR="003C7783" w:rsidRPr="005D415A" w:rsidRDefault="003C7783" w:rsidP="004A2A35">
      <w:pPr>
        <w:pStyle w:val="BodyText"/>
        <w:keepNext/>
        <w:keepLines/>
        <w:numPr>
          <w:ilvl w:val="0"/>
          <w:numId w:val="38"/>
        </w:numPr>
        <w:ind w:left="540"/>
      </w:pPr>
      <w:r w:rsidRPr="0046697F">
        <w:rPr>
          <w:b/>
          <w:bCs/>
        </w:rPr>
        <w:t>Group</w:t>
      </w:r>
      <w:r w:rsidR="00A20A27" w:rsidRPr="0046697F">
        <w:rPr>
          <w:b/>
          <w:bCs/>
        </w:rPr>
        <w:t>/p</w:t>
      </w:r>
      <w:r w:rsidRPr="0046697F">
        <w:rPr>
          <w:b/>
          <w:bCs/>
        </w:rPr>
        <w:t>lan</w:t>
      </w:r>
      <w:r w:rsidRPr="005D415A">
        <w:t xml:space="preserve"> </w:t>
      </w:r>
      <w:r w:rsidR="00DF6B13">
        <w:t>–</w:t>
      </w:r>
      <w:r w:rsidRPr="005D415A">
        <w:t xml:space="preserve"> To ensure that you can submit claims for patients covered by insurance plans to the correct insurance carriers, and to ensure that those claims have the correct information on them, you need to properly assign insurance to each patient's record. Before assigning insurance to dependents, make sure that the insurance plan has been assigned to the subscriber and that the subscriber is part of the same family as the patient to whom you are assigning the insurance plan. If the dental insurance plan that you want to assign to a subscriber does not already exist, you can create a new dental insurance plan and assign it to the subscriber.</w:t>
      </w:r>
    </w:p>
    <w:p w14:paraId="53607B2B" w14:textId="5465277D" w:rsidR="003C7783" w:rsidRPr="005D415A" w:rsidRDefault="003C7783">
      <w:pPr>
        <w:pStyle w:val="BodyText"/>
        <w:numPr>
          <w:ilvl w:val="0"/>
          <w:numId w:val="38"/>
        </w:numPr>
        <w:ind w:left="540"/>
      </w:pPr>
      <w:r w:rsidRPr="0046697F">
        <w:rPr>
          <w:b/>
          <w:bCs/>
        </w:rPr>
        <w:t xml:space="preserve">Fee </w:t>
      </w:r>
      <w:r w:rsidR="00A20A27" w:rsidRPr="0046697F">
        <w:rPr>
          <w:b/>
          <w:bCs/>
        </w:rPr>
        <w:t>s</w:t>
      </w:r>
      <w:r w:rsidRPr="0046697F">
        <w:rPr>
          <w:b/>
          <w:bCs/>
        </w:rPr>
        <w:t>chedule</w:t>
      </w:r>
      <w:r w:rsidRPr="005D415A">
        <w:t xml:space="preserve"> </w:t>
      </w:r>
      <w:r w:rsidR="00DF6B13">
        <w:t>–</w:t>
      </w:r>
      <w:r w:rsidRPr="005D415A">
        <w:t xml:space="preserve"> If you attach a fee schedule to an insurance plan, Dentrix Enterprise uses that fee schedule instead of the fee schedule attached to the patient's primary provider. A fee schedule </w:t>
      </w:r>
      <w:r w:rsidR="00DF6B13">
        <w:t xml:space="preserve">that is </w:t>
      </w:r>
      <w:r w:rsidRPr="005D415A">
        <w:t xml:space="preserve">assigned to a patient overrides any other fee schedule </w:t>
      </w:r>
      <w:r w:rsidR="00DF6B13">
        <w:t xml:space="preserve">that may be </w:t>
      </w:r>
      <w:r w:rsidRPr="005D415A">
        <w:t>attached to the patient's insurance plan or provider.</w:t>
      </w:r>
    </w:p>
    <w:p w14:paraId="37620F4B" w14:textId="544FD93C" w:rsidR="003C7783" w:rsidRPr="005D415A" w:rsidRDefault="003C7783">
      <w:pPr>
        <w:pStyle w:val="BodyText"/>
        <w:numPr>
          <w:ilvl w:val="0"/>
          <w:numId w:val="38"/>
        </w:numPr>
        <w:ind w:left="540"/>
      </w:pPr>
      <w:r w:rsidRPr="0046697F">
        <w:rPr>
          <w:b/>
          <w:bCs/>
        </w:rPr>
        <w:t xml:space="preserve">Financial </w:t>
      </w:r>
      <w:r w:rsidR="00A20A27" w:rsidRPr="0046697F">
        <w:rPr>
          <w:b/>
          <w:bCs/>
        </w:rPr>
        <w:t>c</w:t>
      </w:r>
      <w:r w:rsidRPr="0046697F">
        <w:rPr>
          <w:b/>
          <w:bCs/>
        </w:rPr>
        <w:t xml:space="preserve">lass </w:t>
      </w:r>
      <w:r w:rsidR="00A20A27" w:rsidRPr="0046697F">
        <w:rPr>
          <w:b/>
          <w:bCs/>
        </w:rPr>
        <w:t>t</w:t>
      </w:r>
      <w:r w:rsidRPr="0046697F">
        <w:rPr>
          <w:b/>
          <w:bCs/>
        </w:rPr>
        <w:t>ype</w:t>
      </w:r>
      <w:r w:rsidRPr="005D415A">
        <w:t xml:space="preserve"> </w:t>
      </w:r>
      <w:r w:rsidR="00DF6B13">
        <w:t>–</w:t>
      </w:r>
      <w:r w:rsidRPr="005D415A">
        <w:t xml:space="preserve"> Financial </w:t>
      </w:r>
      <w:r w:rsidR="00DF6B13">
        <w:t>c</w:t>
      </w:r>
      <w:r w:rsidRPr="005D415A">
        <w:t xml:space="preserve">lass </w:t>
      </w:r>
      <w:r w:rsidR="00DF6B13">
        <w:t>t</w:t>
      </w:r>
      <w:r w:rsidRPr="005D415A">
        <w:t xml:space="preserve">ypes are used </w:t>
      </w:r>
      <w:r w:rsidR="00DF6B13">
        <w:t>for tracking</w:t>
      </w:r>
      <w:r w:rsidRPr="005D415A">
        <w:t xml:space="preserve"> </w:t>
      </w:r>
      <w:r w:rsidR="00DF6B13">
        <w:t>types</w:t>
      </w:r>
      <w:r w:rsidRPr="005D415A">
        <w:t xml:space="preserve"> of patient insurance </w:t>
      </w:r>
      <w:r w:rsidR="00DF6B13">
        <w:t>coverage</w:t>
      </w:r>
      <w:r w:rsidRPr="005D415A">
        <w:t xml:space="preserve">. </w:t>
      </w:r>
      <w:r w:rsidR="00DF6B13">
        <w:t>You can assign financial class types to</w:t>
      </w:r>
      <w:r w:rsidRPr="005D415A">
        <w:t xml:space="preserve"> insurance plans and </w:t>
      </w:r>
      <w:r w:rsidR="00DF6B13">
        <w:t>use them</w:t>
      </w:r>
      <w:r w:rsidRPr="005D415A">
        <w:t xml:space="preserve"> for reporting purposes. </w:t>
      </w:r>
    </w:p>
    <w:p w14:paraId="142C4F21" w14:textId="225EBC0A" w:rsidR="003C7783" w:rsidRPr="005D415A" w:rsidRDefault="00A20A27">
      <w:pPr>
        <w:pStyle w:val="BodyText"/>
        <w:numPr>
          <w:ilvl w:val="0"/>
          <w:numId w:val="38"/>
        </w:numPr>
        <w:ind w:left="540"/>
      </w:pPr>
      <w:r w:rsidRPr="0046697F">
        <w:rPr>
          <w:b/>
          <w:bCs/>
        </w:rPr>
        <w:t>V</w:t>
      </w:r>
      <w:r w:rsidR="003C7783" w:rsidRPr="0046697F">
        <w:rPr>
          <w:b/>
          <w:bCs/>
        </w:rPr>
        <w:t xml:space="preserve">erification </w:t>
      </w:r>
      <w:r w:rsidRPr="0046697F">
        <w:rPr>
          <w:b/>
          <w:bCs/>
        </w:rPr>
        <w:t>of</w:t>
      </w:r>
      <w:r w:rsidR="003C7783" w:rsidRPr="0046697F">
        <w:rPr>
          <w:b/>
          <w:bCs/>
        </w:rPr>
        <w:t xml:space="preserve"> </w:t>
      </w:r>
      <w:r w:rsidRPr="0046697F">
        <w:rPr>
          <w:b/>
          <w:bCs/>
        </w:rPr>
        <w:t>b</w:t>
      </w:r>
      <w:r w:rsidR="003C7783" w:rsidRPr="0046697F">
        <w:rPr>
          <w:b/>
          <w:bCs/>
        </w:rPr>
        <w:t>enefits</w:t>
      </w:r>
      <w:r w:rsidR="003C7783" w:rsidRPr="005D415A">
        <w:t xml:space="preserve"> </w:t>
      </w:r>
      <w:r w:rsidR="00DF6B13">
        <w:t>–</w:t>
      </w:r>
      <w:r w:rsidR="00362555" w:rsidRPr="005D415A">
        <w:t xml:space="preserve"> </w:t>
      </w:r>
      <w:r w:rsidR="00DF6B13">
        <w:t>Verifying benefits is a</w:t>
      </w:r>
      <w:r w:rsidR="003C7783" w:rsidRPr="005D415A">
        <w:t xml:space="preserve"> way to ensure</w:t>
      </w:r>
      <w:r w:rsidR="00DF6B13">
        <w:t xml:space="preserve"> that</w:t>
      </w:r>
      <w:r w:rsidR="003C7783" w:rsidRPr="005D415A">
        <w:t xml:space="preserve"> the services you render will result in payment from </w:t>
      </w:r>
      <w:r w:rsidR="00DF6B13">
        <w:t>an</w:t>
      </w:r>
      <w:r w:rsidR="003C7783" w:rsidRPr="005D415A">
        <w:t xml:space="preserve"> insurance company. This is really the first step in ensuring payment from both the insurance company and</w:t>
      </w:r>
      <w:r w:rsidR="00DF6B13">
        <w:t>,</w:t>
      </w:r>
      <w:r w:rsidR="003C7783" w:rsidRPr="005D415A">
        <w:t xml:space="preserve"> when applicable</w:t>
      </w:r>
      <w:r w:rsidR="00DF6B13">
        <w:t>,</w:t>
      </w:r>
      <w:r w:rsidR="003C7783" w:rsidRPr="005D415A">
        <w:t xml:space="preserve"> the patient.</w:t>
      </w:r>
    </w:p>
    <w:p w14:paraId="02E46847" w14:textId="77777777" w:rsidR="003C7783" w:rsidRPr="00362555" w:rsidRDefault="003C7783" w:rsidP="00D15973">
      <w:pPr>
        <w:pStyle w:val="BodyText"/>
        <w:ind w:left="540"/>
        <w:rPr>
          <w:b/>
          <w:bCs/>
        </w:rPr>
      </w:pPr>
      <w:r w:rsidRPr="00362555">
        <w:rPr>
          <w:b/>
          <w:bCs/>
        </w:rPr>
        <w:t xml:space="preserve">Why is it important? </w:t>
      </w:r>
    </w:p>
    <w:p w14:paraId="0F81239E" w14:textId="77777777" w:rsidR="003C7783" w:rsidRPr="003C7783" w:rsidRDefault="003C7783">
      <w:pPr>
        <w:pStyle w:val="BodyText"/>
        <w:numPr>
          <w:ilvl w:val="0"/>
          <w:numId w:val="36"/>
        </w:numPr>
        <w:ind w:left="1080"/>
      </w:pPr>
      <w:r w:rsidRPr="003C7783">
        <w:t>It allows you to gather any necessary authorizations before providing care or services.</w:t>
      </w:r>
    </w:p>
    <w:p w14:paraId="6840243D" w14:textId="5BC7E25B" w:rsidR="003C7783" w:rsidRPr="003C7783" w:rsidRDefault="003C7783">
      <w:pPr>
        <w:pStyle w:val="BodyText"/>
        <w:numPr>
          <w:ilvl w:val="0"/>
          <w:numId w:val="36"/>
        </w:numPr>
        <w:ind w:left="1080"/>
      </w:pPr>
      <w:r w:rsidRPr="003C7783">
        <w:t xml:space="preserve">It allows you to estimate what a patient will owe for </w:t>
      </w:r>
      <w:r w:rsidR="00DF6B13">
        <w:t>rendered</w:t>
      </w:r>
      <w:r w:rsidRPr="003C7783">
        <w:t xml:space="preserve"> services, which helps you to collect payment at the time of service.  </w:t>
      </w:r>
    </w:p>
    <w:p w14:paraId="7FBB1FB5" w14:textId="1E43A43D" w:rsidR="003C7783" w:rsidRDefault="003C7783">
      <w:pPr>
        <w:pStyle w:val="BodyText"/>
        <w:numPr>
          <w:ilvl w:val="0"/>
          <w:numId w:val="36"/>
        </w:numPr>
        <w:ind w:left="1080"/>
      </w:pPr>
      <w:r w:rsidRPr="003C7783">
        <w:t>Accurate insurance verification ensures a higher number of accurate claims which speeds up approval and results in a faster billing cycle. Inadequate verification of eligibility and plan-specific benefits puts healthcare organizations at risk for claim rejections, denials, and bad debt.</w:t>
      </w:r>
    </w:p>
    <w:p w14:paraId="2BA27B33" w14:textId="6FD03637" w:rsidR="00A20A27" w:rsidRDefault="0046697F" w:rsidP="00A20A27">
      <w:pPr>
        <w:pStyle w:val="BodyText"/>
        <w:ind w:left="540"/>
      </w:pPr>
      <w:r>
        <w:t>V</w:t>
      </w:r>
      <w:r w:rsidR="005538F5">
        <w:t>erif</w:t>
      </w:r>
      <w:r>
        <w:t>ication of</w:t>
      </w:r>
      <w:r w:rsidR="005538F5">
        <w:t xml:space="preserve"> benefits</w:t>
      </w:r>
      <w:r>
        <w:t xml:space="preserve"> consists of the following</w:t>
      </w:r>
      <w:r w:rsidR="00A20A27">
        <w:t>:</w:t>
      </w:r>
    </w:p>
    <w:p w14:paraId="7E5560F0" w14:textId="3A93222B" w:rsidR="003C7783" w:rsidRPr="003C7783" w:rsidRDefault="003C7783">
      <w:pPr>
        <w:pStyle w:val="BodyText"/>
        <w:numPr>
          <w:ilvl w:val="0"/>
          <w:numId w:val="39"/>
        </w:numPr>
        <w:ind w:left="1080"/>
      </w:pPr>
      <w:r w:rsidRPr="0046697F">
        <w:rPr>
          <w:b/>
          <w:bCs/>
        </w:rPr>
        <w:t>Eligibility</w:t>
      </w:r>
      <w:r w:rsidR="00362555" w:rsidRPr="005D415A">
        <w:t xml:space="preserve"> </w:t>
      </w:r>
      <w:r w:rsidR="005538F5">
        <w:t>–</w:t>
      </w:r>
      <w:r w:rsidR="00362555" w:rsidRPr="005D415A">
        <w:t xml:space="preserve"> </w:t>
      </w:r>
      <w:r w:rsidR="005538F5">
        <w:t>E</w:t>
      </w:r>
      <w:r w:rsidRPr="003C7783">
        <w:t xml:space="preserve">nter a patient's eligibility for insurance benefits under any of his or her dental and medical insurance plans. Eligibility information is visible from Family File and on scheduled appointments.  </w:t>
      </w:r>
    </w:p>
    <w:p w14:paraId="2C74CA94" w14:textId="77777777" w:rsidR="003C7783" w:rsidRPr="00362555" w:rsidRDefault="003C7783" w:rsidP="00362555">
      <w:pPr>
        <w:pStyle w:val="BodyText"/>
        <w:ind w:left="1080"/>
        <w:rPr>
          <w:b/>
          <w:bCs/>
        </w:rPr>
      </w:pPr>
      <w:r w:rsidRPr="00362555">
        <w:rPr>
          <w:b/>
          <w:bCs/>
        </w:rPr>
        <w:t xml:space="preserve">Why is it important? </w:t>
      </w:r>
    </w:p>
    <w:p w14:paraId="178C5F1E" w14:textId="463E3AEA" w:rsidR="003C7783" w:rsidRPr="003C7783" w:rsidRDefault="003C7783">
      <w:pPr>
        <w:pStyle w:val="BodyText"/>
        <w:numPr>
          <w:ilvl w:val="0"/>
          <w:numId w:val="37"/>
        </w:numPr>
        <w:ind w:left="1620"/>
      </w:pPr>
      <w:r w:rsidRPr="003C7783">
        <w:t>By verifying eligibility, a patient's insurance coverage status can be determined prior to the appointment</w:t>
      </w:r>
      <w:r w:rsidR="005538F5">
        <w:t>,</w:t>
      </w:r>
      <w:r w:rsidRPr="003C7783">
        <w:t xml:space="preserve"> and demographic information can be reported accurately on insurance claims. Additionally, prioritizing eligibility promotes proactive collection measures</w:t>
      </w:r>
      <w:r w:rsidR="005538F5">
        <w:t>,</w:t>
      </w:r>
      <w:r w:rsidRPr="003C7783">
        <w:t xml:space="preserve"> and prevents payment delays. </w:t>
      </w:r>
    </w:p>
    <w:p w14:paraId="7F29C315" w14:textId="77777777" w:rsidR="003C7783" w:rsidRPr="003C7783" w:rsidRDefault="003C7783">
      <w:pPr>
        <w:pStyle w:val="BodyText"/>
        <w:numPr>
          <w:ilvl w:val="0"/>
          <w:numId w:val="37"/>
        </w:numPr>
        <w:ind w:left="1620"/>
      </w:pPr>
      <w:r w:rsidRPr="003C7783">
        <w:t>Eligibility is also valuable for patient care outcomes by identifying when services are due or overdue.</w:t>
      </w:r>
    </w:p>
    <w:p w14:paraId="002DFDE2" w14:textId="5B1153AA" w:rsidR="003C7783" w:rsidRPr="003C7783" w:rsidRDefault="003C7783" w:rsidP="004A2A35">
      <w:pPr>
        <w:pStyle w:val="BodyText"/>
        <w:keepLines/>
        <w:numPr>
          <w:ilvl w:val="0"/>
          <w:numId w:val="37"/>
        </w:numPr>
        <w:ind w:left="1080"/>
      </w:pPr>
      <w:r w:rsidRPr="0046697F">
        <w:rPr>
          <w:b/>
          <w:bCs/>
        </w:rPr>
        <w:lastRenderedPageBreak/>
        <w:t xml:space="preserve">Benefits </w:t>
      </w:r>
      <w:r w:rsidR="00A20A27" w:rsidRPr="0046697F">
        <w:rPr>
          <w:b/>
          <w:bCs/>
        </w:rPr>
        <w:t>r</w:t>
      </w:r>
      <w:r w:rsidRPr="0046697F">
        <w:rPr>
          <w:b/>
          <w:bCs/>
        </w:rPr>
        <w:t>emaining</w:t>
      </w:r>
      <w:r w:rsidR="00D15973" w:rsidRPr="005D415A">
        <w:t xml:space="preserve"> </w:t>
      </w:r>
      <w:r w:rsidR="005538F5">
        <w:t>–</w:t>
      </w:r>
      <w:r w:rsidR="00D15973" w:rsidRPr="005D415A">
        <w:t xml:space="preserve"> </w:t>
      </w:r>
      <w:r w:rsidRPr="005D415A">
        <w:t>Under the app</w:t>
      </w:r>
      <w:r w:rsidR="005538F5">
        <w:t>licable</w:t>
      </w:r>
      <w:r w:rsidRPr="005D415A">
        <w:t xml:space="preserve"> insurance plan, click </w:t>
      </w:r>
      <w:r w:rsidRPr="005538F5">
        <w:rPr>
          <w:b/>
          <w:bCs/>
        </w:rPr>
        <w:t>Ded/Benefits</w:t>
      </w:r>
      <w:r w:rsidRPr="005D415A">
        <w:t xml:space="preserve">. All insurance claim payments and </w:t>
      </w:r>
      <w:r w:rsidRPr="003C7783">
        <w:t xml:space="preserve">deductibles </w:t>
      </w:r>
      <w:r w:rsidR="005538F5">
        <w:t xml:space="preserve">that get </w:t>
      </w:r>
      <w:r w:rsidRPr="003C7783">
        <w:t xml:space="preserve">posted to claims in Dentrix Enterprise will automatically update this information. </w:t>
      </w:r>
      <w:r w:rsidR="005538F5">
        <w:t xml:space="preserve">You must manually </w:t>
      </w:r>
      <w:proofErr w:type="gramStart"/>
      <w:r w:rsidRPr="003C7783">
        <w:t>update of</w:t>
      </w:r>
      <w:proofErr w:type="gramEnd"/>
      <w:r w:rsidRPr="003C7783">
        <w:t xml:space="preserve"> this information </w:t>
      </w:r>
      <w:r w:rsidR="005538F5">
        <w:t>when</w:t>
      </w:r>
      <w:r w:rsidRPr="003C7783">
        <w:t xml:space="preserve"> benefits </w:t>
      </w:r>
      <w:r w:rsidR="005538F5">
        <w:t>a</w:t>
      </w:r>
      <w:r w:rsidRPr="003C7783">
        <w:t xml:space="preserve">re not applied to a claim in the system or </w:t>
      </w:r>
      <w:r w:rsidR="005538F5">
        <w:t>a claim that is used</w:t>
      </w:r>
      <w:r w:rsidRPr="003C7783">
        <w:t xml:space="preserve"> with another provider/clinic </w:t>
      </w:r>
      <w:r w:rsidR="005538F5">
        <w:t xml:space="preserve">that is </w:t>
      </w:r>
      <w:r w:rsidRPr="003C7783">
        <w:t xml:space="preserve">not associated with your site. </w:t>
      </w:r>
    </w:p>
    <w:p w14:paraId="6C0C26AA" w14:textId="7AC0E621" w:rsidR="00395C6B" w:rsidRDefault="003C7783" w:rsidP="00D15973">
      <w:pPr>
        <w:pStyle w:val="BodyText"/>
        <w:ind w:left="1080"/>
      </w:pPr>
      <w:r w:rsidRPr="00D15973">
        <w:rPr>
          <w:b/>
          <w:bCs/>
        </w:rPr>
        <w:t>Why is it important?</w:t>
      </w:r>
      <w:r w:rsidR="00D15973">
        <w:t xml:space="preserve"> </w:t>
      </w:r>
      <w:r w:rsidR="0046697F">
        <w:t>If you verify</w:t>
      </w:r>
      <w:r w:rsidRPr="003C7783">
        <w:t xml:space="preserve"> </w:t>
      </w:r>
      <w:r w:rsidR="005538F5">
        <w:t>the b</w:t>
      </w:r>
      <w:r w:rsidRPr="003C7783">
        <w:t xml:space="preserve">enefits </w:t>
      </w:r>
      <w:r w:rsidR="005538F5">
        <w:t>u</w:t>
      </w:r>
      <w:r w:rsidRPr="003C7783">
        <w:t>sed</w:t>
      </w:r>
      <w:r w:rsidR="0046697F">
        <w:t xml:space="preserve"> and remaining</w:t>
      </w:r>
      <w:r w:rsidR="005538F5">
        <w:t xml:space="preserve"> and enter that information for</w:t>
      </w:r>
      <w:r w:rsidRPr="003C7783">
        <w:t xml:space="preserve"> </w:t>
      </w:r>
      <w:r w:rsidR="005538F5">
        <w:t>an</w:t>
      </w:r>
      <w:r w:rsidRPr="003C7783">
        <w:t xml:space="preserve"> insurance </w:t>
      </w:r>
      <w:r w:rsidR="005538F5">
        <w:t>plan</w:t>
      </w:r>
      <w:r w:rsidR="0046697F">
        <w:t xml:space="preserve">, </w:t>
      </w:r>
      <w:r w:rsidRPr="003C7783">
        <w:t xml:space="preserve">Treatment Planner and Ledger </w:t>
      </w:r>
      <w:r w:rsidR="0046697F">
        <w:t>can</w:t>
      </w:r>
      <w:r w:rsidRPr="003C7783">
        <w:t xml:space="preserve"> use this information to generate </w:t>
      </w:r>
      <w:r w:rsidR="0046697F">
        <w:t xml:space="preserve">more accurate </w:t>
      </w:r>
      <w:r w:rsidRPr="003C7783">
        <w:t>estimates of insurance and patient responsibility.</w:t>
      </w:r>
    </w:p>
    <w:p w14:paraId="17067D8C" w14:textId="69139281" w:rsidR="00395C6B" w:rsidRPr="003C7783" w:rsidRDefault="00395C6B" w:rsidP="004267C0">
      <w:pPr>
        <w:pStyle w:val="Heading2"/>
      </w:pPr>
      <w:bookmarkStart w:id="142" w:name="_Toc135416705"/>
      <w:bookmarkStart w:id="143" w:name="_Toc146183304"/>
      <w:r>
        <w:t>Administrative/Patient Notes</w:t>
      </w:r>
      <w:bookmarkEnd w:id="142"/>
      <w:bookmarkEnd w:id="143"/>
    </w:p>
    <w:p w14:paraId="4160FB74" w14:textId="7A24062C" w:rsidR="003C7783" w:rsidRPr="003C7783" w:rsidRDefault="003C7783" w:rsidP="00D15973">
      <w:pPr>
        <w:pStyle w:val="BodyText"/>
        <w:rPr>
          <w:b/>
          <w:bCs/>
        </w:rPr>
      </w:pPr>
      <w:r w:rsidRPr="003C7783">
        <w:t xml:space="preserve">Manage the documentation of all administrative patient communication. Many notes are text for </w:t>
      </w:r>
      <w:r w:rsidR="0046697F">
        <w:t>reference</w:t>
      </w:r>
      <w:r w:rsidRPr="003C7783">
        <w:t xml:space="preserve"> only and are not part of structured data (reportable data)</w:t>
      </w:r>
      <w:r w:rsidRPr="003C7783">
        <w:rPr>
          <w:bCs/>
        </w:rPr>
        <w:t>.</w:t>
      </w:r>
    </w:p>
    <w:p w14:paraId="7939D075" w14:textId="40668E35" w:rsidR="00D15973" w:rsidRDefault="003C7783" w:rsidP="00D42C5A">
      <w:pPr>
        <w:pStyle w:val="Heading3"/>
      </w:pPr>
      <w:bookmarkStart w:id="144" w:name="_Toc146183305"/>
      <w:r w:rsidRPr="003C7783">
        <w:t>Office Journal</w:t>
      </w:r>
      <w:bookmarkEnd w:id="144"/>
    </w:p>
    <w:p w14:paraId="25F96A22" w14:textId="6F1D9078" w:rsidR="003C7783" w:rsidRPr="003C7783" w:rsidRDefault="000D70A3" w:rsidP="00D15973">
      <w:pPr>
        <w:pStyle w:val="BodyText"/>
      </w:pPr>
      <w:r>
        <w:t xml:space="preserve">The </w:t>
      </w:r>
      <w:r w:rsidRPr="003C7783">
        <w:t>administrative/clerical team</w:t>
      </w:r>
      <w:r>
        <w:t xml:space="preserve"> uses Office Journal as a notepad </w:t>
      </w:r>
      <w:r w:rsidR="003C7783" w:rsidRPr="003C7783">
        <w:t>for patient communication</w:t>
      </w:r>
      <w:r>
        <w:t xml:space="preserve">. </w:t>
      </w:r>
      <w:r w:rsidR="003C7783" w:rsidRPr="003C7783">
        <w:t xml:space="preserve">Journal entry types are hard coded and not customizable. </w:t>
      </w:r>
      <w:r>
        <w:t>Your team can add m</w:t>
      </w:r>
      <w:r w:rsidR="003C7783" w:rsidRPr="003C7783">
        <w:t xml:space="preserve">anual entries to document phone calls and other communications with the patient. </w:t>
      </w:r>
      <w:r>
        <w:t>Office Journal is g</w:t>
      </w:r>
      <w:r w:rsidR="003C7783" w:rsidRPr="003C7783">
        <w:t>reat for historical tracking</w:t>
      </w:r>
      <w:r>
        <w:t>, so us</w:t>
      </w:r>
      <w:r w:rsidR="003C7783" w:rsidRPr="003C7783">
        <w:t xml:space="preserve">e </w:t>
      </w:r>
      <w:r>
        <w:t>it</w:t>
      </w:r>
      <w:r w:rsidR="003C7783" w:rsidRPr="003C7783">
        <w:t xml:space="preserve"> as a resource to identify team activity and confirm </w:t>
      </w:r>
      <w:r>
        <w:t xml:space="preserve">that </w:t>
      </w:r>
      <w:r w:rsidR="003C7783" w:rsidRPr="003C7783">
        <w:t xml:space="preserve">the team is following internal guidelines.  </w:t>
      </w:r>
    </w:p>
    <w:p w14:paraId="6C695D43" w14:textId="6179244A" w:rsidR="003C7783" w:rsidRPr="00A20A27" w:rsidRDefault="003C7783">
      <w:pPr>
        <w:pStyle w:val="BodyText"/>
        <w:numPr>
          <w:ilvl w:val="0"/>
          <w:numId w:val="40"/>
        </w:numPr>
        <w:ind w:left="540"/>
        <w:rPr>
          <w:bCs/>
        </w:rPr>
      </w:pPr>
      <w:r w:rsidRPr="000D70A3">
        <w:rPr>
          <w:b/>
        </w:rPr>
        <w:t xml:space="preserve">Automatic </w:t>
      </w:r>
      <w:r w:rsidR="000D70A3" w:rsidRPr="000D70A3">
        <w:rPr>
          <w:b/>
        </w:rPr>
        <w:t>e</w:t>
      </w:r>
      <w:r w:rsidRPr="000D70A3">
        <w:rPr>
          <w:b/>
        </w:rPr>
        <w:t xml:space="preserve">ntry </w:t>
      </w:r>
      <w:r w:rsidR="000D70A3" w:rsidRPr="000D70A3">
        <w:rPr>
          <w:b/>
        </w:rPr>
        <w:t>t</w:t>
      </w:r>
      <w:r w:rsidRPr="000D70A3">
        <w:rPr>
          <w:b/>
        </w:rPr>
        <w:t>ypes</w:t>
      </w:r>
      <w:r w:rsidRPr="00A20A27">
        <w:rPr>
          <w:bCs/>
        </w:rPr>
        <w:t xml:space="preserve"> </w:t>
      </w:r>
      <w:r w:rsidR="000D70A3">
        <w:rPr>
          <w:bCs/>
        </w:rPr>
        <w:t>–</w:t>
      </w:r>
      <w:r w:rsidRPr="00A20A27">
        <w:rPr>
          <w:bCs/>
        </w:rPr>
        <w:t xml:space="preserve"> </w:t>
      </w:r>
      <w:r w:rsidR="000D70A3">
        <w:rPr>
          <w:bCs/>
        </w:rPr>
        <w:t>When staff perform certain tasks</w:t>
      </w:r>
      <w:r w:rsidRPr="00A20A27">
        <w:rPr>
          <w:bCs/>
        </w:rPr>
        <w:t xml:space="preserve"> in Dentrix Enterprise, the </w:t>
      </w:r>
      <w:r w:rsidR="000D70A3">
        <w:rPr>
          <w:bCs/>
        </w:rPr>
        <w:t xml:space="preserve">system automatically adds journal </w:t>
      </w:r>
      <w:r w:rsidRPr="00A20A27">
        <w:rPr>
          <w:bCs/>
        </w:rPr>
        <w:t>entr</w:t>
      </w:r>
      <w:r w:rsidR="000D70A3">
        <w:rPr>
          <w:bCs/>
        </w:rPr>
        <w:t>ies with</w:t>
      </w:r>
      <w:r w:rsidRPr="00A20A27">
        <w:rPr>
          <w:bCs/>
        </w:rPr>
        <w:t xml:space="preserve"> information </w:t>
      </w:r>
      <w:r w:rsidR="000D70A3">
        <w:rPr>
          <w:bCs/>
        </w:rPr>
        <w:t xml:space="preserve">that allows </w:t>
      </w:r>
      <w:r w:rsidRPr="00A20A27">
        <w:rPr>
          <w:bCs/>
        </w:rPr>
        <w:t>for easy tracking.</w:t>
      </w:r>
    </w:p>
    <w:p w14:paraId="212BB50C" w14:textId="3D20813A" w:rsidR="003C7783" w:rsidRPr="00A20A27" w:rsidRDefault="003C7783">
      <w:pPr>
        <w:pStyle w:val="BodyText"/>
        <w:numPr>
          <w:ilvl w:val="0"/>
          <w:numId w:val="40"/>
        </w:numPr>
        <w:ind w:left="540"/>
        <w:rPr>
          <w:bCs/>
        </w:rPr>
      </w:pPr>
      <w:r w:rsidRPr="000D70A3">
        <w:rPr>
          <w:b/>
        </w:rPr>
        <w:t xml:space="preserve">Manual </w:t>
      </w:r>
      <w:r w:rsidR="000D70A3" w:rsidRPr="000D70A3">
        <w:rPr>
          <w:b/>
        </w:rPr>
        <w:t>e</w:t>
      </w:r>
      <w:r w:rsidRPr="000D70A3">
        <w:rPr>
          <w:b/>
        </w:rPr>
        <w:t xml:space="preserve">ntry </w:t>
      </w:r>
      <w:r w:rsidR="000D70A3" w:rsidRPr="000D70A3">
        <w:rPr>
          <w:b/>
        </w:rPr>
        <w:t>t</w:t>
      </w:r>
      <w:r w:rsidRPr="000D70A3">
        <w:rPr>
          <w:b/>
        </w:rPr>
        <w:t>ypes</w:t>
      </w:r>
      <w:r w:rsidRPr="00A20A27">
        <w:rPr>
          <w:bCs/>
        </w:rPr>
        <w:t xml:space="preserve"> – Staff </w:t>
      </w:r>
      <w:r w:rsidR="000D70A3">
        <w:rPr>
          <w:bCs/>
        </w:rPr>
        <w:t xml:space="preserve">can </w:t>
      </w:r>
      <w:r w:rsidRPr="00A20A27">
        <w:rPr>
          <w:bCs/>
        </w:rPr>
        <w:t xml:space="preserve">add </w:t>
      </w:r>
      <w:r w:rsidR="000D70A3">
        <w:rPr>
          <w:bCs/>
        </w:rPr>
        <w:t xml:space="preserve">journal </w:t>
      </w:r>
      <w:r w:rsidRPr="00A20A27">
        <w:rPr>
          <w:bCs/>
        </w:rPr>
        <w:t xml:space="preserve">entries to document conversations, set reminders for follow up, </w:t>
      </w:r>
      <w:r w:rsidR="000D70A3">
        <w:rPr>
          <w:bCs/>
        </w:rPr>
        <w:t>and so forth</w:t>
      </w:r>
      <w:r w:rsidRPr="00A20A27">
        <w:rPr>
          <w:bCs/>
        </w:rPr>
        <w:t xml:space="preserve">. </w:t>
      </w:r>
      <w:r w:rsidR="000D70A3">
        <w:rPr>
          <w:bCs/>
        </w:rPr>
        <w:t>Creating a</w:t>
      </w:r>
      <w:r w:rsidRPr="00A20A27">
        <w:rPr>
          <w:bCs/>
        </w:rPr>
        <w:t xml:space="preserve"> standard description and note </w:t>
      </w:r>
      <w:r w:rsidR="000D70A3">
        <w:rPr>
          <w:bCs/>
        </w:rPr>
        <w:t xml:space="preserve">can make </w:t>
      </w:r>
      <w:r w:rsidRPr="00A20A27">
        <w:rPr>
          <w:bCs/>
        </w:rPr>
        <w:t>searching</w:t>
      </w:r>
      <w:r w:rsidR="000D70A3">
        <w:rPr>
          <w:bCs/>
        </w:rPr>
        <w:t xml:space="preserve"> for information easier</w:t>
      </w:r>
      <w:r w:rsidRPr="00A20A27">
        <w:rPr>
          <w:bCs/>
        </w:rPr>
        <w:t>.</w:t>
      </w:r>
    </w:p>
    <w:p w14:paraId="24CD61CE" w14:textId="56B909A8" w:rsidR="003C7783" w:rsidRPr="003C7783" w:rsidRDefault="003C7783" w:rsidP="000D70A3">
      <w:pPr>
        <w:pStyle w:val="BodyText"/>
        <w:numPr>
          <w:ilvl w:val="0"/>
          <w:numId w:val="40"/>
        </w:numPr>
        <w:ind w:left="540"/>
      </w:pPr>
      <w:r w:rsidRPr="000D70A3">
        <w:rPr>
          <w:b/>
        </w:rPr>
        <w:t>Filter</w:t>
      </w:r>
      <w:r w:rsidR="000D70A3" w:rsidRPr="000D70A3">
        <w:rPr>
          <w:b/>
        </w:rPr>
        <w:t>ing</w:t>
      </w:r>
      <w:r w:rsidRPr="000D70A3">
        <w:rPr>
          <w:b/>
        </w:rPr>
        <w:t xml:space="preserve"> Office Journal </w:t>
      </w:r>
      <w:r w:rsidR="000D70A3" w:rsidRPr="000D70A3">
        <w:rPr>
          <w:b/>
        </w:rPr>
        <w:t>e</w:t>
      </w:r>
      <w:r w:rsidRPr="000D70A3">
        <w:rPr>
          <w:b/>
        </w:rPr>
        <w:t>ntries</w:t>
      </w:r>
      <w:r w:rsidRPr="00A20A27">
        <w:rPr>
          <w:bCs/>
        </w:rPr>
        <w:t xml:space="preserve"> </w:t>
      </w:r>
      <w:r w:rsidR="000D70A3">
        <w:rPr>
          <w:bCs/>
        </w:rPr>
        <w:t>–</w:t>
      </w:r>
      <w:r w:rsidRPr="00A20A27">
        <w:rPr>
          <w:bCs/>
        </w:rPr>
        <w:t xml:space="preserve"> </w:t>
      </w:r>
      <w:r w:rsidR="000D70A3">
        <w:rPr>
          <w:bCs/>
        </w:rPr>
        <w:t>You can g</w:t>
      </w:r>
      <w:r w:rsidRPr="000D70A3">
        <w:rPr>
          <w:bCs/>
        </w:rPr>
        <w:t>enera</w:t>
      </w:r>
      <w:r w:rsidRPr="003C7783">
        <w:t>te</w:t>
      </w:r>
      <w:r w:rsidR="000D70A3">
        <w:t xml:space="preserve"> and, if necessary, print a</w:t>
      </w:r>
      <w:r w:rsidRPr="003C7783">
        <w:t xml:space="preserve"> list of </w:t>
      </w:r>
      <w:r w:rsidR="000D70A3">
        <w:t xml:space="preserve">journal </w:t>
      </w:r>
      <w:r w:rsidRPr="003C7783">
        <w:t>entries</w:t>
      </w:r>
      <w:r w:rsidR="000D70A3">
        <w:t xml:space="preserve"> according to specified filters</w:t>
      </w:r>
      <w:r w:rsidRPr="003C7783">
        <w:t>.</w:t>
      </w:r>
    </w:p>
    <w:p w14:paraId="412ABF3E" w14:textId="77777777" w:rsidR="00D15973" w:rsidRDefault="003C7783" w:rsidP="00D42C5A">
      <w:pPr>
        <w:pStyle w:val="Heading3"/>
      </w:pPr>
      <w:bookmarkStart w:id="145" w:name="_Toc146183306"/>
      <w:r w:rsidRPr="003C7783">
        <w:t>Patient Note</w:t>
      </w:r>
      <w:bookmarkEnd w:id="145"/>
    </w:p>
    <w:p w14:paraId="762DEA82" w14:textId="56F650D7" w:rsidR="003C7783" w:rsidRPr="003C7783" w:rsidRDefault="000D70A3" w:rsidP="00D15973">
      <w:pPr>
        <w:pStyle w:val="BodyText"/>
      </w:pPr>
      <w:r>
        <w:t>I</w:t>
      </w:r>
      <w:r w:rsidR="003C7783" w:rsidRPr="003C7783">
        <w:t>n the registration area</w:t>
      </w:r>
      <w:r>
        <w:t>, you can enter</w:t>
      </w:r>
      <w:r w:rsidR="003C7783" w:rsidRPr="003C7783">
        <w:t xml:space="preserve"> general patient notes, such as hobbies and preferences. </w:t>
      </w:r>
      <w:r w:rsidR="00506F36">
        <w:t>A</w:t>
      </w:r>
      <w:r w:rsidR="003C7783" w:rsidRPr="003C7783">
        <w:t xml:space="preserve"> </w:t>
      </w:r>
      <w:r w:rsidR="00506F36">
        <w:t>patient note has a 4000-</w:t>
      </w:r>
      <w:r w:rsidR="003C7783" w:rsidRPr="003C7783">
        <w:t xml:space="preserve">character limit. </w:t>
      </w:r>
      <w:r w:rsidR="00261C68">
        <w:t>Patient notes are</w:t>
      </w:r>
      <w:r w:rsidR="003C7783" w:rsidRPr="003C7783">
        <w:t xml:space="preserve"> not historical and </w:t>
      </w:r>
      <w:r w:rsidR="00506F36">
        <w:t>can</w:t>
      </w:r>
      <w:r w:rsidR="003C7783" w:rsidRPr="003C7783">
        <w:t xml:space="preserve"> be deleted when </w:t>
      </w:r>
      <w:r w:rsidR="00261C68">
        <w:t>they are</w:t>
      </w:r>
      <w:r w:rsidR="00506F36">
        <w:t xml:space="preserve"> </w:t>
      </w:r>
      <w:r w:rsidR="003C7783" w:rsidRPr="003C7783">
        <w:t xml:space="preserve">no longer relevant. When </w:t>
      </w:r>
      <w:r w:rsidR="00506F36">
        <w:t xml:space="preserve">patient notes are </w:t>
      </w:r>
      <w:r w:rsidR="003C7783" w:rsidRPr="003C7783">
        <w:t>standardized</w:t>
      </w:r>
      <w:r w:rsidR="00506F36">
        <w:t>,</w:t>
      </w:r>
      <w:r w:rsidR="003C7783" w:rsidRPr="003C7783">
        <w:t xml:space="preserve"> the first </w:t>
      </w:r>
      <w:r w:rsidR="00506F36">
        <w:t>four</w:t>
      </w:r>
      <w:r w:rsidR="003C7783" w:rsidRPr="003C7783">
        <w:t xml:space="preserve"> lines can be reportable. </w:t>
      </w:r>
    </w:p>
    <w:p w14:paraId="5A8A72CA" w14:textId="5FF2D5DD" w:rsidR="003C7783" w:rsidRDefault="003C7783" w:rsidP="00D42C5A">
      <w:pPr>
        <w:pStyle w:val="Heading3"/>
      </w:pPr>
      <w:bookmarkStart w:id="146" w:name="_Toc146183307"/>
      <w:r w:rsidRPr="003C7783">
        <w:t>Decision Support</w:t>
      </w:r>
      <w:bookmarkEnd w:id="146"/>
    </w:p>
    <w:p w14:paraId="02036FAF" w14:textId="21DF00EF" w:rsidR="00506F36" w:rsidRPr="00506F36" w:rsidRDefault="00506F36" w:rsidP="00506F36">
      <w:pPr>
        <w:pStyle w:val="BodyText"/>
      </w:pPr>
      <w:r>
        <w:t>Dentrix Enterprise provides financial/administrative and clinical decision support.</w:t>
      </w:r>
    </w:p>
    <w:p w14:paraId="6F6F15B4" w14:textId="4D70620D" w:rsidR="00506F36" w:rsidRDefault="003C7783" w:rsidP="00506F36">
      <w:pPr>
        <w:pStyle w:val="Heading4"/>
      </w:pPr>
      <w:r w:rsidRPr="00506F36">
        <w:t>Patient/</w:t>
      </w:r>
      <w:r w:rsidR="00506F36">
        <w:t>F</w:t>
      </w:r>
      <w:r w:rsidRPr="00506F36">
        <w:t xml:space="preserve">amily </w:t>
      </w:r>
      <w:r w:rsidR="00506F36">
        <w:t>A</w:t>
      </w:r>
      <w:r w:rsidRPr="00506F36">
        <w:t>lerts</w:t>
      </w:r>
    </w:p>
    <w:p w14:paraId="0C628913" w14:textId="2C6E5ABC" w:rsidR="003C7783" w:rsidRPr="00506F36" w:rsidRDefault="00506F36" w:rsidP="00506F36">
      <w:pPr>
        <w:pStyle w:val="BodyText"/>
      </w:pPr>
      <w:r>
        <w:t>These are c</w:t>
      </w:r>
      <w:r w:rsidR="003C7783" w:rsidRPr="00506F36">
        <w:t>ustomizable alerts that can be attached to patients</w:t>
      </w:r>
      <w:r w:rsidR="00261C68">
        <w:t xml:space="preserve"> or families</w:t>
      </w:r>
      <w:r w:rsidR="003C7783" w:rsidRPr="00506F36">
        <w:t xml:space="preserve"> </w:t>
      </w:r>
      <w:r w:rsidR="00261C68">
        <w:t>in case</w:t>
      </w:r>
      <w:r w:rsidR="003C7783" w:rsidRPr="00506F36">
        <w:t xml:space="preserve"> </w:t>
      </w:r>
      <w:r w:rsidR="00261C68">
        <w:t>you need messages or alerts to appear when someone accesses specified areas of those patients’ records</w:t>
      </w:r>
      <w:r w:rsidR="003C7783" w:rsidRPr="00506F36">
        <w:t xml:space="preserve">. </w:t>
      </w:r>
      <w:r w:rsidR="00261C68">
        <w:t>Also, a</w:t>
      </w:r>
      <w:r w:rsidR="003C7783" w:rsidRPr="00506F36">
        <w:t xml:space="preserve"> symbol </w:t>
      </w:r>
      <w:r w:rsidR="00261C68">
        <w:t>can appear</w:t>
      </w:r>
      <w:r w:rsidR="003C7783" w:rsidRPr="00506F36">
        <w:t xml:space="preserve"> on the appointments</w:t>
      </w:r>
      <w:r w:rsidR="00261C68">
        <w:t xml:space="preserve"> of patients whose records are flagged with alerts</w:t>
      </w:r>
      <w:r w:rsidR="003C7783" w:rsidRPr="00506F36">
        <w:t xml:space="preserve">. </w:t>
      </w:r>
      <w:r w:rsidR="00261C68">
        <w:t xml:space="preserve">A patient alert </w:t>
      </w:r>
      <w:r w:rsidR="003C7783" w:rsidRPr="00506F36">
        <w:t xml:space="preserve">is </w:t>
      </w:r>
      <w:r w:rsidR="003C7783" w:rsidRPr="00261C68">
        <w:t>a “</w:t>
      </w:r>
      <w:r w:rsidR="00261C68">
        <w:t xml:space="preserve">you </w:t>
      </w:r>
      <w:r w:rsidR="003C7783" w:rsidRPr="00261C68">
        <w:t>don’t want to miss</w:t>
      </w:r>
      <w:r w:rsidR="00261C68">
        <w:t xml:space="preserve"> this</w:t>
      </w:r>
      <w:r w:rsidR="003C7783" w:rsidRPr="00261C68">
        <w:t xml:space="preserve">” </w:t>
      </w:r>
      <w:r w:rsidR="00261C68">
        <w:t xml:space="preserve">type of </w:t>
      </w:r>
      <w:r w:rsidR="003C7783" w:rsidRPr="00261C68">
        <w:t>n</w:t>
      </w:r>
      <w:r w:rsidR="003C7783" w:rsidRPr="00506F36">
        <w:t xml:space="preserve">ote. </w:t>
      </w:r>
      <w:r w:rsidR="00261C68">
        <w:t>Patient alerts</w:t>
      </w:r>
      <w:r w:rsidR="003C7783" w:rsidRPr="00506F36">
        <w:t xml:space="preserve"> </w:t>
      </w:r>
      <w:r w:rsidR="00261C68">
        <w:t>are</w:t>
      </w:r>
      <w:r w:rsidR="003C7783" w:rsidRPr="00506F36">
        <w:t xml:space="preserve"> not historical and </w:t>
      </w:r>
      <w:r w:rsidR="00261C68">
        <w:t>can</w:t>
      </w:r>
      <w:r w:rsidR="003C7783" w:rsidRPr="00506F36">
        <w:t xml:space="preserve"> be deleted when </w:t>
      </w:r>
      <w:r w:rsidR="00261C68">
        <w:t xml:space="preserve">they are </w:t>
      </w:r>
      <w:r w:rsidR="003C7783" w:rsidRPr="00506F36">
        <w:t>no longer relevant.</w:t>
      </w:r>
    </w:p>
    <w:p w14:paraId="636AD59E" w14:textId="77777777" w:rsidR="00506F36" w:rsidRDefault="003C7783" w:rsidP="00506F36">
      <w:pPr>
        <w:pStyle w:val="Heading4"/>
      </w:pPr>
      <w:r w:rsidRPr="00506F36">
        <w:lastRenderedPageBreak/>
        <w:t xml:space="preserve">Global </w:t>
      </w:r>
      <w:r w:rsidR="00506F36">
        <w:t>A</w:t>
      </w:r>
      <w:r w:rsidRPr="00506F36">
        <w:t>lert</w:t>
      </w:r>
      <w:r w:rsidR="00506F36" w:rsidRPr="00506F36">
        <w:t>s</w:t>
      </w:r>
    </w:p>
    <w:p w14:paraId="3B3161A3" w14:textId="566BB12D" w:rsidR="003C7783" w:rsidRDefault="003C7783" w:rsidP="00506F36">
      <w:pPr>
        <w:pStyle w:val="BodyText"/>
      </w:pPr>
      <w:r w:rsidRPr="00506F36">
        <w:t xml:space="preserve">These alerts </w:t>
      </w:r>
      <w:r w:rsidR="00261C68">
        <w:t>appear based on specified criteria</w:t>
      </w:r>
      <w:r w:rsidR="00AE42D7">
        <w:t xml:space="preserve"> that </w:t>
      </w:r>
      <w:r w:rsidRPr="00506F36">
        <w:t>patient record</w:t>
      </w:r>
      <w:r w:rsidR="00AE42D7">
        <w:t>s meet</w:t>
      </w:r>
      <w:r w:rsidRPr="00506F36">
        <w:t xml:space="preserve">. </w:t>
      </w:r>
      <w:r w:rsidR="00AE42D7">
        <w:t xml:space="preserve">You can use global alerts as clinical </w:t>
      </w:r>
      <w:r w:rsidRPr="00506F36">
        <w:t xml:space="preserve">decision support </w:t>
      </w:r>
      <w:r w:rsidR="00AE42D7">
        <w:t>to identify patients requiring</w:t>
      </w:r>
      <w:r w:rsidRPr="00506F36">
        <w:t xml:space="preserve"> </w:t>
      </w:r>
      <w:r w:rsidR="00AE42D7">
        <w:t>p</w:t>
      </w:r>
      <w:r w:rsidRPr="00506F36">
        <w:t>remed</w:t>
      </w:r>
      <w:r w:rsidR="00AE42D7">
        <w:t>ication</w:t>
      </w:r>
      <w:r w:rsidRPr="00506F36">
        <w:t xml:space="preserve"> or</w:t>
      </w:r>
      <w:r w:rsidR="00AE42D7">
        <w:t xml:space="preserve"> as</w:t>
      </w:r>
      <w:r w:rsidRPr="00506F36">
        <w:t xml:space="preserve"> administrative </w:t>
      </w:r>
      <w:r w:rsidR="00AE42D7">
        <w:t xml:space="preserve">decision </w:t>
      </w:r>
      <w:r w:rsidRPr="00506F36">
        <w:t xml:space="preserve">support </w:t>
      </w:r>
      <w:r w:rsidR="00AE42D7">
        <w:t>to identify patients with</w:t>
      </w:r>
      <w:r w:rsidRPr="00506F36">
        <w:t xml:space="preserve"> missing demographics.</w:t>
      </w:r>
    </w:p>
    <w:p w14:paraId="7C790241" w14:textId="6F8BCB62" w:rsidR="00AE42D7" w:rsidRPr="00506F36" w:rsidRDefault="00AE42D7" w:rsidP="00506F36">
      <w:pPr>
        <w:pStyle w:val="BodyText"/>
      </w:pPr>
      <w:r>
        <w:t>Setting up a global alert consists of the following:</w:t>
      </w:r>
    </w:p>
    <w:p w14:paraId="707B8BD8" w14:textId="418BF374" w:rsidR="003C7783" w:rsidRPr="00506F36" w:rsidRDefault="003C7783" w:rsidP="00506F36">
      <w:pPr>
        <w:pStyle w:val="BodyText"/>
        <w:numPr>
          <w:ilvl w:val="0"/>
          <w:numId w:val="42"/>
        </w:numPr>
        <w:ind w:left="540"/>
      </w:pPr>
      <w:r w:rsidRPr="00AE42D7">
        <w:rPr>
          <w:b/>
          <w:bCs/>
        </w:rPr>
        <w:t xml:space="preserve">Alert </w:t>
      </w:r>
      <w:r w:rsidR="00AE42D7" w:rsidRPr="00AE42D7">
        <w:rPr>
          <w:b/>
          <w:bCs/>
        </w:rPr>
        <w:t>O</w:t>
      </w:r>
      <w:r w:rsidRPr="00AE42D7">
        <w:rPr>
          <w:b/>
          <w:bCs/>
        </w:rPr>
        <w:t>ptions</w:t>
      </w:r>
      <w:r w:rsidRPr="00506F36">
        <w:t xml:space="preserve"> </w:t>
      </w:r>
      <w:r w:rsidR="00AE42D7">
        <w:t>–</w:t>
      </w:r>
      <w:r w:rsidRPr="00506F36">
        <w:t xml:space="preserve"> </w:t>
      </w:r>
      <w:r w:rsidR="00BC1F55">
        <w:t xml:space="preserve">Specify </w:t>
      </w:r>
      <w:r w:rsidRPr="00506F36">
        <w:t>where the alert</w:t>
      </w:r>
      <w:r w:rsidR="00BC1F55">
        <w:t xml:space="preserve"> can appear</w:t>
      </w:r>
      <w:r w:rsidRPr="00506F36">
        <w:t xml:space="preserve">. Use caution when deciding where alerts should </w:t>
      </w:r>
      <w:r w:rsidR="00BC1F55">
        <w:t>appear</w:t>
      </w:r>
      <w:r w:rsidRPr="00506F36">
        <w:t xml:space="preserve"> as too many pop-up messages can be cumbersome and slow down workflows. </w:t>
      </w:r>
      <w:r w:rsidR="00BC1F55">
        <w:t>Set up the alert so that it appears only</w:t>
      </w:r>
      <w:r w:rsidRPr="00506F36">
        <w:t xml:space="preserve"> where </w:t>
      </w:r>
      <w:r w:rsidR="00BC1F55">
        <w:t xml:space="preserve">it is </w:t>
      </w:r>
      <w:r w:rsidRPr="00506F36">
        <w:t>relevant to patient care based on the type</w:t>
      </w:r>
      <w:r w:rsidR="00B71D90">
        <w:t xml:space="preserve"> of alert</w:t>
      </w:r>
      <w:r w:rsidRPr="00506F36">
        <w:t>.</w:t>
      </w:r>
    </w:p>
    <w:p w14:paraId="4EB0D14F" w14:textId="1FB31AFB" w:rsidR="003C7783" w:rsidRPr="00506F36" w:rsidRDefault="003C7783" w:rsidP="00506F36">
      <w:pPr>
        <w:pStyle w:val="BodyText"/>
        <w:numPr>
          <w:ilvl w:val="0"/>
          <w:numId w:val="42"/>
        </w:numPr>
        <w:ind w:left="540"/>
      </w:pPr>
      <w:r w:rsidRPr="00AE42D7">
        <w:rPr>
          <w:b/>
          <w:bCs/>
        </w:rPr>
        <w:t xml:space="preserve">Patient </w:t>
      </w:r>
      <w:r w:rsidR="00AE42D7" w:rsidRPr="00AE42D7">
        <w:rPr>
          <w:b/>
          <w:bCs/>
        </w:rPr>
        <w:t>F</w:t>
      </w:r>
      <w:r w:rsidRPr="00AE42D7">
        <w:rPr>
          <w:b/>
          <w:bCs/>
        </w:rPr>
        <w:t>ilters</w:t>
      </w:r>
      <w:r w:rsidRPr="00506F36">
        <w:t xml:space="preserve"> </w:t>
      </w:r>
      <w:r w:rsidR="00AE42D7">
        <w:t>–</w:t>
      </w:r>
      <w:r w:rsidRPr="00506F36">
        <w:t xml:space="preserve"> </w:t>
      </w:r>
      <w:r w:rsidR="00BC1F55">
        <w:t>Specify</w:t>
      </w:r>
      <w:r w:rsidRPr="00506F36">
        <w:t xml:space="preserve"> what information to use as a filter. Filters identify if certain </w:t>
      </w:r>
      <w:r w:rsidR="00BC1F55">
        <w:t>information</w:t>
      </w:r>
      <w:r w:rsidRPr="00506F36">
        <w:t xml:space="preserve"> </w:t>
      </w:r>
      <w:r w:rsidR="00BC1F55">
        <w:t>exists or not</w:t>
      </w:r>
      <w:r w:rsidRPr="00506F36">
        <w:t>.</w:t>
      </w:r>
      <w:r w:rsidR="00BC1F55">
        <w:t xml:space="preserve"> You can use a filter to check for the following:</w:t>
      </w:r>
    </w:p>
    <w:p w14:paraId="705A96A4" w14:textId="2BB58E3D" w:rsidR="003C7783" w:rsidRPr="00506F36" w:rsidRDefault="003C7783" w:rsidP="00AE42D7">
      <w:pPr>
        <w:pStyle w:val="BodyText"/>
        <w:numPr>
          <w:ilvl w:val="2"/>
          <w:numId w:val="160"/>
        </w:numPr>
        <w:ind w:left="900"/>
      </w:pPr>
      <w:r w:rsidRPr="00BC1F55">
        <w:rPr>
          <w:b/>
          <w:bCs/>
        </w:rPr>
        <w:t xml:space="preserve">Patient </w:t>
      </w:r>
      <w:r w:rsidR="00BC1F55" w:rsidRPr="00BC1F55">
        <w:rPr>
          <w:b/>
          <w:bCs/>
        </w:rPr>
        <w:t>i</w:t>
      </w:r>
      <w:r w:rsidRPr="00BC1F55">
        <w:rPr>
          <w:b/>
          <w:bCs/>
        </w:rPr>
        <w:t>nformation</w:t>
      </w:r>
      <w:r w:rsidRPr="00506F36">
        <w:t xml:space="preserve"> </w:t>
      </w:r>
      <w:r w:rsidR="00BC1F55">
        <w:t>–</w:t>
      </w:r>
      <w:r w:rsidRPr="00506F36">
        <w:t xml:space="preserve"> </w:t>
      </w:r>
      <w:r w:rsidR="00BC1F55">
        <w:t>To c</w:t>
      </w:r>
      <w:r w:rsidRPr="00506F36">
        <w:t xml:space="preserve">heck </w:t>
      </w:r>
      <w:r w:rsidR="00BC1F55">
        <w:t xml:space="preserve">if a patient has </w:t>
      </w:r>
      <w:r w:rsidRPr="00506F36">
        <w:t>missing information.</w:t>
      </w:r>
    </w:p>
    <w:p w14:paraId="5E5214B3" w14:textId="7B44A395" w:rsidR="003C7783" w:rsidRPr="00BC1F55" w:rsidRDefault="003C7783" w:rsidP="00AE42D7">
      <w:pPr>
        <w:pStyle w:val="BodyText"/>
        <w:numPr>
          <w:ilvl w:val="2"/>
          <w:numId w:val="160"/>
        </w:numPr>
        <w:ind w:left="900"/>
      </w:pPr>
      <w:r w:rsidRPr="00BC1F55">
        <w:rPr>
          <w:b/>
          <w:bCs/>
        </w:rPr>
        <w:t xml:space="preserve">Specialized </w:t>
      </w:r>
      <w:r w:rsidR="00BC1F55" w:rsidRPr="00BC1F55">
        <w:rPr>
          <w:b/>
          <w:bCs/>
        </w:rPr>
        <w:t>g</w:t>
      </w:r>
      <w:r w:rsidRPr="00BC1F55">
        <w:rPr>
          <w:b/>
          <w:bCs/>
        </w:rPr>
        <w:t>roups</w:t>
      </w:r>
      <w:r w:rsidRPr="00506F36">
        <w:t xml:space="preserve"> </w:t>
      </w:r>
      <w:r w:rsidR="00BC1F55">
        <w:t>–</w:t>
      </w:r>
      <w:r w:rsidRPr="00506F36">
        <w:t xml:space="preserve"> </w:t>
      </w:r>
      <w:r w:rsidR="00BC1F55">
        <w:t>To check if a patient is part of a certain group based on a billing type or patient tag</w:t>
      </w:r>
      <w:r w:rsidRPr="00BC1F55">
        <w:t>.</w:t>
      </w:r>
    </w:p>
    <w:p w14:paraId="0DF11270" w14:textId="30A0FDEB" w:rsidR="003C7783" w:rsidRPr="00506F36" w:rsidRDefault="003C7783" w:rsidP="00AE42D7">
      <w:pPr>
        <w:pStyle w:val="BodyText"/>
        <w:numPr>
          <w:ilvl w:val="2"/>
          <w:numId w:val="160"/>
        </w:numPr>
        <w:ind w:left="900"/>
      </w:pPr>
      <w:r w:rsidRPr="00BC1F55">
        <w:rPr>
          <w:b/>
          <w:bCs/>
        </w:rPr>
        <w:t xml:space="preserve">Clinical </w:t>
      </w:r>
      <w:r w:rsidR="00BC1F55" w:rsidRPr="00BC1F55">
        <w:rPr>
          <w:b/>
          <w:bCs/>
        </w:rPr>
        <w:t>c</w:t>
      </w:r>
      <w:r w:rsidRPr="00BC1F55">
        <w:rPr>
          <w:b/>
          <w:bCs/>
        </w:rPr>
        <w:t>onditions</w:t>
      </w:r>
      <w:r w:rsidRPr="00506F36">
        <w:t xml:space="preserve"> </w:t>
      </w:r>
      <w:r w:rsidR="00BC1F55">
        <w:t>–</w:t>
      </w:r>
      <w:r w:rsidRPr="00506F36">
        <w:t xml:space="preserve"> </w:t>
      </w:r>
      <w:r w:rsidR="00BC1F55">
        <w:t>To check</w:t>
      </w:r>
      <w:r w:rsidRPr="00506F36">
        <w:t xml:space="preserve"> if a patient has </w:t>
      </w:r>
      <w:r w:rsidR="00BC1F55">
        <w:t>a</w:t>
      </w:r>
      <w:r w:rsidRPr="00506F36">
        <w:t xml:space="preserve">llergies or needs medication prior to </w:t>
      </w:r>
      <w:r w:rsidR="00BC1F55">
        <w:t xml:space="preserve">an </w:t>
      </w:r>
      <w:r w:rsidRPr="00506F36">
        <w:t>appointment.</w:t>
      </w:r>
    </w:p>
    <w:p w14:paraId="1B6FE57C" w14:textId="77777777" w:rsidR="00506F36" w:rsidRPr="00506F36" w:rsidRDefault="003C7783" w:rsidP="00506F36">
      <w:pPr>
        <w:pStyle w:val="Heading4"/>
        <w:rPr>
          <w:bCs/>
        </w:rPr>
      </w:pPr>
      <w:r w:rsidRPr="00506F36">
        <w:t xml:space="preserve">Patient </w:t>
      </w:r>
      <w:r w:rsidR="00506F36">
        <w:t>T</w:t>
      </w:r>
      <w:r w:rsidRPr="00506F36">
        <w:t>ags</w:t>
      </w:r>
    </w:p>
    <w:p w14:paraId="745D0C61" w14:textId="0B8E2AC2" w:rsidR="003C7783" w:rsidRPr="003C7783" w:rsidRDefault="00D15973" w:rsidP="00506F36">
      <w:pPr>
        <w:pStyle w:val="BodyText"/>
        <w:rPr>
          <w:b/>
          <w:bCs/>
        </w:rPr>
      </w:pPr>
      <w:r w:rsidRPr="00A20A27">
        <w:t xml:space="preserve">These </w:t>
      </w:r>
      <w:r w:rsidR="003C7783" w:rsidRPr="00A20A27">
        <w:t>are cus</w:t>
      </w:r>
      <w:r w:rsidR="003C7783" w:rsidRPr="003C7783">
        <w:t>tomizable definitions that can be assigned to patient</w:t>
      </w:r>
      <w:r w:rsidR="00AE42D7">
        <w:t>s</w:t>
      </w:r>
      <w:r w:rsidR="003C7783" w:rsidRPr="003C7783">
        <w:t xml:space="preserve">. </w:t>
      </w:r>
      <w:r w:rsidR="00B71D90">
        <w:t>Patient t</w:t>
      </w:r>
      <w:r w:rsidR="003C7783" w:rsidRPr="003C7783">
        <w:t xml:space="preserve">ags </w:t>
      </w:r>
      <w:r w:rsidR="00B71D90">
        <w:t>provide</w:t>
      </w:r>
      <w:r w:rsidR="003C7783" w:rsidRPr="003C7783">
        <w:t xml:space="preserve"> visual notification when </w:t>
      </w:r>
      <w:r w:rsidR="00B71D90">
        <w:t xml:space="preserve">you are </w:t>
      </w:r>
      <w:r w:rsidR="003C7783" w:rsidRPr="003C7783">
        <w:t xml:space="preserve">reviewing an account. Patient </w:t>
      </w:r>
      <w:r w:rsidR="00B71D90">
        <w:t>t</w:t>
      </w:r>
      <w:r w:rsidR="003C7783" w:rsidRPr="003C7783">
        <w:t>ags are reportable</w:t>
      </w:r>
      <w:r w:rsidR="00B71D90">
        <w:t xml:space="preserve"> and</w:t>
      </w:r>
      <w:r w:rsidR="003C7783" w:rsidRPr="003C7783">
        <w:t xml:space="preserve"> available as </w:t>
      </w:r>
      <w:r w:rsidR="00B71D90">
        <w:t xml:space="preserve">a </w:t>
      </w:r>
      <w:r w:rsidR="003C7783" w:rsidRPr="003C7783">
        <w:t>filter</w:t>
      </w:r>
      <w:r w:rsidR="00B71D90">
        <w:t xml:space="preserve"> for</w:t>
      </w:r>
      <w:r w:rsidR="003C7783" w:rsidRPr="003C7783">
        <w:t xml:space="preserve"> many reports and features throughout the program. </w:t>
      </w:r>
      <w:r w:rsidR="00B71D90">
        <w:t>Be aware that patient tags are not historical and</w:t>
      </w:r>
      <w:r w:rsidR="003C7783" w:rsidRPr="003C7783">
        <w:t xml:space="preserve"> </w:t>
      </w:r>
      <w:r w:rsidR="00B71D90">
        <w:t>can be removed from patient records when they are no longer relevant</w:t>
      </w:r>
      <w:r w:rsidR="003C7783" w:rsidRPr="003C7783">
        <w:t>.</w:t>
      </w:r>
    </w:p>
    <w:p w14:paraId="30B0E032" w14:textId="2C651D33" w:rsidR="003C7783" w:rsidRPr="003C7783" w:rsidRDefault="00395C6B" w:rsidP="00D42C5A">
      <w:pPr>
        <w:pStyle w:val="Heading3"/>
      </w:pPr>
      <w:bookmarkStart w:id="147" w:name="_Toc135416707"/>
      <w:bookmarkStart w:id="148" w:name="_Toc146183308"/>
      <w:r>
        <w:t>Document Storage</w:t>
      </w:r>
      <w:bookmarkEnd w:id="147"/>
      <w:bookmarkEnd w:id="148"/>
    </w:p>
    <w:p w14:paraId="0C95BADB" w14:textId="58BC14A6" w:rsidR="003C7783" w:rsidRPr="003C7783" w:rsidRDefault="003C7783" w:rsidP="00D15973">
      <w:pPr>
        <w:pStyle w:val="BodyText"/>
        <w:rPr>
          <w:b/>
          <w:bCs/>
        </w:rPr>
      </w:pPr>
      <w:r w:rsidRPr="003C7783">
        <w:t xml:space="preserve">Document Center is a place to organize and store documents </w:t>
      </w:r>
      <w:r w:rsidR="00B71D90">
        <w:t xml:space="preserve">that have been </w:t>
      </w:r>
      <w:r w:rsidRPr="003C7783">
        <w:t>scanned or imported into Dentrix Enterprise.</w:t>
      </w:r>
      <w:r w:rsidR="00B71D90">
        <w:t xml:space="preserve"> </w:t>
      </w:r>
      <w:r w:rsidRPr="003C7783">
        <w:t xml:space="preserve">These items </w:t>
      </w:r>
      <w:r w:rsidR="00B71D90">
        <w:t>can be associated with</w:t>
      </w:r>
      <w:r w:rsidRPr="003C7783">
        <w:t xml:space="preserve"> patient</w:t>
      </w:r>
      <w:r w:rsidR="00B71D90">
        <w:t>s,</w:t>
      </w:r>
      <w:r w:rsidRPr="003C7783">
        <w:t xml:space="preserve"> are easily accessed from all patient</w:t>
      </w:r>
      <w:r w:rsidR="00B71D90">
        <w:t>-</w:t>
      </w:r>
      <w:r w:rsidRPr="003C7783">
        <w:t>specific modules</w:t>
      </w:r>
      <w:r w:rsidR="00B71D90">
        <w:t>,</w:t>
      </w:r>
      <w:r w:rsidRPr="003C7783">
        <w:t xml:space="preserve"> and are used for quick reference.</w:t>
      </w:r>
    </w:p>
    <w:p w14:paraId="672E0B1E" w14:textId="77777777" w:rsidR="003C7783" w:rsidRPr="003C7783" w:rsidRDefault="003C7783" w:rsidP="00A37B2A">
      <w:pPr>
        <w:pStyle w:val="BodyText"/>
      </w:pPr>
      <w:r w:rsidRPr="00A37B2A">
        <w:rPr>
          <w:color w:val="00B050"/>
        </w:rPr>
        <w:t>&lt;&lt;Insert Document Storage decision support/SOP/Guidance here&gt;&gt;</w:t>
      </w:r>
    </w:p>
    <w:p w14:paraId="47A23831" w14:textId="77777777" w:rsidR="00D15973" w:rsidRDefault="003C7783" w:rsidP="00D15973">
      <w:pPr>
        <w:pStyle w:val="Heading4"/>
        <w:rPr>
          <w:bCs/>
          <w:lang w:val="en"/>
        </w:rPr>
      </w:pPr>
      <w:r w:rsidRPr="003C7783">
        <w:rPr>
          <w:bCs/>
          <w:lang w:val="en"/>
        </w:rPr>
        <w:t>Document Center</w:t>
      </w:r>
    </w:p>
    <w:p w14:paraId="6C6D7A80" w14:textId="7D44F640" w:rsidR="003C7783" w:rsidRPr="00A20A27" w:rsidRDefault="00DC277F" w:rsidP="00D15973">
      <w:pPr>
        <w:pStyle w:val="BodyText"/>
        <w:rPr>
          <w:lang w:val="en"/>
        </w:rPr>
      </w:pPr>
      <w:r>
        <w:rPr>
          <w:lang w:val="en"/>
        </w:rPr>
        <w:t>Refer to the following p</w:t>
      </w:r>
      <w:r w:rsidR="003C7783" w:rsidRPr="00A20A27">
        <w:rPr>
          <w:lang w:val="en"/>
        </w:rPr>
        <w:t>rocess</w:t>
      </w:r>
      <w:r w:rsidR="00F82A39">
        <w:rPr>
          <w:lang w:val="en"/>
        </w:rPr>
        <w:t>es</w:t>
      </w:r>
      <w:r w:rsidR="003C7783" w:rsidRPr="00A20A27">
        <w:rPr>
          <w:lang w:val="en"/>
        </w:rPr>
        <w:t xml:space="preserve"> </w:t>
      </w:r>
      <w:r w:rsidR="00F82A39">
        <w:rPr>
          <w:lang w:val="en"/>
        </w:rPr>
        <w:t>for</w:t>
      </w:r>
      <w:r w:rsidR="003C7783" w:rsidRPr="00A20A27">
        <w:rPr>
          <w:lang w:val="en"/>
        </w:rPr>
        <w:t xml:space="preserve"> documents</w:t>
      </w:r>
      <w:r w:rsidR="00F82A39">
        <w:rPr>
          <w:lang w:val="en"/>
        </w:rPr>
        <w:t>:</w:t>
      </w:r>
    </w:p>
    <w:p w14:paraId="3F018353" w14:textId="3ECACB46" w:rsidR="003C7783" w:rsidRPr="00A20A27" w:rsidRDefault="003C7783">
      <w:pPr>
        <w:pStyle w:val="BodyText"/>
        <w:numPr>
          <w:ilvl w:val="0"/>
          <w:numId w:val="44"/>
        </w:numPr>
        <w:ind w:left="540"/>
        <w:rPr>
          <w:lang w:val="en"/>
        </w:rPr>
      </w:pPr>
      <w:r w:rsidRPr="00F82A39">
        <w:rPr>
          <w:b/>
          <w:bCs/>
          <w:lang w:val="en"/>
        </w:rPr>
        <w:t>Acquir</w:t>
      </w:r>
      <w:r w:rsidR="00F82A39" w:rsidRPr="00F82A39">
        <w:rPr>
          <w:b/>
          <w:bCs/>
          <w:lang w:val="en"/>
        </w:rPr>
        <w:t>ing</w:t>
      </w:r>
      <w:r w:rsidR="00BF5438" w:rsidRPr="00A20A27">
        <w:rPr>
          <w:lang w:val="en"/>
        </w:rPr>
        <w:t>:</w:t>
      </w:r>
    </w:p>
    <w:p w14:paraId="3817E6B0" w14:textId="27B9042A" w:rsidR="003C7783" w:rsidRPr="00A20A27" w:rsidRDefault="003C7783">
      <w:pPr>
        <w:pStyle w:val="BodyText"/>
        <w:numPr>
          <w:ilvl w:val="0"/>
          <w:numId w:val="43"/>
        </w:numPr>
        <w:ind w:left="1080"/>
      </w:pPr>
      <w:r w:rsidRPr="00F82A39">
        <w:rPr>
          <w:b/>
          <w:bCs/>
        </w:rPr>
        <w:t>Scan</w:t>
      </w:r>
      <w:r w:rsidR="00F82A39" w:rsidRPr="00F82A39">
        <w:rPr>
          <w:b/>
          <w:bCs/>
        </w:rPr>
        <w:t xml:space="preserve"> or a</w:t>
      </w:r>
      <w:r w:rsidRPr="00F82A39">
        <w:rPr>
          <w:b/>
          <w:bCs/>
        </w:rPr>
        <w:t xml:space="preserve">cquire from a </w:t>
      </w:r>
      <w:r w:rsidR="00F82A39" w:rsidRPr="00F82A39">
        <w:rPr>
          <w:b/>
          <w:bCs/>
        </w:rPr>
        <w:t>d</w:t>
      </w:r>
      <w:r w:rsidRPr="00F82A39">
        <w:rPr>
          <w:b/>
          <w:bCs/>
        </w:rPr>
        <w:t>evice</w:t>
      </w:r>
      <w:r w:rsidRPr="00A20A27">
        <w:t xml:space="preserve"> </w:t>
      </w:r>
      <w:r w:rsidR="00F82A39">
        <w:t>– You</w:t>
      </w:r>
      <w:r w:rsidRPr="00A20A27">
        <w:t xml:space="preserve"> can add </w:t>
      </w:r>
      <w:r w:rsidR="00F82A39" w:rsidRPr="00A20A27">
        <w:t>hard copy (paper) documents</w:t>
      </w:r>
      <w:r w:rsidRPr="00A20A27">
        <w:t xml:space="preserve"> </w:t>
      </w:r>
      <w:r w:rsidR="00DC277F">
        <w:t>in</w:t>
      </w:r>
      <w:r w:rsidRPr="00A20A27">
        <w:t xml:space="preserve">to Document </w:t>
      </w:r>
      <w:proofErr w:type="gramStart"/>
      <w:r w:rsidRPr="00A20A27">
        <w:t>Center is</w:t>
      </w:r>
      <w:proofErr w:type="gramEnd"/>
      <w:r w:rsidRPr="00A20A27">
        <w:t xml:space="preserve"> by capturing them with a WIA- or TWAIN-compliant scanner, camera, or other device. You can scan documents directly into each entity's Document Center, or you can scan </w:t>
      </w:r>
      <w:proofErr w:type="gramStart"/>
      <w:r w:rsidRPr="00A20A27">
        <w:t>documents in</w:t>
      </w:r>
      <w:proofErr w:type="gramEnd"/>
      <w:r w:rsidRPr="00A20A27">
        <w:t xml:space="preserve"> as unfiled documents and then attach them to the correct entities later.</w:t>
      </w:r>
    </w:p>
    <w:p w14:paraId="07F9B81F" w14:textId="1B416013" w:rsidR="003C7783" w:rsidRPr="00DC277F" w:rsidRDefault="003C7783" w:rsidP="00B3072B">
      <w:pPr>
        <w:pStyle w:val="BodyText"/>
        <w:ind w:left="1080"/>
        <w:rPr>
          <w:i/>
          <w:iCs/>
        </w:rPr>
      </w:pPr>
      <w:r w:rsidRPr="00DC277F">
        <w:rPr>
          <w:b/>
          <w:bCs/>
          <w:i/>
          <w:iCs/>
        </w:rPr>
        <w:t>Workflow Insight</w:t>
      </w:r>
      <w:r w:rsidRPr="00DC277F">
        <w:rPr>
          <w:i/>
          <w:iCs/>
        </w:rPr>
        <w:t xml:space="preserve">: </w:t>
      </w:r>
      <w:r w:rsidR="00F82A39" w:rsidRPr="00DC277F">
        <w:rPr>
          <w:i/>
          <w:iCs/>
        </w:rPr>
        <w:t>Set</w:t>
      </w:r>
      <w:r w:rsidRPr="00DC277F">
        <w:rPr>
          <w:i/>
          <w:iCs/>
        </w:rPr>
        <w:t xml:space="preserve"> up Document Type Templates</w:t>
      </w:r>
      <w:r w:rsidR="00F82A39" w:rsidRPr="00DC277F">
        <w:rPr>
          <w:i/>
          <w:iCs/>
        </w:rPr>
        <w:t xml:space="preserve"> to standardize </w:t>
      </w:r>
      <w:r w:rsidRPr="00DC277F">
        <w:rPr>
          <w:i/>
          <w:iCs/>
        </w:rPr>
        <w:t xml:space="preserve">Document Center </w:t>
      </w:r>
      <w:r w:rsidR="00F82A39" w:rsidRPr="00DC277F">
        <w:rPr>
          <w:i/>
          <w:iCs/>
        </w:rPr>
        <w:t xml:space="preserve">and </w:t>
      </w:r>
      <w:r w:rsidR="00DC277F" w:rsidRPr="00DC277F">
        <w:rPr>
          <w:i/>
          <w:iCs/>
        </w:rPr>
        <w:t xml:space="preserve">for quicker and easier </w:t>
      </w:r>
      <w:r w:rsidRPr="00DC277F">
        <w:rPr>
          <w:i/>
          <w:iCs/>
        </w:rPr>
        <w:t>acquisition</w:t>
      </w:r>
      <w:r w:rsidR="00DC277F" w:rsidRPr="00DC277F">
        <w:rPr>
          <w:i/>
          <w:iCs/>
        </w:rPr>
        <w:t>s</w:t>
      </w:r>
      <w:r w:rsidRPr="00DC277F">
        <w:rPr>
          <w:i/>
          <w:iCs/>
        </w:rPr>
        <w:t xml:space="preserve">.  </w:t>
      </w:r>
    </w:p>
    <w:p w14:paraId="121929FF" w14:textId="4E7AC8F1" w:rsidR="003C7783" w:rsidRPr="00A20A27" w:rsidRDefault="003C7783" w:rsidP="00776AB8">
      <w:pPr>
        <w:pStyle w:val="BodyText"/>
        <w:keepNext/>
        <w:keepLines/>
        <w:numPr>
          <w:ilvl w:val="0"/>
          <w:numId w:val="43"/>
        </w:numPr>
        <w:ind w:left="1080"/>
      </w:pPr>
      <w:r w:rsidRPr="00F82A39">
        <w:rPr>
          <w:b/>
          <w:bCs/>
        </w:rPr>
        <w:lastRenderedPageBreak/>
        <w:t>Import</w:t>
      </w:r>
      <w:r w:rsidRPr="00A20A27">
        <w:t xml:space="preserve"> </w:t>
      </w:r>
      <w:r w:rsidR="00F82A39">
        <w:t>–</w:t>
      </w:r>
      <w:r w:rsidRPr="00A20A27">
        <w:t xml:space="preserve"> </w:t>
      </w:r>
      <w:r w:rsidR="00DC277F">
        <w:t>You can add documents</w:t>
      </w:r>
      <w:r w:rsidRPr="00A20A27">
        <w:t xml:space="preserve"> that were received electronically </w:t>
      </w:r>
      <w:r w:rsidR="00DC277F">
        <w:t xml:space="preserve">into Document Center </w:t>
      </w:r>
      <w:r w:rsidRPr="00A20A27">
        <w:t xml:space="preserve">by importing </w:t>
      </w:r>
      <w:r w:rsidR="00DC277F">
        <w:t xml:space="preserve">the </w:t>
      </w:r>
      <w:r w:rsidRPr="00A20A27">
        <w:t>electronic files from your computer, your office's network, or a removable storage device—even if the files did not originate from Dentrix Enterprise. When you import from a file, Document Center creates a single-page document. To acquire a multi-page document, you must acquire the first page and then add a page.</w:t>
      </w:r>
    </w:p>
    <w:p w14:paraId="6A6CDFF8" w14:textId="1626C76F" w:rsidR="003C7783" w:rsidRPr="00A20A27" w:rsidRDefault="003C7783">
      <w:pPr>
        <w:pStyle w:val="BodyText"/>
        <w:numPr>
          <w:ilvl w:val="0"/>
          <w:numId w:val="43"/>
        </w:numPr>
        <w:ind w:left="1080"/>
      </w:pPr>
      <w:r w:rsidRPr="00F82A39">
        <w:rPr>
          <w:b/>
          <w:bCs/>
        </w:rPr>
        <w:t>Send to Document Center</w:t>
      </w:r>
      <w:r w:rsidRPr="00A20A27">
        <w:t xml:space="preserve"> (</w:t>
      </w:r>
      <w:r w:rsidR="00F82A39">
        <w:t>v</w:t>
      </w:r>
      <w:r w:rsidRPr="00A20A27">
        <w:t xml:space="preserve">irtual </w:t>
      </w:r>
      <w:r w:rsidR="00F82A39">
        <w:t>p</w:t>
      </w:r>
      <w:r w:rsidRPr="00A20A27">
        <w:t>rinter</w:t>
      </w:r>
      <w:r w:rsidR="00F82A39">
        <w:t xml:space="preserve"> driver</w:t>
      </w:r>
      <w:r w:rsidRPr="00A20A27">
        <w:t xml:space="preserve">) </w:t>
      </w:r>
      <w:r w:rsidR="00F82A39">
        <w:t>–</w:t>
      </w:r>
      <w:r w:rsidRPr="00A20A27">
        <w:t xml:space="preserve"> Dentrix Enterprise has a printer driver that allows you to save a copy of a document from any program that allows printing, such as a word processing program or a Web browser. The document will be saved as a .pdf file in Document Center. You can use this tool even without any Dentrix Enterprise modules open.  </w:t>
      </w:r>
      <w:r w:rsidR="00F82A39">
        <w:t>The</w:t>
      </w:r>
      <w:r w:rsidRPr="00A20A27">
        <w:t xml:space="preserve"> "Acquire Documents" </w:t>
      </w:r>
      <w:r w:rsidR="00F82A39">
        <w:t xml:space="preserve">security right is required </w:t>
      </w:r>
      <w:r w:rsidRPr="00A20A27">
        <w:t xml:space="preserve">to use the Document Center printer driver.  </w:t>
      </w:r>
    </w:p>
    <w:p w14:paraId="6DD9201B" w14:textId="28E2FB7B" w:rsidR="003C7783" w:rsidRPr="00A20A27" w:rsidRDefault="00F82A39">
      <w:pPr>
        <w:pStyle w:val="BodyText"/>
        <w:numPr>
          <w:ilvl w:val="0"/>
          <w:numId w:val="43"/>
        </w:numPr>
        <w:ind w:left="540"/>
        <w:rPr>
          <w:lang w:val="en"/>
        </w:rPr>
      </w:pPr>
      <w:r w:rsidRPr="00F82A39">
        <w:rPr>
          <w:b/>
          <w:bCs/>
          <w:lang w:val="en"/>
        </w:rPr>
        <w:t>A</w:t>
      </w:r>
      <w:r w:rsidR="003C7783" w:rsidRPr="00F82A39">
        <w:rPr>
          <w:b/>
          <w:bCs/>
          <w:lang w:val="en"/>
        </w:rPr>
        <w:t>ccess</w:t>
      </w:r>
      <w:r w:rsidRPr="00F82A39">
        <w:rPr>
          <w:b/>
          <w:bCs/>
          <w:lang w:val="en"/>
        </w:rPr>
        <w:t>ing</w:t>
      </w:r>
      <w:r w:rsidR="00BF5438" w:rsidRPr="00A20A27">
        <w:rPr>
          <w:lang w:val="en"/>
        </w:rPr>
        <w:t>:</w:t>
      </w:r>
    </w:p>
    <w:p w14:paraId="3DB1A50B" w14:textId="574A4811" w:rsidR="003C7783" w:rsidRPr="00A20A27" w:rsidRDefault="003C7783">
      <w:pPr>
        <w:pStyle w:val="BodyText"/>
        <w:numPr>
          <w:ilvl w:val="0"/>
          <w:numId w:val="43"/>
        </w:numPr>
        <w:ind w:left="1080"/>
        <w:rPr>
          <w:iCs/>
          <w:lang w:val="en"/>
        </w:rPr>
      </w:pPr>
      <w:r w:rsidRPr="00A20A27">
        <w:rPr>
          <w:iCs/>
          <w:lang w:val="en"/>
        </w:rPr>
        <w:t xml:space="preserve">The Document Center </w:t>
      </w:r>
      <w:r w:rsidR="00DC277F">
        <w:rPr>
          <w:iCs/>
          <w:lang w:val="en"/>
        </w:rPr>
        <w:t xml:space="preserve">toolbar button </w:t>
      </w:r>
      <w:r w:rsidRPr="00A20A27">
        <w:rPr>
          <w:iCs/>
          <w:lang w:val="en"/>
        </w:rPr>
        <w:t xml:space="preserve">changes </w:t>
      </w:r>
      <w:r w:rsidR="00DC277F">
        <w:rPr>
          <w:iCs/>
          <w:lang w:val="en"/>
        </w:rPr>
        <w:t>if</w:t>
      </w:r>
      <w:r w:rsidRPr="00A20A27">
        <w:rPr>
          <w:iCs/>
          <w:lang w:val="en"/>
        </w:rPr>
        <w:t xml:space="preserve"> documents are available. </w:t>
      </w:r>
      <w:r w:rsidR="00DC277F">
        <w:rPr>
          <w:iCs/>
          <w:lang w:val="en"/>
        </w:rPr>
        <w:t>You can a</w:t>
      </w:r>
      <w:r w:rsidRPr="00A20A27">
        <w:rPr>
          <w:iCs/>
          <w:lang w:val="en"/>
        </w:rPr>
        <w:t>ccess</w:t>
      </w:r>
      <w:r w:rsidR="00DC277F">
        <w:rPr>
          <w:iCs/>
          <w:lang w:val="en"/>
        </w:rPr>
        <w:t xml:space="preserve"> Document Center</w:t>
      </w:r>
      <w:r w:rsidRPr="00A20A27">
        <w:rPr>
          <w:iCs/>
          <w:lang w:val="en"/>
        </w:rPr>
        <w:t xml:space="preserve"> from all patient</w:t>
      </w:r>
      <w:r w:rsidR="00DC277F">
        <w:rPr>
          <w:iCs/>
          <w:lang w:val="en"/>
        </w:rPr>
        <w:t>-</w:t>
      </w:r>
      <w:r w:rsidRPr="00A20A27">
        <w:rPr>
          <w:iCs/>
          <w:lang w:val="en"/>
        </w:rPr>
        <w:t xml:space="preserve">specific modules.  </w:t>
      </w:r>
    </w:p>
    <w:p w14:paraId="63156CF0" w14:textId="62D54ACC" w:rsidR="003C7783" w:rsidRPr="00A20A27" w:rsidRDefault="00DC277F">
      <w:pPr>
        <w:pStyle w:val="BodyText"/>
        <w:numPr>
          <w:ilvl w:val="0"/>
          <w:numId w:val="43"/>
        </w:numPr>
        <w:ind w:left="1080"/>
      </w:pPr>
      <w:r>
        <w:t>T</w:t>
      </w:r>
      <w:r w:rsidR="003C7783" w:rsidRPr="00A20A27">
        <w:t xml:space="preserve">he document tree displays saved items by folder types </w:t>
      </w:r>
      <w:r>
        <w:t xml:space="preserve">and </w:t>
      </w:r>
      <w:r w:rsidR="003C7783" w:rsidRPr="00A20A27">
        <w:t>then by date. Each description is preset for standardization and ease of use.</w:t>
      </w:r>
    </w:p>
    <w:p w14:paraId="48011A24" w14:textId="1F6ECAC4" w:rsidR="003C7783" w:rsidRPr="00A20A27" w:rsidRDefault="00DC277F">
      <w:pPr>
        <w:pStyle w:val="BodyText"/>
        <w:numPr>
          <w:ilvl w:val="0"/>
          <w:numId w:val="43"/>
        </w:numPr>
        <w:ind w:left="1080"/>
      </w:pPr>
      <w:r>
        <w:t>You can e</w:t>
      </w:r>
      <w:r w:rsidR="003C7783" w:rsidRPr="00A20A27">
        <w:t xml:space="preserve">asily search through </w:t>
      </w:r>
      <w:r>
        <w:t>documents by</w:t>
      </w:r>
      <w:r w:rsidR="003C7783" w:rsidRPr="00A20A27">
        <w:t xml:space="preserve"> using different views</w:t>
      </w:r>
      <w:r>
        <w:t xml:space="preserve"> (</w:t>
      </w:r>
      <w:r w:rsidR="003C7783" w:rsidRPr="00A20A27">
        <w:t xml:space="preserve">such as </w:t>
      </w:r>
      <w:r>
        <w:t>f</w:t>
      </w:r>
      <w:r w:rsidR="003C7783" w:rsidRPr="00A20A27">
        <w:t>amily</w:t>
      </w:r>
      <w:r>
        <w:t xml:space="preserve"> or s</w:t>
      </w:r>
      <w:r w:rsidR="003C7783" w:rsidRPr="00A20A27">
        <w:t>taff</w:t>
      </w:r>
      <w:r>
        <w:t xml:space="preserve">) and </w:t>
      </w:r>
      <w:r w:rsidR="003C7783" w:rsidRPr="00A20A27">
        <w:t xml:space="preserve">filters </w:t>
      </w:r>
      <w:r>
        <w:t>(</w:t>
      </w:r>
      <w:r w:rsidR="003C7783" w:rsidRPr="00A20A27">
        <w:t>such as document type</w:t>
      </w:r>
      <w:r>
        <w:t>)</w:t>
      </w:r>
      <w:r w:rsidR="003C7783" w:rsidRPr="00A20A27">
        <w:t>.</w:t>
      </w:r>
    </w:p>
    <w:p w14:paraId="6D54A095" w14:textId="30818D4B" w:rsidR="003C7783" w:rsidRPr="00A20A27" w:rsidRDefault="00F82A39">
      <w:pPr>
        <w:pStyle w:val="BodyText"/>
        <w:numPr>
          <w:ilvl w:val="0"/>
          <w:numId w:val="43"/>
        </w:numPr>
        <w:ind w:left="540"/>
      </w:pPr>
      <w:r w:rsidRPr="00F82A39">
        <w:rPr>
          <w:b/>
          <w:bCs/>
        </w:rPr>
        <w:t>Modifying</w:t>
      </w:r>
      <w:r w:rsidR="00BF5438" w:rsidRPr="00A20A27">
        <w:t>:</w:t>
      </w:r>
    </w:p>
    <w:p w14:paraId="62A1553C" w14:textId="4CC88301" w:rsidR="003C7783" w:rsidRPr="00A20A27" w:rsidRDefault="003C7783">
      <w:pPr>
        <w:pStyle w:val="BodyText"/>
        <w:numPr>
          <w:ilvl w:val="0"/>
          <w:numId w:val="43"/>
        </w:numPr>
        <w:ind w:left="1080"/>
      </w:pPr>
      <w:r w:rsidRPr="00DC277F">
        <w:rPr>
          <w:b/>
          <w:bCs/>
        </w:rPr>
        <w:t>Attachments</w:t>
      </w:r>
      <w:r w:rsidRPr="00A20A27">
        <w:t xml:space="preserve"> </w:t>
      </w:r>
      <w:r w:rsidR="00DC277F">
        <w:t>–</w:t>
      </w:r>
      <w:r w:rsidRPr="00A20A27">
        <w:t xml:space="preserve"> You can modify attachment associations for a specific document. Each document can be associated with a patient, provider/staff, employer, dental insurance plan, medical insurance plan, inbound referral, and/or outbound referral. Also, you can assign additional entities to a signed document. </w:t>
      </w:r>
    </w:p>
    <w:p w14:paraId="624FC838" w14:textId="6068C8D0" w:rsidR="003C7783" w:rsidRPr="00A20A27" w:rsidRDefault="003C7783">
      <w:pPr>
        <w:pStyle w:val="BodyText"/>
        <w:numPr>
          <w:ilvl w:val="0"/>
          <w:numId w:val="43"/>
        </w:numPr>
        <w:ind w:left="1080"/>
      </w:pPr>
      <w:r w:rsidRPr="00DC277F">
        <w:rPr>
          <w:b/>
          <w:bCs/>
        </w:rPr>
        <w:t>Signatures</w:t>
      </w:r>
      <w:r w:rsidRPr="00A20A27">
        <w:t xml:space="preserve"> – To prevent the changing or deleting of a document in Document Center, you can lock it with a signature. A signatures can be applied only to a document that is attached to patients, providers, and/or staff members. A signature for each patient, provider, or staff member who is attached to the document is allowed. Once a document has been signed, the document information cannot be changed, but you can attach the document to additional </w:t>
      </w:r>
      <w:r w:rsidR="00DC277F">
        <w:t>entities</w:t>
      </w:r>
      <w:r w:rsidRPr="00A20A27">
        <w:t>.</w:t>
      </w:r>
    </w:p>
    <w:p w14:paraId="29C0FBFD" w14:textId="2EECBA71" w:rsidR="003C7783" w:rsidRDefault="003C7783" w:rsidP="00A20A27">
      <w:pPr>
        <w:pStyle w:val="Heading4"/>
      </w:pPr>
      <w:r w:rsidRPr="00A20A27">
        <w:t>External Documents</w:t>
      </w:r>
    </w:p>
    <w:p w14:paraId="4AB94396" w14:textId="1D425ECC" w:rsidR="00DC277F" w:rsidRPr="00DC277F" w:rsidRDefault="00DC277F" w:rsidP="00DC277F">
      <w:pPr>
        <w:pStyle w:val="BodyText"/>
      </w:pPr>
      <w:r>
        <w:t>Refer to the following details for external documents:</w:t>
      </w:r>
    </w:p>
    <w:p w14:paraId="6B8FE51C" w14:textId="32CA9A81" w:rsidR="003C7783" w:rsidRPr="00A20A27" w:rsidRDefault="003C7783">
      <w:pPr>
        <w:pStyle w:val="BodyText"/>
        <w:numPr>
          <w:ilvl w:val="0"/>
          <w:numId w:val="45"/>
        </w:numPr>
        <w:ind w:left="540"/>
      </w:pPr>
      <w:r w:rsidRPr="00C94FAB">
        <w:rPr>
          <w:b/>
          <w:bCs/>
        </w:rPr>
        <w:t>Mode</w:t>
      </w:r>
      <w:r w:rsidR="00BF5438" w:rsidRPr="00A20A27">
        <w:t>:</w:t>
      </w:r>
    </w:p>
    <w:p w14:paraId="0A5558F6" w14:textId="084F2E67" w:rsidR="003C7783" w:rsidRPr="00A20A27" w:rsidRDefault="003C7783">
      <w:pPr>
        <w:pStyle w:val="BodyText"/>
        <w:numPr>
          <w:ilvl w:val="0"/>
          <w:numId w:val="45"/>
        </w:numPr>
        <w:ind w:left="1080"/>
      </w:pPr>
      <w:r w:rsidRPr="00174999">
        <w:rPr>
          <w:b/>
          <w:bCs/>
        </w:rPr>
        <w:t>Paper</w:t>
      </w:r>
      <w:r w:rsidRPr="00A20A27">
        <w:t xml:space="preserve"> </w:t>
      </w:r>
      <w:r w:rsidR="00C94FAB">
        <w:t>–</w:t>
      </w:r>
      <w:r w:rsidRPr="00A20A27">
        <w:t xml:space="preserve"> If records are maintained outside of the system in a paper chart or other hard copy method, access within Dentrix Enterprise is limited. Consider scanning the hard copies into the system or using </w:t>
      </w:r>
      <w:r w:rsidR="00C94FAB">
        <w:t>p</w:t>
      </w:r>
      <w:r w:rsidRPr="00A20A27">
        <w:t xml:space="preserve">atient </w:t>
      </w:r>
      <w:r w:rsidR="00C94FAB">
        <w:t>t</w:t>
      </w:r>
      <w:r w:rsidRPr="00A20A27">
        <w:t>ags to provide the ability to reference the documents or their location</w:t>
      </w:r>
      <w:r w:rsidR="00C94FAB">
        <w:t>s</w:t>
      </w:r>
      <w:r w:rsidRPr="00A20A27">
        <w:t xml:space="preserve">.  </w:t>
      </w:r>
    </w:p>
    <w:p w14:paraId="07429D87" w14:textId="567E6B39" w:rsidR="003C7783" w:rsidRPr="00A20A27" w:rsidRDefault="003C7783">
      <w:pPr>
        <w:pStyle w:val="BodyText"/>
        <w:numPr>
          <w:ilvl w:val="0"/>
          <w:numId w:val="45"/>
        </w:numPr>
        <w:ind w:left="1080"/>
      </w:pPr>
      <w:r w:rsidRPr="00174999">
        <w:rPr>
          <w:b/>
          <w:bCs/>
        </w:rPr>
        <w:t xml:space="preserve">Medical </w:t>
      </w:r>
      <w:r w:rsidR="00C94FAB" w:rsidRPr="00174999">
        <w:rPr>
          <w:b/>
          <w:bCs/>
        </w:rPr>
        <w:t>s</w:t>
      </w:r>
      <w:r w:rsidRPr="00174999">
        <w:rPr>
          <w:b/>
          <w:bCs/>
        </w:rPr>
        <w:t>ystem</w:t>
      </w:r>
      <w:r w:rsidRPr="00A20A27">
        <w:t xml:space="preserve"> </w:t>
      </w:r>
      <w:r w:rsidR="00C94FAB">
        <w:t>–</w:t>
      </w:r>
      <w:r w:rsidRPr="00A20A27">
        <w:t xml:space="preserve"> When using an interface</w:t>
      </w:r>
      <w:r w:rsidR="00C94FAB">
        <w:t>,</w:t>
      </w:r>
      <w:r w:rsidRPr="00A20A27">
        <w:t xml:space="preserve"> such as HL7</w:t>
      </w:r>
      <w:r w:rsidR="00C94FAB">
        <w:t>,</w:t>
      </w:r>
      <w:r w:rsidRPr="00A20A27">
        <w:t xml:space="preserve"> with your medical software, records are often shared between the two systems. Identify which records will be referenced chairside (</w:t>
      </w:r>
      <w:r w:rsidR="00C94FAB">
        <w:t xml:space="preserve">or as </w:t>
      </w:r>
      <w:r w:rsidRPr="00A20A27">
        <w:t xml:space="preserve">part of </w:t>
      </w:r>
      <w:r w:rsidR="00C94FAB">
        <w:t>a</w:t>
      </w:r>
      <w:r w:rsidRPr="00A20A27">
        <w:t xml:space="preserve"> </w:t>
      </w:r>
      <w:r w:rsidR="00C94FAB">
        <w:t xml:space="preserve">dental </w:t>
      </w:r>
      <w:r w:rsidRPr="00A20A27">
        <w:t>visit)</w:t>
      </w:r>
      <w:r w:rsidR="00C94FAB">
        <w:t>,</w:t>
      </w:r>
      <w:r w:rsidRPr="00A20A27">
        <w:t xml:space="preserve"> and determine if they should be scanned into </w:t>
      </w:r>
      <w:r w:rsidR="00C94FAB">
        <w:t>the d</w:t>
      </w:r>
      <w:r w:rsidRPr="00A20A27">
        <w:t>ental</w:t>
      </w:r>
      <w:r w:rsidR="00C94FAB">
        <w:t xml:space="preserve"> and/or</w:t>
      </w:r>
      <w:r w:rsidRPr="00A20A27">
        <w:t xml:space="preserve"> </w:t>
      </w:r>
      <w:r w:rsidR="00C94FAB">
        <w:t>m</w:t>
      </w:r>
      <w:r w:rsidRPr="00A20A27">
        <w:t xml:space="preserve">edical system to support your workflows. </w:t>
      </w:r>
    </w:p>
    <w:p w14:paraId="21A1F473" w14:textId="687FABA1" w:rsidR="003C7783" w:rsidRPr="00A20A27" w:rsidRDefault="003C7783" w:rsidP="00776AB8">
      <w:pPr>
        <w:pStyle w:val="BodyText"/>
        <w:keepNext/>
        <w:keepLines/>
        <w:numPr>
          <w:ilvl w:val="0"/>
          <w:numId w:val="45"/>
        </w:numPr>
        <w:ind w:left="1080"/>
      </w:pPr>
      <w:r w:rsidRPr="00174999">
        <w:rPr>
          <w:b/>
          <w:bCs/>
        </w:rPr>
        <w:lastRenderedPageBreak/>
        <w:t xml:space="preserve">Centralized </w:t>
      </w:r>
      <w:r w:rsidR="00C94FAB" w:rsidRPr="00174999">
        <w:rPr>
          <w:b/>
          <w:bCs/>
        </w:rPr>
        <w:t>r</w:t>
      </w:r>
      <w:r w:rsidRPr="00174999">
        <w:rPr>
          <w:b/>
          <w:bCs/>
        </w:rPr>
        <w:t xml:space="preserve">ecords </w:t>
      </w:r>
      <w:r w:rsidR="00C94FAB" w:rsidRPr="00174999">
        <w:rPr>
          <w:b/>
          <w:bCs/>
        </w:rPr>
        <w:t>m</w:t>
      </w:r>
      <w:r w:rsidRPr="00174999">
        <w:rPr>
          <w:b/>
          <w:bCs/>
        </w:rPr>
        <w:t>anager</w:t>
      </w:r>
      <w:r w:rsidR="00C94FAB" w:rsidRPr="00174999">
        <w:rPr>
          <w:b/>
          <w:bCs/>
        </w:rPr>
        <w:t>s</w:t>
      </w:r>
      <w:r w:rsidRPr="00A20A27">
        <w:t xml:space="preserve"> </w:t>
      </w:r>
      <w:r w:rsidR="00C94FAB">
        <w:t>–</w:t>
      </w:r>
      <w:r w:rsidRPr="00A20A27">
        <w:t xml:space="preserve"> If records need to be requested prior to patient care, you can run a daily appointment list to provide as the list of records </w:t>
      </w:r>
      <w:r w:rsidR="00C94FAB">
        <w:t xml:space="preserve">that have been </w:t>
      </w:r>
      <w:r w:rsidRPr="00A20A27">
        <w:t>requested from a central records manager</w:t>
      </w:r>
      <w:r w:rsidR="00C94FAB">
        <w:t xml:space="preserve"> or </w:t>
      </w:r>
      <w:r w:rsidRPr="00A20A27">
        <w:t xml:space="preserve">office. </w:t>
      </w:r>
      <w:r w:rsidR="00C94FAB">
        <w:t>T</w:t>
      </w:r>
      <w:r w:rsidR="00C94FAB" w:rsidRPr="00A20A27">
        <w:t xml:space="preserve">o identify a </w:t>
      </w:r>
      <w:proofErr w:type="gramStart"/>
      <w:r w:rsidR="00C94FAB" w:rsidRPr="00A20A27">
        <w:t>record</w:t>
      </w:r>
      <w:proofErr w:type="gramEnd"/>
      <w:r w:rsidR="00C94FAB" w:rsidRPr="00A20A27">
        <w:t xml:space="preserve"> has already been provided</w:t>
      </w:r>
      <w:r w:rsidRPr="00A20A27">
        <w:t xml:space="preserve">, you can select the </w:t>
      </w:r>
      <w:r w:rsidR="00C94FAB" w:rsidRPr="00C94FAB">
        <w:rPr>
          <w:b/>
          <w:bCs/>
        </w:rPr>
        <w:t>C</w:t>
      </w:r>
      <w:r w:rsidRPr="00C94FAB">
        <w:rPr>
          <w:b/>
          <w:bCs/>
        </w:rPr>
        <w:t xml:space="preserve">hart </w:t>
      </w:r>
      <w:r w:rsidR="00C94FAB" w:rsidRPr="00C94FAB">
        <w:rPr>
          <w:b/>
          <w:bCs/>
        </w:rPr>
        <w:t>P</w:t>
      </w:r>
      <w:r w:rsidRPr="00C94FAB">
        <w:rPr>
          <w:b/>
          <w:bCs/>
        </w:rPr>
        <w:t>ulled</w:t>
      </w:r>
      <w:r w:rsidRPr="00A20A27">
        <w:t xml:space="preserve"> checkbox </w:t>
      </w:r>
      <w:r w:rsidR="00C94FAB">
        <w:t>for an appointment</w:t>
      </w:r>
      <w:r w:rsidRPr="00A20A27">
        <w:t xml:space="preserve">. When </w:t>
      </w:r>
      <w:r w:rsidR="00C94FAB">
        <w:t>you run</w:t>
      </w:r>
      <w:r w:rsidRPr="00A20A27">
        <w:t xml:space="preserve"> the daily appointment list, there is an option to </w:t>
      </w:r>
      <w:r w:rsidR="00C94FAB" w:rsidRPr="00C94FAB">
        <w:rPr>
          <w:b/>
          <w:bCs/>
        </w:rPr>
        <w:t>E</w:t>
      </w:r>
      <w:r w:rsidRPr="00C94FAB">
        <w:rPr>
          <w:b/>
          <w:bCs/>
        </w:rPr>
        <w:t xml:space="preserve">xclude </w:t>
      </w:r>
      <w:r w:rsidR="00C94FAB" w:rsidRPr="00C94FAB">
        <w:rPr>
          <w:b/>
          <w:bCs/>
        </w:rPr>
        <w:t>‘</w:t>
      </w:r>
      <w:r w:rsidRPr="00C94FAB">
        <w:rPr>
          <w:b/>
          <w:bCs/>
        </w:rPr>
        <w:t xml:space="preserve">Chart </w:t>
      </w:r>
      <w:r w:rsidR="00C94FAB" w:rsidRPr="00C94FAB">
        <w:rPr>
          <w:b/>
          <w:bCs/>
        </w:rPr>
        <w:t>P</w:t>
      </w:r>
      <w:r w:rsidRPr="00C94FAB">
        <w:rPr>
          <w:b/>
          <w:bCs/>
        </w:rPr>
        <w:t>ulled</w:t>
      </w:r>
      <w:r w:rsidR="00C94FAB" w:rsidRPr="00C94FAB">
        <w:rPr>
          <w:b/>
          <w:bCs/>
        </w:rPr>
        <w:t>’</w:t>
      </w:r>
      <w:r w:rsidRPr="00C94FAB">
        <w:rPr>
          <w:b/>
          <w:bCs/>
        </w:rPr>
        <w:t xml:space="preserve"> </w:t>
      </w:r>
      <w:r w:rsidR="00C94FAB" w:rsidRPr="00C94FAB">
        <w:rPr>
          <w:b/>
          <w:bCs/>
        </w:rPr>
        <w:t>A</w:t>
      </w:r>
      <w:r w:rsidRPr="00C94FAB">
        <w:rPr>
          <w:b/>
          <w:bCs/>
        </w:rPr>
        <w:t>ppointments</w:t>
      </w:r>
      <w:r w:rsidRPr="00A20A27">
        <w:t xml:space="preserve"> </w:t>
      </w:r>
      <w:r w:rsidR="00C94FAB">
        <w:t>so the list includes</w:t>
      </w:r>
      <w:r w:rsidRPr="00A20A27">
        <w:t xml:space="preserve"> appointments where records are still needed. This is a manual process for identifying </w:t>
      </w:r>
      <w:r w:rsidR="00C94FAB">
        <w:t xml:space="preserve">when </w:t>
      </w:r>
      <w:r w:rsidRPr="00A20A27">
        <w:t>records are received</w:t>
      </w:r>
      <w:r w:rsidR="00C94FAB">
        <w:t xml:space="preserve"> or </w:t>
      </w:r>
      <w:r w:rsidRPr="00A20A27">
        <w:t xml:space="preserve">available within the clinic. </w:t>
      </w:r>
    </w:p>
    <w:p w14:paraId="5D2BA04A" w14:textId="7B5B5EF0" w:rsidR="003C7783" w:rsidRPr="00A20A27" w:rsidRDefault="003C7783">
      <w:pPr>
        <w:pStyle w:val="BodyText"/>
        <w:numPr>
          <w:ilvl w:val="0"/>
          <w:numId w:val="45"/>
        </w:numPr>
        <w:ind w:left="540"/>
      </w:pPr>
      <w:r w:rsidRPr="00C94FAB">
        <w:rPr>
          <w:b/>
          <w:bCs/>
        </w:rPr>
        <w:t>Availability</w:t>
      </w:r>
      <w:r w:rsidR="00BF5438" w:rsidRPr="00A20A27">
        <w:t>:</w:t>
      </w:r>
    </w:p>
    <w:p w14:paraId="6DB11FC8" w14:textId="69138583" w:rsidR="003C7783" w:rsidRPr="00A20A27" w:rsidRDefault="003C7783">
      <w:pPr>
        <w:pStyle w:val="BodyText"/>
        <w:numPr>
          <w:ilvl w:val="0"/>
          <w:numId w:val="45"/>
        </w:numPr>
        <w:ind w:left="1080"/>
      </w:pPr>
      <w:r w:rsidRPr="00174999">
        <w:rPr>
          <w:b/>
          <w:bCs/>
        </w:rPr>
        <w:t xml:space="preserve">Locating </w:t>
      </w:r>
      <w:r w:rsidR="00174999">
        <w:rPr>
          <w:b/>
          <w:bCs/>
        </w:rPr>
        <w:t>i</w:t>
      </w:r>
      <w:r w:rsidRPr="00174999">
        <w:rPr>
          <w:b/>
          <w:bCs/>
        </w:rPr>
        <w:t>nformation</w:t>
      </w:r>
      <w:r w:rsidRPr="00A20A27">
        <w:t xml:space="preserve"> </w:t>
      </w:r>
      <w:r w:rsidR="00174999">
        <w:t>–</w:t>
      </w:r>
      <w:r w:rsidRPr="00A20A27">
        <w:t xml:space="preserve"> Documents outside of the system can be supported using various features in the system. Dentrix Enterprise is not designed to be an external document tracking system but can assist with supporting reference information that identifies if a document or record is maintained outside the system.  </w:t>
      </w:r>
    </w:p>
    <w:p w14:paraId="3F1D20E2" w14:textId="713F7FB2" w:rsidR="003C7783" w:rsidRPr="00A20A27" w:rsidRDefault="003C7783">
      <w:pPr>
        <w:pStyle w:val="BodyText"/>
        <w:numPr>
          <w:ilvl w:val="0"/>
          <w:numId w:val="45"/>
        </w:numPr>
        <w:ind w:left="1080"/>
      </w:pPr>
      <w:r w:rsidRPr="00174999">
        <w:rPr>
          <w:b/>
          <w:bCs/>
        </w:rPr>
        <w:t xml:space="preserve">Document </w:t>
      </w:r>
      <w:r w:rsidR="00174999" w:rsidRPr="00174999">
        <w:rPr>
          <w:b/>
          <w:bCs/>
        </w:rPr>
        <w:t>n</w:t>
      </w:r>
      <w:r w:rsidRPr="00174999">
        <w:rPr>
          <w:b/>
          <w:bCs/>
        </w:rPr>
        <w:t>eeds</w:t>
      </w:r>
      <w:r w:rsidRPr="00A20A27">
        <w:t xml:space="preserve"> </w:t>
      </w:r>
      <w:r w:rsidR="00174999">
        <w:t>–</w:t>
      </w:r>
      <w:r w:rsidRPr="00A20A27">
        <w:t xml:space="preserve"> Patient </w:t>
      </w:r>
      <w:r w:rsidR="00174999">
        <w:t>t</w:t>
      </w:r>
      <w:r w:rsidRPr="00A20A27">
        <w:t xml:space="preserve">ags, </w:t>
      </w:r>
      <w:r w:rsidR="00174999">
        <w:t>F</w:t>
      </w:r>
      <w:r w:rsidRPr="00A20A27">
        <w:t xml:space="preserve">amily </w:t>
      </w:r>
      <w:r w:rsidR="00174999">
        <w:t>F</w:t>
      </w:r>
      <w:r w:rsidRPr="00A20A27">
        <w:t xml:space="preserve">ile consent dates, and Document Center are examples of features that </w:t>
      </w:r>
      <w:r w:rsidR="00174999">
        <w:t xml:space="preserve">you can use </w:t>
      </w:r>
      <w:r w:rsidRPr="00A20A27">
        <w:t xml:space="preserve">to identify which documents have been completed by a patient and which documents are needed.  </w:t>
      </w:r>
    </w:p>
    <w:p w14:paraId="5B836739" w14:textId="63412113" w:rsidR="003C7783" w:rsidRPr="00A20A27" w:rsidRDefault="00C94FAB">
      <w:pPr>
        <w:pStyle w:val="BodyText"/>
        <w:numPr>
          <w:ilvl w:val="0"/>
          <w:numId w:val="45"/>
        </w:numPr>
        <w:ind w:left="540"/>
      </w:pPr>
      <w:r>
        <w:rPr>
          <w:b/>
          <w:bCs/>
        </w:rPr>
        <w:t>S</w:t>
      </w:r>
      <w:r w:rsidR="003C7783" w:rsidRPr="00C94FAB">
        <w:rPr>
          <w:b/>
          <w:bCs/>
        </w:rPr>
        <w:t>tatus</w:t>
      </w:r>
      <w:r w:rsidR="00BF5438" w:rsidRPr="00A20A27">
        <w:t>:</w:t>
      </w:r>
    </w:p>
    <w:p w14:paraId="5B1BEFD7" w14:textId="41A77736" w:rsidR="003C7783" w:rsidRPr="00A20A27" w:rsidRDefault="003C7783">
      <w:pPr>
        <w:pStyle w:val="BodyText"/>
        <w:numPr>
          <w:ilvl w:val="0"/>
          <w:numId w:val="45"/>
        </w:numPr>
        <w:ind w:left="1080"/>
      </w:pPr>
      <w:r w:rsidRPr="00174999">
        <w:rPr>
          <w:b/>
          <w:bCs/>
        </w:rPr>
        <w:t xml:space="preserve">Forms </w:t>
      </w:r>
      <w:r w:rsidR="00174999" w:rsidRPr="00174999">
        <w:rPr>
          <w:b/>
          <w:bCs/>
        </w:rPr>
        <w:t>n</w:t>
      </w:r>
      <w:r w:rsidRPr="00174999">
        <w:rPr>
          <w:b/>
          <w:bCs/>
        </w:rPr>
        <w:t>eeded</w:t>
      </w:r>
      <w:r w:rsidRPr="00A20A27">
        <w:t xml:space="preserve"> </w:t>
      </w:r>
      <w:r w:rsidR="00174999">
        <w:t>–</w:t>
      </w:r>
      <w:r w:rsidRPr="00A20A27">
        <w:t xml:space="preserve"> Patient </w:t>
      </w:r>
      <w:r w:rsidR="00174999">
        <w:t>t</w:t>
      </w:r>
      <w:r w:rsidRPr="00A20A27">
        <w:t xml:space="preserve">ags, </w:t>
      </w:r>
      <w:r w:rsidR="00174999">
        <w:t>F</w:t>
      </w:r>
      <w:r w:rsidRPr="00A20A27">
        <w:t xml:space="preserve">amily </w:t>
      </w:r>
      <w:r w:rsidR="00174999">
        <w:t>F</w:t>
      </w:r>
      <w:r w:rsidRPr="00A20A27">
        <w:t xml:space="preserve">ile consent dates, and </w:t>
      </w:r>
      <w:r w:rsidR="00174999">
        <w:t>D</w:t>
      </w:r>
      <w:r w:rsidRPr="00A20A27">
        <w:t xml:space="preserve">ocument </w:t>
      </w:r>
      <w:r w:rsidR="00174999">
        <w:t>C</w:t>
      </w:r>
      <w:r w:rsidRPr="00A20A27">
        <w:t xml:space="preserve">enter are examples of features that </w:t>
      </w:r>
      <w:r w:rsidR="00174999">
        <w:t>you can use</w:t>
      </w:r>
      <w:r w:rsidRPr="00A20A27">
        <w:t xml:space="preserve"> to communicate which documents have been completed by a patient and which documents are needed.  </w:t>
      </w:r>
    </w:p>
    <w:p w14:paraId="05BCB0BB" w14:textId="522D8E4A" w:rsidR="003C7783" w:rsidRPr="003C7783" w:rsidRDefault="003C7783">
      <w:pPr>
        <w:pStyle w:val="BodyText"/>
        <w:numPr>
          <w:ilvl w:val="0"/>
          <w:numId w:val="45"/>
        </w:numPr>
        <w:ind w:left="1080"/>
      </w:pPr>
      <w:r w:rsidRPr="00174999">
        <w:rPr>
          <w:b/>
          <w:bCs/>
        </w:rPr>
        <w:t xml:space="preserve">Completed </w:t>
      </w:r>
      <w:r w:rsidR="00174999" w:rsidRPr="00174999">
        <w:rPr>
          <w:b/>
          <w:bCs/>
        </w:rPr>
        <w:t>f</w:t>
      </w:r>
      <w:r w:rsidRPr="00174999">
        <w:rPr>
          <w:b/>
          <w:bCs/>
        </w:rPr>
        <w:t>orms/</w:t>
      </w:r>
      <w:r w:rsidR="00174999" w:rsidRPr="00174999">
        <w:rPr>
          <w:b/>
          <w:bCs/>
        </w:rPr>
        <w:t>d</w:t>
      </w:r>
      <w:r w:rsidRPr="00174999">
        <w:rPr>
          <w:b/>
          <w:bCs/>
        </w:rPr>
        <w:t>ata</w:t>
      </w:r>
      <w:r w:rsidR="00BF5438" w:rsidRPr="00A20A27">
        <w:t xml:space="preserve"> (</w:t>
      </w:r>
      <w:r w:rsidR="00174999">
        <w:t>i</w:t>
      </w:r>
      <w:r w:rsidRPr="00A20A27">
        <w:t xml:space="preserve">nterfaced </w:t>
      </w:r>
      <w:r w:rsidR="00174999">
        <w:t>a</w:t>
      </w:r>
      <w:r w:rsidRPr="00A20A27">
        <w:t>ccess</w:t>
      </w:r>
      <w:r w:rsidR="00BF5438" w:rsidRPr="00A20A27">
        <w:t xml:space="preserve">) </w:t>
      </w:r>
      <w:r w:rsidR="00174999" w:rsidRPr="00A20A27">
        <w:t>–</w:t>
      </w:r>
      <w:r w:rsidR="00174999">
        <w:t xml:space="preserve"> </w:t>
      </w:r>
      <w:r w:rsidRPr="00A20A27">
        <w:t>Using an HL7 interface, Dentrix Enterprise can incorporate updated information from your medical software after changes have been made.  Review HL7 options an</w:t>
      </w:r>
      <w:r w:rsidRPr="003C7783">
        <w:t xml:space="preserve">nually with support and your internal teams to identify updates to the interface that can be incorporated to support your workflows. </w:t>
      </w:r>
    </w:p>
    <w:p w14:paraId="7582347A" w14:textId="5FE62A6B" w:rsidR="00D15973" w:rsidRDefault="003C7783" w:rsidP="00D42C5A">
      <w:pPr>
        <w:pStyle w:val="Heading3"/>
      </w:pPr>
      <w:bookmarkStart w:id="149" w:name="_Toc135416708"/>
      <w:bookmarkStart w:id="150" w:name="_Toc146183309"/>
      <w:r w:rsidRPr="003C7783">
        <w:t>Patient Online Access</w:t>
      </w:r>
      <w:bookmarkEnd w:id="149"/>
      <w:r w:rsidR="00174999">
        <w:t xml:space="preserve"> </w:t>
      </w:r>
      <w:r w:rsidR="00174999" w:rsidRPr="003C7783">
        <w:t>(FUTURE)</w:t>
      </w:r>
      <w:bookmarkEnd w:id="150"/>
    </w:p>
    <w:p w14:paraId="29AE55BB" w14:textId="0B448ADA" w:rsidR="003C7783" w:rsidRDefault="00174999" w:rsidP="00D15973">
      <w:pPr>
        <w:pStyle w:val="BodyText"/>
      </w:pPr>
      <w:r>
        <w:t>For managing</w:t>
      </w:r>
      <w:r w:rsidR="003C7783" w:rsidRPr="003C7783">
        <w:t xml:space="preserve"> patient online experience</w:t>
      </w:r>
      <w:r>
        <w:t>s, some options</w:t>
      </w:r>
      <w:r w:rsidR="003C7783" w:rsidRPr="003C7783">
        <w:t xml:space="preserve"> are not available </w:t>
      </w:r>
      <w:r>
        <w:t>with</w:t>
      </w:r>
      <w:r w:rsidR="003C7783" w:rsidRPr="003C7783">
        <w:t xml:space="preserve"> Dentrix Enterprise. If </w:t>
      </w:r>
      <w:r>
        <w:t xml:space="preserve">you are </w:t>
      </w:r>
      <w:r w:rsidR="003C7783" w:rsidRPr="003C7783">
        <w:t xml:space="preserve">converting </w:t>
      </w:r>
      <w:r>
        <w:t xml:space="preserve">to </w:t>
      </w:r>
      <w:r w:rsidR="003C7783" w:rsidRPr="003C7783">
        <w:t>or adopting Dentrix Enterprise</w:t>
      </w:r>
      <w:r>
        <w:t xml:space="preserve">, </w:t>
      </w:r>
      <w:r w:rsidR="003C7783" w:rsidRPr="003C7783">
        <w:t xml:space="preserve">and your current workflows </w:t>
      </w:r>
      <w:r>
        <w:t>utilize</w:t>
      </w:r>
      <w:r w:rsidR="003C7783" w:rsidRPr="003C7783">
        <w:t xml:space="preserve"> these </w:t>
      </w:r>
      <w:r>
        <w:t>options</w:t>
      </w:r>
      <w:r w:rsidR="003C7783" w:rsidRPr="003C7783">
        <w:t xml:space="preserve"> in your legacy system, consider</w:t>
      </w:r>
      <w:r>
        <w:t xml:space="preserve"> switching to</w:t>
      </w:r>
      <w:r w:rsidR="003C7783" w:rsidRPr="003C7783">
        <w:t xml:space="preserve"> third</w:t>
      </w:r>
      <w:r>
        <w:t>-</w:t>
      </w:r>
      <w:r w:rsidR="003C7783" w:rsidRPr="003C7783">
        <w:t>party options that integrate with Dentrix Enterprise for accommodating patient online access.</w:t>
      </w:r>
    </w:p>
    <w:p w14:paraId="553EB41B" w14:textId="77777777" w:rsidR="005F79F5" w:rsidRDefault="005F79F5" w:rsidP="00D15973">
      <w:pPr>
        <w:pStyle w:val="BodyText"/>
        <w:sectPr w:rsidR="005F79F5" w:rsidSect="007074D3">
          <w:pgSz w:w="12240" w:h="15840"/>
          <w:pgMar w:top="1440" w:right="1440" w:bottom="1440" w:left="1440" w:header="360" w:footer="360" w:gutter="0"/>
          <w:cols w:space="720"/>
          <w:docGrid w:linePitch="299"/>
        </w:sectPr>
      </w:pPr>
    </w:p>
    <w:p w14:paraId="5D425834" w14:textId="7A7C3646" w:rsidR="005F79F5" w:rsidRDefault="005F79F5" w:rsidP="005F79F5">
      <w:pPr>
        <w:pStyle w:val="Heading1"/>
      </w:pPr>
      <w:bookmarkStart w:id="151" w:name="_Toc135416595"/>
      <w:bookmarkStart w:id="152" w:name="_Toc135416709"/>
      <w:bookmarkStart w:id="153" w:name="_Toc146183310"/>
      <w:r>
        <w:lastRenderedPageBreak/>
        <w:t>Clinical Records Management</w:t>
      </w:r>
      <w:bookmarkEnd w:id="151"/>
      <w:bookmarkEnd w:id="152"/>
      <w:bookmarkEnd w:id="153"/>
    </w:p>
    <w:p w14:paraId="3EF17CA2" w14:textId="0F2E5228" w:rsidR="005F79F5" w:rsidRDefault="005F79F5" w:rsidP="00A37B2A">
      <w:pPr>
        <w:pStyle w:val="BodyText"/>
      </w:pPr>
      <w:r>
        <w:t>The clinical record, also referred to as the patient chart, is the official office document that records all diagnostic information, clinical notes, treatment performed</w:t>
      </w:r>
      <w:r w:rsidR="007F2E58">
        <w:t>,</w:t>
      </w:r>
      <w:r>
        <w:t xml:space="preserve"> and patient-related communications that pertain to medical and dental information in the dental office, including instructions for home care and consent to treatment. The clinical record is captured primarily during the patient visit lifecycle and patient records management. These processes help you maintain the accuracy and integrity of your clinical records. </w:t>
      </w:r>
    </w:p>
    <w:p w14:paraId="5147250C" w14:textId="48C13E6C" w:rsidR="005F79F5" w:rsidRPr="007F2E58" w:rsidRDefault="007F2E58" w:rsidP="00A37B2A">
      <w:pPr>
        <w:pStyle w:val="BodyText"/>
        <w:rPr>
          <w:i/>
          <w:iCs/>
        </w:rPr>
      </w:pPr>
      <w:r w:rsidRPr="007F2E58">
        <w:rPr>
          <w:b/>
          <w:bCs/>
          <w:i/>
          <w:iCs/>
        </w:rPr>
        <w:t>Note</w:t>
      </w:r>
      <w:r w:rsidRPr="007F2E58">
        <w:rPr>
          <w:i/>
          <w:iCs/>
        </w:rPr>
        <w:t xml:space="preserve">: </w:t>
      </w:r>
      <w:r w:rsidR="005F79F5" w:rsidRPr="007F2E58">
        <w:rPr>
          <w:i/>
          <w:iCs/>
        </w:rPr>
        <w:t>Check with your state</w:t>
      </w:r>
      <w:r>
        <w:rPr>
          <w:i/>
          <w:iCs/>
        </w:rPr>
        <w:t>’s</w:t>
      </w:r>
      <w:r w:rsidR="005F79F5" w:rsidRPr="007F2E58">
        <w:rPr>
          <w:i/>
          <w:iCs/>
        </w:rPr>
        <w:t xml:space="preserve"> dental society or board of dentistry for information on record keeping requirements in your state. </w:t>
      </w:r>
    </w:p>
    <w:p w14:paraId="341BAF6D" w14:textId="77777777" w:rsidR="005F79F5" w:rsidRDefault="005F79F5" w:rsidP="004267C0">
      <w:pPr>
        <w:pStyle w:val="Heading2"/>
        <w:numPr>
          <w:ilvl w:val="0"/>
          <w:numId w:val="46"/>
        </w:numPr>
      </w:pPr>
      <w:bookmarkStart w:id="154" w:name="_Toc135416710"/>
      <w:bookmarkStart w:id="155" w:name="_Toc146183311"/>
      <w:r>
        <w:t>Clinical Records Accuracy</w:t>
      </w:r>
      <w:bookmarkEnd w:id="154"/>
      <w:bookmarkEnd w:id="155"/>
    </w:p>
    <w:p w14:paraId="0FB62001" w14:textId="75FA33F8" w:rsidR="005F79F5" w:rsidRDefault="005F79F5" w:rsidP="005F79F5">
      <w:pPr>
        <w:pStyle w:val="BodyText"/>
      </w:pPr>
      <w:r>
        <w:t xml:space="preserve">The clinical record tracks what happens with every patient </w:t>
      </w:r>
      <w:proofErr w:type="gramStart"/>
      <w:r>
        <w:t>encounter</w:t>
      </w:r>
      <w:proofErr w:type="gramEnd"/>
      <w:r>
        <w:t xml:space="preserve">. </w:t>
      </w:r>
      <w:r w:rsidR="007F2E58">
        <w:t>Complete and accurate records consist of the b</w:t>
      </w:r>
      <w:r>
        <w:t>asic components for the routine management of clinical coding, documentation, supporting information</w:t>
      </w:r>
      <w:r w:rsidR="007F2E58">
        <w:t>,</w:t>
      </w:r>
      <w:r>
        <w:t xml:space="preserve"> and notes. </w:t>
      </w:r>
    </w:p>
    <w:p w14:paraId="042BDC46" w14:textId="77777777" w:rsidR="005F79F5" w:rsidRDefault="005F79F5" w:rsidP="00D42C5A">
      <w:pPr>
        <w:pStyle w:val="Heading3"/>
      </w:pPr>
      <w:bookmarkStart w:id="156" w:name="_Toc135416711"/>
      <w:bookmarkStart w:id="157" w:name="_Toc146183312"/>
      <w:r>
        <w:t>Coding</w:t>
      </w:r>
      <w:bookmarkEnd w:id="156"/>
      <w:bookmarkEnd w:id="157"/>
    </w:p>
    <w:p w14:paraId="58F66E60" w14:textId="067CFE13" w:rsidR="005F79F5" w:rsidRDefault="005F79F5" w:rsidP="005F79F5">
      <w:pPr>
        <w:pStyle w:val="BodyText"/>
      </w:pPr>
      <w:r>
        <w:t xml:space="preserve">Coding supports uniform, consistent, and accurate documentation of the services delivered and diagnosis.  </w:t>
      </w:r>
    </w:p>
    <w:p w14:paraId="00F53291" w14:textId="77777777" w:rsidR="005F79F5" w:rsidRDefault="005F79F5" w:rsidP="005F79F5">
      <w:pPr>
        <w:pStyle w:val="BodyText"/>
      </w:pPr>
      <w:r w:rsidRPr="00A37B2A">
        <w:rPr>
          <w:color w:val="00B050"/>
        </w:rPr>
        <w:t>&lt;&lt;Insert Coding decision support/SOP/guidance here&gt;&gt;</w:t>
      </w:r>
    </w:p>
    <w:p w14:paraId="203CEA93" w14:textId="000162F1" w:rsidR="005F79F5" w:rsidRDefault="005F79F5" w:rsidP="005F79F5">
      <w:pPr>
        <w:pStyle w:val="Heading4"/>
      </w:pPr>
      <w:r>
        <w:t xml:space="preserve">Dental CDT </w:t>
      </w:r>
      <w:r w:rsidR="007F2E58">
        <w:t>C</w:t>
      </w:r>
      <w:r>
        <w:t>odes</w:t>
      </w:r>
    </w:p>
    <w:p w14:paraId="59A1A869" w14:textId="32C77877" w:rsidR="005F79F5" w:rsidRDefault="007F2E58" w:rsidP="005F79F5">
      <w:pPr>
        <w:pStyle w:val="BodyText"/>
      </w:pPr>
      <w:r>
        <w:t xml:space="preserve">You can use the following features to assist </w:t>
      </w:r>
      <w:r w:rsidR="005F79F5">
        <w:t>providers with quick access to the codes that accurately represent the procedure</w:t>
      </w:r>
      <w:r>
        <w:t>s</w:t>
      </w:r>
      <w:r w:rsidR="005F79F5">
        <w:t xml:space="preserve"> </w:t>
      </w:r>
      <w:r>
        <w:t xml:space="preserve">that were </w:t>
      </w:r>
      <w:r w:rsidR="005F79F5">
        <w:t>performed or planned</w:t>
      </w:r>
      <w:r>
        <w:t>:</w:t>
      </w:r>
    </w:p>
    <w:p w14:paraId="29C6A5C7" w14:textId="293B717B" w:rsidR="005F79F5" w:rsidRPr="007F2E58" w:rsidRDefault="005F79F5">
      <w:pPr>
        <w:pStyle w:val="BodyText"/>
        <w:numPr>
          <w:ilvl w:val="0"/>
          <w:numId w:val="47"/>
        </w:numPr>
        <w:ind w:left="540"/>
      </w:pPr>
      <w:r w:rsidRPr="007F2E58">
        <w:rPr>
          <w:b/>
          <w:bCs/>
        </w:rPr>
        <w:t>Procedure categories</w:t>
      </w:r>
      <w:r w:rsidR="007F2E58">
        <w:t xml:space="preserve"> – You can customize these</w:t>
      </w:r>
      <w:r w:rsidRPr="007F2E58">
        <w:t xml:space="preserve"> lists to provide coding decision support for the clinical teams within your organization. This can limit the number of codes they need to search through to find the preferred</w:t>
      </w:r>
      <w:r w:rsidR="007F2E58">
        <w:t xml:space="preserve"> codes</w:t>
      </w:r>
      <w:r w:rsidRPr="007F2E58">
        <w:t xml:space="preserve">. </w:t>
      </w:r>
    </w:p>
    <w:p w14:paraId="44D29C3C" w14:textId="3C7BADF9" w:rsidR="005F79F5" w:rsidRDefault="005F79F5">
      <w:pPr>
        <w:pStyle w:val="BodyText"/>
        <w:numPr>
          <w:ilvl w:val="0"/>
          <w:numId w:val="47"/>
        </w:numPr>
        <w:ind w:left="540"/>
      </w:pPr>
      <w:r w:rsidRPr="007F2E58">
        <w:rPr>
          <w:b/>
          <w:bCs/>
        </w:rPr>
        <w:t>Procedure button sets</w:t>
      </w:r>
      <w:r w:rsidR="007F2E58">
        <w:t xml:space="preserve"> – You can customize p</w:t>
      </w:r>
      <w:r w:rsidRPr="007F2E58">
        <w:t xml:space="preserve">rocedure button sets further to represent the codes </w:t>
      </w:r>
      <w:r w:rsidR="007F2E58">
        <w:t xml:space="preserve">that are </w:t>
      </w:r>
      <w:r w:rsidRPr="007F2E58">
        <w:t xml:space="preserve">used frequently by </w:t>
      </w:r>
      <w:r w:rsidR="007F2E58">
        <w:t xml:space="preserve">a </w:t>
      </w:r>
      <w:r w:rsidRPr="007F2E58">
        <w:t>provider</w:t>
      </w:r>
      <w:r>
        <w:t xml:space="preserve">.  </w:t>
      </w:r>
    </w:p>
    <w:p w14:paraId="7FC7ECCE" w14:textId="77777777" w:rsidR="005F79F5" w:rsidRDefault="005F79F5" w:rsidP="005F79F5">
      <w:pPr>
        <w:pStyle w:val="Heading4"/>
      </w:pPr>
      <w:r>
        <w:t>Medical CPT Codes</w:t>
      </w:r>
    </w:p>
    <w:p w14:paraId="5EC07493" w14:textId="5408EA6B" w:rsidR="005F79F5" w:rsidRDefault="005F79F5" w:rsidP="005F79F5">
      <w:pPr>
        <w:pStyle w:val="BodyText"/>
      </w:pPr>
      <w:r>
        <w:t>Much like cross</w:t>
      </w:r>
      <w:r w:rsidR="00484731">
        <w:t xml:space="preserve"> </w:t>
      </w:r>
      <w:r>
        <w:t>coding</w:t>
      </w:r>
      <w:r w:rsidR="007F2E58">
        <w:t xml:space="preserve"> dental diagnostic codes, </w:t>
      </w:r>
      <w:r w:rsidR="00484731">
        <w:t>y</w:t>
      </w:r>
      <w:r>
        <w:t>ou can cross code medical CPT codes with CDT codes</w:t>
      </w:r>
      <w:r w:rsidR="00484731">
        <w:t xml:space="preserve"> and</w:t>
      </w:r>
      <w:r>
        <w:t xml:space="preserve"> CPT codes with ICD-10 codes. Using this cross-coding process supports coding decisions and internal clinical coding guidelines.</w:t>
      </w:r>
    </w:p>
    <w:p w14:paraId="18450FE2" w14:textId="3517434C" w:rsidR="005F79F5" w:rsidRDefault="005F79F5" w:rsidP="005F79F5">
      <w:pPr>
        <w:pStyle w:val="BodyText"/>
      </w:pPr>
      <w:r>
        <w:t xml:space="preserve">Medical claims require the cross </w:t>
      </w:r>
      <w:r w:rsidR="00484731">
        <w:t>coding</w:t>
      </w:r>
      <w:r>
        <w:t xml:space="preserve"> </w:t>
      </w:r>
      <w:r w:rsidR="00484731">
        <w:t xml:space="preserve">of a medical code </w:t>
      </w:r>
      <w:r>
        <w:t xml:space="preserve">with </w:t>
      </w:r>
      <w:r w:rsidR="00484731">
        <w:t>a</w:t>
      </w:r>
      <w:r>
        <w:t xml:space="preserve"> dental code </w:t>
      </w:r>
      <w:r w:rsidR="00484731">
        <w:t>and the attaching of the</w:t>
      </w:r>
      <w:r>
        <w:t xml:space="preserve"> </w:t>
      </w:r>
      <w:r w:rsidR="00484731">
        <w:t>applicable</w:t>
      </w:r>
      <w:r>
        <w:t xml:space="preserve"> diagnosis code</w:t>
      </w:r>
      <w:r w:rsidR="00484731">
        <w:t>s</w:t>
      </w:r>
      <w:r>
        <w:t>.</w:t>
      </w:r>
    </w:p>
    <w:p w14:paraId="2C7F1AD5" w14:textId="20A54F27" w:rsidR="005F79F5" w:rsidRPr="00484731" w:rsidRDefault="005F79F5" w:rsidP="005F79F5">
      <w:pPr>
        <w:pStyle w:val="BodyText"/>
        <w:rPr>
          <w:i/>
          <w:iCs/>
        </w:rPr>
      </w:pPr>
      <w:r w:rsidRPr="00484731">
        <w:rPr>
          <w:b/>
          <w:bCs/>
          <w:i/>
          <w:iCs/>
        </w:rPr>
        <w:t>Workflow Insight</w:t>
      </w:r>
      <w:r w:rsidR="00484731" w:rsidRPr="00484731">
        <w:rPr>
          <w:i/>
          <w:iCs/>
        </w:rPr>
        <w:t xml:space="preserve">: </w:t>
      </w:r>
      <w:r w:rsidRPr="00484731">
        <w:rPr>
          <w:i/>
          <w:iCs/>
        </w:rPr>
        <w:t xml:space="preserve">Procedure and diagnosis coding selection is recommended as </w:t>
      </w:r>
      <w:r w:rsidR="00484731" w:rsidRPr="00484731">
        <w:rPr>
          <w:i/>
          <w:iCs/>
        </w:rPr>
        <w:t>p</w:t>
      </w:r>
      <w:r w:rsidRPr="00484731">
        <w:rPr>
          <w:i/>
          <w:iCs/>
        </w:rPr>
        <w:t xml:space="preserve">art of the clinical workflow due to </w:t>
      </w:r>
      <w:r w:rsidR="00484731" w:rsidRPr="00484731">
        <w:rPr>
          <w:i/>
          <w:iCs/>
        </w:rPr>
        <w:t>a</w:t>
      </w:r>
      <w:r w:rsidRPr="00484731">
        <w:rPr>
          <w:i/>
          <w:iCs/>
        </w:rPr>
        <w:t xml:space="preserve"> provider’s obligation to </w:t>
      </w:r>
      <w:r w:rsidR="00484731" w:rsidRPr="00484731">
        <w:rPr>
          <w:i/>
          <w:iCs/>
        </w:rPr>
        <w:t>provide correct</w:t>
      </w:r>
      <w:r w:rsidRPr="00484731">
        <w:rPr>
          <w:i/>
          <w:iCs/>
        </w:rPr>
        <w:t xml:space="preserve"> diagnosis and coding.</w:t>
      </w:r>
    </w:p>
    <w:p w14:paraId="2631549E" w14:textId="77777777" w:rsidR="005F79F5" w:rsidRDefault="005F79F5" w:rsidP="005F79F5">
      <w:pPr>
        <w:pStyle w:val="Heading4"/>
      </w:pPr>
      <w:r>
        <w:lastRenderedPageBreak/>
        <w:t>Supporting or Diagnostic Codes</w:t>
      </w:r>
    </w:p>
    <w:p w14:paraId="4A0D429B" w14:textId="75CF20FC" w:rsidR="005F79F5" w:rsidRDefault="005F79F5" w:rsidP="004A2A35">
      <w:pPr>
        <w:pStyle w:val="BodyText"/>
        <w:keepNext/>
        <w:keepLines/>
      </w:pPr>
      <w:r>
        <w:t xml:space="preserve">Both ADA claim forms and HIPAA standard electronic claim transactions can report up to four diagnosis codes per dental procedure.  </w:t>
      </w:r>
    </w:p>
    <w:p w14:paraId="79C0FEB6" w14:textId="7D76705F" w:rsidR="005F79F5" w:rsidRDefault="005F79F5">
      <w:pPr>
        <w:pStyle w:val="BodyText"/>
        <w:numPr>
          <w:ilvl w:val="0"/>
          <w:numId w:val="48"/>
        </w:numPr>
        <w:ind w:left="540"/>
      </w:pPr>
      <w:r w:rsidRPr="005F79F5">
        <w:rPr>
          <w:b/>
          <w:bCs/>
        </w:rPr>
        <w:t>ICD-10</w:t>
      </w:r>
      <w:r>
        <w:t xml:space="preserve"> </w:t>
      </w:r>
      <w:r w:rsidR="00484731">
        <w:t>–</w:t>
      </w:r>
      <w:r>
        <w:t xml:space="preserve"> There is no standard or fixed ICD code related to any procedure code. However, using the cross-coding settings in the system, you can assist with limiting </w:t>
      </w:r>
      <w:r w:rsidR="00484731">
        <w:t>searches</w:t>
      </w:r>
      <w:r>
        <w:t xml:space="preserve"> for codes.  </w:t>
      </w:r>
    </w:p>
    <w:p w14:paraId="7BF8741D" w14:textId="0208A639" w:rsidR="005F79F5" w:rsidRDefault="005F79F5">
      <w:pPr>
        <w:pStyle w:val="BodyText"/>
        <w:numPr>
          <w:ilvl w:val="0"/>
          <w:numId w:val="48"/>
        </w:numPr>
        <w:ind w:left="1080"/>
      </w:pPr>
      <w:r>
        <w:t>Cross</w:t>
      </w:r>
      <w:r w:rsidR="00484731">
        <w:t xml:space="preserve"> c</w:t>
      </w:r>
      <w:r>
        <w:t xml:space="preserve">ode CDT codes with ICD-10 codes for supported dental diagnosis. </w:t>
      </w:r>
    </w:p>
    <w:p w14:paraId="058B813D" w14:textId="20DD8DD6" w:rsidR="005F79F5" w:rsidRDefault="005F79F5">
      <w:pPr>
        <w:pStyle w:val="BodyText"/>
        <w:numPr>
          <w:ilvl w:val="0"/>
          <w:numId w:val="48"/>
        </w:numPr>
        <w:ind w:left="1080"/>
      </w:pPr>
      <w:r>
        <w:t>ICD codes can be limited to a short list available for specific CDT codes or automatically attached when an ADA code is posted.</w:t>
      </w:r>
    </w:p>
    <w:p w14:paraId="53E9A8A5" w14:textId="36C9FEBA" w:rsidR="005F79F5" w:rsidRDefault="005F79F5">
      <w:pPr>
        <w:pStyle w:val="BodyText"/>
        <w:numPr>
          <w:ilvl w:val="0"/>
          <w:numId w:val="48"/>
        </w:numPr>
        <w:ind w:left="540"/>
      </w:pPr>
      <w:r w:rsidRPr="005F79F5">
        <w:rPr>
          <w:b/>
          <w:bCs/>
        </w:rPr>
        <w:t>Conditions</w:t>
      </w:r>
      <w:r>
        <w:t xml:space="preserve"> </w:t>
      </w:r>
      <w:r w:rsidR="00484731">
        <w:t>–</w:t>
      </w:r>
      <w:r>
        <w:t xml:space="preserve"> Condition codes are not part of the official ADA code set. These codes are used in the system to show and attach conditions present to treatment diagnosed in the patient chart. This is simply part of the electronic dental record and will not be used for any </w:t>
      </w:r>
      <w:r w:rsidR="00484731">
        <w:t>third-</w:t>
      </w:r>
      <w:r>
        <w:t xml:space="preserve">party reporting or submission for reimbursement.  </w:t>
      </w:r>
    </w:p>
    <w:p w14:paraId="45F7B794" w14:textId="2041E390" w:rsidR="005F79F5" w:rsidRDefault="005F79F5" w:rsidP="005F79F5">
      <w:pPr>
        <w:pStyle w:val="BodyText"/>
        <w:ind w:left="540"/>
      </w:pPr>
      <w:r>
        <w:t>Conditions can be used for reporting purposes</w:t>
      </w:r>
      <w:r w:rsidR="00484731">
        <w:t xml:space="preserve"> and can be attached</w:t>
      </w:r>
      <w:r>
        <w:t xml:space="preserve"> to treatment plans to further identify procedures </w:t>
      </w:r>
      <w:r w:rsidR="00484731">
        <w:t xml:space="preserve">that are </w:t>
      </w:r>
      <w:r>
        <w:t xml:space="preserve">connected to specific conditions.  </w:t>
      </w:r>
    </w:p>
    <w:p w14:paraId="028ED999" w14:textId="77777777" w:rsidR="005F79F5" w:rsidRDefault="005F79F5" w:rsidP="005F79F5">
      <w:pPr>
        <w:pStyle w:val="Heading4"/>
      </w:pPr>
      <w:r>
        <w:t>Procedure Information</w:t>
      </w:r>
    </w:p>
    <w:p w14:paraId="0583FA58" w14:textId="31913F6E" w:rsidR="005F79F5" w:rsidRDefault="005F79F5" w:rsidP="005F79F5">
      <w:pPr>
        <w:pStyle w:val="BodyText"/>
      </w:pPr>
      <w:r>
        <w:t xml:space="preserve">In addition to </w:t>
      </w:r>
      <w:r w:rsidR="00484731">
        <w:t>correct</w:t>
      </w:r>
      <w:r>
        <w:t xml:space="preserve"> coding, each procedure’s date of service, clinic, provider, and any additional modifiers make up the accurate coding process.  </w:t>
      </w:r>
    </w:p>
    <w:p w14:paraId="3327C1BC" w14:textId="2C3257A4" w:rsidR="005F79F5" w:rsidRDefault="005F79F5">
      <w:pPr>
        <w:pStyle w:val="BodyText"/>
        <w:numPr>
          <w:ilvl w:val="0"/>
          <w:numId w:val="49"/>
        </w:numPr>
        <w:ind w:left="540"/>
      </w:pPr>
      <w:r>
        <w:t>Use provider override</w:t>
      </w:r>
      <w:r w:rsidR="00484731">
        <w:t>s</w:t>
      </w:r>
      <w:r>
        <w:t xml:space="preserve"> as necessary to ensure</w:t>
      </w:r>
      <w:r w:rsidR="00484731">
        <w:t xml:space="preserve"> that </w:t>
      </w:r>
      <w:r>
        <w:t xml:space="preserve">accurate provider information is assigned to </w:t>
      </w:r>
      <w:r w:rsidR="00484731">
        <w:t xml:space="preserve">completed </w:t>
      </w:r>
      <w:r>
        <w:t xml:space="preserve">procedures that were treatment planned </w:t>
      </w:r>
      <w:r w:rsidR="00484731">
        <w:t>previously</w:t>
      </w:r>
      <w:r>
        <w:t xml:space="preserve">. </w:t>
      </w:r>
      <w:r w:rsidR="00484731">
        <w:t>For more information, see the “Database Design” section.</w:t>
      </w:r>
      <w:r>
        <w:t xml:space="preserve"> </w:t>
      </w:r>
    </w:p>
    <w:p w14:paraId="174012E1" w14:textId="2258EBF2" w:rsidR="005F79F5" w:rsidRDefault="005F79F5">
      <w:pPr>
        <w:pStyle w:val="BodyText"/>
        <w:numPr>
          <w:ilvl w:val="0"/>
          <w:numId w:val="49"/>
        </w:numPr>
        <w:ind w:left="540"/>
      </w:pPr>
      <w:r>
        <w:t xml:space="preserve">If data entry is not completed on the date of service, it is important to record the accurate date of service for each code. The ability to edit this information depends on security and interface settings.  </w:t>
      </w:r>
    </w:p>
    <w:p w14:paraId="10210374" w14:textId="62C98D8B" w:rsidR="005F79F5" w:rsidRPr="00EB1DEC" w:rsidRDefault="005F79F5" w:rsidP="005F79F5">
      <w:pPr>
        <w:pStyle w:val="BodyText"/>
        <w:rPr>
          <w:i/>
          <w:iCs/>
        </w:rPr>
      </w:pPr>
      <w:r w:rsidRPr="00EB1DEC">
        <w:rPr>
          <w:b/>
          <w:bCs/>
          <w:i/>
          <w:iCs/>
        </w:rPr>
        <w:t>Operations Insight</w:t>
      </w:r>
      <w:r w:rsidRPr="00EB1DEC">
        <w:rPr>
          <w:i/>
          <w:iCs/>
        </w:rPr>
        <w:t>: There are alternative options for supporting the ne</w:t>
      </w:r>
      <w:r w:rsidR="00EB1DEC" w:rsidRPr="00EB1DEC">
        <w:rPr>
          <w:i/>
          <w:iCs/>
        </w:rPr>
        <w:t>ed</w:t>
      </w:r>
      <w:r w:rsidRPr="00EB1DEC">
        <w:rPr>
          <w:i/>
          <w:iCs/>
        </w:rPr>
        <w:t xml:space="preserve"> to edit completed or posted codes. The ability to update </w:t>
      </w:r>
      <w:r w:rsidR="00EB1DEC" w:rsidRPr="00EB1DEC">
        <w:rPr>
          <w:i/>
          <w:iCs/>
        </w:rPr>
        <w:t>a</w:t>
      </w:r>
      <w:r w:rsidRPr="00EB1DEC">
        <w:rPr>
          <w:i/>
          <w:iCs/>
        </w:rPr>
        <w:t xml:space="preserve"> procedure</w:t>
      </w:r>
      <w:r w:rsidR="00EB1DEC" w:rsidRPr="00EB1DEC">
        <w:rPr>
          <w:i/>
          <w:iCs/>
        </w:rPr>
        <w:t>’</w:t>
      </w:r>
      <w:r w:rsidRPr="00EB1DEC">
        <w:rPr>
          <w:i/>
          <w:iCs/>
        </w:rPr>
        <w:t xml:space="preserve">s date without having to allow for edits is available from Ledger.  </w:t>
      </w:r>
    </w:p>
    <w:p w14:paraId="5A79833F" w14:textId="77777777" w:rsidR="005F79F5" w:rsidRDefault="005F79F5" w:rsidP="00D42C5A">
      <w:pPr>
        <w:pStyle w:val="Heading3"/>
      </w:pPr>
      <w:bookmarkStart w:id="158" w:name="_Toc135416712"/>
      <w:bookmarkStart w:id="159" w:name="_Toc146183313"/>
      <w:r>
        <w:t>Clinical Notes</w:t>
      </w:r>
      <w:bookmarkEnd w:id="158"/>
      <w:bookmarkEnd w:id="159"/>
    </w:p>
    <w:p w14:paraId="340A4749" w14:textId="090F3990" w:rsidR="005F79F5" w:rsidRDefault="005F79F5" w:rsidP="005F79F5">
      <w:pPr>
        <w:pStyle w:val="BodyText"/>
      </w:pPr>
      <w:r>
        <w:t xml:space="preserve">Comprehensive and accurate records are a vital part of </w:t>
      </w:r>
      <w:proofErr w:type="gramStart"/>
      <w:r w:rsidR="00EB1DEC">
        <w:t xml:space="preserve">a </w:t>
      </w:r>
      <w:r>
        <w:t>dental</w:t>
      </w:r>
      <w:proofErr w:type="gramEnd"/>
      <w:r>
        <w:t xml:space="preserve"> practice.  </w:t>
      </w:r>
    </w:p>
    <w:p w14:paraId="248E72D2" w14:textId="3C8261CB" w:rsidR="00BF5438" w:rsidRDefault="005F79F5" w:rsidP="00BF5438">
      <w:pPr>
        <w:pStyle w:val="Heading4"/>
      </w:pPr>
      <w:r>
        <w:t>Clinical Note Provider</w:t>
      </w:r>
      <w:r w:rsidR="00EB1DEC">
        <w:t xml:space="preserve"> and Clinic</w:t>
      </w:r>
    </w:p>
    <w:p w14:paraId="095D8434" w14:textId="0BCEA698" w:rsidR="005F79F5" w:rsidRDefault="00EB1DEC" w:rsidP="00BF5438">
      <w:pPr>
        <w:pStyle w:val="BodyText"/>
      </w:pPr>
      <w:r>
        <w:t>When you add a clinical note, you assign</w:t>
      </w:r>
      <w:r w:rsidR="005F79F5">
        <w:t xml:space="preserve"> a provider and clinic.  </w:t>
      </w:r>
    </w:p>
    <w:p w14:paraId="5AB9013C" w14:textId="77777777" w:rsidR="00BF5438" w:rsidRDefault="005F79F5" w:rsidP="00BF5438">
      <w:pPr>
        <w:pStyle w:val="Heading4"/>
      </w:pPr>
      <w:r>
        <w:t>Clinical Note Locking</w:t>
      </w:r>
    </w:p>
    <w:p w14:paraId="63A579B5" w14:textId="11D9CAF2" w:rsidR="005F79F5" w:rsidRDefault="005F79F5" w:rsidP="00BF5438">
      <w:pPr>
        <w:pStyle w:val="BodyText"/>
      </w:pPr>
      <w:r>
        <w:t xml:space="preserve">A provider can digitally sign a clinical note to indicate his or her approval of the note. Signing a clinical note locks it to prevent changes from being made to the text and to prevent the note from being deleted.  </w:t>
      </w:r>
    </w:p>
    <w:p w14:paraId="5E3B0525" w14:textId="633A8A42" w:rsidR="005F79F5" w:rsidRPr="00EB1DEC" w:rsidRDefault="005F79F5" w:rsidP="00BF5438">
      <w:pPr>
        <w:pStyle w:val="BodyText"/>
        <w:rPr>
          <w:i/>
          <w:iCs/>
        </w:rPr>
      </w:pPr>
      <w:r w:rsidRPr="00EB1DEC">
        <w:rPr>
          <w:b/>
          <w:bCs/>
          <w:i/>
          <w:iCs/>
        </w:rPr>
        <w:t>Workflow Insight</w:t>
      </w:r>
      <w:r w:rsidRPr="00EB1DEC">
        <w:rPr>
          <w:i/>
          <w:iCs/>
        </w:rPr>
        <w:t>: Depending upon certain global settings, clinical note locking can be accomplished automatically</w:t>
      </w:r>
      <w:r w:rsidR="00EB1DEC" w:rsidRPr="00EB1DEC">
        <w:rPr>
          <w:i/>
          <w:iCs/>
        </w:rPr>
        <w:t xml:space="preserve"> or</w:t>
      </w:r>
      <w:r w:rsidRPr="00EB1DEC">
        <w:rPr>
          <w:i/>
          <w:iCs/>
        </w:rPr>
        <w:t xml:space="preserve"> during the month end process, or </w:t>
      </w:r>
      <w:r w:rsidR="00EB1DEC" w:rsidRPr="00EB1DEC">
        <w:rPr>
          <w:i/>
          <w:iCs/>
        </w:rPr>
        <w:t xml:space="preserve">it can be </w:t>
      </w:r>
      <w:r w:rsidRPr="00EB1DEC">
        <w:rPr>
          <w:i/>
          <w:iCs/>
        </w:rPr>
        <w:t xml:space="preserve">removed as an option from the clinical notes. </w:t>
      </w:r>
    </w:p>
    <w:p w14:paraId="620D48DF" w14:textId="77777777" w:rsidR="00BF5438" w:rsidRDefault="005F79F5" w:rsidP="00BF5438">
      <w:pPr>
        <w:pStyle w:val="Heading4"/>
      </w:pPr>
      <w:r>
        <w:lastRenderedPageBreak/>
        <w:t>Signature Manager</w:t>
      </w:r>
    </w:p>
    <w:p w14:paraId="194147F7" w14:textId="389F38B7" w:rsidR="005F79F5" w:rsidRDefault="00EB1DEC" w:rsidP="004A2A35">
      <w:pPr>
        <w:pStyle w:val="BodyText"/>
        <w:keepNext/>
        <w:keepLines/>
      </w:pPr>
      <w:r>
        <w:t>Providers and use S</w:t>
      </w:r>
      <w:r w:rsidR="005F79F5">
        <w:t xml:space="preserve">ignature </w:t>
      </w:r>
      <w:r>
        <w:t>M</w:t>
      </w:r>
      <w:r w:rsidR="005F79F5">
        <w:t xml:space="preserve">anager to identify the clinical notes that have not been completed or </w:t>
      </w:r>
      <w:r>
        <w:t xml:space="preserve">that </w:t>
      </w:r>
      <w:r w:rsidR="005F79F5">
        <w:t>need to be signed.</w:t>
      </w:r>
    </w:p>
    <w:p w14:paraId="78729B4E" w14:textId="71F44094" w:rsidR="005F79F5" w:rsidRPr="00EB1DEC" w:rsidRDefault="005F79F5" w:rsidP="00BF5438">
      <w:pPr>
        <w:pStyle w:val="BodyText"/>
        <w:rPr>
          <w:i/>
          <w:iCs/>
        </w:rPr>
      </w:pPr>
      <w:r w:rsidRPr="00EB1DEC">
        <w:rPr>
          <w:b/>
          <w:bCs/>
          <w:i/>
          <w:iCs/>
        </w:rPr>
        <w:t>Operations Insight</w:t>
      </w:r>
      <w:r w:rsidR="00BF5438" w:rsidRPr="00EB1DEC">
        <w:rPr>
          <w:i/>
          <w:iCs/>
        </w:rPr>
        <w:t xml:space="preserve">: </w:t>
      </w:r>
      <w:r w:rsidRPr="00EB1DEC">
        <w:rPr>
          <w:i/>
          <w:iCs/>
        </w:rPr>
        <w:t xml:space="preserve">This tool can also be used for workflow accountability review. It </w:t>
      </w:r>
      <w:r w:rsidR="00EB1DEC" w:rsidRPr="00EB1DEC">
        <w:rPr>
          <w:i/>
          <w:iCs/>
        </w:rPr>
        <w:t>allows you</w:t>
      </w:r>
      <w:r w:rsidRPr="00EB1DEC">
        <w:rPr>
          <w:i/>
          <w:iCs/>
        </w:rPr>
        <w:t xml:space="preserve"> to proactively identify the clinics or providers that have </w:t>
      </w:r>
      <w:r w:rsidR="00EB1DEC">
        <w:rPr>
          <w:i/>
          <w:iCs/>
        </w:rPr>
        <w:t xml:space="preserve">clinical </w:t>
      </w:r>
      <w:r w:rsidRPr="00EB1DEC">
        <w:rPr>
          <w:i/>
          <w:iCs/>
        </w:rPr>
        <w:t xml:space="preserve">notes </w:t>
      </w:r>
      <w:r w:rsidR="00EB1DEC" w:rsidRPr="00EB1DEC">
        <w:rPr>
          <w:i/>
          <w:iCs/>
        </w:rPr>
        <w:t>needing</w:t>
      </w:r>
      <w:r w:rsidRPr="00EB1DEC">
        <w:rPr>
          <w:i/>
          <w:iCs/>
        </w:rPr>
        <w:t xml:space="preserve"> completion or signatures.</w:t>
      </w:r>
    </w:p>
    <w:p w14:paraId="7EDF84CD" w14:textId="77777777" w:rsidR="00BF5438" w:rsidRDefault="005F79F5" w:rsidP="00BF5438">
      <w:pPr>
        <w:pStyle w:val="Heading4"/>
      </w:pPr>
      <w:r>
        <w:t>Addendums</w:t>
      </w:r>
    </w:p>
    <w:p w14:paraId="6E8D7AEF" w14:textId="4B6E098E" w:rsidR="005F79F5" w:rsidRDefault="005F79F5" w:rsidP="00BF5438">
      <w:pPr>
        <w:pStyle w:val="BodyText"/>
      </w:pPr>
      <w:r>
        <w:t xml:space="preserve">Once a clinical note is signed and locked into history, </w:t>
      </w:r>
      <w:r w:rsidR="00EB1DEC">
        <w:t xml:space="preserve">you can record </w:t>
      </w:r>
      <w:r>
        <w:t xml:space="preserve">any changes or updates as an addendum to the original note. Addendums allow you to maintain the integrity of clinical notes as they are documented </w:t>
      </w:r>
      <w:r w:rsidR="00EB1DEC">
        <w:t xml:space="preserve">while allowing for </w:t>
      </w:r>
      <w:r>
        <w:t>updated information</w:t>
      </w:r>
      <w:r w:rsidR="00EB1DEC">
        <w:t xml:space="preserve"> to be shown</w:t>
      </w:r>
      <w:r>
        <w:t xml:space="preserve">.  </w:t>
      </w:r>
    </w:p>
    <w:p w14:paraId="44B2026F" w14:textId="57715A23" w:rsidR="005F79F5" w:rsidRDefault="005F79F5" w:rsidP="00D42C5A">
      <w:pPr>
        <w:pStyle w:val="Heading3"/>
      </w:pPr>
      <w:bookmarkStart w:id="160" w:name="_Toc135416713"/>
      <w:bookmarkStart w:id="161" w:name="_Toc146183314"/>
      <w:r>
        <w:t>Perio Charting</w:t>
      </w:r>
      <w:bookmarkEnd w:id="160"/>
      <w:bookmarkEnd w:id="161"/>
    </w:p>
    <w:p w14:paraId="329BCA7B" w14:textId="756EAABA" w:rsidR="00EB1DEC" w:rsidRPr="00EB1DEC" w:rsidRDefault="00EB1DEC" w:rsidP="00EB1DEC">
      <w:pPr>
        <w:pStyle w:val="BodyText"/>
      </w:pPr>
      <w:r>
        <w:t>Dentrix Enterprise provides tools for recording periodontal data.</w:t>
      </w:r>
    </w:p>
    <w:p w14:paraId="7C142D78" w14:textId="77777777" w:rsidR="005F79F5" w:rsidRDefault="005F79F5" w:rsidP="005F79F5">
      <w:pPr>
        <w:pStyle w:val="BodyText"/>
      </w:pPr>
      <w:r w:rsidRPr="00A37B2A">
        <w:rPr>
          <w:color w:val="00B050"/>
        </w:rPr>
        <w:t>&lt;&lt;Insert Perio charting decision support/SOP/guidelines here&gt;&gt;</w:t>
      </w:r>
    </w:p>
    <w:p w14:paraId="2A4C936A" w14:textId="77777777" w:rsidR="00BF5438" w:rsidRDefault="005F79F5" w:rsidP="00BF5438">
      <w:pPr>
        <w:pStyle w:val="Heading4"/>
      </w:pPr>
      <w:r>
        <w:t>Charting Data Capture</w:t>
      </w:r>
    </w:p>
    <w:p w14:paraId="711E1AAE" w14:textId="5126E943" w:rsidR="005F79F5" w:rsidRDefault="005F79F5" w:rsidP="005F79F5">
      <w:pPr>
        <w:pStyle w:val="BodyText"/>
      </w:pPr>
      <w:r>
        <w:t>Perio exam methods and philosophies differ from provider to provider. To facilitate different charting styles, Perio Chart allows a provider to set up scripts and paths that represent his or her preferred method of examination.</w:t>
      </w:r>
    </w:p>
    <w:p w14:paraId="01972DEA" w14:textId="43FC6349" w:rsidR="00BF5438" w:rsidRDefault="005F79F5" w:rsidP="00BF5438">
      <w:pPr>
        <w:pStyle w:val="Heading4"/>
      </w:pPr>
      <w:r>
        <w:t xml:space="preserve">Exam </w:t>
      </w:r>
      <w:r w:rsidR="00EB1DEC">
        <w:t>O</w:t>
      </w:r>
      <w:r>
        <w:t>rder</w:t>
      </w:r>
    </w:p>
    <w:p w14:paraId="2AF282A4" w14:textId="24D49C74" w:rsidR="005F79F5" w:rsidRDefault="00EB1DEC" w:rsidP="005F79F5">
      <w:pPr>
        <w:pStyle w:val="BodyText"/>
      </w:pPr>
      <w:r>
        <w:t>You can specify</w:t>
      </w:r>
      <w:r w:rsidR="005F79F5">
        <w:t xml:space="preserve"> how the perio exam progresses through the mouth. Path settings dictate the sequential order of movement through the probing areas of each individual tooth. Since each care provider will not take the same measurements in the same order, Dentrix Enterprise allows the path settings to be customized.</w:t>
      </w:r>
    </w:p>
    <w:p w14:paraId="19B6258B" w14:textId="227542A3" w:rsidR="00BF5438" w:rsidRDefault="005F79F5" w:rsidP="00BF5438">
      <w:pPr>
        <w:pStyle w:val="Heading4"/>
      </w:pPr>
      <w:r>
        <w:t>Measurement Calculations (CAL</w:t>
      </w:r>
      <w:r w:rsidR="00184B0C">
        <w:t xml:space="preserve"> </w:t>
      </w:r>
      <w:r>
        <w:t>=</w:t>
      </w:r>
      <w:r w:rsidR="00184B0C">
        <w:t xml:space="preserve"> </w:t>
      </w:r>
      <w:r>
        <w:t>PD + GM)</w:t>
      </w:r>
    </w:p>
    <w:p w14:paraId="348AAA1E" w14:textId="582CFE5C" w:rsidR="005F79F5" w:rsidRDefault="005F79F5" w:rsidP="005F79F5">
      <w:pPr>
        <w:pStyle w:val="BodyText"/>
      </w:pPr>
      <w:r>
        <w:t>Wh</w:t>
      </w:r>
      <w:r w:rsidR="00EB1DEC">
        <w:t xml:space="preserve">ile </w:t>
      </w:r>
      <w:r>
        <w:t xml:space="preserve">performing a periodontal exam, it is important to remember that the pocket depth, gingival margin, and clinical attachment level measurements have a mathematical relationship. That relationship is such that, given any two of the three measurements, you can mathematically calculate the third. With that in mind, you can enter two measurements; and, based on your chosen calculation method, Dentrix Enterprise will automatically calculate and input the third measurement for you. </w:t>
      </w:r>
    </w:p>
    <w:p w14:paraId="3D7212DB" w14:textId="77777777" w:rsidR="00BF5438" w:rsidRDefault="005F79F5" w:rsidP="00BF5438">
      <w:pPr>
        <w:pStyle w:val="Heading4"/>
      </w:pPr>
      <w:r>
        <w:lastRenderedPageBreak/>
        <w:t>Exam Diagnostics</w:t>
      </w:r>
    </w:p>
    <w:p w14:paraId="46AD00E3" w14:textId="641E1363" w:rsidR="005F79F5" w:rsidRDefault="005F79F5" w:rsidP="004A2A35">
      <w:pPr>
        <w:pStyle w:val="BodyText"/>
        <w:keepNext/>
        <w:keepLines/>
      </w:pPr>
      <w:r>
        <w:t xml:space="preserve">In addition to perio measurements, you can add other perio data to the current perio exam. You can use this data to create customized letters for insurance companies, patients, and clinical notes.  </w:t>
      </w:r>
    </w:p>
    <w:p w14:paraId="7607E2F2" w14:textId="31357DA6" w:rsidR="005F79F5" w:rsidRDefault="005F79F5" w:rsidP="004A2A35">
      <w:pPr>
        <w:pStyle w:val="BodyText"/>
        <w:keepNext/>
        <w:keepLines/>
        <w:numPr>
          <w:ilvl w:val="0"/>
          <w:numId w:val="6"/>
        </w:numPr>
        <w:ind w:left="540"/>
      </w:pPr>
      <w:r w:rsidRPr="00BF5438">
        <w:rPr>
          <w:b/>
          <w:bCs/>
        </w:rPr>
        <w:t>Notes</w:t>
      </w:r>
      <w:r w:rsidR="00BF5438">
        <w:t xml:space="preserve"> </w:t>
      </w:r>
      <w:r w:rsidR="00475EC8">
        <w:t>–</w:t>
      </w:r>
      <w:r>
        <w:t xml:space="preserve"> This section has a predefined selection of options to identify the condition of the patient's gingiva, X-</w:t>
      </w:r>
      <w:r w:rsidR="00475EC8">
        <w:t>r</w:t>
      </w:r>
      <w:r>
        <w:t>ays, oral hygiene, patient status</w:t>
      </w:r>
      <w:r w:rsidR="00475EC8">
        <w:t>,</w:t>
      </w:r>
      <w:r>
        <w:t xml:space="preserve"> and perio status.  </w:t>
      </w:r>
    </w:p>
    <w:p w14:paraId="279A5FFE" w14:textId="516B1B9B" w:rsidR="005F79F5" w:rsidRDefault="005F79F5" w:rsidP="004A2A35">
      <w:pPr>
        <w:pStyle w:val="BodyText"/>
        <w:keepNext/>
        <w:keepLines/>
        <w:numPr>
          <w:ilvl w:val="0"/>
          <w:numId w:val="6"/>
        </w:numPr>
        <w:ind w:left="540"/>
      </w:pPr>
      <w:r w:rsidRPr="00BF5438">
        <w:rPr>
          <w:b/>
          <w:bCs/>
        </w:rPr>
        <w:t>Summary</w:t>
      </w:r>
      <w:r w:rsidR="00BF5438">
        <w:t xml:space="preserve"> </w:t>
      </w:r>
      <w:r w:rsidR="00475EC8">
        <w:t>–</w:t>
      </w:r>
      <w:r w:rsidR="00BF5438">
        <w:t xml:space="preserve"> </w:t>
      </w:r>
      <w:r>
        <w:t xml:space="preserve">The summary totals provide statistics about the patient’s perio condition, probing depths, and clinical attachment levels. </w:t>
      </w:r>
    </w:p>
    <w:p w14:paraId="1FDEBCE4" w14:textId="77777777" w:rsidR="00573CA6" w:rsidRDefault="005F79F5" w:rsidP="004A2A35">
      <w:pPr>
        <w:pStyle w:val="BodyText"/>
        <w:keepNext/>
        <w:keepLines/>
        <w:numPr>
          <w:ilvl w:val="0"/>
          <w:numId w:val="6"/>
        </w:numPr>
        <w:ind w:left="540"/>
      </w:pPr>
      <w:r w:rsidRPr="00BF5438">
        <w:rPr>
          <w:b/>
          <w:bCs/>
        </w:rPr>
        <w:t>Periodontal Case Type</w:t>
      </w:r>
      <w:r w:rsidR="00BF5438">
        <w:t xml:space="preserve"> </w:t>
      </w:r>
      <w:r w:rsidR="00475EC8">
        <w:t xml:space="preserve">– </w:t>
      </w:r>
      <w:r>
        <w:t>Types 1</w:t>
      </w:r>
      <w:r w:rsidR="00475EC8">
        <w:t>–</w:t>
      </w:r>
      <w:r>
        <w:t>5 are available to identify a patient’s periodontal case type.</w:t>
      </w:r>
    </w:p>
    <w:p w14:paraId="68615356" w14:textId="5E316E1A" w:rsidR="005F79F5" w:rsidRPr="00573CA6" w:rsidRDefault="00573CA6" w:rsidP="00573CA6">
      <w:pPr>
        <w:pStyle w:val="BodyText"/>
        <w:ind w:left="540"/>
        <w:rPr>
          <w:i/>
          <w:iCs/>
        </w:rPr>
      </w:pPr>
      <w:r w:rsidRPr="00573CA6">
        <w:rPr>
          <w:b/>
          <w:bCs/>
          <w:i/>
          <w:iCs/>
        </w:rPr>
        <w:t>Note</w:t>
      </w:r>
      <w:r w:rsidRPr="00573CA6">
        <w:rPr>
          <w:i/>
          <w:iCs/>
        </w:rPr>
        <w:t xml:space="preserve">: </w:t>
      </w:r>
      <w:r w:rsidR="005F79F5" w:rsidRPr="00573CA6">
        <w:rPr>
          <w:i/>
          <w:iCs/>
        </w:rPr>
        <w:t>A new set of guidelines were released in 2017. These guidelines still reflect the previous classifications published in 1999.</w:t>
      </w:r>
    </w:p>
    <w:p w14:paraId="2600D3BD" w14:textId="77777777" w:rsidR="00BF5438" w:rsidRDefault="005F79F5" w:rsidP="00BF5438">
      <w:pPr>
        <w:pStyle w:val="Heading4"/>
      </w:pPr>
      <w:r>
        <w:t>Access / Review</w:t>
      </w:r>
    </w:p>
    <w:p w14:paraId="78C6EFB1" w14:textId="2935E11A" w:rsidR="005F79F5" w:rsidRDefault="00184B0C" w:rsidP="005F79F5">
      <w:pPr>
        <w:pStyle w:val="BodyText"/>
      </w:pPr>
      <w:r>
        <w:t>Perio Chart</w:t>
      </w:r>
      <w:r w:rsidR="005F79F5">
        <w:t xml:space="preserve"> stores all </w:t>
      </w:r>
      <w:r>
        <w:t xml:space="preserve">periodontal </w:t>
      </w:r>
      <w:r w:rsidR="005F79F5">
        <w:t>charting for historic review.</w:t>
      </w:r>
    </w:p>
    <w:p w14:paraId="02E65742" w14:textId="36DE3F7C" w:rsidR="005F79F5" w:rsidRPr="001B3803" w:rsidRDefault="005F79F5">
      <w:pPr>
        <w:pStyle w:val="BodyText"/>
        <w:numPr>
          <w:ilvl w:val="0"/>
          <w:numId w:val="50"/>
        </w:numPr>
        <w:ind w:left="540"/>
      </w:pPr>
      <w:r w:rsidRPr="001B3803">
        <w:rPr>
          <w:b/>
          <w:bCs/>
        </w:rPr>
        <w:t>Internal</w:t>
      </w:r>
      <w:r w:rsidR="001B3803">
        <w:t xml:space="preserve"> – A completed</w:t>
      </w:r>
      <w:r w:rsidRPr="001B3803">
        <w:t xml:space="preserve"> perio exam is stored </w:t>
      </w:r>
      <w:r w:rsidR="001B3803">
        <w:t>in your d</w:t>
      </w:r>
      <w:r w:rsidRPr="001B3803">
        <w:t xml:space="preserve">atabase </w:t>
      </w:r>
      <w:r w:rsidR="001B3803">
        <w:t xml:space="preserve">and is available </w:t>
      </w:r>
      <w:r w:rsidRPr="001B3803">
        <w:t xml:space="preserve">for further review, patient education, and/or attaching to an insurance claim. </w:t>
      </w:r>
    </w:p>
    <w:p w14:paraId="59AE3F7D" w14:textId="576FB0E5" w:rsidR="005F79F5" w:rsidRPr="001B3803" w:rsidRDefault="005F79F5">
      <w:pPr>
        <w:pStyle w:val="BodyText"/>
        <w:numPr>
          <w:ilvl w:val="0"/>
          <w:numId w:val="50"/>
        </w:numPr>
        <w:ind w:left="1080"/>
      </w:pPr>
      <w:r w:rsidRPr="00425AEA">
        <w:rPr>
          <w:b/>
          <w:bCs/>
        </w:rPr>
        <w:t xml:space="preserve">Graphic </w:t>
      </w:r>
      <w:r w:rsidR="00425AEA">
        <w:rPr>
          <w:b/>
          <w:bCs/>
        </w:rPr>
        <w:t>c</w:t>
      </w:r>
      <w:r w:rsidRPr="00425AEA">
        <w:rPr>
          <w:b/>
          <w:bCs/>
        </w:rPr>
        <w:t>hart</w:t>
      </w:r>
      <w:r w:rsidR="001B3803">
        <w:t xml:space="preserve"> – </w:t>
      </w:r>
      <w:r w:rsidRPr="001B3803">
        <w:t xml:space="preserve">The graphic chart view displays the numeric perio data </w:t>
      </w:r>
      <w:r w:rsidR="00425AEA">
        <w:t>in</w:t>
      </w:r>
      <w:r w:rsidRPr="001B3803">
        <w:t xml:space="preserve"> a graphical representation. A legend appears at the bottom of the chart to explain the chart symbols. </w:t>
      </w:r>
      <w:r w:rsidR="00425AEA">
        <w:t>You cannot add or change d</w:t>
      </w:r>
      <w:r w:rsidRPr="001B3803">
        <w:t>ata in the graphic chart view.</w:t>
      </w:r>
    </w:p>
    <w:p w14:paraId="0CC68751" w14:textId="66EED6AE" w:rsidR="005F79F5" w:rsidRDefault="005F79F5">
      <w:pPr>
        <w:pStyle w:val="BodyText"/>
        <w:numPr>
          <w:ilvl w:val="0"/>
          <w:numId w:val="50"/>
        </w:numPr>
        <w:ind w:left="1080"/>
      </w:pPr>
      <w:r w:rsidRPr="00425AEA">
        <w:rPr>
          <w:b/>
          <w:bCs/>
        </w:rPr>
        <w:t xml:space="preserve">Exam </w:t>
      </w:r>
      <w:r w:rsidR="00425AEA" w:rsidRPr="00425AEA">
        <w:rPr>
          <w:b/>
          <w:bCs/>
        </w:rPr>
        <w:t>c</w:t>
      </w:r>
      <w:r w:rsidRPr="00425AEA">
        <w:rPr>
          <w:b/>
          <w:bCs/>
        </w:rPr>
        <w:t>omparison</w:t>
      </w:r>
      <w:r w:rsidR="001B3803">
        <w:t xml:space="preserve"> – </w:t>
      </w:r>
      <w:r w:rsidRPr="001B3803">
        <w:t>To help you educate your patients regarding periodontal disease progression, you can compar</w:t>
      </w:r>
      <w:r>
        <w:t>e up to four saved perio exams with the current exam.</w:t>
      </w:r>
    </w:p>
    <w:p w14:paraId="3741DDEE" w14:textId="4FA4D3B0" w:rsidR="005F79F5" w:rsidRDefault="001B3803">
      <w:pPr>
        <w:pStyle w:val="BodyText"/>
        <w:numPr>
          <w:ilvl w:val="0"/>
          <w:numId w:val="50"/>
        </w:numPr>
        <w:ind w:left="1080"/>
      </w:pPr>
      <w:r w:rsidRPr="00425AEA">
        <w:rPr>
          <w:b/>
          <w:bCs/>
        </w:rPr>
        <w:t>Claims</w:t>
      </w:r>
      <w:r>
        <w:t xml:space="preserve"> – </w:t>
      </w:r>
      <w:r w:rsidR="005F79F5">
        <w:t>To attach a perio chart to a claim, open the include attachments window</w:t>
      </w:r>
      <w:r w:rsidR="00425AEA">
        <w:t>,</w:t>
      </w:r>
      <w:r w:rsidR="005F79F5">
        <w:t xml:space="preserve"> and </w:t>
      </w:r>
      <w:r w:rsidR="003A71E1">
        <w:t xml:space="preserve">then </w:t>
      </w:r>
      <w:r w:rsidR="00425AEA">
        <w:t xml:space="preserve">click </w:t>
      </w:r>
      <w:r w:rsidR="00425AEA" w:rsidRPr="00425AEA">
        <w:rPr>
          <w:b/>
          <w:bCs/>
        </w:rPr>
        <w:t>Import Perio Chart</w:t>
      </w:r>
      <w:r w:rsidR="00425AEA">
        <w:t xml:space="preserve"> </w:t>
      </w:r>
      <w:r w:rsidR="005F79F5">
        <w:t xml:space="preserve">to select </w:t>
      </w:r>
      <w:r w:rsidR="00425AEA">
        <w:t xml:space="preserve">the date of </w:t>
      </w:r>
      <w:r w:rsidR="005F79F5">
        <w:t xml:space="preserve">the perio exam to attach. </w:t>
      </w:r>
    </w:p>
    <w:p w14:paraId="74EBD371" w14:textId="48C07DA6" w:rsidR="005F79F5" w:rsidRPr="00425AEA" w:rsidRDefault="005F79F5" w:rsidP="00BF5438">
      <w:pPr>
        <w:pStyle w:val="BodyText"/>
        <w:ind w:left="1080"/>
        <w:rPr>
          <w:i/>
          <w:iCs/>
        </w:rPr>
      </w:pPr>
      <w:r w:rsidRPr="00425AEA">
        <w:rPr>
          <w:b/>
          <w:bCs/>
          <w:i/>
          <w:iCs/>
        </w:rPr>
        <w:t xml:space="preserve">Operations </w:t>
      </w:r>
      <w:r w:rsidR="001B3803" w:rsidRPr="00425AEA">
        <w:rPr>
          <w:b/>
          <w:bCs/>
          <w:i/>
          <w:iCs/>
        </w:rPr>
        <w:t>I</w:t>
      </w:r>
      <w:r w:rsidRPr="00425AEA">
        <w:rPr>
          <w:b/>
          <w:bCs/>
          <w:i/>
          <w:iCs/>
        </w:rPr>
        <w:t>nsight</w:t>
      </w:r>
      <w:r w:rsidR="001B3803" w:rsidRPr="00425AEA">
        <w:rPr>
          <w:i/>
          <w:iCs/>
        </w:rPr>
        <w:t xml:space="preserve">: </w:t>
      </w:r>
      <w:r w:rsidRPr="00425AEA">
        <w:rPr>
          <w:i/>
          <w:iCs/>
        </w:rPr>
        <w:t xml:space="preserve">All users must be pointed to the same letter template path </w:t>
      </w:r>
      <w:r w:rsidR="00425AEA">
        <w:rPr>
          <w:i/>
          <w:iCs/>
        </w:rPr>
        <w:t xml:space="preserve">to allow </w:t>
      </w:r>
      <w:r w:rsidR="003A71E1">
        <w:rPr>
          <w:i/>
          <w:iCs/>
        </w:rPr>
        <w:t xml:space="preserve">a person to attach </w:t>
      </w:r>
      <w:r w:rsidR="00425AEA">
        <w:rPr>
          <w:i/>
          <w:iCs/>
        </w:rPr>
        <w:t>a</w:t>
      </w:r>
      <w:r w:rsidRPr="00425AEA">
        <w:rPr>
          <w:i/>
          <w:iCs/>
        </w:rPr>
        <w:t xml:space="preserve"> perio chart to </w:t>
      </w:r>
      <w:r w:rsidR="00425AEA">
        <w:rPr>
          <w:i/>
          <w:iCs/>
        </w:rPr>
        <w:t>a</w:t>
      </w:r>
      <w:r w:rsidRPr="00425AEA">
        <w:rPr>
          <w:i/>
          <w:iCs/>
        </w:rPr>
        <w:t xml:space="preserve"> claim and then </w:t>
      </w:r>
      <w:r w:rsidR="003A71E1">
        <w:rPr>
          <w:i/>
          <w:iCs/>
        </w:rPr>
        <w:t>another person to submit that claim</w:t>
      </w:r>
      <w:r w:rsidRPr="00425AEA">
        <w:rPr>
          <w:i/>
          <w:iCs/>
        </w:rPr>
        <w:t>.</w:t>
      </w:r>
    </w:p>
    <w:p w14:paraId="161B8A0B" w14:textId="24CCD1FA" w:rsidR="005F79F5" w:rsidRDefault="005F79F5">
      <w:pPr>
        <w:pStyle w:val="BodyText"/>
        <w:numPr>
          <w:ilvl w:val="0"/>
          <w:numId w:val="50"/>
        </w:numPr>
        <w:ind w:left="540"/>
      </w:pPr>
      <w:r w:rsidRPr="00BF5438">
        <w:rPr>
          <w:b/>
          <w:bCs/>
        </w:rPr>
        <w:t>Referrals</w:t>
      </w:r>
      <w:r w:rsidR="001B3803">
        <w:t xml:space="preserve"> – </w:t>
      </w:r>
      <w:r w:rsidR="00425AEA">
        <w:t>You can print c</w:t>
      </w:r>
      <w:r>
        <w:t>ustom reports, charts,</w:t>
      </w:r>
      <w:r w:rsidR="00425AEA">
        <w:t xml:space="preserve"> and</w:t>
      </w:r>
      <w:r>
        <w:t xml:space="preserve"> letters to provide </w:t>
      </w:r>
      <w:r w:rsidR="00425AEA">
        <w:t>for</w:t>
      </w:r>
      <w:r>
        <w:t xml:space="preserve"> transitioning a patient’s care to another provider.  </w:t>
      </w:r>
    </w:p>
    <w:p w14:paraId="7984606F" w14:textId="77777777" w:rsidR="00BF5438" w:rsidRDefault="005F79F5" w:rsidP="00D42C5A">
      <w:pPr>
        <w:pStyle w:val="Heading3"/>
      </w:pPr>
      <w:bookmarkStart w:id="162" w:name="_Toc135416714"/>
      <w:bookmarkStart w:id="163" w:name="_Toc146183315"/>
      <w:r>
        <w:t>Supporting Documentation</w:t>
      </w:r>
      <w:bookmarkEnd w:id="162"/>
      <w:bookmarkEnd w:id="163"/>
    </w:p>
    <w:p w14:paraId="381516BB" w14:textId="6204305D" w:rsidR="005F79F5" w:rsidRDefault="005F79F5" w:rsidP="005F79F5">
      <w:pPr>
        <w:pStyle w:val="BodyText"/>
      </w:pPr>
      <w:r>
        <w:t xml:space="preserve">Maintaining </w:t>
      </w:r>
      <w:r w:rsidR="003A71E1">
        <w:t>supporting clinical</w:t>
      </w:r>
      <w:r>
        <w:t xml:space="preserve"> documentation </w:t>
      </w:r>
      <w:r w:rsidR="00E80A35">
        <w:t>is required for proper diagnosis and treatment.</w:t>
      </w:r>
      <w:r>
        <w:t xml:space="preserve"> </w:t>
      </w:r>
    </w:p>
    <w:p w14:paraId="1C15E1D2" w14:textId="2AEB35BC" w:rsidR="005F79F5" w:rsidRDefault="005F79F5" w:rsidP="00BF5438">
      <w:pPr>
        <w:pStyle w:val="Heading4"/>
      </w:pPr>
      <w:r>
        <w:t>Radiographs</w:t>
      </w:r>
    </w:p>
    <w:p w14:paraId="0E84FF9F" w14:textId="3A35994D" w:rsidR="005F79F5" w:rsidRPr="003A71E1" w:rsidRDefault="005F79F5">
      <w:pPr>
        <w:pStyle w:val="BodyText"/>
        <w:numPr>
          <w:ilvl w:val="0"/>
          <w:numId w:val="50"/>
        </w:numPr>
        <w:ind w:left="540"/>
      </w:pPr>
      <w:r w:rsidRPr="00E80A35">
        <w:rPr>
          <w:b/>
          <w:bCs/>
        </w:rPr>
        <w:t>D</w:t>
      </w:r>
      <w:r w:rsidR="00E80A35" w:rsidRPr="00E80A35">
        <w:rPr>
          <w:b/>
          <w:bCs/>
        </w:rPr>
        <w:t>EXIS</w:t>
      </w:r>
      <w:r w:rsidR="003A71E1">
        <w:t xml:space="preserve"> – </w:t>
      </w:r>
      <w:r w:rsidRPr="003A71E1">
        <w:t>If you purchase and install D</w:t>
      </w:r>
      <w:r w:rsidR="00E80A35">
        <w:t>EXIS</w:t>
      </w:r>
      <w:r w:rsidRPr="003A71E1">
        <w:t>, you can integrate this third-party digital imaging program with Dentrix Enterprise. With Dexis installed, you can access any images that were acquired or imported into D</w:t>
      </w:r>
      <w:r w:rsidR="00E80A35">
        <w:t>EXIS</w:t>
      </w:r>
      <w:r w:rsidRPr="003A71E1">
        <w:t xml:space="preserve"> for a patient. </w:t>
      </w:r>
      <w:r w:rsidR="00E80A35">
        <w:t>You can attach i</w:t>
      </w:r>
      <w:r w:rsidRPr="003A71E1">
        <w:t xml:space="preserve">mages in </w:t>
      </w:r>
      <w:r w:rsidR="00E80A35">
        <w:t>DEXIS</w:t>
      </w:r>
      <w:r w:rsidRPr="003A71E1">
        <w:t xml:space="preserve"> to a claim directly from</w:t>
      </w:r>
      <w:r w:rsidR="00E80A35">
        <w:t xml:space="preserve"> the</w:t>
      </w:r>
      <w:r w:rsidRPr="003A71E1">
        <w:t xml:space="preserve"> </w:t>
      </w:r>
      <w:r w:rsidR="00E80A35">
        <w:t xml:space="preserve">Dentrix </w:t>
      </w:r>
      <w:r w:rsidRPr="003A71E1">
        <w:t>Enterprise</w:t>
      </w:r>
      <w:r w:rsidR="00E80A35">
        <w:t xml:space="preserve"> Ledger</w:t>
      </w:r>
      <w:r w:rsidRPr="003A71E1">
        <w:t xml:space="preserve">.  </w:t>
      </w:r>
    </w:p>
    <w:p w14:paraId="1F4F316F" w14:textId="2DD36AF8" w:rsidR="005F79F5" w:rsidRDefault="005F79F5">
      <w:pPr>
        <w:pStyle w:val="BodyText"/>
        <w:numPr>
          <w:ilvl w:val="0"/>
          <w:numId w:val="50"/>
        </w:numPr>
        <w:ind w:left="540"/>
      </w:pPr>
      <w:proofErr w:type="spellStart"/>
      <w:r w:rsidRPr="00E80A35">
        <w:rPr>
          <w:b/>
          <w:bCs/>
        </w:rPr>
        <w:t>DentriXLink</w:t>
      </w:r>
      <w:proofErr w:type="spellEnd"/>
      <w:r w:rsidR="003A71E1">
        <w:t xml:space="preserve"> – </w:t>
      </w:r>
      <w:r w:rsidRPr="003A71E1">
        <w:t>You can li</w:t>
      </w:r>
      <w:r>
        <w:t xml:space="preserve">nk Dentrix Enterprise with a third-party digital X-ray and imaging system. Depending on your imaging software, where and how you store your </w:t>
      </w:r>
      <w:r w:rsidR="00E80A35">
        <w:t>X</w:t>
      </w:r>
      <w:r>
        <w:t xml:space="preserve">-rays or images may </w:t>
      </w:r>
      <w:r w:rsidR="00E80A35">
        <w:t>vary</w:t>
      </w:r>
      <w:r>
        <w:t xml:space="preserve">.  </w:t>
      </w:r>
    </w:p>
    <w:p w14:paraId="13F62A43" w14:textId="77777777" w:rsidR="00BF5438" w:rsidRDefault="005F79F5" w:rsidP="00BF5438">
      <w:pPr>
        <w:pStyle w:val="Heading4"/>
      </w:pPr>
      <w:r>
        <w:lastRenderedPageBreak/>
        <w:t>Narrative</w:t>
      </w:r>
      <w:r w:rsidR="00BF5438">
        <w:t>s</w:t>
      </w:r>
    </w:p>
    <w:p w14:paraId="3C282B6B" w14:textId="22288CC3" w:rsidR="005F79F5" w:rsidRDefault="005F79F5" w:rsidP="005F79F5">
      <w:pPr>
        <w:pStyle w:val="BodyText"/>
      </w:pPr>
      <w:r>
        <w:t xml:space="preserve">Narratives or remarks are notes that an office can write to </w:t>
      </w:r>
      <w:r w:rsidR="00E80A35">
        <w:t>an</w:t>
      </w:r>
      <w:r>
        <w:t xml:space="preserve"> insurance company if the insurance company requires any sort of narrative or </w:t>
      </w:r>
      <w:r w:rsidR="00E80A35">
        <w:t xml:space="preserve">if </w:t>
      </w:r>
      <w:r>
        <w:t xml:space="preserve">the provider wants to provide expanded information about </w:t>
      </w:r>
      <w:r w:rsidR="00E80A35">
        <w:t>a</w:t>
      </w:r>
      <w:r>
        <w:t xml:space="preserve"> patient’s condition or treatment. </w:t>
      </w:r>
      <w:r w:rsidR="00E80A35">
        <w:t xml:space="preserve">You can add a narrative to a </w:t>
      </w:r>
      <w:r>
        <w:t>claim</w:t>
      </w:r>
      <w:r w:rsidR="00E80A35">
        <w:t xml:space="preserve"> by opening the claim from Ledger and then clicking the </w:t>
      </w:r>
      <w:r w:rsidR="00E80A35" w:rsidRPr="00E80A35">
        <w:rPr>
          <w:b/>
          <w:bCs/>
        </w:rPr>
        <w:t>Note</w:t>
      </w:r>
      <w:r w:rsidR="00E80A35">
        <w:t xml:space="preserve"> menu</w:t>
      </w:r>
      <w:r>
        <w:t xml:space="preserve">.  </w:t>
      </w:r>
    </w:p>
    <w:p w14:paraId="6C167545" w14:textId="77777777" w:rsidR="005F79F5" w:rsidRDefault="005F79F5" w:rsidP="005F79F5">
      <w:pPr>
        <w:pStyle w:val="BodyText"/>
      </w:pPr>
      <w:r w:rsidRPr="00A37B2A">
        <w:rPr>
          <w:color w:val="00B050"/>
        </w:rPr>
        <w:t>&lt;&lt;Insert SOP/Guidance/Decision support on remarks/narratives&gt;&gt;</w:t>
      </w:r>
      <w:r>
        <w:t xml:space="preserve"> </w:t>
      </w:r>
    </w:p>
    <w:p w14:paraId="349DCA42" w14:textId="5CABFBE7" w:rsidR="005F79F5" w:rsidRDefault="005F79F5" w:rsidP="005F79F5">
      <w:pPr>
        <w:pStyle w:val="BodyText"/>
      </w:pPr>
      <w:r>
        <w:t>Sample guid</w:t>
      </w:r>
      <w:r w:rsidR="00E80A35">
        <w:t>elines</w:t>
      </w:r>
      <w:r>
        <w:t xml:space="preserve"> can include </w:t>
      </w:r>
      <w:r w:rsidR="00E80A35">
        <w:t xml:space="preserve">a </w:t>
      </w:r>
      <w:r>
        <w:t xml:space="preserve">clinical team entering specific notes in the procedure notes for direct access </w:t>
      </w:r>
      <w:r w:rsidR="00E80A35">
        <w:t>by</w:t>
      </w:r>
      <w:r>
        <w:t xml:space="preserve"> the revenue cycle or billing team. Alternatively, </w:t>
      </w:r>
      <w:r w:rsidR="00E80A35">
        <w:t xml:space="preserve">clinical teams can use </w:t>
      </w:r>
      <w:r>
        <w:t xml:space="preserve">clinical note templates to incorporate standard remarks or placement of the remarks within the body of the clinical notes.  </w:t>
      </w:r>
    </w:p>
    <w:p w14:paraId="350FA7D8" w14:textId="77777777" w:rsidR="00BF5438" w:rsidRDefault="005F79F5" w:rsidP="00BF5438">
      <w:pPr>
        <w:pStyle w:val="Heading4"/>
      </w:pPr>
      <w:r>
        <w:t>Models/Digital Scans</w:t>
      </w:r>
    </w:p>
    <w:p w14:paraId="246518ED" w14:textId="7859D42B" w:rsidR="005F79F5" w:rsidRDefault="005F79F5" w:rsidP="005F79F5">
      <w:pPr>
        <w:pStyle w:val="BodyText"/>
      </w:pPr>
      <w:r>
        <w:t xml:space="preserve">If you have a DDX (Digital Dental Exchange) account, you can submit cases electronically to labs </w:t>
      </w:r>
      <w:r w:rsidR="00E80A35">
        <w:t>online</w:t>
      </w:r>
      <w:r>
        <w:t xml:space="preserve">.  Signing up for a DDX account is free. The labs to which you want to send cases must also have a DDX account. Also, when you open DDX from Dentrix Enterprise to create a lab case, DDX can pre-populate the online prescription form with basic patient information. With DDX, </w:t>
      </w:r>
      <w:r w:rsidR="00E80A35">
        <w:t>you can</w:t>
      </w:r>
      <w:r>
        <w:t xml:space="preserve"> attach a file to submit with the lab script or select the option to ship specific enclosures with the case.  </w:t>
      </w:r>
    </w:p>
    <w:p w14:paraId="3F742A95" w14:textId="77777777" w:rsidR="00BF5438" w:rsidRDefault="005F79F5" w:rsidP="00BF5438">
      <w:pPr>
        <w:pStyle w:val="Heading4"/>
      </w:pPr>
      <w:r>
        <w:t>Scanned Documentation</w:t>
      </w:r>
    </w:p>
    <w:p w14:paraId="5579F27F" w14:textId="3A70A5C4" w:rsidR="005F79F5" w:rsidRDefault="005F79F5" w:rsidP="005F79F5">
      <w:pPr>
        <w:pStyle w:val="BodyText"/>
      </w:pPr>
      <w:r>
        <w:t xml:space="preserve">Any additional forms, documentation, or other manually obtained clinical information can be stored in </w:t>
      </w:r>
      <w:r w:rsidR="00E80A35">
        <w:t>D</w:t>
      </w:r>
      <w:r>
        <w:t xml:space="preserve">ocument </w:t>
      </w:r>
      <w:r w:rsidR="00E80A35">
        <w:t>C</w:t>
      </w:r>
      <w:r>
        <w:t>enter</w:t>
      </w:r>
      <w:r w:rsidR="00E80A35">
        <w:t>, which you can access</w:t>
      </w:r>
      <w:r>
        <w:t xml:space="preserve"> from all patient</w:t>
      </w:r>
      <w:r w:rsidR="00E80A35">
        <w:t>-</w:t>
      </w:r>
      <w:r>
        <w:t>specific modules</w:t>
      </w:r>
      <w:r w:rsidR="00E80A35">
        <w:t xml:space="preserve"> (such as</w:t>
      </w:r>
      <w:r>
        <w:t xml:space="preserve"> </w:t>
      </w:r>
      <w:r w:rsidR="00E80A35">
        <w:t>C</w:t>
      </w:r>
      <w:r>
        <w:t xml:space="preserve">hart and </w:t>
      </w:r>
      <w:r w:rsidR="00E80A35">
        <w:t>M</w:t>
      </w:r>
      <w:r>
        <w:t xml:space="preserve">ore </w:t>
      </w:r>
      <w:r w:rsidR="00E80A35">
        <w:t>Information)</w:t>
      </w:r>
      <w:r>
        <w:t xml:space="preserve">.  </w:t>
      </w:r>
    </w:p>
    <w:p w14:paraId="71E1DDF2" w14:textId="77777777" w:rsidR="00BF5438" w:rsidRDefault="005F79F5" w:rsidP="00BF5438">
      <w:pPr>
        <w:pStyle w:val="Heading4"/>
      </w:pPr>
      <w:r>
        <w:t>Implantable Devices</w:t>
      </w:r>
    </w:p>
    <w:p w14:paraId="4258C708" w14:textId="2F4AA9F0" w:rsidR="005F79F5" w:rsidRDefault="005F79F5" w:rsidP="005F79F5">
      <w:pPr>
        <w:pStyle w:val="BodyText"/>
      </w:pPr>
      <w:r>
        <w:t>You can now add implantable devices to a patient’s medical alerts. There is a section in Medical Alerts that displays those devices. You can inactivate a device and specify a reason for doing so. If a procedure has been flagged as being for an implantable device, when you treatment plan that procedure, you can attach a device to the procedure by editing it, or you can wait to attach the device until you complete the procedure (when you post a completed procedure for an implantable device, Dentrix Enterprise automatically prompts you to attach a device).</w:t>
      </w:r>
    </w:p>
    <w:p w14:paraId="54F2D8D5" w14:textId="77777777" w:rsidR="00BF5438" w:rsidRDefault="005F79F5" w:rsidP="00BF5438">
      <w:pPr>
        <w:pStyle w:val="Heading4"/>
      </w:pPr>
      <w:r>
        <w:t>Prescriptions</w:t>
      </w:r>
    </w:p>
    <w:p w14:paraId="62D85007" w14:textId="4D44DE3E" w:rsidR="005F79F5" w:rsidRDefault="009C6273" w:rsidP="005F79F5">
      <w:pPr>
        <w:pStyle w:val="BodyText"/>
      </w:pPr>
      <w:r>
        <w:t>You can</w:t>
      </w:r>
      <w:r w:rsidR="005F79F5">
        <w:t xml:space="preserve"> quickly create and accurately track medicines </w:t>
      </w:r>
      <w:r>
        <w:t xml:space="preserve">that are </w:t>
      </w:r>
      <w:r w:rsidR="005F79F5">
        <w:t xml:space="preserve">prescribed </w:t>
      </w:r>
      <w:r>
        <w:t>to</w:t>
      </w:r>
      <w:r w:rsidR="005F79F5">
        <w:t xml:space="preserve"> your patients.</w:t>
      </w:r>
    </w:p>
    <w:p w14:paraId="1F82F962" w14:textId="3C7716EA" w:rsidR="005F79F5" w:rsidRDefault="005F79F5">
      <w:pPr>
        <w:pStyle w:val="BodyText"/>
        <w:numPr>
          <w:ilvl w:val="0"/>
          <w:numId w:val="51"/>
        </w:numPr>
        <w:ind w:left="540"/>
      </w:pPr>
      <w:r w:rsidRPr="00BF5438">
        <w:rPr>
          <w:b/>
          <w:bCs/>
        </w:rPr>
        <w:t>P</w:t>
      </w:r>
      <w:r w:rsidR="009C6273">
        <w:rPr>
          <w:b/>
          <w:bCs/>
        </w:rPr>
        <w:t>atient P</w:t>
      </w:r>
      <w:r w:rsidRPr="00BF5438">
        <w:rPr>
          <w:b/>
          <w:bCs/>
        </w:rPr>
        <w:t>rescription</w:t>
      </w:r>
      <w:r>
        <w:t xml:space="preserve"> </w:t>
      </w:r>
      <w:r w:rsidR="009C6273">
        <w:t>–</w:t>
      </w:r>
      <w:r w:rsidR="0065290E" w:rsidRPr="0065290E">
        <w:t xml:space="preserve"> </w:t>
      </w:r>
      <w:r w:rsidR="0065290E">
        <w:t xml:space="preserve">When you enter a new prescription for a patient in Patient Prescription, it automatically appears in the </w:t>
      </w:r>
      <w:r w:rsidR="0065290E" w:rsidRPr="009C6273">
        <w:rPr>
          <w:b/>
          <w:bCs/>
        </w:rPr>
        <w:t>Medications/Prescriptions</w:t>
      </w:r>
      <w:r w:rsidR="0065290E">
        <w:t xml:space="preserve"> list in Medical Alerts.</w:t>
      </w:r>
      <w:r w:rsidR="009C6273">
        <w:t xml:space="preserve"> </w:t>
      </w:r>
      <w:r>
        <w:t xml:space="preserve">While prescriptions that your office prescribes to </w:t>
      </w:r>
      <w:r w:rsidR="009C6273">
        <w:t>a</w:t>
      </w:r>
      <w:r>
        <w:t xml:space="preserve"> patient appear </w:t>
      </w:r>
      <w:r w:rsidR="009C6273">
        <w:t>in Medical Alerts</w:t>
      </w:r>
      <w:r>
        <w:t xml:space="preserve">, medications are drugs that have not been prescribed by your office and are therefore separate from prescriptions.  </w:t>
      </w:r>
    </w:p>
    <w:p w14:paraId="7EA5DA19" w14:textId="703E02D7" w:rsidR="005F79F5" w:rsidRDefault="005F79F5">
      <w:pPr>
        <w:pStyle w:val="BodyText"/>
        <w:numPr>
          <w:ilvl w:val="0"/>
          <w:numId w:val="51"/>
        </w:numPr>
        <w:ind w:left="540"/>
      </w:pPr>
      <w:proofErr w:type="spellStart"/>
      <w:r w:rsidRPr="00BF5438">
        <w:rPr>
          <w:b/>
          <w:bCs/>
        </w:rPr>
        <w:t>ePrescribe</w:t>
      </w:r>
      <w:proofErr w:type="spellEnd"/>
      <w:r>
        <w:t xml:space="preserve"> </w:t>
      </w:r>
      <w:r w:rsidR="009C6273">
        <w:t xml:space="preserve">– </w:t>
      </w:r>
      <w:proofErr w:type="spellStart"/>
      <w:r>
        <w:t>ePrescribe</w:t>
      </w:r>
      <w:proofErr w:type="spellEnd"/>
      <w:r>
        <w:t xml:space="preserve"> </w:t>
      </w:r>
      <w:r w:rsidR="009C6273">
        <w:t xml:space="preserve">allows you </w:t>
      </w:r>
      <w:r>
        <w:t xml:space="preserve">to </w:t>
      </w:r>
      <w:r w:rsidR="009C6273">
        <w:t xml:space="preserve">enter, transmit, and </w:t>
      </w:r>
      <w:r>
        <w:t>manage prescriptions online.</w:t>
      </w:r>
      <w:r w:rsidR="009C6273">
        <w:t xml:space="preserve"> </w:t>
      </w:r>
      <w:r>
        <w:t xml:space="preserve">This service requires a subscription </w:t>
      </w:r>
      <w:r w:rsidR="009C6273">
        <w:t xml:space="preserve">to be </w:t>
      </w:r>
      <w:r>
        <w:t>purchase</w:t>
      </w:r>
      <w:r w:rsidR="009C6273">
        <w:t>d</w:t>
      </w:r>
      <w:r>
        <w:t xml:space="preserve"> </w:t>
      </w:r>
      <w:r w:rsidR="009C6273">
        <w:t>that includes</w:t>
      </w:r>
      <w:r>
        <w:t xml:space="preserve"> licenses for each individual provider that will be prescribing using this service.  </w:t>
      </w:r>
    </w:p>
    <w:p w14:paraId="3BACE572" w14:textId="15FFD610" w:rsidR="005F79F5" w:rsidRDefault="005F79F5">
      <w:pPr>
        <w:pStyle w:val="BodyText"/>
        <w:numPr>
          <w:ilvl w:val="0"/>
          <w:numId w:val="51"/>
        </w:numPr>
        <w:ind w:left="1080"/>
      </w:pPr>
      <w:r w:rsidRPr="00BF5438">
        <w:rPr>
          <w:b/>
          <w:bCs/>
        </w:rPr>
        <w:t>Decision Support</w:t>
      </w:r>
      <w:r>
        <w:t xml:space="preserve"> – One of the key benefits of </w:t>
      </w:r>
      <w:proofErr w:type="spellStart"/>
      <w:r>
        <w:t>ePrescribe</w:t>
      </w:r>
      <w:proofErr w:type="spellEnd"/>
      <w:r>
        <w:t xml:space="preserve"> is the ability to incorporate decision support into the prescribing workflow. Using </w:t>
      </w:r>
      <w:proofErr w:type="spellStart"/>
      <w:r>
        <w:t>ePrescribe</w:t>
      </w:r>
      <w:proofErr w:type="spellEnd"/>
      <w:r>
        <w:t xml:space="preserve"> improves patient safety with automatic drug interaction checking, dosage checks, adverse reaction checks, and duplicate therapy checks.  </w:t>
      </w:r>
    </w:p>
    <w:p w14:paraId="72EB23B2" w14:textId="3A7138DF" w:rsidR="005F79F5" w:rsidRDefault="005F79F5">
      <w:pPr>
        <w:pStyle w:val="BodyText"/>
        <w:numPr>
          <w:ilvl w:val="0"/>
          <w:numId w:val="51"/>
        </w:numPr>
        <w:ind w:left="1080"/>
      </w:pPr>
      <w:r w:rsidRPr="00BF5438">
        <w:rPr>
          <w:b/>
          <w:bCs/>
        </w:rPr>
        <w:lastRenderedPageBreak/>
        <w:t>Tracking</w:t>
      </w:r>
      <w:r w:rsidR="009C6273">
        <w:t xml:space="preserve"> – When you enter an </w:t>
      </w:r>
      <w:r>
        <w:t>electronic prescription</w:t>
      </w:r>
      <w:r w:rsidR="009C6273">
        <w:t xml:space="preserve"> in</w:t>
      </w:r>
      <w:r>
        <w:t xml:space="preserve"> </w:t>
      </w:r>
      <w:proofErr w:type="spellStart"/>
      <w:r>
        <w:t>ePrescribe</w:t>
      </w:r>
      <w:proofErr w:type="spellEnd"/>
      <w:r>
        <w:t xml:space="preserve">, a CCR file is downloaded and processed for the patient. </w:t>
      </w:r>
      <w:r w:rsidR="009C6273">
        <w:t>You can the</w:t>
      </w:r>
      <w:r w:rsidR="00EC3DF9">
        <w:t>n</w:t>
      </w:r>
      <w:r w:rsidR="009C6273">
        <w:t xml:space="preserve"> r</w:t>
      </w:r>
      <w:r>
        <w:t>econcile</w:t>
      </w:r>
      <w:r w:rsidR="009C6273">
        <w:t xml:space="preserve"> the document</w:t>
      </w:r>
      <w:r>
        <w:t xml:space="preserve"> with the data already in the patient</w:t>
      </w:r>
      <w:r w:rsidR="009C6273">
        <w:t>’</w:t>
      </w:r>
      <w:r>
        <w:t xml:space="preserve">s record in Dentrix Enterprise. For each problem, medication, and allergy, select </w:t>
      </w:r>
      <w:r w:rsidRPr="009C6273">
        <w:rPr>
          <w:b/>
          <w:bCs/>
        </w:rPr>
        <w:t>Keep</w:t>
      </w:r>
      <w:r>
        <w:t xml:space="preserve">, </w:t>
      </w:r>
      <w:r w:rsidRPr="009C6273">
        <w:rPr>
          <w:b/>
          <w:bCs/>
        </w:rPr>
        <w:t>Update</w:t>
      </w:r>
      <w:r>
        <w:t xml:space="preserve">, </w:t>
      </w:r>
      <w:r w:rsidRPr="009C6273">
        <w:rPr>
          <w:b/>
          <w:bCs/>
        </w:rPr>
        <w:t>Inactivate</w:t>
      </w:r>
      <w:r>
        <w:t xml:space="preserve">, or </w:t>
      </w:r>
      <w:r w:rsidRPr="009C6273">
        <w:rPr>
          <w:b/>
          <w:bCs/>
        </w:rPr>
        <w:t>Remove</w:t>
      </w:r>
      <w:r>
        <w:t xml:space="preserve"> from the </w:t>
      </w:r>
      <w:r w:rsidRPr="009C6273">
        <w:rPr>
          <w:b/>
          <w:bCs/>
        </w:rPr>
        <w:t>Action</w:t>
      </w:r>
      <w:r>
        <w:t xml:space="preserve"> list. Data that is removed from Dentrix Enterprise will be available only in an audit trail report. </w:t>
      </w:r>
    </w:p>
    <w:p w14:paraId="0FC296DF" w14:textId="77777777" w:rsidR="00BF5438" w:rsidRDefault="005F79F5" w:rsidP="004267C0">
      <w:pPr>
        <w:pStyle w:val="Heading2"/>
      </w:pPr>
      <w:bookmarkStart w:id="164" w:name="_Toc135416715"/>
      <w:bookmarkStart w:id="165" w:name="_Toc146183316"/>
      <w:r>
        <w:t>Treatment Planning</w:t>
      </w:r>
      <w:bookmarkEnd w:id="164"/>
      <w:bookmarkEnd w:id="165"/>
    </w:p>
    <w:p w14:paraId="7F410E32" w14:textId="3A501481" w:rsidR="005F79F5" w:rsidRDefault="0065290E" w:rsidP="005F79F5">
      <w:pPr>
        <w:pStyle w:val="BodyText"/>
      </w:pPr>
      <w:r>
        <w:t>In Dentrix Enterprise, you can manage</w:t>
      </w:r>
      <w:r w:rsidR="005F79F5">
        <w:t xml:space="preserve"> the progress of planned patient care</w:t>
      </w:r>
      <w:r>
        <w:t xml:space="preserve">. </w:t>
      </w:r>
      <w:r w:rsidR="005F79F5">
        <w:t xml:space="preserve">To maximize the patient experience, you </w:t>
      </w:r>
      <w:r>
        <w:t>should</w:t>
      </w:r>
      <w:r w:rsidR="005F79F5">
        <w:t xml:space="preserve"> make treatment planning customized and personal, but you </w:t>
      </w:r>
      <w:r>
        <w:t xml:space="preserve">should </w:t>
      </w:r>
      <w:r w:rsidR="005F79F5">
        <w:t xml:space="preserve">also maintain efficiency. When you post treatment-planned procedures in Ledger or Chart, Dentrix </w:t>
      </w:r>
      <w:r>
        <w:t xml:space="preserve">Enterprise </w:t>
      </w:r>
      <w:r w:rsidR="005F79F5">
        <w:t>automatically places those procedures into a default treatment plan case in Treatment Planner. However, you can create additional treatment plan cases to group and organize procedures. This allows you to</w:t>
      </w:r>
      <w:r>
        <w:t>, for example,</w:t>
      </w:r>
      <w:r w:rsidR="005F79F5">
        <w:t xml:space="preserve"> track the status of or prioritize various courses of treatment, create alternative treatment options, or provide different patient payment estimates. You can create a customized patient experience all while maintaining an efficient workflow.</w:t>
      </w:r>
    </w:p>
    <w:p w14:paraId="327A6305" w14:textId="77777777" w:rsidR="00B3072B" w:rsidRDefault="005F79F5" w:rsidP="00D42C5A">
      <w:pPr>
        <w:pStyle w:val="Heading3"/>
      </w:pPr>
      <w:bookmarkStart w:id="166" w:name="_Toc146183317"/>
      <w:r>
        <w:t>Case Visit Order</w:t>
      </w:r>
      <w:bookmarkEnd w:id="166"/>
    </w:p>
    <w:p w14:paraId="7DCA7DBC" w14:textId="3CB1C889" w:rsidR="005F79F5" w:rsidRDefault="005F79F5" w:rsidP="005F79F5">
      <w:pPr>
        <w:pStyle w:val="BodyText"/>
      </w:pPr>
      <w:r>
        <w:t xml:space="preserve">When more than one visit is required to complete a treatment plan case, you can organize the procedures in that case into visits so you know which procedures will be done </w:t>
      </w:r>
      <w:proofErr w:type="gramStart"/>
      <w:r>
        <w:t>in</w:t>
      </w:r>
      <w:proofErr w:type="gramEnd"/>
      <w:r>
        <w:t xml:space="preserve"> each visit.</w:t>
      </w:r>
    </w:p>
    <w:p w14:paraId="5C4692F3" w14:textId="673FE01E" w:rsidR="005F79F5" w:rsidRPr="00CD3428" w:rsidRDefault="005F79F5" w:rsidP="005F79F5">
      <w:pPr>
        <w:pStyle w:val="BodyText"/>
        <w:rPr>
          <w:i/>
          <w:iCs/>
        </w:rPr>
      </w:pPr>
      <w:r w:rsidRPr="00CD3428">
        <w:rPr>
          <w:b/>
          <w:bCs/>
          <w:i/>
          <w:iCs/>
        </w:rPr>
        <w:t>Workflow Insight</w:t>
      </w:r>
      <w:r w:rsidR="0065290E" w:rsidRPr="00CD3428">
        <w:rPr>
          <w:i/>
          <w:iCs/>
        </w:rPr>
        <w:t>:</w:t>
      </w:r>
      <w:r w:rsidRPr="00CD3428">
        <w:rPr>
          <w:i/>
          <w:iCs/>
        </w:rPr>
        <w:t xml:space="preserve"> Dentrix Enterprise bases insurance estimates for treatment cases on the assigned visits. Dentrix Enterprise assumes that the procedures </w:t>
      </w:r>
      <w:proofErr w:type="gramStart"/>
      <w:r w:rsidRPr="00CD3428">
        <w:rPr>
          <w:i/>
          <w:iCs/>
        </w:rPr>
        <w:t>in</w:t>
      </w:r>
      <w:proofErr w:type="gramEnd"/>
      <w:r w:rsidRPr="00CD3428">
        <w:rPr>
          <w:i/>
          <w:iCs/>
        </w:rPr>
        <w:t xml:space="preserve"> </w:t>
      </w:r>
      <w:r w:rsidR="0065290E" w:rsidRPr="00CD3428">
        <w:rPr>
          <w:i/>
          <w:iCs/>
        </w:rPr>
        <w:t>the first visit</w:t>
      </w:r>
      <w:r w:rsidRPr="00CD3428">
        <w:rPr>
          <w:i/>
          <w:iCs/>
        </w:rPr>
        <w:t xml:space="preserve"> will be covered by insurance first, and then the procedures in </w:t>
      </w:r>
      <w:r w:rsidR="0065290E" w:rsidRPr="00CD3428">
        <w:rPr>
          <w:i/>
          <w:iCs/>
        </w:rPr>
        <w:t>the second visit</w:t>
      </w:r>
      <w:r w:rsidRPr="00CD3428">
        <w:rPr>
          <w:i/>
          <w:iCs/>
        </w:rPr>
        <w:t xml:space="preserve">, and so forth. If patients meet their maximum in </w:t>
      </w:r>
      <w:r w:rsidR="00CD3428" w:rsidRPr="00CD3428">
        <w:rPr>
          <w:i/>
          <w:iCs/>
        </w:rPr>
        <w:t>the third visit for example</w:t>
      </w:r>
      <w:r w:rsidRPr="00CD3428">
        <w:rPr>
          <w:i/>
          <w:iCs/>
        </w:rPr>
        <w:t xml:space="preserve">, Dentrix Enterprise assumes that the procedures in </w:t>
      </w:r>
      <w:r w:rsidR="00CD3428" w:rsidRPr="00CD3428">
        <w:rPr>
          <w:i/>
          <w:iCs/>
        </w:rPr>
        <w:t>the fourth visit</w:t>
      </w:r>
      <w:r w:rsidRPr="00CD3428">
        <w:rPr>
          <w:i/>
          <w:iCs/>
        </w:rPr>
        <w:t xml:space="preserve"> will not be covered by insurance</w:t>
      </w:r>
      <w:r w:rsidR="00CD3428" w:rsidRPr="00CD3428">
        <w:rPr>
          <w:i/>
          <w:iCs/>
        </w:rPr>
        <w:t>. S</w:t>
      </w:r>
      <w:r w:rsidRPr="00CD3428">
        <w:rPr>
          <w:i/>
          <w:iCs/>
        </w:rPr>
        <w:t>o</w:t>
      </w:r>
      <w:r w:rsidR="00CD3428" w:rsidRPr="00CD3428">
        <w:rPr>
          <w:i/>
          <w:iCs/>
        </w:rPr>
        <w:t>,</w:t>
      </w:r>
      <w:r w:rsidRPr="00CD3428">
        <w:rPr>
          <w:i/>
          <w:iCs/>
        </w:rPr>
        <w:t xml:space="preserve"> insurance estimates may vary depending on how you arrange procedures </w:t>
      </w:r>
      <w:proofErr w:type="gramStart"/>
      <w:r w:rsidR="00CD3428" w:rsidRPr="00CD3428">
        <w:rPr>
          <w:i/>
          <w:iCs/>
        </w:rPr>
        <w:t>into</w:t>
      </w:r>
      <w:proofErr w:type="gramEnd"/>
      <w:r w:rsidRPr="00CD3428">
        <w:rPr>
          <w:i/>
          <w:iCs/>
        </w:rPr>
        <w:t xml:space="preserve"> visits.</w:t>
      </w:r>
    </w:p>
    <w:p w14:paraId="1C476C8C" w14:textId="77777777" w:rsidR="00B3072B" w:rsidRDefault="005F79F5" w:rsidP="00D42C5A">
      <w:pPr>
        <w:pStyle w:val="Heading3"/>
      </w:pPr>
      <w:bookmarkStart w:id="167" w:name="_Toc146183318"/>
      <w:r>
        <w:t>Alternate Treatment Options</w:t>
      </w:r>
      <w:bookmarkEnd w:id="167"/>
    </w:p>
    <w:p w14:paraId="1A8065A5" w14:textId="1885BB96" w:rsidR="005F79F5" w:rsidRDefault="005F79F5" w:rsidP="005F79F5">
      <w:pPr>
        <w:pStyle w:val="BodyText"/>
      </w:pPr>
      <w:r>
        <w:t>You can create alternate cases for a treatment-planned procedure in order to provide the patient with multiple treatment options, such as root canal therapy and a crown versus an extraction, an implant, and a crown. When you create an alternate case, it is linked to the original case as an alternative treatment option.</w:t>
      </w:r>
    </w:p>
    <w:p w14:paraId="438A6A30" w14:textId="77777777" w:rsidR="00B3072B" w:rsidRDefault="005F79F5" w:rsidP="00D42C5A">
      <w:pPr>
        <w:pStyle w:val="Heading3"/>
      </w:pPr>
      <w:bookmarkStart w:id="168" w:name="_Toc146183319"/>
      <w:r>
        <w:t>Document Treatment Status</w:t>
      </w:r>
      <w:bookmarkEnd w:id="168"/>
    </w:p>
    <w:p w14:paraId="4AC83DF6" w14:textId="144AFBC5" w:rsidR="005F79F5" w:rsidRDefault="005F79F5" w:rsidP="005F79F5">
      <w:pPr>
        <w:pStyle w:val="BodyText"/>
      </w:pPr>
      <w:r>
        <w:t xml:space="preserve">You can assign statuses to a treatment plan case during the course of treatment to help you track what has gone on with the case, such as when the case was proposed, referred, accepted, or rejected. The procedures in a rejected case don't appear in </w:t>
      </w:r>
      <w:proofErr w:type="gramStart"/>
      <w:r>
        <w:t>Chart</w:t>
      </w:r>
      <w:proofErr w:type="gramEnd"/>
      <w:r>
        <w:t>, so Chart is not cluttered with irrelevant procedures</w:t>
      </w:r>
      <w:r w:rsidR="0065290E">
        <w:t>. You can also record which procedures</w:t>
      </w:r>
      <w:r>
        <w:t xml:space="preserve"> you have recommended and presented to the patient. </w:t>
      </w:r>
    </w:p>
    <w:p w14:paraId="7EFDEA18" w14:textId="563085BC" w:rsidR="005F79F5" w:rsidRDefault="005F79F5" w:rsidP="0065290E">
      <w:pPr>
        <w:pStyle w:val="Heading4"/>
      </w:pPr>
      <w:r w:rsidRPr="00B3072B">
        <w:t>Case Status</w:t>
      </w:r>
    </w:p>
    <w:p w14:paraId="1E875B7C" w14:textId="6697E8B0" w:rsidR="0065290E" w:rsidRPr="0065290E" w:rsidRDefault="0065290E" w:rsidP="0065290E">
      <w:pPr>
        <w:pStyle w:val="BodyText"/>
      </w:pPr>
      <w:r>
        <w:t xml:space="preserve">Because the status of a case can be searched, </w:t>
      </w:r>
      <w:r w:rsidR="00CD3428">
        <w:t>selecting</w:t>
      </w:r>
      <w:r>
        <w:t xml:space="preserve"> a status </w:t>
      </w:r>
      <w:r w:rsidR="00CD3428">
        <w:t xml:space="preserve">and adding a note regarding the status change </w:t>
      </w:r>
      <w:r>
        <w:t>can really help with team communication to get everyone on the same page.</w:t>
      </w:r>
    </w:p>
    <w:p w14:paraId="6E0A91DA" w14:textId="38EE2961" w:rsidR="005F79F5" w:rsidRDefault="005F79F5" w:rsidP="0065290E">
      <w:pPr>
        <w:pStyle w:val="BodyText"/>
        <w:numPr>
          <w:ilvl w:val="1"/>
          <w:numId w:val="53"/>
        </w:numPr>
        <w:ind w:left="540"/>
      </w:pPr>
      <w:r w:rsidRPr="00B3072B">
        <w:rPr>
          <w:b/>
          <w:bCs/>
        </w:rPr>
        <w:t>Accepted</w:t>
      </w:r>
      <w:r w:rsidR="00CD3428" w:rsidRPr="00CD3428">
        <w:t xml:space="preserve"> – </w:t>
      </w:r>
      <w:r>
        <w:t xml:space="preserve">You can use this </w:t>
      </w:r>
      <w:r w:rsidR="00CD3428">
        <w:t xml:space="preserve">status </w:t>
      </w:r>
      <w:r>
        <w:t>to specify that the case was accepted by the patient.</w:t>
      </w:r>
    </w:p>
    <w:p w14:paraId="268A5135" w14:textId="6391D160" w:rsidR="005F79F5" w:rsidRDefault="005F79F5" w:rsidP="0065290E">
      <w:pPr>
        <w:pStyle w:val="BodyText"/>
        <w:numPr>
          <w:ilvl w:val="1"/>
          <w:numId w:val="53"/>
        </w:numPr>
        <w:ind w:left="540"/>
      </w:pPr>
      <w:r w:rsidRPr="00B3072B">
        <w:rPr>
          <w:b/>
          <w:bCs/>
        </w:rPr>
        <w:lastRenderedPageBreak/>
        <w:t>Rejected</w:t>
      </w:r>
      <w:r w:rsidR="00CD3428" w:rsidRPr="00CD3428">
        <w:t xml:space="preserve"> – </w:t>
      </w:r>
      <w:r>
        <w:t xml:space="preserve">You can use this </w:t>
      </w:r>
      <w:r w:rsidR="00CD3428">
        <w:t xml:space="preserve">status </w:t>
      </w:r>
      <w:r>
        <w:t>to specify that the case was rejected by the patient.</w:t>
      </w:r>
    </w:p>
    <w:p w14:paraId="235A1F38" w14:textId="6C1A4729" w:rsidR="005F79F5" w:rsidRDefault="005F79F5" w:rsidP="0065290E">
      <w:pPr>
        <w:pStyle w:val="BodyText"/>
        <w:numPr>
          <w:ilvl w:val="1"/>
          <w:numId w:val="53"/>
        </w:numPr>
        <w:ind w:left="540"/>
      </w:pPr>
      <w:r w:rsidRPr="00B3072B">
        <w:rPr>
          <w:b/>
          <w:bCs/>
        </w:rPr>
        <w:t>Completed</w:t>
      </w:r>
      <w:r w:rsidR="00CD3428" w:rsidRPr="00CD3428">
        <w:t xml:space="preserve"> – </w:t>
      </w:r>
      <w:r>
        <w:t xml:space="preserve">You can use this </w:t>
      </w:r>
      <w:r w:rsidR="00CD3428">
        <w:t xml:space="preserve">status </w:t>
      </w:r>
      <w:r>
        <w:t>to specify that the case was completed.</w:t>
      </w:r>
    </w:p>
    <w:p w14:paraId="536C6D53" w14:textId="4728D054" w:rsidR="005F79F5" w:rsidRDefault="005F79F5" w:rsidP="0065290E">
      <w:pPr>
        <w:pStyle w:val="BodyText"/>
        <w:numPr>
          <w:ilvl w:val="1"/>
          <w:numId w:val="53"/>
        </w:numPr>
        <w:ind w:left="540"/>
      </w:pPr>
      <w:r w:rsidRPr="00B3072B">
        <w:rPr>
          <w:b/>
          <w:bCs/>
        </w:rPr>
        <w:t>Referred</w:t>
      </w:r>
      <w:r w:rsidR="00CD3428" w:rsidRPr="00CD3428">
        <w:t xml:space="preserve"> – </w:t>
      </w:r>
      <w:r>
        <w:t xml:space="preserve">You can use this </w:t>
      </w:r>
      <w:r w:rsidR="00CD3428">
        <w:t xml:space="preserve">status </w:t>
      </w:r>
      <w:r>
        <w:t xml:space="preserve">to specify that the case was </w:t>
      </w:r>
      <w:proofErr w:type="gramStart"/>
      <w:r>
        <w:t>referred out</w:t>
      </w:r>
      <w:proofErr w:type="gramEnd"/>
      <w:r>
        <w:t xml:space="preserve"> to a doctor or specialist.</w:t>
      </w:r>
    </w:p>
    <w:p w14:paraId="01AAFC06" w14:textId="2E85897F" w:rsidR="005F79F5" w:rsidRPr="00CD3428" w:rsidRDefault="005F79F5" w:rsidP="0065290E">
      <w:pPr>
        <w:pStyle w:val="BodyText"/>
        <w:ind w:left="180"/>
        <w:rPr>
          <w:i/>
          <w:iCs/>
        </w:rPr>
      </w:pPr>
      <w:r w:rsidRPr="00CD3428">
        <w:rPr>
          <w:b/>
          <w:bCs/>
          <w:i/>
          <w:iCs/>
        </w:rPr>
        <w:t>Workflow Insight</w:t>
      </w:r>
      <w:r w:rsidR="0065290E" w:rsidRPr="00CD3428">
        <w:rPr>
          <w:i/>
          <w:iCs/>
        </w:rPr>
        <w:t>:</w:t>
      </w:r>
      <w:r w:rsidRPr="00CD3428">
        <w:rPr>
          <w:i/>
          <w:iCs/>
        </w:rPr>
        <w:t xml:space="preserve"> Selecting </w:t>
      </w:r>
      <w:r w:rsidRPr="00CD3428">
        <w:rPr>
          <w:b/>
          <w:bCs/>
          <w:i/>
          <w:iCs/>
        </w:rPr>
        <w:t>Accepted</w:t>
      </w:r>
      <w:r w:rsidRPr="00CD3428">
        <w:rPr>
          <w:i/>
          <w:iCs/>
        </w:rPr>
        <w:t xml:space="preserve">, </w:t>
      </w:r>
      <w:r w:rsidRPr="00CD3428">
        <w:rPr>
          <w:b/>
          <w:bCs/>
          <w:i/>
          <w:iCs/>
        </w:rPr>
        <w:t>Rejected</w:t>
      </w:r>
      <w:r w:rsidRPr="00CD3428">
        <w:rPr>
          <w:i/>
          <w:iCs/>
        </w:rPr>
        <w:t xml:space="preserve">, and </w:t>
      </w:r>
      <w:r w:rsidRPr="00CD3428">
        <w:rPr>
          <w:b/>
          <w:bCs/>
          <w:i/>
          <w:iCs/>
        </w:rPr>
        <w:t>Completed</w:t>
      </w:r>
      <w:r w:rsidRPr="00CD3428">
        <w:rPr>
          <w:i/>
          <w:iCs/>
        </w:rPr>
        <w:t xml:space="preserve"> not only update</w:t>
      </w:r>
      <w:r w:rsidR="00CD3428" w:rsidRPr="00CD3428">
        <w:rPr>
          <w:i/>
          <w:iCs/>
        </w:rPr>
        <w:t>s</w:t>
      </w:r>
      <w:r w:rsidRPr="00CD3428">
        <w:rPr>
          <w:i/>
          <w:iCs/>
        </w:rPr>
        <w:t xml:space="preserve"> the case's status but cause</w:t>
      </w:r>
      <w:r w:rsidR="00CD3428" w:rsidRPr="00CD3428">
        <w:rPr>
          <w:i/>
          <w:iCs/>
        </w:rPr>
        <w:t>s</w:t>
      </w:r>
      <w:r w:rsidRPr="00CD3428">
        <w:rPr>
          <w:i/>
          <w:iCs/>
        </w:rPr>
        <w:t xml:space="preserve"> a new default treatment plan case to be created. </w:t>
      </w:r>
      <w:r w:rsidR="00CD3428" w:rsidRPr="00CD3428">
        <w:rPr>
          <w:i/>
          <w:iCs/>
        </w:rPr>
        <w:t>Additionally, s</w:t>
      </w:r>
      <w:r w:rsidRPr="00CD3428">
        <w:rPr>
          <w:i/>
          <w:iCs/>
        </w:rPr>
        <w:t xml:space="preserve">electing </w:t>
      </w:r>
      <w:r w:rsidRPr="00CD3428">
        <w:rPr>
          <w:b/>
          <w:bCs/>
          <w:i/>
          <w:iCs/>
        </w:rPr>
        <w:t>Completed</w:t>
      </w:r>
      <w:r w:rsidRPr="00CD3428">
        <w:rPr>
          <w:i/>
          <w:iCs/>
        </w:rPr>
        <w:t xml:space="preserve"> set</w:t>
      </w:r>
      <w:r w:rsidR="00CD3428" w:rsidRPr="00CD3428">
        <w:rPr>
          <w:i/>
          <w:iCs/>
        </w:rPr>
        <w:t>s</w:t>
      </w:r>
      <w:r w:rsidRPr="00CD3428">
        <w:rPr>
          <w:i/>
          <w:iCs/>
        </w:rPr>
        <w:t xml:space="preserve"> all the procedures in the case </w:t>
      </w:r>
      <w:r w:rsidR="00CD3428" w:rsidRPr="00CD3428">
        <w:rPr>
          <w:i/>
          <w:iCs/>
        </w:rPr>
        <w:t>“C</w:t>
      </w:r>
      <w:r w:rsidRPr="00CD3428">
        <w:rPr>
          <w:i/>
          <w:iCs/>
        </w:rPr>
        <w:t>omplete,</w:t>
      </w:r>
      <w:r w:rsidR="00CD3428" w:rsidRPr="00CD3428">
        <w:rPr>
          <w:i/>
          <w:iCs/>
        </w:rPr>
        <w:t>”</w:t>
      </w:r>
      <w:r w:rsidRPr="00CD3428">
        <w:rPr>
          <w:i/>
          <w:iCs/>
        </w:rPr>
        <w:t xml:space="preserve"> and the case </w:t>
      </w:r>
      <w:r w:rsidR="00CD3428" w:rsidRPr="00CD3428">
        <w:rPr>
          <w:i/>
          <w:iCs/>
        </w:rPr>
        <w:t>can</w:t>
      </w:r>
      <w:r w:rsidRPr="00CD3428">
        <w:rPr>
          <w:i/>
          <w:iCs/>
        </w:rPr>
        <w:t xml:space="preserve"> no longer </w:t>
      </w:r>
      <w:r w:rsidR="00CD3428" w:rsidRPr="00CD3428">
        <w:rPr>
          <w:i/>
          <w:iCs/>
        </w:rPr>
        <w:t>be edited</w:t>
      </w:r>
      <w:r w:rsidRPr="00CD3428">
        <w:rPr>
          <w:i/>
          <w:iCs/>
        </w:rPr>
        <w:t>.</w:t>
      </w:r>
    </w:p>
    <w:p w14:paraId="0C7D6BD8" w14:textId="37CB7FEB" w:rsidR="0065290E" w:rsidRPr="0065290E" w:rsidRDefault="005F79F5" w:rsidP="0065290E">
      <w:pPr>
        <w:pStyle w:val="Heading4"/>
      </w:pPr>
      <w:r w:rsidRPr="00B3072B">
        <w:t>Case Severity</w:t>
      </w:r>
    </w:p>
    <w:p w14:paraId="179310C1" w14:textId="0DE56671" w:rsidR="005F79F5" w:rsidRDefault="005F79F5" w:rsidP="0065290E">
      <w:pPr>
        <w:pStyle w:val="BodyText"/>
      </w:pPr>
      <w:r>
        <w:t xml:space="preserve">You can </w:t>
      </w:r>
      <w:r w:rsidR="00CD3428">
        <w:t xml:space="preserve">assign severities to a </w:t>
      </w:r>
      <w:r>
        <w:t xml:space="preserve">patient's treatment plan cases to help you </w:t>
      </w:r>
      <w:r w:rsidR="00CD3428">
        <w:t>prioritize which</w:t>
      </w:r>
      <w:r>
        <w:t xml:space="preserve"> treatment to perform next and which procedures are considered optional.</w:t>
      </w:r>
    </w:p>
    <w:p w14:paraId="7FF673C9" w14:textId="36C05112" w:rsidR="005F79F5" w:rsidRDefault="005F79F5" w:rsidP="00CD3428">
      <w:pPr>
        <w:pStyle w:val="BodyText"/>
        <w:numPr>
          <w:ilvl w:val="0"/>
          <w:numId w:val="54"/>
        </w:numPr>
        <w:ind w:left="540"/>
      </w:pPr>
      <w:r w:rsidRPr="00B3072B">
        <w:rPr>
          <w:b/>
          <w:bCs/>
        </w:rPr>
        <w:t>Immediate</w:t>
      </w:r>
      <w:r w:rsidR="00CD3428" w:rsidRPr="00CD3428">
        <w:t xml:space="preserve"> – </w:t>
      </w:r>
      <w:r>
        <w:t xml:space="preserve">This case should be done immediately. </w:t>
      </w:r>
    </w:p>
    <w:p w14:paraId="2CC4D54A" w14:textId="0384EF0A" w:rsidR="005F79F5" w:rsidRDefault="005F79F5" w:rsidP="00CD3428">
      <w:pPr>
        <w:pStyle w:val="BodyText"/>
        <w:numPr>
          <w:ilvl w:val="0"/>
          <w:numId w:val="54"/>
        </w:numPr>
        <w:ind w:left="540"/>
      </w:pPr>
      <w:r w:rsidRPr="00B3072B">
        <w:rPr>
          <w:b/>
          <w:bCs/>
        </w:rPr>
        <w:t>Eventual</w:t>
      </w:r>
      <w:r w:rsidR="00CD3428" w:rsidRPr="00CD3428">
        <w:t xml:space="preserve"> – </w:t>
      </w:r>
      <w:r>
        <w:t>This case should be done eventually (</w:t>
      </w:r>
      <w:r w:rsidR="00CD3428">
        <w:t>in the f</w:t>
      </w:r>
      <w:r>
        <w:t xml:space="preserve">uture). </w:t>
      </w:r>
    </w:p>
    <w:p w14:paraId="163747AF" w14:textId="439B51F9" w:rsidR="005F79F5" w:rsidRDefault="005F79F5" w:rsidP="00CD3428">
      <w:pPr>
        <w:pStyle w:val="BodyText"/>
        <w:numPr>
          <w:ilvl w:val="0"/>
          <w:numId w:val="54"/>
        </w:numPr>
        <w:ind w:left="540"/>
      </w:pPr>
      <w:r w:rsidRPr="00B3072B">
        <w:rPr>
          <w:b/>
          <w:bCs/>
        </w:rPr>
        <w:t>Optional</w:t>
      </w:r>
      <w:r w:rsidR="00CD3428" w:rsidRPr="00CD3428">
        <w:t xml:space="preserve"> – </w:t>
      </w:r>
      <w:r>
        <w:t xml:space="preserve">This case is optional. </w:t>
      </w:r>
    </w:p>
    <w:p w14:paraId="61C5C935" w14:textId="1DD9E9F2" w:rsidR="005F79F5" w:rsidRDefault="005F79F5" w:rsidP="00CD3428">
      <w:pPr>
        <w:pStyle w:val="BodyText"/>
        <w:numPr>
          <w:ilvl w:val="0"/>
          <w:numId w:val="54"/>
        </w:numPr>
        <w:ind w:left="540"/>
      </w:pPr>
      <w:r w:rsidRPr="00B3072B">
        <w:rPr>
          <w:b/>
          <w:bCs/>
        </w:rPr>
        <w:t>None</w:t>
      </w:r>
      <w:r w:rsidR="00CD3428" w:rsidRPr="00CD3428">
        <w:t xml:space="preserve"> – </w:t>
      </w:r>
      <w:r>
        <w:t>No severity.</w:t>
      </w:r>
    </w:p>
    <w:p w14:paraId="669802FC" w14:textId="77777777" w:rsidR="00B3072B" w:rsidRDefault="005F79F5" w:rsidP="00D42C5A">
      <w:pPr>
        <w:pStyle w:val="Heading3"/>
      </w:pPr>
      <w:bookmarkStart w:id="169" w:name="_Toc146183320"/>
      <w:r>
        <w:t>Consent Forms</w:t>
      </w:r>
      <w:bookmarkEnd w:id="169"/>
    </w:p>
    <w:p w14:paraId="0204C5CE" w14:textId="77777777" w:rsidR="00CD3428" w:rsidRDefault="005F79F5" w:rsidP="005F79F5">
      <w:pPr>
        <w:pStyle w:val="BodyText"/>
      </w:pPr>
      <w:r>
        <w:t xml:space="preserve">The patient and provider can electronically sign consent forms </w:t>
      </w:r>
      <w:r w:rsidR="00CD3428">
        <w:t xml:space="preserve">that are </w:t>
      </w:r>
      <w:r>
        <w:t>attached to a treatment plan case. Once a signature is added to a consent form and the form is saved, the signature cannot be removed. The consent form is considered locked once both parties have signed it.</w:t>
      </w:r>
    </w:p>
    <w:p w14:paraId="7BC4DEC7" w14:textId="4341F6FD" w:rsidR="005F79F5" w:rsidRPr="00CD3428" w:rsidRDefault="00573CA6" w:rsidP="005F79F5">
      <w:pPr>
        <w:pStyle w:val="BodyText"/>
        <w:rPr>
          <w:i/>
          <w:iCs/>
        </w:rPr>
      </w:pPr>
      <w:r>
        <w:rPr>
          <w:b/>
          <w:bCs/>
          <w:i/>
          <w:iCs/>
        </w:rPr>
        <w:t>Workflow Insight</w:t>
      </w:r>
      <w:r w:rsidR="00CD3428" w:rsidRPr="00CD3428">
        <w:rPr>
          <w:i/>
          <w:iCs/>
        </w:rPr>
        <w:t xml:space="preserve">: </w:t>
      </w:r>
      <w:r w:rsidR="005F79F5" w:rsidRPr="00CD3428">
        <w:rPr>
          <w:i/>
          <w:iCs/>
        </w:rPr>
        <w:t>Depending upon certain global settings, a consent form can also be locked during the month end process, when saved with or without any signatures, or after a specified length of time.</w:t>
      </w:r>
    </w:p>
    <w:p w14:paraId="0306B8AC" w14:textId="77777777" w:rsidR="00B3072B" w:rsidRDefault="005F79F5" w:rsidP="004267C0">
      <w:pPr>
        <w:pStyle w:val="Heading2"/>
      </w:pPr>
      <w:bookmarkStart w:id="170" w:name="_Toc135416717"/>
      <w:bookmarkStart w:id="171" w:name="_Toc146183321"/>
      <w:r>
        <w:t>Clinical Setup Integrity</w:t>
      </w:r>
      <w:bookmarkEnd w:id="170"/>
      <w:bookmarkEnd w:id="171"/>
    </w:p>
    <w:p w14:paraId="78CEBA6F" w14:textId="1D1ACA9F" w:rsidR="005F79F5" w:rsidRDefault="005F79F5" w:rsidP="005F79F5">
      <w:pPr>
        <w:pStyle w:val="BodyText"/>
      </w:pPr>
      <w:r>
        <w:t xml:space="preserve">Evaluate </w:t>
      </w:r>
      <w:r w:rsidR="00573CA6">
        <w:t xml:space="preserve">the </w:t>
      </w:r>
      <w:r>
        <w:t xml:space="preserve">clinical </w:t>
      </w:r>
      <w:r w:rsidR="00573CA6">
        <w:t>features</w:t>
      </w:r>
      <w:r>
        <w:t xml:space="preserve"> </w:t>
      </w:r>
      <w:r w:rsidR="00573CA6">
        <w:t>and</w:t>
      </w:r>
      <w:r>
        <w:t xml:space="preserve"> note template</w:t>
      </w:r>
      <w:r w:rsidR="00573CA6">
        <w:t>s</w:t>
      </w:r>
      <w:r>
        <w:t xml:space="preserve"> for efficiency</w:t>
      </w:r>
      <w:r w:rsidR="00573CA6">
        <w:t>.</w:t>
      </w:r>
    </w:p>
    <w:p w14:paraId="3BEE4EF3" w14:textId="4EA19525" w:rsidR="00B3072B" w:rsidRDefault="005F79F5" w:rsidP="00D42C5A">
      <w:pPr>
        <w:pStyle w:val="Heading3"/>
      </w:pPr>
      <w:bookmarkStart w:id="172" w:name="_Toc146183322"/>
      <w:r>
        <w:t>Maintain</w:t>
      </w:r>
      <w:r w:rsidR="00573CA6">
        <w:t>ing</w:t>
      </w:r>
      <w:r>
        <w:t xml:space="preserve"> Coding Connected Features</w:t>
      </w:r>
      <w:bookmarkEnd w:id="172"/>
    </w:p>
    <w:p w14:paraId="2DD3338E" w14:textId="4EF0E9A2" w:rsidR="005F79F5" w:rsidRDefault="005F79F5" w:rsidP="005F79F5">
      <w:pPr>
        <w:pStyle w:val="BodyText"/>
      </w:pPr>
      <w:r>
        <w:t xml:space="preserve">When changes are made to the CDT code sets, Dentrix Enterprise </w:t>
      </w:r>
      <w:r w:rsidR="00573CA6">
        <w:t>S</w:t>
      </w:r>
      <w:r>
        <w:t xml:space="preserve">upport </w:t>
      </w:r>
      <w:r w:rsidR="00573CA6">
        <w:t xml:space="preserve">technicians </w:t>
      </w:r>
      <w:r>
        <w:t>can run the CDT Update utility to populate coding changes in your system. When this utility is run, there are additional places that these codes may be used</w:t>
      </w:r>
      <w:r w:rsidR="00573CA6">
        <w:t>, which</w:t>
      </w:r>
      <w:r>
        <w:t xml:space="preserve"> </w:t>
      </w:r>
      <w:r w:rsidR="00573CA6">
        <w:t>you must</w:t>
      </w:r>
      <w:r>
        <w:t xml:space="preserve"> </w:t>
      </w:r>
      <w:r w:rsidR="00573CA6">
        <w:t>review and update manually:</w:t>
      </w:r>
      <w:r>
        <w:t xml:space="preserve">  </w:t>
      </w:r>
    </w:p>
    <w:p w14:paraId="1A6D928C" w14:textId="5E302FB7" w:rsidR="005F79F5" w:rsidRDefault="005F79F5">
      <w:pPr>
        <w:pStyle w:val="BodyText"/>
        <w:numPr>
          <w:ilvl w:val="0"/>
          <w:numId w:val="55"/>
        </w:numPr>
        <w:ind w:left="540"/>
      </w:pPr>
      <w:r w:rsidRPr="00B3072B">
        <w:rPr>
          <w:b/>
          <w:bCs/>
        </w:rPr>
        <w:t xml:space="preserve">Appointment </w:t>
      </w:r>
      <w:r w:rsidR="00AC2F2A">
        <w:rPr>
          <w:b/>
          <w:bCs/>
        </w:rPr>
        <w:t>r</w:t>
      </w:r>
      <w:r w:rsidRPr="00B3072B">
        <w:rPr>
          <w:b/>
          <w:bCs/>
        </w:rPr>
        <w:t>easons</w:t>
      </w:r>
      <w:r>
        <w:t xml:space="preserve"> </w:t>
      </w:r>
      <w:r w:rsidR="00573CA6">
        <w:t>–</w:t>
      </w:r>
      <w:r>
        <w:t xml:space="preserve"> </w:t>
      </w:r>
      <w:r w:rsidR="00573CA6">
        <w:t>You can set up a</w:t>
      </w:r>
      <w:r>
        <w:t xml:space="preserve">ppointment reasons </w:t>
      </w:r>
      <w:r w:rsidR="00573CA6">
        <w:t>in Practice D</w:t>
      </w:r>
      <w:r>
        <w:t xml:space="preserve">efinitions. If CDT code changes include any codes in </w:t>
      </w:r>
      <w:r w:rsidR="00573CA6">
        <w:t xml:space="preserve">the </w:t>
      </w:r>
      <w:r w:rsidR="00AC2F2A">
        <w:t>A</w:t>
      </w:r>
      <w:r>
        <w:t xml:space="preserve">ppointment </w:t>
      </w:r>
      <w:r w:rsidR="00AC2F2A">
        <w:t>R</w:t>
      </w:r>
      <w:r>
        <w:t>eason</w:t>
      </w:r>
      <w:r w:rsidR="00AC2F2A">
        <w:t>s</w:t>
      </w:r>
      <w:r w:rsidR="00573CA6">
        <w:t xml:space="preserve"> definition</w:t>
      </w:r>
      <w:r>
        <w:t xml:space="preserve">s, </w:t>
      </w:r>
      <w:r w:rsidR="00573CA6">
        <w:t>you must remove or replace them</w:t>
      </w:r>
      <w:r>
        <w:t xml:space="preserve"> to avoid using the outdated codes for future appointments. </w:t>
      </w:r>
    </w:p>
    <w:p w14:paraId="789BD508" w14:textId="4DB4321E" w:rsidR="005F79F5" w:rsidRDefault="005F79F5">
      <w:pPr>
        <w:pStyle w:val="BodyText"/>
        <w:numPr>
          <w:ilvl w:val="0"/>
          <w:numId w:val="55"/>
        </w:numPr>
        <w:ind w:left="540"/>
      </w:pPr>
      <w:r w:rsidRPr="00B3072B">
        <w:rPr>
          <w:b/>
          <w:bCs/>
        </w:rPr>
        <w:t xml:space="preserve">Coverage </w:t>
      </w:r>
      <w:r w:rsidR="00AC2F2A">
        <w:rPr>
          <w:b/>
          <w:bCs/>
        </w:rPr>
        <w:t>t</w:t>
      </w:r>
      <w:r w:rsidRPr="00B3072B">
        <w:rPr>
          <w:b/>
          <w:bCs/>
        </w:rPr>
        <w:t>ables</w:t>
      </w:r>
      <w:r>
        <w:t xml:space="preserve"> </w:t>
      </w:r>
      <w:r w:rsidR="00573CA6">
        <w:t>–</w:t>
      </w:r>
      <w:r>
        <w:t xml:space="preserve"> Default coverage tables </w:t>
      </w:r>
      <w:r w:rsidR="00AC2F2A">
        <w:t xml:space="preserve">do not get </w:t>
      </w:r>
      <w:r>
        <w:t>updated with the latest codes. Manual</w:t>
      </w:r>
      <w:r w:rsidR="00AC2F2A">
        <w:t>ly editing a</w:t>
      </w:r>
      <w:r>
        <w:t xml:space="preserve"> coverage table will ensure that the code changes are incorporated into insurance estimates </w:t>
      </w:r>
      <w:r w:rsidR="00AC2F2A">
        <w:t>that Dentrix Enterprise calculates</w:t>
      </w:r>
      <w:r>
        <w:t xml:space="preserve">. </w:t>
      </w:r>
    </w:p>
    <w:p w14:paraId="0D487B63" w14:textId="578E5A15" w:rsidR="005F79F5" w:rsidRDefault="005F79F5">
      <w:pPr>
        <w:pStyle w:val="BodyText"/>
        <w:numPr>
          <w:ilvl w:val="0"/>
          <w:numId w:val="55"/>
        </w:numPr>
        <w:ind w:left="540"/>
      </w:pPr>
      <w:r w:rsidRPr="00B3072B">
        <w:rPr>
          <w:b/>
          <w:bCs/>
        </w:rPr>
        <w:t xml:space="preserve">Procedure </w:t>
      </w:r>
      <w:r w:rsidR="00AC2F2A">
        <w:rPr>
          <w:b/>
          <w:bCs/>
        </w:rPr>
        <w:t>b</w:t>
      </w:r>
      <w:r w:rsidRPr="00B3072B">
        <w:rPr>
          <w:b/>
          <w:bCs/>
        </w:rPr>
        <w:t>uttons</w:t>
      </w:r>
      <w:r>
        <w:t xml:space="preserve"> – If any of the edited, removed, or added codes are in use or needed in your charting procedure buttons, you </w:t>
      </w:r>
      <w:r w:rsidR="00AC2F2A">
        <w:t>must</w:t>
      </w:r>
      <w:r>
        <w:t xml:space="preserve"> update your button sets accordingly. </w:t>
      </w:r>
    </w:p>
    <w:p w14:paraId="30B23299" w14:textId="692750BC" w:rsidR="005F79F5" w:rsidRDefault="005F79F5">
      <w:pPr>
        <w:pStyle w:val="BodyText"/>
        <w:numPr>
          <w:ilvl w:val="0"/>
          <w:numId w:val="55"/>
        </w:numPr>
        <w:ind w:left="540"/>
      </w:pPr>
      <w:r w:rsidRPr="00B3072B">
        <w:rPr>
          <w:b/>
          <w:bCs/>
        </w:rPr>
        <w:lastRenderedPageBreak/>
        <w:t>Multi-</w:t>
      </w:r>
      <w:r w:rsidR="00AC2F2A">
        <w:rPr>
          <w:b/>
          <w:bCs/>
        </w:rPr>
        <w:t>c</w:t>
      </w:r>
      <w:r w:rsidRPr="00B3072B">
        <w:rPr>
          <w:b/>
          <w:bCs/>
        </w:rPr>
        <w:t>odes</w:t>
      </w:r>
      <w:r>
        <w:t xml:space="preserve"> </w:t>
      </w:r>
      <w:r w:rsidR="00573CA6">
        <w:t>–</w:t>
      </w:r>
      <w:r>
        <w:t xml:space="preserve"> </w:t>
      </w:r>
      <w:r w:rsidR="00AC2F2A">
        <w:t>Review m</w:t>
      </w:r>
      <w:r>
        <w:t xml:space="preserve">ulti-codes </w:t>
      </w:r>
      <w:r w:rsidR="00AC2F2A">
        <w:t xml:space="preserve">for </w:t>
      </w:r>
      <w:r>
        <w:t>updated</w:t>
      </w:r>
      <w:r w:rsidR="00AC2F2A">
        <w:t xml:space="preserve"> or </w:t>
      </w:r>
      <w:r>
        <w:t xml:space="preserve">inactivated CDT </w:t>
      </w:r>
      <w:r w:rsidR="00AC2F2A">
        <w:t>c</w:t>
      </w:r>
      <w:r>
        <w:t>odes</w:t>
      </w:r>
      <w:r w:rsidR="00AC2F2A">
        <w:t xml:space="preserve"> and update those multi-codes accordingly</w:t>
      </w:r>
      <w:r>
        <w:t xml:space="preserve">.  </w:t>
      </w:r>
    </w:p>
    <w:p w14:paraId="3F4BE2CF" w14:textId="56D44FAD" w:rsidR="005F79F5" w:rsidRDefault="005F79F5">
      <w:pPr>
        <w:pStyle w:val="BodyText"/>
        <w:numPr>
          <w:ilvl w:val="0"/>
          <w:numId w:val="55"/>
        </w:numPr>
        <w:ind w:left="540"/>
      </w:pPr>
      <w:r w:rsidRPr="00B3072B">
        <w:rPr>
          <w:b/>
          <w:bCs/>
        </w:rPr>
        <w:t xml:space="preserve">Note </w:t>
      </w:r>
      <w:r w:rsidR="00AC2F2A">
        <w:rPr>
          <w:b/>
          <w:bCs/>
        </w:rPr>
        <w:t>t</w:t>
      </w:r>
      <w:r w:rsidRPr="00B3072B">
        <w:rPr>
          <w:b/>
          <w:bCs/>
        </w:rPr>
        <w:t>emplates</w:t>
      </w:r>
      <w:r>
        <w:t xml:space="preserve"> </w:t>
      </w:r>
      <w:r w:rsidR="00573CA6">
        <w:t>–</w:t>
      </w:r>
      <w:r>
        <w:t xml:space="preserve"> If </w:t>
      </w:r>
      <w:r w:rsidR="00AC2F2A">
        <w:t>updated or inactivated</w:t>
      </w:r>
      <w:r>
        <w:t xml:space="preserve"> CDT codes are included in your clinical note templates or prompts, </w:t>
      </w:r>
      <w:r w:rsidR="00AC2F2A">
        <w:t>you must replace or update those templates or prompts</w:t>
      </w:r>
      <w:r>
        <w:t xml:space="preserve"> according</w:t>
      </w:r>
      <w:r w:rsidR="00AC2F2A">
        <w:t>ly</w:t>
      </w:r>
      <w:r>
        <w:t xml:space="preserve">. </w:t>
      </w:r>
    </w:p>
    <w:p w14:paraId="5D490720" w14:textId="02902606" w:rsidR="005F79F5" w:rsidRDefault="005F79F5">
      <w:pPr>
        <w:pStyle w:val="BodyText"/>
        <w:numPr>
          <w:ilvl w:val="0"/>
          <w:numId w:val="55"/>
        </w:numPr>
        <w:ind w:left="540"/>
      </w:pPr>
      <w:r w:rsidRPr="00B3072B">
        <w:rPr>
          <w:b/>
          <w:bCs/>
        </w:rPr>
        <w:t>Procedure Notes</w:t>
      </w:r>
      <w:r>
        <w:t xml:space="preserve"> </w:t>
      </w:r>
      <w:r w:rsidR="00573CA6">
        <w:t>–</w:t>
      </w:r>
      <w:r>
        <w:t xml:space="preserve"> </w:t>
      </w:r>
      <w:r w:rsidR="00AC2F2A">
        <w:t>You can assign d</w:t>
      </w:r>
      <w:r>
        <w:t xml:space="preserve">efault notes to procedure codes and then </w:t>
      </w:r>
      <w:r w:rsidR="00AC2F2A">
        <w:t xml:space="preserve">have them copied </w:t>
      </w:r>
      <w:r>
        <w:t xml:space="preserve">automatically to </w:t>
      </w:r>
      <w:r w:rsidR="00AC2F2A">
        <w:t>a</w:t>
      </w:r>
      <w:r>
        <w:t xml:space="preserve"> procedure note or clinical note. If changes are made to the CDT codes, </w:t>
      </w:r>
      <w:r w:rsidR="00AC2F2A">
        <w:t xml:space="preserve">you must review </w:t>
      </w:r>
      <w:r>
        <w:t>the auto</w:t>
      </w:r>
      <w:r w:rsidR="00AC2F2A">
        <w:t>matic</w:t>
      </w:r>
      <w:r>
        <w:t xml:space="preserve"> notes for accuracy.  </w:t>
      </w:r>
    </w:p>
    <w:p w14:paraId="55A32DFE" w14:textId="4CD8D907" w:rsidR="005F79F5" w:rsidRDefault="005F79F5">
      <w:pPr>
        <w:pStyle w:val="BodyText"/>
        <w:numPr>
          <w:ilvl w:val="0"/>
          <w:numId w:val="55"/>
        </w:numPr>
        <w:ind w:left="540"/>
      </w:pPr>
      <w:r w:rsidRPr="00B3072B">
        <w:rPr>
          <w:b/>
          <w:bCs/>
        </w:rPr>
        <w:t>Procedure / Treatment Area Flags</w:t>
      </w:r>
      <w:r>
        <w:t xml:space="preserve"> </w:t>
      </w:r>
      <w:r w:rsidR="00573CA6">
        <w:t>–</w:t>
      </w:r>
      <w:r>
        <w:t xml:space="preserve"> These flags automatically correct </w:t>
      </w:r>
      <w:r w:rsidR="00AC2F2A">
        <w:t>the code for a procedure that you are posting or editing,</w:t>
      </w:r>
      <w:r>
        <w:t xml:space="preserve"> according to the tooth number and surfaces selected. These flags to change the procedure code can be overridden when </w:t>
      </w:r>
      <w:r w:rsidR="00AC2F2A">
        <w:t xml:space="preserve">you are </w:t>
      </w:r>
      <w:r>
        <w:t xml:space="preserve">posting or editing procedures. To review or edit the flags for </w:t>
      </w:r>
      <w:r w:rsidR="00AF6C58">
        <w:t>a procedure code’s</w:t>
      </w:r>
      <w:r>
        <w:t xml:space="preserve"> treatment area, </w:t>
      </w:r>
      <w:r w:rsidR="00AF6C58">
        <w:t xml:space="preserve">in Procedure Code Setup, double-click a procedure code, and then </w:t>
      </w:r>
      <w:r>
        <w:t xml:space="preserve">click </w:t>
      </w:r>
      <w:r w:rsidRPr="00AC2F2A">
        <w:rPr>
          <w:b/>
          <w:bCs/>
        </w:rPr>
        <w:t>Flags</w:t>
      </w:r>
      <w:r>
        <w:t xml:space="preserve">. The name of the dialog box and </w:t>
      </w:r>
      <w:r w:rsidR="00AF6C58">
        <w:t>available options vary</w:t>
      </w:r>
      <w:r>
        <w:t xml:space="preserve"> depending on the selected </w:t>
      </w:r>
      <w:r w:rsidRPr="00AC2F2A">
        <w:rPr>
          <w:b/>
          <w:bCs/>
        </w:rPr>
        <w:t>Treatment Area</w:t>
      </w:r>
      <w:r w:rsidR="00AF6C58">
        <w:t xml:space="preserve"> for the procedure code.</w:t>
      </w:r>
    </w:p>
    <w:p w14:paraId="64B90F35" w14:textId="77777777" w:rsidR="00B3072B" w:rsidRDefault="005F79F5" w:rsidP="00D42C5A">
      <w:pPr>
        <w:pStyle w:val="Heading3"/>
      </w:pPr>
      <w:bookmarkStart w:id="173" w:name="_Toc146183323"/>
      <w:r>
        <w:t>Maintaining Code Sets and Access</w:t>
      </w:r>
      <w:bookmarkEnd w:id="173"/>
    </w:p>
    <w:p w14:paraId="5272CEEA" w14:textId="747388B6" w:rsidR="005F79F5" w:rsidRDefault="005F79F5" w:rsidP="005F79F5">
      <w:pPr>
        <w:pStyle w:val="BodyText"/>
      </w:pPr>
      <w:r>
        <w:t xml:space="preserve">Refer to </w:t>
      </w:r>
      <w:r w:rsidR="00AF6C58">
        <w:t>the “</w:t>
      </w:r>
      <w:r>
        <w:t>Database Design</w:t>
      </w:r>
      <w:r w:rsidR="00AF6C58">
        <w:t>” section</w:t>
      </w:r>
      <w:r>
        <w:t xml:space="preserve"> for adding and updating codes in </w:t>
      </w:r>
      <w:r w:rsidR="00AF6C58">
        <w:t>Dentrix Enterprise</w:t>
      </w:r>
      <w:r>
        <w:t>.</w:t>
      </w:r>
    </w:p>
    <w:p w14:paraId="1978CF3C" w14:textId="1428D663" w:rsidR="005F79F5" w:rsidRDefault="005F79F5">
      <w:pPr>
        <w:pStyle w:val="BodyText"/>
        <w:numPr>
          <w:ilvl w:val="0"/>
          <w:numId w:val="56"/>
        </w:numPr>
        <w:ind w:left="540"/>
      </w:pPr>
      <w:r w:rsidRPr="00B3072B">
        <w:rPr>
          <w:b/>
          <w:bCs/>
        </w:rPr>
        <w:t>Dental CDT Codes</w:t>
      </w:r>
      <w:r>
        <w:t xml:space="preserve"> </w:t>
      </w:r>
      <w:r w:rsidR="00AF6C58">
        <w:t>–</w:t>
      </w:r>
      <w:r>
        <w:t xml:space="preserve"> The standard ADA-CDT </w:t>
      </w:r>
      <w:r w:rsidR="00AF6C58">
        <w:t>d</w:t>
      </w:r>
      <w:r>
        <w:t xml:space="preserve">ental codes list is automatically loaded with Dentrix Enterprise. You can add to and edit the procedure codes </w:t>
      </w:r>
      <w:r w:rsidR="00AF6C58">
        <w:t>from O</w:t>
      </w:r>
      <w:r>
        <w:t xml:space="preserve">ffice </w:t>
      </w:r>
      <w:r w:rsidR="00AF6C58">
        <w:t>M</w:t>
      </w:r>
      <w:r>
        <w:t xml:space="preserve">anager. For a custom list of current codes in your </w:t>
      </w:r>
      <w:r w:rsidR="00AF6C58">
        <w:t>database</w:t>
      </w:r>
      <w:r>
        <w:t xml:space="preserve">, print the </w:t>
      </w:r>
      <w:r w:rsidR="00AF6C58">
        <w:t>P</w:t>
      </w:r>
      <w:r>
        <w:t xml:space="preserve">rocedure </w:t>
      </w:r>
      <w:r w:rsidR="00AF6C58">
        <w:t>C</w:t>
      </w:r>
      <w:r>
        <w:t xml:space="preserve">ode </w:t>
      </w:r>
      <w:r w:rsidR="00AF6C58">
        <w:t>L</w:t>
      </w:r>
      <w:r>
        <w:t xml:space="preserve">ist from </w:t>
      </w:r>
      <w:r w:rsidR="00AF6C58">
        <w:t>O</w:t>
      </w:r>
      <w:r>
        <w:t xml:space="preserve">ffice </w:t>
      </w:r>
      <w:r w:rsidR="00AF6C58">
        <w:t>M</w:t>
      </w:r>
      <w:r>
        <w:t xml:space="preserve">anager.  This printed list will include any </w:t>
      </w:r>
      <w:r w:rsidR="00AF6C58">
        <w:t xml:space="preserve">additions or </w:t>
      </w:r>
      <w:r>
        <w:t xml:space="preserve">changes you’ve made </w:t>
      </w:r>
      <w:r w:rsidR="00AF6C58">
        <w:t xml:space="preserve">to </w:t>
      </w:r>
      <w:r>
        <w:t xml:space="preserve">procedure codes.  </w:t>
      </w:r>
    </w:p>
    <w:p w14:paraId="4AB2FDAC" w14:textId="249F870C" w:rsidR="005F79F5" w:rsidRDefault="005F79F5">
      <w:pPr>
        <w:pStyle w:val="BodyText"/>
        <w:numPr>
          <w:ilvl w:val="1"/>
          <w:numId w:val="57"/>
        </w:numPr>
        <w:ind w:left="1080"/>
      </w:pPr>
      <w:r w:rsidRPr="00AF6C58">
        <w:rPr>
          <w:b/>
          <w:bCs/>
        </w:rPr>
        <w:t>Inactiv</w:t>
      </w:r>
      <w:r w:rsidR="00AF6C58">
        <w:rPr>
          <w:b/>
          <w:bCs/>
        </w:rPr>
        <w:t>e</w:t>
      </w:r>
      <w:r w:rsidRPr="00AF6C58">
        <w:rPr>
          <w:b/>
          <w:bCs/>
        </w:rPr>
        <w:t xml:space="preserve"> Codes</w:t>
      </w:r>
      <w:r>
        <w:t xml:space="preserve"> </w:t>
      </w:r>
      <w:r w:rsidR="00AF6C58">
        <w:t>–</w:t>
      </w:r>
      <w:r>
        <w:t xml:space="preserve"> You can inactivate procedure codes that you do not want to post in your practice. You cannot inactivate a procedure code that is in use (such as in an insurance plan's payment table). An inactive procedure code is not available throughout Dentrix Enterprise for any clinic. Inactivating a procedure code is not permanent; you can reactivate any inactive procedure code as needed.</w:t>
      </w:r>
    </w:p>
    <w:p w14:paraId="4FBA9742" w14:textId="43DB108E" w:rsidR="005F79F5" w:rsidRDefault="005F79F5">
      <w:pPr>
        <w:pStyle w:val="BodyText"/>
        <w:numPr>
          <w:ilvl w:val="1"/>
          <w:numId w:val="57"/>
        </w:numPr>
        <w:ind w:left="1080"/>
      </w:pPr>
      <w:r w:rsidRPr="00AF6C58">
        <w:rPr>
          <w:b/>
          <w:bCs/>
        </w:rPr>
        <w:t>New Codes</w:t>
      </w:r>
      <w:r>
        <w:t xml:space="preserve"> </w:t>
      </w:r>
      <w:r w:rsidR="00AF6C58">
        <w:t>–</w:t>
      </w:r>
      <w:r>
        <w:t xml:space="preserve"> You can add and edit the procedure codes </w:t>
      </w:r>
      <w:r w:rsidR="00AF6C58">
        <w:t xml:space="preserve">that </w:t>
      </w:r>
      <w:r>
        <w:t xml:space="preserve">you post in your practice. If you </w:t>
      </w:r>
      <w:r w:rsidR="00AF6C58">
        <w:t>need</w:t>
      </w:r>
      <w:r>
        <w:t xml:space="preserve"> a custom procedure code (for instance, a rate code or product</w:t>
      </w:r>
      <w:r w:rsidR="00AF6C58">
        <w:t xml:space="preserve"> code</w:t>
      </w:r>
      <w:r>
        <w:t>)</w:t>
      </w:r>
      <w:r w:rsidR="00AF6C58">
        <w:t xml:space="preserve">, you can add one, and it will be available for use </w:t>
      </w:r>
      <w:r>
        <w:t xml:space="preserve">the same as other codes.  </w:t>
      </w:r>
    </w:p>
    <w:p w14:paraId="59C295B4" w14:textId="3074F465" w:rsidR="005F79F5" w:rsidRDefault="005F79F5">
      <w:pPr>
        <w:pStyle w:val="BodyText"/>
        <w:numPr>
          <w:ilvl w:val="0"/>
          <w:numId w:val="56"/>
        </w:numPr>
        <w:ind w:left="540"/>
      </w:pPr>
      <w:r w:rsidRPr="00B3072B">
        <w:rPr>
          <w:b/>
          <w:bCs/>
        </w:rPr>
        <w:t>Medical CPT Codes</w:t>
      </w:r>
      <w:r>
        <w:t xml:space="preserve"> - Due to licensing issues with the American Medical Association, Dentrix Enterprise </w:t>
      </w:r>
      <w:r w:rsidR="00AF6C58">
        <w:t xml:space="preserve">does </w:t>
      </w:r>
      <w:r>
        <w:t xml:space="preserve">not pre-load the AMA-CPT, AMA-CPT Modifier, CPT-Place of Service, CPT-Type of Service, ICD-10CM, or ICD-9CM codes. These codes must be manually added to the </w:t>
      </w:r>
      <w:r w:rsidR="00AF6C58">
        <w:t>database</w:t>
      </w:r>
      <w:r>
        <w:t xml:space="preserve">. </w:t>
      </w:r>
      <w:r w:rsidR="00AF6C58">
        <w:t>You can obtain i</w:t>
      </w:r>
      <w:r>
        <w:t xml:space="preserve">nformation on the codes and descriptions that can be added </w:t>
      </w:r>
      <w:r w:rsidR="00AF6C58">
        <w:t>from</w:t>
      </w:r>
      <w:r>
        <w:t xml:space="preserve"> reference books provided by the AMA.</w:t>
      </w:r>
    </w:p>
    <w:p w14:paraId="18F607F0" w14:textId="1F95871C" w:rsidR="005F79F5" w:rsidRPr="00DA4A35" w:rsidRDefault="00DA4A35" w:rsidP="00B3072B">
      <w:pPr>
        <w:pStyle w:val="BodyText"/>
        <w:ind w:left="540"/>
        <w:rPr>
          <w:i/>
          <w:iCs/>
        </w:rPr>
      </w:pPr>
      <w:r w:rsidRPr="00DA4A35">
        <w:rPr>
          <w:b/>
          <w:bCs/>
          <w:i/>
          <w:iCs/>
        </w:rPr>
        <w:t>Note</w:t>
      </w:r>
      <w:r w:rsidRPr="00DA4A35">
        <w:rPr>
          <w:i/>
          <w:iCs/>
        </w:rPr>
        <w:t xml:space="preserve">: With the </w:t>
      </w:r>
      <w:r w:rsidR="005F79F5" w:rsidRPr="00DA4A35">
        <w:rPr>
          <w:i/>
          <w:iCs/>
        </w:rPr>
        <w:t xml:space="preserve">Medical Cross Coding </w:t>
      </w:r>
      <w:proofErr w:type="spellStart"/>
      <w:r w:rsidR="005F79F5" w:rsidRPr="00DA4A35">
        <w:rPr>
          <w:i/>
          <w:iCs/>
        </w:rPr>
        <w:t>DataPak</w:t>
      </w:r>
      <w:proofErr w:type="spellEnd"/>
      <w:r w:rsidRPr="00DA4A35">
        <w:rPr>
          <w:i/>
          <w:iCs/>
        </w:rPr>
        <w:t xml:space="preserve">, you can </w:t>
      </w:r>
      <w:r w:rsidR="005F79F5" w:rsidRPr="00DA4A35">
        <w:rPr>
          <w:i/>
          <w:iCs/>
        </w:rPr>
        <w:t xml:space="preserve">add all the codes (except ICD-10 codes) </w:t>
      </w:r>
      <w:r w:rsidRPr="00DA4A35">
        <w:rPr>
          <w:i/>
          <w:iCs/>
        </w:rPr>
        <w:t>into your database</w:t>
      </w:r>
      <w:r w:rsidR="005F79F5" w:rsidRPr="00DA4A35">
        <w:rPr>
          <w:i/>
          <w:iCs/>
        </w:rPr>
        <w:t>.</w:t>
      </w:r>
    </w:p>
    <w:p w14:paraId="2D9CA772" w14:textId="270DBFED" w:rsidR="005F79F5" w:rsidRDefault="005F79F5" w:rsidP="004A2A35">
      <w:pPr>
        <w:pStyle w:val="BodyText"/>
        <w:keepNext/>
        <w:keepLines/>
        <w:numPr>
          <w:ilvl w:val="0"/>
          <w:numId w:val="56"/>
        </w:numPr>
        <w:ind w:left="540"/>
      </w:pPr>
      <w:r w:rsidRPr="00B3072B">
        <w:rPr>
          <w:b/>
          <w:bCs/>
        </w:rPr>
        <w:lastRenderedPageBreak/>
        <w:t>Supporting or Diagnostic Codes</w:t>
      </w:r>
      <w:r w:rsidR="00B3072B">
        <w:t>:</w:t>
      </w:r>
    </w:p>
    <w:p w14:paraId="6DD07E14" w14:textId="0359675C" w:rsidR="005F79F5" w:rsidRDefault="005F79F5" w:rsidP="004A2A35">
      <w:pPr>
        <w:pStyle w:val="BodyText"/>
        <w:keepNext/>
        <w:keepLines/>
        <w:numPr>
          <w:ilvl w:val="1"/>
          <w:numId w:val="58"/>
        </w:numPr>
        <w:ind w:left="1080"/>
      </w:pPr>
      <w:r w:rsidRPr="00DA4A35">
        <w:rPr>
          <w:b/>
          <w:bCs/>
        </w:rPr>
        <w:t>ICD-10</w:t>
      </w:r>
      <w:r>
        <w:t xml:space="preserve"> </w:t>
      </w:r>
      <w:r w:rsidR="00DA4A35">
        <w:t>–</w:t>
      </w:r>
      <w:r>
        <w:t xml:space="preserve"> Please contact Enterprise Support </w:t>
      </w:r>
      <w:r w:rsidR="00DA4A35">
        <w:t xml:space="preserve">at 1-800-459-8067, Option 2 </w:t>
      </w:r>
      <w:r>
        <w:t xml:space="preserve">to </w:t>
      </w:r>
      <w:r w:rsidR="00DA4A35">
        <w:t xml:space="preserve">have a technician </w:t>
      </w:r>
      <w:r>
        <w:t>run the ICD-10 codes scrip</w:t>
      </w:r>
      <w:r w:rsidR="00DA4A35">
        <w:t xml:space="preserve">t to </w:t>
      </w:r>
      <w:r>
        <w:t>enter the dental</w:t>
      </w:r>
      <w:r w:rsidR="00DA4A35">
        <w:t>-</w:t>
      </w:r>
      <w:r>
        <w:t>related ICD-10 codes into your database.</w:t>
      </w:r>
    </w:p>
    <w:p w14:paraId="7281B1E9" w14:textId="2AFDF828" w:rsidR="005F79F5" w:rsidRDefault="005F79F5" w:rsidP="004A2A35">
      <w:pPr>
        <w:pStyle w:val="BodyText"/>
        <w:keepNext/>
        <w:keepLines/>
        <w:numPr>
          <w:ilvl w:val="1"/>
          <w:numId w:val="58"/>
        </w:numPr>
        <w:ind w:left="1080"/>
      </w:pPr>
      <w:r w:rsidRPr="00DA4A35">
        <w:rPr>
          <w:b/>
          <w:bCs/>
        </w:rPr>
        <w:t>Dental Diagnos</w:t>
      </w:r>
      <w:r w:rsidR="00DA4A35">
        <w:rPr>
          <w:b/>
          <w:bCs/>
        </w:rPr>
        <w:t>e</w:t>
      </w:r>
      <w:r w:rsidRPr="00DA4A35">
        <w:rPr>
          <w:b/>
          <w:bCs/>
        </w:rPr>
        <w:t>s</w:t>
      </w:r>
      <w:r>
        <w:t xml:space="preserve"> </w:t>
      </w:r>
      <w:r w:rsidR="00DA4A35">
        <w:t>–</w:t>
      </w:r>
      <w:r>
        <w:t xml:space="preserve"> Due to licensing issues, Dentrix Enterprise does not come with the dental diagnostic codes set up. These codes must be manually added to the </w:t>
      </w:r>
      <w:r w:rsidR="00AF6C58">
        <w:t>database</w:t>
      </w:r>
      <w:r>
        <w:t xml:space="preserve">. </w:t>
      </w:r>
      <w:r w:rsidR="00AF6C58">
        <w:t>You can obtain information</w:t>
      </w:r>
      <w:r>
        <w:t xml:space="preserve"> on the codes and descriptions </w:t>
      </w:r>
      <w:r w:rsidR="00AF6C58">
        <w:t>that can be added from</w:t>
      </w:r>
      <w:r>
        <w:t xml:space="preserve"> reference books provided by the ADA.</w:t>
      </w:r>
    </w:p>
    <w:p w14:paraId="7493202B" w14:textId="57BC5384" w:rsidR="005F79F5" w:rsidRDefault="005F79F5" w:rsidP="004A2A35">
      <w:pPr>
        <w:pStyle w:val="BodyText"/>
        <w:keepNext/>
        <w:keepLines/>
        <w:numPr>
          <w:ilvl w:val="1"/>
          <w:numId w:val="58"/>
        </w:numPr>
        <w:ind w:left="1080"/>
      </w:pPr>
      <w:r w:rsidRPr="00DA4A35">
        <w:rPr>
          <w:b/>
          <w:bCs/>
        </w:rPr>
        <w:t>Conditions</w:t>
      </w:r>
      <w:r>
        <w:t xml:space="preserve"> </w:t>
      </w:r>
      <w:r w:rsidR="00DA4A35">
        <w:t>–</w:t>
      </w:r>
      <w:r>
        <w:t xml:space="preserve"> Condition codes in Dentrix Enterprise are not tied to specific ICD-10 or SNOMED code sets. These are not official ADA or AMA codes used for reporting or insurance purposes but system specific codes to </w:t>
      </w:r>
      <w:r w:rsidR="00DA4A35">
        <w:t xml:space="preserve">use to identify present </w:t>
      </w:r>
      <w:r>
        <w:t xml:space="preserve">conditions in the odontogram. These codes can be updated or changed as needed </w:t>
      </w:r>
      <w:r w:rsidR="00DA4A35">
        <w:t>for</w:t>
      </w:r>
      <w:r>
        <w:t xml:space="preserve"> your organization.</w:t>
      </w:r>
    </w:p>
    <w:p w14:paraId="0A3B14F8" w14:textId="71056BCD" w:rsidR="005F79F5" w:rsidRPr="00DA4A35" w:rsidRDefault="005F79F5" w:rsidP="00DA4A35">
      <w:pPr>
        <w:pStyle w:val="BodyText"/>
        <w:ind w:left="1080"/>
        <w:rPr>
          <w:i/>
          <w:iCs/>
        </w:rPr>
      </w:pPr>
      <w:r w:rsidRPr="00DA4A35">
        <w:rPr>
          <w:b/>
          <w:bCs/>
          <w:i/>
          <w:iCs/>
        </w:rPr>
        <w:t>Operations Insight</w:t>
      </w:r>
      <w:r w:rsidR="00DA4A35" w:rsidRPr="00DA4A35">
        <w:rPr>
          <w:i/>
          <w:iCs/>
        </w:rPr>
        <w:t xml:space="preserve">: </w:t>
      </w:r>
      <w:r w:rsidRPr="00DA4A35">
        <w:rPr>
          <w:i/>
          <w:iCs/>
        </w:rPr>
        <w:t xml:space="preserve">Condition codes may be used for some of the reports in Dentrix Enterprise. </w:t>
      </w:r>
      <w:r w:rsidR="00DA4A35" w:rsidRPr="00DA4A35">
        <w:rPr>
          <w:i/>
          <w:iCs/>
        </w:rPr>
        <w:t>B</w:t>
      </w:r>
      <w:r w:rsidRPr="00DA4A35">
        <w:rPr>
          <w:i/>
          <w:iCs/>
        </w:rPr>
        <w:t>efore making changes or deleting condition codes</w:t>
      </w:r>
      <w:r w:rsidR="00DA4A35" w:rsidRPr="00DA4A35">
        <w:rPr>
          <w:i/>
          <w:iCs/>
        </w:rPr>
        <w:t>, verify that those condition codes are not used in necessary reports</w:t>
      </w:r>
      <w:r w:rsidRPr="00DA4A35">
        <w:rPr>
          <w:i/>
          <w:iCs/>
        </w:rPr>
        <w:t>.</w:t>
      </w:r>
    </w:p>
    <w:p w14:paraId="1D06E36E" w14:textId="77777777" w:rsidR="00B3072B" w:rsidRDefault="00B3072B" w:rsidP="00B3072B">
      <w:pPr>
        <w:pStyle w:val="BodyText"/>
        <w:ind w:left="720"/>
        <w:sectPr w:rsidR="00B3072B" w:rsidSect="007074D3">
          <w:pgSz w:w="12240" w:h="15840"/>
          <w:pgMar w:top="1440" w:right="1440" w:bottom="1440" w:left="1440" w:header="360" w:footer="360" w:gutter="0"/>
          <w:cols w:space="720"/>
          <w:docGrid w:linePitch="299"/>
        </w:sectPr>
      </w:pPr>
    </w:p>
    <w:p w14:paraId="0F07103E" w14:textId="23C31170" w:rsidR="00B3072B" w:rsidRDefault="00B3072B" w:rsidP="00B3072B">
      <w:pPr>
        <w:pStyle w:val="Heading1"/>
      </w:pPr>
      <w:bookmarkStart w:id="174" w:name="_Toc135416596"/>
      <w:bookmarkStart w:id="175" w:name="_Toc135416718"/>
      <w:bookmarkStart w:id="176" w:name="_Toc146183324"/>
      <w:r>
        <w:lastRenderedPageBreak/>
        <w:t>Revenue Cycle Management</w:t>
      </w:r>
      <w:bookmarkEnd w:id="174"/>
      <w:bookmarkEnd w:id="175"/>
      <w:bookmarkEnd w:id="176"/>
    </w:p>
    <w:p w14:paraId="03D79CEE" w14:textId="39E65961" w:rsidR="00B3072B" w:rsidRPr="00D060B6" w:rsidRDefault="00B3072B" w:rsidP="00B3072B">
      <w:pPr>
        <w:pStyle w:val="BodyText"/>
        <w:rPr>
          <w:bCs/>
        </w:rPr>
      </w:pPr>
      <w:r w:rsidRPr="00D060B6">
        <w:rPr>
          <w:bCs/>
        </w:rPr>
        <w:t xml:space="preserve">Managing revenue cycle in Dentrix Enterprise </w:t>
      </w:r>
      <w:r w:rsidR="00DA4A35">
        <w:rPr>
          <w:bCs/>
        </w:rPr>
        <w:t>consists of</w:t>
      </w:r>
      <w:r w:rsidRPr="00D060B6">
        <w:rPr>
          <w:bCs/>
        </w:rPr>
        <w:t xml:space="preserve"> several independent but connected workflows and processes </w:t>
      </w:r>
      <w:r w:rsidR="00DA4A35">
        <w:rPr>
          <w:bCs/>
        </w:rPr>
        <w:t xml:space="preserve">that are </w:t>
      </w:r>
      <w:r w:rsidRPr="00D060B6">
        <w:rPr>
          <w:bCs/>
        </w:rPr>
        <w:t xml:space="preserve">conducted within management routines and patient visit lifecycle workflows. This operations management overview for </w:t>
      </w:r>
      <w:r w:rsidR="00DA4A35">
        <w:rPr>
          <w:bCs/>
        </w:rPr>
        <w:t>r</w:t>
      </w:r>
      <w:r w:rsidRPr="00D060B6">
        <w:rPr>
          <w:bCs/>
        </w:rPr>
        <w:t xml:space="preserve">evenue </w:t>
      </w:r>
      <w:r w:rsidR="00DA4A35">
        <w:rPr>
          <w:bCs/>
        </w:rPr>
        <w:t>c</w:t>
      </w:r>
      <w:r w:rsidRPr="00D060B6">
        <w:rPr>
          <w:bCs/>
        </w:rPr>
        <w:t>ycle outlines the k</w:t>
      </w:r>
      <w:r>
        <w:rPr>
          <w:bCs/>
        </w:rPr>
        <w:t>ey components for d</w:t>
      </w:r>
      <w:r w:rsidRPr="00D060B6">
        <w:rPr>
          <w:bCs/>
        </w:rPr>
        <w:t xml:space="preserve">ental billing and patient collections. </w:t>
      </w:r>
    </w:p>
    <w:p w14:paraId="24769C3D" w14:textId="60FA604E" w:rsidR="003F63A2" w:rsidRPr="004267C0" w:rsidRDefault="00B3072B" w:rsidP="004267C0">
      <w:pPr>
        <w:pStyle w:val="Heading2"/>
        <w:numPr>
          <w:ilvl w:val="0"/>
          <w:numId w:val="59"/>
        </w:numPr>
        <w:rPr>
          <w:sz w:val="22"/>
        </w:rPr>
      </w:pPr>
      <w:bookmarkStart w:id="177" w:name="_Toc135416719"/>
      <w:bookmarkStart w:id="178" w:name="_Toc146183325"/>
      <w:r>
        <w:t>Insurance Plan Setup</w:t>
      </w:r>
      <w:r w:rsidRPr="46812195">
        <w:t xml:space="preserve"> and M</w:t>
      </w:r>
      <w:r>
        <w:t>aintenance</w:t>
      </w:r>
      <w:bookmarkEnd w:id="177"/>
      <w:bookmarkEnd w:id="178"/>
      <w:r w:rsidRPr="00D060B6">
        <w:t xml:space="preserve"> </w:t>
      </w:r>
    </w:p>
    <w:p w14:paraId="3EE97AAA" w14:textId="4E112AEA" w:rsidR="00B3072B" w:rsidRPr="0073414B" w:rsidRDefault="00B3072B" w:rsidP="003F63A2">
      <w:pPr>
        <w:pStyle w:val="BodyText"/>
        <w:rPr>
          <w:b/>
          <w:bCs/>
        </w:rPr>
      </w:pPr>
      <w:r>
        <w:t xml:space="preserve">There is more to managing your insurance plans than simply entering plan information into Dentrix Enterprise. Understanding the key settings used when building the insurance plans </w:t>
      </w:r>
      <w:r w:rsidR="00477CBC">
        <w:t>and</w:t>
      </w:r>
      <w:r>
        <w:t xml:space="preserve"> routine maintenance of your insurance database provides a solid foundation for successful insurance processes. </w:t>
      </w:r>
    </w:p>
    <w:p w14:paraId="1E139724" w14:textId="0FD3AC5A" w:rsidR="00B3072B" w:rsidRDefault="00477CBC" w:rsidP="003F63A2">
      <w:pPr>
        <w:pStyle w:val="BodyText"/>
      </w:pPr>
      <w:r>
        <w:t>The following table lists the c</w:t>
      </w:r>
      <w:r w:rsidR="00B3072B" w:rsidRPr="0073414B">
        <w:t xml:space="preserve">omponents of Dentrix Enterprise </w:t>
      </w:r>
      <w:r>
        <w:t>i</w:t>
      </w:r>
      <w:r w:rsidR="00B3072B">
        <w:t xml:space="preserve">nsurance </w:t>
      </w:r>
      <w:r>
        <w:t>p</w:t>
      </w:r>
      <w:r w:rsidR="00B3072B">
        <w:t xml:space="preserve">lan </w:t>
      </w:r>
      <w:r>
        <w:t>s</w:t>
      </w:r>
      <w:r w:rsidR="00B3072B">
        <w:t xml:space="preserve">etup </w:t>
      </w:r>
      <w:r>
        <w:t>and m</w:t>
      </w:r>
      <w:r w:rsidR="00B3072B">
        <w:t>aintenance</w:t>
      </w:r>
      <w:r>
        <w:t>.</w:t>
      </w:r>
    </w:p>
    <w:tbl>
      <w:tblPr>
        <w:tblStyle w:val="TableGrid"/>
        <w:tblW w:w="5000" w:type="pct"/>
        <w:tblLook w:val="04A0" w:firstRow="1" w:lastRow="0" w:firstColumn="1" w:lastColumn="0" w:noHBand="0" w:noVBand="1"/>
      </w:tblPr>
      <w:tblGrid>
        <w:gridCol w:w="3116"/>
        <w:gridCol w:w="3117"/>
        <w:gridCol w:w="3117"/>
      </w:tblGrid>
      <w:tr w:rsidR="003F63A2" w14:paraId="5C74B5F8" w14:textId="77777777" w:rsidTr="00477CBC">
        <w:trPr>
          <w:trHeight w:val="404"/>
        </w:trPr>
        <w:tc>
          <w:tcPr>
            <w:tcW w:w="1666" w:type="pct"/>
            <w:vAlign w:val="center"/>
          </w:tcPr>
          <w:p w14:paraId="40264D75" w14:textId="095693CD" w:rsidR="003F63A2" w:rsidRPr="003F63A2" w:rsidRDefault="003F63A2" w:rsidP="00477CBC">
            <w:pPr>
              <w:pStyle w:val="BodyText"/>
              <w:spacing w:after="0"/>
              <w:rPr>
                <w:rFonts w:ascii="Arial" w:hAnsi="Arial"/>
                <w:b/>
                <w:bCs/>
              </w:rPr>
            </w:pPr>
            <w:r w:rsidRPr="003F63A2">
              <w:rPr>
                <w:rFonts w:ascii="Arial" w:hAnsi="Arial"/>
                <w:b/>
                <w:bCs/>
              </w:rPr>
              <w:t>Pre</w:t>
            </w:r>
            <w:r w:rsidR="00477CBC">
              <w:rPr>
                <w:rFonts w:ascii="Arial" w:hAnsi="Arial"/>
                <w:b/>
                <w:bCs/>
              </w:rPr>
              <w:t>r</w:t>
            </w:r>
            <w:r w:rsidRPr="003F63A2">
              <w:rPr>
                <w:rFonts w:ascii="Arial" w:hAnsi="Arial"/>
                <w:b/>
                <w:bCs/>
              </w:rPr>
              <w:t>equisites</w:t>
            </w:r>
          </w:p>
        </w:tc>
        <w:tc>
          <w:tcPr>
            <w:tcW w:w="1667" w:type="pct"/>
            <w:vAlign w:val="center"/>
          </w:tcPr>
          <w:p w14:paraId="18766024" w14:textId="54584681" w:rsidR="003F63A2" w:rsidRPr="003F63A2" w:rsidRDefault="003F63A2" w:rsidP="00477CBC">
            <w:pPr>
              <w:pStyle w:val="BodyText"/>
              <w:spacing w:after="0"/>
              <w:rPr>
                <w:rFonts w:ascii="Arial" w:hAnsi="Arial"/>
                <w:b/>
                <w:bCs/>
              </w:rPr>
            </w:pPr>
            <w:r w:rsidRPr="003F63A2">
              <w:rPr>
                <w:rFonts w:ascii="Arial" w:hAnsi="Arial"/>
                <w:b/>
                <w:bCs/>
              </w:rPr>
              <w:t>Defaults</w:t>
            </w:r>
          </w:p>
        </w:tc>
        <w:tc>
          <w:tcPr>
            <w:tcW w:w="1667" w:type="pct"/>
            <w:vAlign w:val="center"/>
          </w:tcPr>
          <w:p w14:paraId="1053085E" w14:textId="59959E59" w:rsidR="003F63A2" w:rsidRPr="003F63A2" w:rsidRDefault="003F63A2" w:rsidP="00477CBC">
            <w:pPr>
              <w:pStyle w:val="BodyText"/>
              <w:spacing w:after="0"/>
              <w:rPr>
                <w:rFonts w:ascii="Arial" w:hAnsi="Arial"/>
                <w:b/>
                <w:bCs/>
              </w:rPr>
            </w:pPr>
            <w:r w:rsidRPr="003F63A2">
              <w:rPr>
                <w:rFonts w:ascii="Arial" w:hAnsi="Arial"/>
                <w:b/>
                <w:bCs/>
              </w:rPr>
              <w:t>Components</w:t>
            </w:r>
          </w:p>
        </w:tc>
      </w:tr>
      <w:tr w:rsidR="003F63A2" w14:paraId="44C02E2A" w14:textId="77777777" w:rsidTr="00477CBC">
        <w:tc>
          <w:tcPr>
            <w:tcW w:w="1666" w:type="pct"/>
          </w:tcPr>
          <w:p w14:paraId="6117265C" w14:textId="77777777" w:rsidR="003F63A2" w:rsidRDefault="003F63A2" w:rsidP="00477CBC">
            <w:pPr>
              <w:pStyle w:val="BodyText"/>
              <w:numPr>
                <w:ilvl w:val="0"/>
                <w:numId w:val="60"/>
              </w:numPr>
              <w:ind w:left="247" w:hanging="247"/>
            </w:pPr>
            <w:r>
              <w:t>Providers</w:t>
            </w:r>
          </w:p>
          <w:p w14:paraId="50277096" w14:textId="3ABC71D3" w:rsidR="003F63A2" w:rsidRDefault="003F63A2" w:rsidP="00477CBC">
            <w:pPr>
              <w:pStyle w:val="BodyText"/>
              <w:numPr>
                <w:ilvl w:val="0"/>
                <w:numId w:val="60"/>
              </w:numPr>
              <w:ind w:left="247" w:hanging="247"/>
            </w:pPr>
            <w:r>
              <w:t xml:space="preserve">Fee </w:t>
            </w:r>
            <w:r w:rsidR="00477CBC">
              <w:t>s</w:t>
            </w:r>
            <w:r>
              <w:t>chedules</w:t>
            </w:r>
          </w:p>
          <w:p w14:paraId="14170A2E" w14:textId="221E26B6" w:rsidR="003F63A2" w:rsidRDefault="003F63A2" w:rsidP="00477CBC">
            <w:pPr>
              <w:pStyle w:val="BodyText"/>
              <w:numPr>
                <w:ilvl w:val="0"/>
                <w:numId w:val="60"/>
              </w:numPr>
              <w:ind w:left="247" w:hanging="247"/>
            </w:pPr>
            <w:r>
              <w:t xml:space="preserve">Definitions (Claim Form, Insurance Tags, Adjustment Types, </w:t>
            </w:r>
            <w:r w:rsidR="00477CBC">
              <w:t xml:space="preserve">and </w:t>
            </w:r>
            <w:r>
              <w:t>Financial Class Types)</w:t>
            </w:r>
          </w:p>
          <w:p w14:paraId="705DB801" w14:textId="4BC0D8A9" w:rsidR="003F63A2" w:rsidRDefault="003F63A2" w:rsidP="00477CBC">
            <w:pPr>
              <w:pStyle w:val="BodyText"/>
              <w:numPr>
                <w:ilvl w:val="0"/>
                <w:numId w:val="60"/>
              </w:numPr>
              <w:ind w:left="247" w:hanging="247"/>
            </w:pPr>
            <w:r>
              <w:t xml:space="preserve">eClaims </w:t>
            </w:r>
            <w:r w:rsidR="00477CBC">
              <w:t>e</w:t>
            </w:r>
            <w:r>
              <w:t>nrollment (as needed)</w:t>
            </w:r>
          </w:p>
        </w:tc>
        <w:tc>
          <w:tcPr>
            <w:tcW w:w="1667" w:type="pct"/>
          </w:tcPr>
          <w:p w14:paraId="1D48D618" w14:textId="1D5FA824" w:rsidR="003F63A2" w:rsidRDefault="003F63A2" w:rsidP="00B24CE5">
            <w:pPr>
              <w:pStyle w:val="BodyText"/>
              <w:numPr>
                <w:ilvl w:val="0"/>
                <w:numId w:val="60"/>
              </w:numPr>
              <w:ind w:left="245" w:hanging="245"/>
            </w:pPr>
            <w:r>
              <w:t xml:space="preserve">Claim </w:t>
            </w:r>
            <w:proofErr w:type="gramStart"/>
            <w:r w:rsidR="00477CBC">
              <w:t>s</w:t>
            </w:r>
            <w:r>
              <w:t>etup</w:t>
            </w:r>
            <w:proofErr w:type="gramEnd"/>
          </w:p>
          <w:p w14:paraId="5668E6F6" w14:textId="06B993F8" w:rsidR="003F63A2" w:rsidRDefault="003F63A2" w:rsidP="00B24CE5">
            <w:pPr>
              <w:pStyle w:val="BodyText"/>
              <w:numPr>
                <w:ilvl w:val="0"/>
                <w:numId w:val="60"/>
              </w:numPr>
              <w:ind w:left="245" w:hanging="245"/>
            </w:pPr>
            <w:r>
              <w:t xml:space="preserve">Default </w:t>
            </w:r>
            <w:r w:rsidR="00477CBC">
              <w:t>i</w:t>
            </w:r>
            <w:r>
              <w:t xml:space="preserve">nsurance </w:t>
            </w:r>
            <w:r w:rsidR="00477CBC">
              <w:t>c</w:t>
            </w:r>
            <w:r>
              <w:t xml:space="preserve">overage </w:t>
            </w:r>
            <w:r w:rsidR="00477CBC">
              <w:t>t</w:t>
            </w:r>
            <w:r>
              <w:t>ables</w:t>
            </w:r>
          </w:p>
        </w:tc>
        <w:tc>
          <w:tcPr>
            <w:tcW w:w="1667" w:type="pct"/>
          </w:tcPr>
          <w:p w14:paraId="46CA2307" w14:textId="59DEDFFC" w:rsidR="003F63A2" w:rsidRDefault="003F63A2" w:rsidP="00B24CE5">
            <w:pPr>
              <w:pStyle w:val="BodyText"/>
              <w:numPr>
                <w:ilvl w:val="0"/>
                <w:numId w:val="60"/>
              </w:numPr>
              <w:ind w:left="245" w:hanging="245"/>
            </w:pPr>
            <w:r>
              <w:t xml:space="preserve">Insurance </w:t>
            </w:r>
            <w:r w:rsidR="00477CBC">
              <w:t>d</w:t>
            </w:r>
            <w:r>
              <w:t>ata</w:t>
            </w:r>
          </w:p>
          <w:p w14:paraId="53AEA09A" w14:textId="3A9A6546" w:rsidR="003F63A2" w:rsidRDefault="003F63A2" w:rsidP="00B24CE5">
            <w:pPr>
              <w:pStyle w:val="BodyText"/>
              <w:numPr>
                <w:ilvl w:val="0"/>
                <w:numId w:val="60"/>
              </w:numPr>
              <w:ind w:left="245" w:hanging="245"/>
            </w:pPr>
            <w:r>
              <w:t xml:space="preserve">Insurance </w:t>
            </w:r>
            <w:r w:rsidR="00477CBC">
              <w:t>p</w:t>
            </w:r>
            <w:r>
              <w:t xml:space="preserve">lan </w:t>
            </w:r>
            <w:r w:rsidR="00477CBC">
              <w:t>c</w:t>
            </w:r>
            <w:r>
              <w:t xml:space="preserve">laim </w:t>
            </w:r>
            <w:r w:rsidR="00477CBC">
              <w:t>s</w:t>
            </w:r>
            <w:r>
              <w:t>ettings</w:t>
            </w:r>
          </w:p>
          <w:p w14:paraId="11715B17" w14:textId="03D2B71C" w:rsidR="003F63A2" w:rsidRDefault="003F63A2" w:rsidP="00B24CE5">
            <w:pPr>
              <w:pStyle w:val="BodyText"/>
              <w:numPr>
                <w:ilvl w:val="0"/>
                <w:numId w:val="60"/>
              </w:numPr>
              <w:ind w:left="245" w:hanging="245"/>
            </w:pPr>
            <w:r>
              <w:t xml:space="preserve">Insurance </w:t>
            </w:r>
            <w:r w:rsidR="00477CBC">
              <w:t>c</w:t>
            </w:r>
            <w:r>
              <w:t xml:space="preserve">overage </w:t>
            </w:r>
            <w:r w:rsidR="00477CBC">
              <w:t>and</w:t>
            </w:r>
            <w:r>
              <w:t xml:space="preserve"> </w:t>
            </w:r>
            <w:r w:rsidR="00477CBC">
              <w:t>e</w:t>
            </w:r>
            <w:r>
              <w:t>stimates</w:t>
            </w:r>
          </w:p>
        </w:tc>
      </w:tr>
    </w:tbl>
    <w:p w14:paraId="44164F6B" w14:textId="77777777" w:rsidR="003F63A2" w:rsidRPr="0073414B" w:rsidRDefault="003F63A2" w:rsidP="003F63A2">
      <w:pPr>
        <w:pStyle w:val="BodyText"/>
      </w:pPr>
    </w:p>
    <w:p w14:paraId="5F072A66" w14:textId="50E903F3" w:rsidR="00B3072B" w:rsidRPr="00B24CE5" w:rsidRDefault="00B3072B" w:rsidP="00B3072B">
      <w:pPr>
        <w:pStyle w:val="BodyText"/>
        <w:rPr>
          <w:b/>
          <w:bCs/>
          <w:i/>
          <w:iCs/>
        </w:rPr>
      </w:pPr>
      <w:r w:rsidRPr="00B24CE5">
        <w:rPr>
          <w:b/>
          <w:bCs/>
          <w:i/>
          <w:iCs/>
        </w:rPr>
        <w:t>Operations Insight</w:t>
      </w:r>
      <w:r w:rsidRPr="00B24CE5">
        <w:rPr>
          <w:i/>
          <w:iCs/>
        </w:rPr>
        <w:t xml:space="preserve">: </w:t>
      </w:r>
      <w:r w:rsidR="00B24CE5" w:rsidRPr="00B24CE5">
        <w:rPr>
          <w:i/>
          <w:iCs/>
        </w:rPr>
        <w:t>I</w:t>
      </w:r>
      <w:r w:rsidRPr="00B24CE5">
        <w:rPr>
          <w:i/>
          <w:iCs/>
        </w:rPr>
        <w:t>nsurance plan</w:t>
      </w:r>
      <w:r w:rsidR="00B24CE5" w:rsidRPr="00B24CE5">
        <w:rPr>
          <w:i/>
          <w:iCs/>
        </w:rPr>
        <w:t xml:space="preserve"> setting</w:t>
      </w:r>
      <w:r w:rsidRPr="00B24CE5">
        <w:rPr>
          <w:i/>
          <w:iCs/>
        </w:rPr>
        <w:t xml:space="preserve">s have a direct effect on many key </w:t>
      </w:r>
      <w:r w:rsidR="00B24CE5" w:rsidRPr="00B24CE5">
        <w:rPr>
          <w:i/>
          <w:iCs/>
        </w:rPr>
        <w:t>r</w:t>
      </w:r>
      <w:r w:rsidRPr="00B24CE5">
        <w:rPr>
          <w:i/>
          <w:iCs/>
        </w:rPr>
        <w:t xml:space="preserve">evenue </w:t>
      </w:r>
      <w:r w:rsidR="00B24CE5" w:rsidRPr="00B24CE5">
        <w:rPr>
          <w:i/>
          <w:iCs/>
        </w:rPr>
        <w:t>c</w:t>
      </w:r>
      <w:r w:rsidRPr="00B24CE5">
        <w:rPr>
          <w:i/>
          <w:iCs/>
        </w:rPr>
        <w:t xml:space="preserve">ycle and </w:t>
      </w:r>
      <w:r w:rsidR="00B24CE5" w:rsidRPr="00B24CE5">
        <w:rPr>
          <w:i/>
          <w:iCs/>
        </w:rPr>
        <w:t>r</w:t>
      </w:r>
      <w:r w:rsidRPr="00B24CE5">
        <w:rPr>
          <w:i/>
          <w:iCs/>
        </w:rPr>
        <w:t>eporting outcomes.</w:t>
      </w:r>
    </w:p>
    <w:p w14:paraId="30F284F7" w14:textId="271BA288" w:rsidR="00B3072B" w:rsidRPr="00D060B6" w:rsidRDefault="00B3072B" w:rsidP="003F63A2">
      <w:pPr>
        <w:pStyle w:val="BodyText"/>
        <w:rPr>
          <w:b/>
          <w:bCs/>
        </w:rPr>
      </w:pPr>
      <w:r>
        <w:t xml:space="preserve">You can add or edit insurance plans from Family File </w:t>
      </w:r>
      <w:r w:rsidR="00B24CE5">
        <w:t>or</w:t>
      </w:r>
      <w:r>
        <w:t xml:space="preserve"> Office Manager; </w:t>
      </w:r>
      <w:r w:rsidR="00B24CE5">
        <w:t xml:space="preserve">however, you can assign </w:t>
      </w:r>
      <w:r>
        <w:t>a dental insurance plan to a subscriber</w:t>
      </w:r>
      <w:r w:rsidR="00B24CE5">
        <w:t xml:space="preserve"> only</w:t>
      </w:r>
      <w:r>
        <w:t xml:space="preserve"> from Family File.  </w:t>
      </w:r>
    </w:p>
    <w:p w14:paraId="121132DC" w14:textId="4DB000B1" w:rsidR="00B3072B" w:rsidRPr="00B24CE5" w:rsidRDefault="00B3072B" w:rsidP="003F63A2">
      <w:pPr>
        <w:pStyle w:val="BodyText"/>
        <w:rPr>
          <w:i/>
          <w:iCs/>
        </w:rPr>
      </w:pPr>
      <w:r w:rsidRPr="00B24CE5">
        <w:rPr>
          <w:b/>
          <w:bCs/>
          <w:i/>
          <w:iCs/>
        </w:rPr>
        <w:t>Workflow Insight</w:t>
      </w:r>
      <w:r w:rsidRPr="00B24CE5">
        <w:rPr>
          <w:i/>
          <w:iCs/>
        </w:rPr>
        <w:t>: It is very important to search for existing insurance plans before adding a new insurance plan to prevent duplicate insurance plans in your database. Using descriptive, consistent, standard naming conventions is encouraged to assist with maintaining your insurance plan database.</w:t>
      </w:r>
    </w:p>
    <w:p w14:paraId="1765D7BA" w14:textId="77777777" w:rsidR="003F63A2" w:rsidRPr="003F63A2" w:rsidRDefault="00B3072B" w:rsidP="00D42C5A">
      <w:pPr>
        <w:pStyle w:val="Heading3"/>
      </w:pPr>
      <w:bookmarkStart w:id="179" w:name="_Toc146183326"/>
      <w:r w:rsidRPr="003F63A2">
        <w:lastRenderedPageBreak/>
        <w:t>Insurance Data</w:t>
      </w:r>
      <w:bookmarkEnd w:id="179"/>
    </w:p>
    <w:p w14:paraId="38D8E296" w14:textId="6E25AB4F" w:rsidR="00B3072B" w:rsidRDefault="00B3072B" w:rsidP="004A2A35">
      <w:pPr>
        <w:pStyle w:val="BodyText"/>
        <w:keepNext/>
        <w:keepLines/>
      </w:pPr>
      <w:r>
        <w:rPr>
          <w:sz w:val="24"/>
        </w:rPr>
        <w:t>T</w:t>
      </w:r>
      <w:r>
        <w:t xml:space="preserve">he following options are key items to understand when </w:t>
      </w:r>
      <w:r w:rsidR="00E563B8">
        <w:t xml:space="preserve">you are </w:t>
      </w:r>
      <w:r>
        <w:t>building or editing insurance data.  Payor</w:t>
      </w:r>
      <w:r w:rsidR="00E563B8">
        <w:t>/</w:t>
      </w:r>
      <w:r>
        <w:t>state</w:t>
      </w:r>
      <w:r w:rsidR="00E563B8">
        <w:t>-</w:t>
      </w:r>
      <w:r>
        <w:t xml:space="preserve">specific claim regulations and organizational guidance will identify the settings needed for each insurance plan.  </w:t>
      </w:r>
    </w:p>
    <w:p w14:paraId="737964F6" w14:textId="090E572E" w:rsidR="00B3072B" w:rsidRDefault="00B3072B" w:rsidP="004A2A35">
      <w:pPr>
        <w:pStyle w:val="BodyText"/>
        <w:keepNext/>
        <w:keepLines/>
        <w:numPr>
          <w:ilvl w:val="0"/>
          <w:numId w:val="61"/>
        </w:numPr>
        <w:ind w:left="540"/>
      </w:pPr>
      <w:r w:rsidRPr="003F63A2">
        <w:rPr>
          <w:b/>
        </w:rPr>
        <w:t>Carrier Name</w:t>
      </w:r>
      <w:r>
        <w:t xml:space="preserve"> </w:t>
      </w:r>
      <w:r w:rsidR="00381692">
        <w:t>–</w:t>
      </w:r>
      <w:r>
        <w:t xml:space="preserve"> Enter</w:t>
      </w:r>
      <w:r w:rsidRPr="003F63A2">
        <w:t xml:space="preserve"> </w:t>
      </w:r>
      <w:r w:rsidR="00381692">
        <w:t>the</w:t>
      </w:r>
      <w:r w:rsidRPr="003F63A2">
        <w:t xml:space="preserve"> name </w:t>
      </w:r>
      <w:proofErr w:type="gramStart"/>
      <w:r w:rsidR="00381692">
        <w:t>for</w:t>
      </w:r>
      <w:proofErr w:type="gramEnd"/>
      <w:r w:rsidR="00381692">
        <w:t xml:space="preserve"> the insurance carrier </w:t>
      </w:r>
      <w:r w:rsidRPr="003F63A2">
        <w:t>as you would like to see it listed on the insurance plan. Avoid nicknames and internal references.</w:t>
      </w:r>
    </w:p>
    <w:p w14:paraId="063339A2" w14:textId="5A963793" w:rsidR="00F142A7" w:rsidRPr="00F142A7" w:rsidRDefault="00F142A7" w:rsidP="004A2A35">
      <w:pPr>
        <w:pStyle w:val="BodyText"/>
        <w:keepNext/>
        <w:keepLines/>
        <w:ind w:left="540"/>
        <w:rPr>
          <w:i/>
          <w:iCs/>
        </w:rPr>
      </w:pPr>
      <w:r w:rsidRPr="00F142A7">
        <w:rPr>
          <w:b/>
          <w:bCs/>
          <w:i/>
          <w:iCs/>
        </w:rPr>
        <w:t>Operations Insight</w:t>
      </w:r>
      <w:r w:rsidRPr="00F142A7">
        <w:rPr>
          <w:i/>
          <w:iCs/>
        </w:rPr>
        <w:t xml:space="preserve">: </w:t>
      </w:r>
      <w:r w:rsidR="00B006D6">
        <w:rPr>
          <w:i/>
          <w:iCs/>
        </w:rPr>
        <w:t>Even though i</w:t>
      </w:r>
      <w:r w:rsidRPr="00F142A7">
        <w:rPr>
          <w:i/>
          <w:iCs/>
        </w:rPr>
        <w:t>nsurance carriers, group plans, and group numbers are set up as independent records in the system</w:t>
      </w:r>
      <w:r w:rsidR="00B006D6">
        <w:rPr>
          <w:i/>
          <w:iCs/>
        </w:rPr>
        <w:t>, e</w:t>
      </w:r>
      <w:r w:rsidRPr="00F142A7">
        <w:rPr>
          <w:i/>
          <w:iCs/>
        </w:rPr>
        <w:t xml:space="preserve">ach plan is recognized and reported as an individual </w:t>
      </w:r>
      <w:r w:rsidR="00B006D6">
        <w:rPr>
          <w:i/>
          <w:iCs/>
        </w:rPr>
        <w:t>entity</w:t>
      </w:r>
      <w:r w:rsidRPr="00F142A7">
        <w:rPr>
          <w:i/>
          <w:iCs/>
        </w:rPr>
        <w:t xml:space="preserve">. </w:t>
      </w:r>
      <w:r>
        <w:rPr>
          <w:i/>
          <w:iCs/>
        </w:rPr>
        <w:t>Selecting f</w:t>
      </w:r>
      <w:r w:rsidRPr="00F142A7">
        <w:rPr>
          <w:i/>
          <w:iCs/>
        </w:rPr>
        <w:t xml:space="preserve">inancial class types, insurance tags, or a range of carriers can </w:t>
      </w:r>
      <w:r w:rsidR="00B006D6">
        <w:rPr>
          <w:i/>
          <w:iCs/>
        </w:rPr>
        <w:t>help when you are running reports</w:t>
      </w:r>
      <w:r w:rsidRPr="00F142A7">
        <w:rPr>
          <w:i/>
          <w:iCs/>
        </w:rPr>
        <w:t>. For example, if Delta Dental is the carrier, and there are seven plans for Delta Dental, reports will include seven Delta Dental carriers, and you can even select a range of only the Delta Dental carriers for reports to allow for reporting on their collective information.</w:t>
      </w:r>
    </w:p>
    <w:p w14:paraId="38A0F227" w14:textId="77777777" w:rsidR="00172D8F" w:rsidRDefault="00B3072B">
      <w:pPr>
        <w:pStyle w:val="BodyText"/>
        <w:numPr>
          <w:ilvl w:val="0"/>
          <w:numId w:val="61"/>
        </w:numPr>
        <w:ind w:left="540"/>
      </w:pPr>
      <w:r w:rsidRPr="003F63A2">
        <w:rPr>
          <w:b/>
          <w:bCs/>
        </w:rPr>
        <w:t>Group Plan</w:t>
      </w:r>
      <w:r w:rsidRPr="003F63A2">
        <w:t xml:space="preserve"> </w:t>
      </w:r>
      <w:r w:rsidR="00381692">
        <w:t>–</w:t>
      </w:r>
      <w:r w:rsidRPr="003F63A2">
        <w:t xml:space="preserve"> If the plan has a specific group, you can enter the group name. If you do not have a group name, </w:t>
      </w:r>
      <w:r w:rsidR="00172D8F">
        <w:t xml:space="preserve">you can use </w:t>
      </w:r>
      <w:r w:rsidRPr="003F63A2">
        <w:t>the employer name or other internal references. You can select if you want to include the group name on the claim.</w:t>
      </w:r>
    </w:p>
    <w:p w14:paraId="132334B8" w14:textId="30AF0BFB" w:rsidR="00B3072B" w:rsidRPr="00172D8F" w:rsidRDefault="00172D8F" w:rsidP="00172D8F">
      <w:pPr>
        <w:pStyle w:val="BodyText"/>
        <w:ind w:left="540"/>
        <w:rPr>
          <w:i/>
          <w:iCs/>
        </w:rPr>
      </w:pPr>
      <w:r w:rsidRPr="00172D8F">
        <w:rPr>
          <w:b/>
          <w:bCs/>
          <w:i/>
          <w:iCs/>
        </w:rPr>
        <w:t>Note</w:t>
      </w:r>
      <w:r w:rsidRPr="00172D8F">
        <w:rPr>
          <w:i/>
          <w:iCs/>
        </w:rPr>
        <w:t xml:space="preserve">: </w:t>
      </w:r>
      <w:r w:rsidR="00B3072B" w:rsidRPr="00172D8F">
        <w:rPr>
          <w:i/>
          <w:iCs/>
        </w:rPr>
        <w:t xml:space="preserve">This field </w:t>
      </w:r>
      <w:r>
        <w:rPr>
          <w:i/>
          <w:iCs/>
        </w:rPr>
        <w:t xml:space="preserve">is useful </w:t>
      </w:r>
      <w:r w:rsidR="00B3072B" w:rsidRPr="00172D8F">
        <w:rPr>
          <w:i/>
          <w:iCs/>
        </w:rPr>
        <w:t xml:space="preserve">when you are searching </w:t>
      </w:r>
      <w:r w:rsidR="00B006D6">
        <w:rPr>
          <w:i/>
          <w:iCs/>
        </w:rPr>
        <w:t>through</w:t>
      </w:r>
      <w:r>
        <w:rPr>
          <w:i/>
          <w:iCs/>
        </w:rPr>
        <w:t xml:space="preserve"> insurance plans </w:t>
      </w:r>
      <w:r w:rsidR="00B006D6">
        <w:rPr>
          <w:i/>
          <w:iCs/>
        </w:rPr>
        <w:t xml:space="preserve">that were </w:t>
      </w:r>
      <w:r>
        <w:rPr>
          <w:i/>
          <w:iCs/>
        </w:rPr>
        <w:t xml:space="preserve">entered previously </w:t>
      </w:r>
      <w:r w:rsidR="00B006D6">
        <w:rPr>
          <w:i/>
          <w:iCs/>
        </w:rPr>
        <w:t>so you can</w:t>
      </w:r>
      <w:r>
        <w:rPr>
          <w:i/>
          <w:iCs/>
        </w:rPr>
        <w:t xml:space="preserve"> assign </w:t>
      </w:r>
      <w:r w:rsidR="00B006D6">
        <w:rPr>
          <w:i/>
          <w:iCs/>
        </w:rPr>
        <w:t xml:space="preserve">one </w:t>
      </w:r>
      <w:r w:rsidR="00B3072B" w:rsidRPr="00172D8F">
        <w:rPr>
          <w:i/>
          <w:iCs/>
        </w:rPr>
        <w:t>to</w:t>
      </w:r>
      <w:r w:rsidR="00B006D6">
        <w:rPr>
          <w:i/>
          <w:iCs/>
        </w:rPr>
        <w:t xml:space="preserve"> a</w:t>
      </w:r>
      <w:r w:rsidR="00B3072B" w:rsidRPr="00172D8F">
        <w:rPr>
          <w:i/>
          <w:iCs/>
        </w:rPr>
        <w:t xml:space="preserve"> patient.</w:t>
      </w:r>
    </w:p>
    <w:p w14:paraId="48AA3A5B" w14:textId="1CA4C692" w:rsidR="00B3072B" w:rsidRPr="003F63A2" w:rsidRDefault="00B3072B">
      <w:pPr>
        <w:pStyle w:val="BodyText"/>
        <w:numPr>
          <w:ilvl w:val="0"/>
          <w:numId w:val="61"/>
        </w:numPr>
        <w:ind w:left="540"/>
      </w:pPr>
      <w:r w:rsidRPr="003F63A2">
        <w:rPr>
          <w:b/>
          <w:bCs/>
        </w:rPr>
        <w:t>Tags</w:t>
      </w:r>
      <w:r w:rsidRPr="003F63A2">
        <w:t xml:space="preserve"> </w:t>
      </w:r>
      <w:r w:rsidR="00381692">
        <w:t>–</w:t>
      </w:r>
      <w:r w:rsidRPr="003F63A2">
        <w:t xml:space="preserve"> </w:t>
      </w:r>
      <w:r w:rsidR="00172D8F">
        <w:t>You can assign i</w:t>
      </w:r>
      <w:r w:rsidRPr="003F63A2">
        <w:t xml:space="preserve">nsurance </w:t>
      </w:r>
      <w:r w:rsidR="00172D8F">
        <w:t>t</w:t>
      </w:r>
      <w:r w:rsidRPr="003F63A2">
        <w:t xml:space="preserve">ags to plans as a tool for grouping and searching </w:t>
      </w:r>
      <w:r w:rsidR="00172D8F">
        <w:t xml:space="preserve">for </w:t>
      </w:r>
      <w:r w:rsidRPr="003F63A2">
        <w:t xml:space="preserve">insurance plans. Insurance </w:t>
      </w:r>
      <w:r w:rsidR="00172D8F">
        <w:t>t</w:t>
      </w:r>
      <w:r w:rsidRPr="003F63A2">
        <w:t>ags are completely custom</w:t>
      </w:r>
      <w:r w:rsidR="00172D8F">
        <w:t>izable definitions</w:t>
      </w:r>
      <w:r w:rsidRPr="003F63A2">
        <w:t xml:space="preserve"> </w:t>
      </w:r>
      <w:r w:rsidR="00172D8F">
        <w:t>to fit</w:t>
      </w:r>
      <w:r w:rsidRPr="003F63A2">
        <w:t xml:space="preserve"> your organization's needs. A good example for an insurance </w:t>
      </w:r>
      <w:r w:rsidR="00172D8F">
        <w:t>t</w:t>
      </w:r>
      <w:r w:rsidRPr="003F63A2">
        <w:t>ag would be the associated clinic</w:t>
      </w:r>
      <w:r w:rsidR="00172D8F">
        <w:t>; and i</w:t>
      </w:r>
      <w:r w:rsidRPr="003F63A2">
        <w:t xml:space="preserve">f a plan is used for more than one clinic, multiple tags could be assigned.  </w:t>
      </w:r>
    </w:p>
    <w:p w14:paraId="458D81C9" w14:textId="7829FD1F" w:rsidR="00B3072B" w:rsidRPr="003F63A2" w:rsidRDefault="00B3072B">
      <w:pPr>
        <w:pStyle w:val="BodyText"/>
        <w:numPr>
          <w:ilvl w:val="0"/>
          <w:numId w:val="61"/>
        </w:numPr>
        <w:ind w:left="540"/>
      </w:pPr>
      <w:r w:rsidRPr="003F63A2">
        <w:rPr>
          <w:b/>
          <w:bCs/>
        </w:rPr>
        <w:t>Employer</w:t>
      </w:r>
      <w:r w:rsidRPr="003F63A2">
        <w:t xml:space="preserve"> </w:t>
      </w:r>
      <w:r w:rsidR="00381692">
        <w:t>–</w:t>
      </w:r>
      <w:r w:rsidRPr="003F63A2">
        <w:t xml:space="preserve"> If an employer </w:t>
      </w:r>
      <w:proofErr w:type="gramStart"/>
      <w:r w:rsidRPr="003F63A2">
        <w:t>will be</w:t>
      </w:r>
      <w:proofErr w:type="gramEnd"/>
      <w:r w:rsidRPr="003F63A2">
        <w:t xml:space="preserve"> attached to the plan, you can select it. The employer must be in the system prior to attaching it to the plan.  </w:t>
      </w:r>
    </w:p>
    <w:p w14:paraId="60B8D5DB" w14:textId="04435BF8" w:rsidR="00B3072B" w:rsidRPr="003F63A2" w:rsidRDefault="00B3072B">
      <w:pPr>
        <w:pStyle w:val="BodyText"/>
        <w:numPr>
          <w:ilvl w:val="0"/>
          <w:numId w:val="61"/>
        </w:numPr>
        <w:ind w:left="540"/>
      </w:pPr>
      <w:r w:rsidRPr="003F63A2">
        <w:rPr>
          <w:b/>
          <w:bCs/>
        </w:rPr>
        <w:t>Grou</w:t>
      </w:r>
      <w:r w:rsidR="00E563B8">
        <w:rPr>
          <w:b/>
          <w:bCs/>
        </w:rPr>
        <w:t>p</w:t>
      </w:r>
      <w:r w:rsidRPr="003F63A2">
        <w:rPr>
          <w:b/>
          <w:bCs/>
        </w:rPr>
        <w:t xml:space="preserve"> #</w:t>
      </w:r>
      <w:r w:rsidRPr="003F63A2">
        <w:t xml:space="preserve"> </w:t>
      </w:r>
      <w:r w:rsidR="00381692">
        <w:t>–</w:t>
      </w:r>
      <w:r w:rsidRPr="003F63A2">
        <w:t xml:space="preserve"> The group number often is the key identifying factor for insurance plans and is used when </w:t>
      </w:r>
      <w:r w:rsidR="00172D8F">
        <w:t xml:space="preserve">you are </w:t>
      </w:r>
      <w:r w:rsidRPr="003F63A2">
        <w:t xml:space="preserve">searching </w:t>
      </w:r>
      <w:r w:rsidR="00172D8F">
        <w:t xml:space="preserve">for </w:t>
      </w:r>
      <w:r w:rsidRPr="003F63A2">
        <w:t xml:space="preserve">insurance plans in the system. </w:t>
      </w:r>
      <w:r w:rsidR="00172D8F">
        <w:t>We</w:t>
      </w:r>
      <w:r w:rsidRPr="003F63A2">
        <w:t xml:space="preserve"> recommended </w:t>
      </w:r>
      <w:r w:rsidR="00172D8F">
        <w:t>that you</w:t>
      </w:r>
      <w:r w:rsidRPr="003F63A2">
        <w:t xml:space="preserve"> enter the full number as listed without abbreviations to assist with maintaining an accurate insurance plan database. Group numbers can be up to 30 characters</w:t>
      </w:r>
      <w:r w:rsidR="00172D8F">
        <w:t>.</w:t>
      </w:r>
      <w:r w:rsidRPr="003F63A2">
        <w:t xml:space="preserve"> </w:t>
      </w:r>
    </w:p>
    <w:p w14:paraId="17FBE29C" w14:textId="2B6DBAB9" w:rsidR="00B3072B" w:rsidRPr="003F63A2" w:rsidRDefault="00B3072B">
      <w:pPr>
        <w:pStyle w:val="BodyText"/>
        <w:numPr>
          <w:ilvl w:val="0"/>
          <w:numId w:val="61"/>
        </w:numPr>
        <w:ind w:left="540"/>
      </w:pPr>
      <w:r w:rsidRPr="003F63A2">
        <w:rPr>
          <w:b/>
          <w:bCs/>
        </w:rPr>
        <w:t>Last Update</w:t>
      </w:r>
      <w:r w:rsidRPr="003F63A2">
        <w:t xml:space="preserve"> </w:t>
      </w:r>
      <w:r w:rsidR="00381692">
        <w:t>–</w:t>
      </w:r>
      <w:r w:rsidRPr="003F63A2">
        <w:t xml:space="preserve"> This field is helpful for tracking when a plan was updated in the system. It is important to note that this field is not updated automatically</w:t>
      </w:r>
      <w:r w:rsidR="00F142A7">
        <w:t>, so you must</w:t>
      </w:r>
      <w:r w:rsidRPr="003F63A2">
        <w:t xml:space="preserve"> manually populate</w:t>
      </w:r>
      <w:r w:rsidR="00F142A7">
        <w:t xml:space="preserve"> it</w:t>
      </w:r>
      <w:r w:rsidRPr="003F63A2">
        <w:t xml:space="preserve"> for each change.  </w:t>
      </w:r>
    </w:p>
    <w:p w14:paraId="353148E6" w14:textId="2BA11DC8" w:rsidR="00B3072B" w:rsidRPr="003F63A2" w:rsidRDefault="00B3072B">
      <w:pPr>
        <w:pStyle w:val="BodyText"/>
        <w:numPr>
          <w:ilvl w:val="0"/>
          <w:numId w:val="61"/>
        </w:numPr>
        <w:ind w:left="540"/>
      </w:pPr>
      <w:r w:rsidRPr="003F63A2">
        <w:rPr>
          <w:b/>
          <w:bCs/>
        </w:rPr>
        <w:t>Benefit Renewal</w:t>
      </w:r>
      <w:r w:rsidRPr="003F63A2">
        <w:t xml:space="preserve"> </w:t>
      </w:r>
      <w:r w:rsidR="00381692">
        <w:t>–</w:t>
      </w:r>
      <w:r w:rsidRPr="003F63A2">
        <w:t xml:space="preserve"> This identifies the month that the yearly insurance benefits </w:t>
      </w:r>
      <w:proofErr w:type="gramStart"/>
      <w:r w:rsidRPr="003F63A2">
        <w:t>renew</w:t>
      </w:r>
      <w:proofErr w:type="gramEnd"/>
      <w:r w:rsidRPr="003F63A2">
        <w:t xml:space="preserve">. Not including the accurate month could result in inaccurate insurance estimation calculations.  </w:t>
      </w:r>
    </w:p>
    <w:p w14:paraId="3EC66B4F" w14:textId="61345104" w:rsidR="00B3072B" w:rsidRPr="003F63A2" w:rsidRDefault="00B3072B" w:rsidP="004A2A35">
      <w:pPr>
        <w:pStyle w:val="BodyText"/>
        <w:keepNext/>
        <w:keepLines/>
        <w:numPr>
          <w:ilvl w:val="0"/>
          <w:numId w:val="61"/>
        </w:numPr>
        <w:ind w:left="540"/>
      </w:pPr>
      <w:r w:rsidRPr="003F63A2">
        <w:rPr>
          <w:b/>
          <w:bCs/>
        </w:rPr>
        <w:lastRenderedPageBreak/>
        <w:t>Claim Format</w:t>
      </w:r>
      <w:r w:rsidRPr="003F63A2">
        <w:t xml:space="preserve"> </w:t>
      </w:r>
      <w:r w:rsidR="00381692">
        <w:t>–</w:t>
      </w:r>
      <w:r w:rsidRPr="003F63A2">
        <w:t xml:space="preserve"> This determine</w:t>
      </w:r>
      <w:r w:rsidR="00B006D6">
        <w:t>s</w:t>
      </w:r>
      <w:r w:rsidRPr="003F63A2">
        <w:t xml:space="preserve"> the type of claim format </w:t>
      </w:r>
      <w:r w:rsidR="00B006D6">
        <w:t>to use</w:t>
      </w:r>
      <w:r w:rsidRPr="003F63A2">
        <w:t xml:space="preserve"> when a claim is generated for the plan</w:t>
      </w:r>
      <w:r w:rsidR="00B006D6">
        <w:t>:</w:t>
      </w:r>
    </w:p>
    <w:p w14:paraId="66B4794F" w14:textId="170CAE81" w:rsidR="00B006D6" w:rsidRDefault="00B3072B" w:rsidP="004A2A35">
      <w:pPr>
        <w:pStyle w:val="BodyText"/>
        <w:keepNext/>
        <w:keepLines/>
        <w:numPr>
          <w:ilvl w:val="1"/>
          <w:numId w:val="62"/>
        </w:numPr>
        <w:ind w:left="1080"/>
      </w:pPr>
      <w:r w:rsidRPr="003F63A2">
        <w:rPr>
          <w:b/>
          <w:bCs/>
        </w:rPr>
        <w:t>2019 ADA Claim Form</w:t>
      </w:r>
      <w:r w:rsidRPr="003F63A2">
        <w:t xml:space="preserve"> </w:t>
      </w:r>
      <w:r w:rsidR="00381692">
        <w:t xml:space="preserve">– </w:t>
      </w:r>
      <w:r w:rsidRPr="003F63A2">
        <w:t>The ADA Dental Claim Form provides a common format for reporting dental services to a patient's dental benefit plan. A claim is the formal payment request submitted by a dental care provider to the insurance carrier. The carrier then determines how much of the claim is covered by the patient's plan. Additional instruction</w:t>
      </w:r>
      <w:r w:rsidR="00EC3DF9">
        <w:t>s</w:t>
      </w:r>
      <w:r w:rsidRPr="003F63A2">
        <w:t xml:space="preserve"> for the ADA 2019 Claim Form can be found </w:t>
      </w:r>
      <w:r w:rsidR="00BE7A88">
        <w:t>online</w:t>
      </w:r>
      <w:r w:rsidR="00B006D6">
        <w:t>.</w:t>
      </w:r>
    </w:p>
    <w:p w14:paraId="5D0F81AD" w14:textId="01AEC0A7" w:rsidR="00B3072B" w:rsidRPr="003F63A2" w:rsidRDefault="00000000" w:rsidP="004A2A35">
      <w:pPr>
        <w:pStyle w:val="BodyText"/>
        <w:keepNext/>
        <w:keepLines/>
        <w:ind w:left="1440"/>
      </w:pPr>
      <w:hyperlink r:id="rId37" w:history="1">
        <w:r w:rsidR="00B3072B" w:rsidRPr="00BE7A88">
          <w:rPr>
            <w:rStyle w:val="Hyperlink"/>
            <w:color w:val="0070C0"/>
          </w:rPr>
          <w:t>https://www.ada.org/-/media/project/ada-organization/ada/ada-org/files/publications/cdt/</w:t>
        </w:r>
        <w:r w:rsidR="00B006D6" w:rsidRPr="00BE7A88">
          <w:rPr>
            <w:rStyle w:val="Hyperlink"/>
            <w:color w:val="0070C0"/>
          </w:rPr>
          <w:br/>
        </w:r>
        <w:r w:rsidR="00B3072B" w:rsidRPr="00BE7A88">
          <w:rPr>
            <w:rStyle w:val="Hyperlink"/>
            <w:color w:val="0070C0"/>
          </w:rPr>
          <w:t>v2019adadentalclaimcompletioninstructions_v3_2022feb.pdf?rev=70d192ad312a47f285487c1d69de4190&amp;hash=8EFBBD50FA335262C463823E1CA83DFE</w:t>
        </w:r>
      </w:hyperlink>
    </w:p>
    <w:p w14:paraId="36EEAABB" w14:textId="724167D2" w:rsidR="00B3072B" w:rsidRPr="003F63A2" w:rsidRDefault="00B3072B">
      <w:pPr>
        <w:pStyle w:val="BodyText"/>
        <w:numPr>
          <w:ilvl w:val="1"/>
          <w:numId w:val="62"/>
        </w:numPr>
        <w:ind w:left="1080"/>
      </w:pPr>
      <w:r w:rsidRPr="003F63A2">
        <w:rPr>
          <w:b/>
          <w:bCs/>
        </w:rPr>
        <w:t>Health Care Finance Administration</w:t>
      </w:r>
      <w:r w:rsidRPr="00381692">
        <w:rPr>
          <w:b/>
          <w:bCs/>
        </w:rPr>
        <w:t xml:space="preserve"> - HCFA 1500 Claim Form</w:t>
      </w:r>
      <w:r w:rsidR="00E563B8">
        <w:t xml:space="preserve"> </w:t>
      </w:r>
      <w:r w:rsidR="00381692">
        <w:t>–</w:t>
      </w:r>
      <w:r w:rsidRPr="003F63A2">
        <w:t xml:space="preserve"> Created by Centers for Medicare &amp; Medicaid Services (CMS), which initially </w:t>
      </w:r>
      <w:r w:rsidR="00B006D6">
        <w:t>was created</w:t>
      </w:r>
      <w:r w:rsidRPr="003F63A2">
        <w:t xml:space="preserve"> to facilitate Medicare and Medicaid reimbursements.</w:t>
      </w:r>
    </w:p>
    <w:p w14:paraId="0E50B755" w14:textId="6DAEB06B" w:rsidR="00BE7A88" w:rsidRDefault="00B3072B">
      <w:pPr>
        <w:pStyle w:val="BodyText"/>
        <w:numPr>
          <w:ilvl w:val="1"/>
          <w:numId w:val="62"/>
        </w:numPr>
        <w:ind w:left="1080"/>
      </w:pPr>
      <w:r w:rsidRPr="003F63A2">
        <w:rPr>
          <w:b/>
          <w:bCs/>
        </w:rPr>
        <w:t>UB04, AKA CMS-1450 Form</w:t>
      </w:r>
      <w:r w:rsidRPr="003F63A2">
        <w:t xml:space="preserve"> </w:t>
      </w:r>
      <w:r w:rsidR="00381692">
        <w:t>–</w:t>
      </w:r>
      <w:r w:rsidRPr="003F63A2">
        <w:t xml:space="preserve"> The UB04 uniform medical billing form is the standard claim form that any provider can use for the billing of inpatient or outpatient care. Refer to your state carriers for specific guidance on submitting the UBO4 dental claims. Sample carrier guidance can be found </w:t>
      </w:r>
      <w:r w:rsidR="00BE7A88">
        <w:t>online.</w:t>
      </w:r>
    </w:p>
    <w:p w14:paraId="7D189C73" w14:textId="44FCD227" w:rsidR="00B3072B" w:rsidRPr="003F63A2" w:rsidRDefault="00000000" w:rsidP="00BE7A88">
      <w:pPr>
        <w:pStyle w:val="BodyText"/>
        <w:ind w:left="1440"/>
      </w:pPr>
      <w:hyperlink r:id="rId38" w:history="1">
        <w:r w:rsidR="00B3072B" w:rsidRPr="00BE7A88">
          <w:rPr>
            <w:rStyle w:val="Hyperlink"/>
            <w:color w:val="0070C0"/>
          </w:rPr>
          <w:t>https://www.amerihealth.com/pdfs/providers/npi/ub04_form.pdf</w:t>
        </w:r>
      </w:hyperlink>
    </w:p>
    <w:p w14:paraId="3436E3C9" w14:textId="5E7471ED" w:rsidR="00B3072B" w:rsidRPr="003F63A2" w:rsidRDefault="00B3072B">
      <w:pPr>
        <w:pStyle w:val="BodyText"/>
        <w:numPr>
          <w:ilvl w:val="1"/>
          <w:numId w:val="62"/>
        </w:numPr>
        <w:ind w:left="1080"/>
      </w:pPr>
      <w:r w:rsidRPr="003F63A2">
        <w:rPr>
          <w:b/>
          <w:bCs/>
        </w:rPr>
        <w:t>837</w:t>
      </w:r>
      <w:r w:rsidRPr="003F63A2">
        <w:t xml:space="preserve"> </w:t>
      </w:r>
      <w:r w:rsidR="00381692">
        <w:t>–</w:t>
      </w:r>
      <w:r w:rsidRPr="003F63A2">
        <w:t xml:space="preserve"> An 837 file is an electronic file that contains patient claim information. This file is submitted to an insurance company or to a clearinghouse instead of </w:t>
      </w:r>
      <w:r w:rsidR="00BE7A88">
        <w:t xml:space="preserve">a paper claim being </w:t>
      </w:r>
      <w:r w:rsidRPr="003F63A2">
        <w:t>print</w:t>
      </w:r>
      <w:r w:rsidR="00BE7A88">
        <w:t>ed</w:t>
      </w:r>
      <w:r w:rsidRPr="003F63A2">
        <w:t xml:space="preserve"> and mail</w:t>
      </w:r>
      <w:r w:rsidR="00BE7A88">
        <w:t>ed</w:t>
      </w:r>
      <w:r w:rsidRPr="003F63A2">
        <w:t>. The 837 file can process patient claim information in different formats</w:t>
      </w:r>
      <w:r w:rsidR="00BE7A88">
        <w:t xml:space="preserve">: </w:t>
      </w:r>
      <w:r w:rsidRPr="003F63A2">
        <w:t xml:space="preserve">837D (dental), 837P (professional), </w:t>
      </w:r>
      <w:r w:rsidR="00BE7A88">
        <w:t xml:space="preserve">or </w:t>
      </w:r>
      <w:r w:rsidRPr="003F63A2">
        <w:t>837I (institutional).</w:t>
      </w:r>
    </w:p>
    <w:p w14:paraId="38CD612C" w14:textId="463FCE7D" w:rsidR="00B3072B" w:rsidRPr="003F63A2" w:rsidRDefault="00B3072B">
      <w:pPr>
        <w:pStyle w:val="BodyText"/>
        <w:numPr>
          <w:ilvl w:val="1"/>
          <w:numId w:val="62"/>
        </w:numPr>
        <w:ind w:left="1080"/>
      </w:pPr>
      <w:r w:rsidRPr="003F63A2">
        <w:rPr>
          <w:b/>
          <w:bCs/>
        </w:rPr>
        <w:t>837i</w:t>
      </w:r>
      <w:r w:rsidRPr="003F63A2">
        <w:t xml:space="preserve"> </w:t>
      </w:r>
      <w:r w:rsidR="00381692">
        <w:t>–</w:t>
      </w:r>
      <w:r w:rsidRPr="003F63A2">
        <w:t xml:space="preserve"> </w:t>
      </w:r>
      <w:r w:rsidR="00BE7A88">
        <w:t xml:space="preserve">An </w:t>
      </w:r>
      <w:r w:rsidRPr="003F63A2">
        <w:t xml:space="preserve">837i (institutional) </w:t>
      </w:r>
      <w:r w:rsidR="00BE7A88">
        <w:t xml:space="preserve">file </w:t>
      </w:r>
      <w:r w:rsidRPr="003F63A2">
        <w:t xml:space="preserve">is the standard format used by institutional providers to transmit health care claims electronically. The Form CMS-1450, also known as the UB04, is the standard claim form to bill Medicare Administrative Contractors (MACs) when a paper claim is allowed. For additional </w:t>
      </w:r>
      <w:r w:rsidR="00BE7A88">
        <w:t xml:space="preserve">information and </w:t>
      </w:r>
      <w:r w:rsidRPr="003F63A2">
        <w:t>guidance about 837i, refer to the IHS EDR Training Videos.</w:t>
      </w:r>
    </w:p>
    <w:p w14:paraId="3A15B5F1" w14:textId="1CBEDCCF" w:rsidR="00B3072B" w:rsidRPr="003F63A2" w:rsidRDefault="00B3072B">
      <w:pPr>
        <w:pStyle w:val="BodyText"/>
        <w:numPr>
          <w:ilvl w:val="0"/>
          <w:numId w:val="61"/>
        </w:numPr>
        <w:ind w:left="540"/>
      </w:pPr>
      <w:r w:rsidRPr="003F63A2">
        <w:rPr>
          <w:b/>
          <w:bCs/>
        </w:rPr>
        <w:t>Fee Schedule</w:t>
      </w:r>
      <w:r w:rsidRPr="003F63A2">
        <w:t xml:space="preserve"> </w:t>
      </w:r>
      <w:r w:rsidR="00381692">
        <w:t>–</w:t>
      </w:r>
      <w:r w:rsidRPr="003F63A2">
        <w:t xml:space="preserve"> Attaching the maximum allowable fee schedule to the plan is the preferred method to produce accurate insurance estimations throughout the system. For additional information see the </w:t>
      </w:r>
      <w:r w:rsidR="00BE7A88">
        <w:t>“</w:t>
      </w:r>
      <w:r w:rsidRPr="003F63A2">
        <w:t>Estimate Components</w:t>
      </w:r>
      <w:r w:rsidR="00BE7A88">
        <w:t>”</w:t>
      </w:r>
      <w:r w:rsidRPr="003F63A2">
        <w:t xml:space="preserve"> section.</w:t>
      </w:r>
    </w:p>
    <w:p w14:paraId="6DF1BA09" w14:textId="4FE576F5" w:rsidR="00B3072B" w:rsidRPr="00BE7A88" w:rsidRDefault="00B3072B" w:rsidP="003F63A2">
      <w:pPr>
        <w:pStyle w:val="BodyText"/>
        <w:ind w:left="540"/>
        <w:rPr>
          <w:i/>
          <w:iCs/>
        </w:rPr>
      </w:pPr>
      <w:r w:rsidRPr="00BE7A88">
        <w:rPr>
          <w:b/>
          <w:bCs/>
          <w:i/>
          <w:iCs/>
        </w:rPr>
        <w:t>Operations Insight</w:t>
      </w:r>
      <w:r w:rsidRPr="00BE7A88">
        <w:rPr>
          <w:i/>
          <w:iCs/>
        </w:rPr>
        <w:t>: Using the contracted max</w:t>
      </w:r>
      <w:r w:rsidR="00BE7A88" w:rsidRPr="00BE7A88">
        <w:rPr>
          <w:i/>
          <w:iCs/>
        </w:rPr>
        <w:t>imum</w:t>
      </w:r>
      <w:r w:rsidRPr="00BE7A88">
        <w:rPr>
          <w:i/>
          <w:iCs/>
        </w:rPr>
        <w:t xml:space="preserve"> allowable fee also supports workflow efficiency in other areas</w:t>
      </w:r>
      <w:r w:rsidR="00BE7A88" w:rsidRPr="00BE7A88">
        <w:rPr>
          <w:i/>
          <w:iCs/>
        </w:rPr>
        <w:t>: r</w:t>
      </w:r>
      <w:r w:rsidRPr="00BE7A88">
        <w:rPr>
          <w:i/>
          <w:iCs/>
        </w:rPr>
        <w:t xml:space="preserve">eporting, insurance estimations, posting payments, </w:t>
      </w:r>
      <w:r w:rsidR="00BE7A88" w:rsidRPr="00BE7A88">
        <w:rPr>
          <w:i/>
          <w:iCs/>
        </w:rPr>
        <w:t xml:space="preserve">and </w:t>
      </w:r>
      <w:r w:rsidRPr="00BE7A88">
        <w:rPr>
          <w:i/>
          <w:iCs/>
        </w:rPr>
        <w:t xml:space="preserve">provider payroll.  If there is not a fee schedule attached to the insurance plan, </w:t>
      </w:r>
      <w:r w:rsidR="00BE7A88" w:rsidRPr="00BE7A88">
        <w:rPr>
          <w:i/>
          <w:iCs/>
        </w:rPr>
        <w:t>Dentrix Enterprise uses</w:t>
      </w:r>
      <w:r w:rsidRPr="00BE7A88">
        <w:rPr>
          <w:i/>
          <w:iCs/>
        </w:rPr>
        <w:t xml:space="preserve"> the fee schedule </w:t>
      </w:r>
      <w:r w:rsidR="00BE7A88" w:rsidRPr="00BE7A88">
        <w:rPr>
          <w:i/>
          <w:iCs/>
        </w:rPr>
        <w:t xml:space="preserve">that is </w:t>
      </w:r>
      <w:r w:rsidRPr="00BE7A88">
        <w:rPr>
          <w:i/>
          <w:iCs/>
        </w:rPr>
        <w:t xml:space="preserve">attached to the provider of procedures when </w:t>
      </w:r>
      <w:r w:rsidR="00BE7A88" w:rsidRPr="00BE7A88">
        <w:rPr>
          <w:i/>
          <w:iCs/>
        </w:rPr>
        <w:t>it calculates</w:t>
      </w:r>
      <w:r w:rsidRPr="00BE7A88">
        <w:rPr>
          <w:i/>
          <w:iCs/>
        </w:rPr>
        <w:t xml:space="preserve"> the percentages from the coverage table.</w:t>
      </w:r>
    </w:p>
    <w:p w14:paraId="6D7AE327" w14:textId="6531DE27" w:rsidR="00B3072B" w:rsidRPr="003F63A2" w:rsidRDefault="00B3072B" w:rsidP="004A2A35">
      <w:pPr>
        <w:pStyle w:val="BodyText"/>
        <w:keepNext/>
        <w:keepLines/>
        <w:numPr>
          <w:ilvl w:val="0"/>
          <w:numId w:val="61"/>
        </w:numPr>
        <w:ind w:left="547"/>
      </w:pPr>
      <w:r w:rsidRPr="003F63A2">
        <w:rPr>
          <w:b/>
          <w:bCs/>
        </w:rPr>
        <w:lastRenderedPageBreak/>
        <w:t>Payor ID</w:t>
      </w:r>
      <w:r w:rsidRPr="003F63A2">
        <w:t xml:space="preserve"> </w:t>
      </w:r>
      <w:r w:rsidR="00381692">
        <w:t>–</w:t>
      </w:r>
      <w:r w:rsidRPr="003F63A2">
        <w:t xml:space="preserve"> The </w:t>
      </w:r>
      <w:r w:rsidR="00E34A34">
        <w:t>p</w:t>
      </w:r>
      <w:r w:rsidRPr="003F63A2">
        <w:t xml:space="preserve">ayor ID is the “electronic address” for submitting claims electronically. Each payor has its own payor ID; however, some clearinghouses create their own specific payor ID. The list provided in Dentrix Enterprise includes the payor IDs </w:t>
      </w:r>
      <w:r w:rsidR="00BE7A88">
        <w:t xml:space="preserve">that are </w:t>
      </w:r>
      <w:r w:rsidRPr="003F63A2">
        <w:t xml:space="preserve">specific to </w:t>
      </w:r>
      <w:r w:rsidR="00BE7A88">
        <w:t>Henry Schein One</w:t>
      </w:r>
      <w:r w:rsidR="00E34A34">
        <w:t>’s</w:t>
      </w:r>
      <w:r w:rsidR="00BE7A88">
        <w:t xml:space="preserve"> </w:t>
      </w:r>
      <w:r w:rsidRPr="003F63A2">
        <w:t xml:space="preserve">eClaims clearinghouse. If you do not use eClaims, you </w:t>
      </w:r>
      <w:r w:rsidR="00E34A34">
        <w:t>must</w:t>
      </w:r>
      <w:r w:rsidRPr="003F63A2">
        <w:t xml:space="preserve"> enter the </w:t>
      </w:r>
      <w:r w:rsidR="00E34A34">
        <w:t>p</w:t>
      </w:r>
      <w:r w:rsidRPr="003F63A2">
        <w:t xml:space="preserve">ayor ID manually, and identify the correct </w:t>
      </w:r>
      <w:r w:rsidR="00E34A34">
        <w:t>p</w:t>
      </w:r>
      <w:r w:rsidRPr="003F63A2">
        <w:t>ayor IDs as directed by your clearinghouse.</w:t>
      </w:r>
    </w:p>
    <w:p w14:paraId="1E6940FD" w14:textId="078F7BF6" w:rsidR="00B3072B" w:rsidRPr="00E34A34" w:rsidRDefault="00B3072B" w:rsidP="004A2A35">
      <w:pPr>
        <w:pStyle w:val="BodyText"/>
        <w:keepNext/>
        <w:keepLines/>
        <w:ind w:left="547"/>
        <w:rPr>
          <w:i/>
          <w:iCs/>
        </w:rPr>
      </w:pPr>
      <w:r w:rsidRPr="00E34A34">
        <w:rPr>
          <w:b/>
          <w:bCs/>
          <w:i/>
          <w:iCs/>
        </w:rPr>
        <w:t>Workflow Insight</w:t>
      </w:r>
      <w:r w:rsidRPr="00E34A34">
        <w:rPr>
          <w:i/>
          <w:iCs/>
        </w:rPr>
        <w:t xml:space="preserve">: Having the </w:t>
      </w:r>
      <w:r w:rsidR="00E34A34" w:rsidRPr="00E34A34">
        <w:rPr>
          <w:i/>
          <w:iCs/>
        </w:rPr>
        <w:t>p</w:t>
      </w:r>
      <w:r w:rsidRPr="00E34A34">
        <w:rPr>
          <w:i/>
          <w:iCs/>
        </w:rPr>
        <w:t xml:space="preserve">ayor ID list available in the system directly from the eClaims clearinghouse streamlines the workflow while improving accuracy. If a </w:t>
      </w:r>
      <w:r w:rsidR="00E34A34" w:rsidRPr="00E34A34">
        <w:rPr>
          <w:i/>
          <w:iCs/>
        </w:rPr>
        <w:t>p</w:t>
      </w:r>
      <w:r w:rsidRPr="00E34A34">
        <w:rPr>
          <w:i/>
          <w:iCs/>
        </w:rPr>
        <w:t>ayor ID is not listed, select the “all payors not listed” ID</w:t>
      </w:r>
      <w:r w:rsidR="00E34A34" w:rsidRPr="00E34A34">
        <w:rPr>
          <w:i/>
          <w:iCs/>
        </w:rPr>
        <w:t>,</w:t>
      </w:r>
      <w:r w:rsidRPr="00E34A34">
        <w:rPr>
          <w:i/>
          <w:iCs/>
        </w:rPr>
        <w:t xml:space="preserve"> and the claim will be processed without any additional steps required.  </w:t>
      </w:r>
      <w:r w:rsidR="00E34A34" w:rsidRPr="00E34A34">
        <w:rPr>
          <w:i/>
          <w:iCs/>
        </w:rPr>
        <w:t>If possible, the clearinghouse</w:t>
      </w:r>
      <w:r w:rsidRPr="00E34A34">
        <w:rPr>
          <w:i/>
          <w:iCs/>
        </w:rPr>
        <w:t xml:space="preserve"> update</w:t>
      </w:r>
      <w:r w:rsidR="00E34A34" w:rsidRPr="00E34A34">
        <w:rPr>
          <w:i/>
          <w:iCs/>
        </w:rPr>
        <w:t>s</w:t>
      </w:r>
      <w:r w:rsidRPr="00E34A34">
        <w:rPr>
          <w:i/>
          <w:iCs/>
        </w:rPr>
        <w:t xml:space="preserve"> the </w:t>
      </w:r>
      <w:r w:rsidR="00E34A34" w:rsidRPr="00E34A34">
        <w:rPr>
          <w:i/>
          <w:iCs/>
        </w:rPr>
        <w:t>p</w:t>
      </w:r>
      <w:r w:rsidRPr="00E34A34">
        <w:rPr>
          <w:i/>
          <w:iCs/>
        </w:rPr>
        <w:t>ayor ID and send</w:t>
      </w:r>
      <w:r w:rsidR="00E34A34" w:rsidRPr="00E34A34">
        <w:rPr>
          <w:i/>
          <w:iCs/>
        </w:rPr>
        <w:t>s</w:t>
      </w:r>
      <w:r w:rsidRPr="00E34A34">
        <w:rPr>
          <w:i/>
          <w:iCs/>
        </w:rPr>
        <w:t xml:space="preserve"> </w:t>
      </w:r>
      <w:r w:rsidR="00E34A34" w:rsidRPr="00E34A34">
        <w:rPr>
          <w:i/>
          <w:iCs/>
        </w:rPr>
        <w:t xml:space="preserve">the claim </w:t>
      </w:r>
      <w:r w:rsidRPr="00E34A34">
        <w:rPr>
          <w:i/>
          <w:iCs/>
        </w:rPr>
        <w:t>electronically</w:t>
      </w:r>
      <w:r w:rsidR="00E34A34" w:rsidRPr="00E34A34">
        <w:rPr>
          <w:i/>
          <w:iCs/>
        </w:rPr>
        <w:t>; otherwise</w:t>
      </w:r>
      <w:r w:rsidRPr="00E34A34">
        <w:rPr>
          <w:i/>
          <w:iCs/>
        </w:rPr>
        <w:t xml:space="preserve">, the </w:t>
      </w:r>
      <w:r w:rsidR="00E34A34" w:rsidRPr="00E34A34">
        <w:rPr>
          <w:i/>
          <w:iCs/>
        </w:rPr>
        <w:t>clearinghouse prints the claim</w:t>
      </w:r>
      <w:r w:rsidRPr="00E34A34">
        <w:rPr>
          <w:i/>
          <w:iCs/>
        </w:rPr>
        <w:t xml:space="preserve"> and sen</w:t>
      </w:r>
      <w:r w:rsidR="00E34A34" w:rsidRPr="00E34A34">
        <w:rPr>
          <w:i/>
          <w:iCs/>
        </w:rPr>
        <w:t>ds it</w:t>
      </w:r>
      <w:r w:rsidRPr="00E34A34">
        <w:rPr>
          <w:i/>
          <w:iCs/>
        </w:rPr>
        <w:t xml:space="preserve"> to the payor. This process eliminates segregating claims that cannot be sent electronically.</w:t>
      </w:r>
    </w:p>
    <w:p w14:paraId="46EEDA17" w14:textId="4CFAFAB5" w:rsidR="00B3072B" w:rsidRPr="00A573D0" w:rsidRDefault="00B3072B">
      <w:pPr>
        <w:pStyle w:val="BodyText"/>
        <w:numPr>
          <w:ilvl w:val="0"/>
          <w:numId w:val="61"/>
        </w:numPr>
        <w:ind w:left="540"/>
        <w:rPr>
          <w:b/>
          <w:bCs/>
          <w:i/>
          <w:iCs/>
        </w:rPr>
      </w:pPr>
      <w:r w:rsidRPr="003F63A2">
        <w:rPr>
          <w:b/>
          <w:bCs/>
        </w:rPr>
        <w:t>Financial Class Type</w:t>
      </w:r>
      <w:r w:rsidR="00E34A34">
        <w:rPr>
          <w:b/>
          <w:bCs/>
        </w:rPr>
        <w:t>s</w:t>
      </w:r>
      <w:r w:rsidRPr="003F63A2">
        <w:t xml:space="preserve"> </w:t>
      </w:r>
      <w:r w:rsidR="00381692">
        <w:t>–</w:t>
      </w:r>
      <w:r w:rsidRPr="003F63A2">
        <w:t xml:space="preserve"> Financial </w:t>
      </w:r>
      <w:r w:rsidR="00E34A34">
        <w:t>c</w:t>
      </w:r>
      <w:r w:rsidRPr="003F63A2">
        <w:t xml:space="preserve">lass </w:t>
      </w:r>
      <w:r w:rsidR="00E34A34">
        <w:t>t</w:t>
      </w:r>
      <w:r w:rsidRPr="003F63A2">
        <w:t>ypes allow you to group different payors into a similar category</w:t>
      </w:r>
      <w:r w:rsidR="00E34A34" w:rsidRPr="003F63A2">
        <w:t xml:space="preserve"> (</w:t>
      </w:r>
      <w:r w:rsidR="00E34A34">
        <w:t xml:space="preserve">such as </w:t>
      </w:r>
      <w:r w:rsidR="00E34A34" w:rsidRPr="003F63A2">
        <w:t xml:space="preserve">Medicare, Medicaid, </w:t>
      </w:r>
      <w:r w:rsidR="00E34A34">
        <w:t>or s</w:t>
      </w:r>
      <w:r w:rsidR="00E34A34" w:rsidRPr="003F63A2">
        <w:t>elf-</w:t>
      </w:r>
      <w:r w:rsidR="00E34A34">
        <w:t>p</w:t>
      </w:r>
      <w:r w:rsidR="00E34A34" w:rsidRPr="003F63A2">
        <w:t>ay)</w:t>
      </w:r>
      <w:r w:rsidRPr="003F63A2">
        <w:t xml:space="preserve"> for billing and reporting purposes. The</w:t>
      </w:r>
      <w:r w:rsidR="00E34A34">
        <w:t xml:space="preserve"> financial class</w:t>
      </w:r>
      <w:r w:rsidRPr="003F63A2">
        <w:t xml:space="preserve"> types </w:t>
      </w:r>
      <w:r w:rsidR="00E34A34">
        <w:t>are set up in Practice D</w:t>
      </w:r>
      <w:r>
        <w:t>efinitions.</w:t>
      </w:r>
    </w:p>
    <w:p w14:paraId="54317653" w14:textId="77777777" w:rsidR="00B3072B" w:rsidRPr="003F63A2" w:rsidRDefault="00B3072B" w:rsidP="00D42C5A">
      <w:pPr>
        <w:pStyle w:val="Heading3"/>
      </w:pPr>
      <w:bookmarkStart w:id="180" w:name="_Toc146183327"/>
      <w:r w:rsidRPr="003F63A2">
        <w:t>Insurance Plan Claim Settings (Dental Form):</w:t>
      </w:r>
      <w:bookmarkEnd w:id="180"/>
      <w:r w:rsidRPr="003F63A2">
        <w:t xml:space="preserve"> </w:t>
      </w:r>
    </w:p>
    <w:p w14:paraId="0895436B" w14:textId="6B5DD15A" w:rsidR="00B3072B" w:rsidRPr="00253C8F" w:rsidRDefault="00B3072B" w:rsidP="003F63A2">
      <w:pPr>
        <w:pStyle w:val="BodyText"/>
        <w:rPr>
          <w:b/>
          <w:i/>
          <w:iCs/>
        </w:rPr>
      </w:pPr>
      <w:r w:rsidRPr="00253C8F">
        <w:rPr>
          <w:b/>
          <w:bCs/>
          <w:i/>
          <w:iCs/>
        </w:rPr>
        <w:t>Operations Insight</w:t>
      </w:r>
      <w:r w:rsidR="00E34A34" w:rsidRPr="00253C8F">
        <w:rPr>
          <w:i/>
          <w:iCs/>
        </w:rPr>
        <w:t>:</w:t>
      </w:r>
      <w:r w:rsidRPr="00253C8F">
        <w:rPr>
          <w:i/>
          <w:iCs/>
        </w:rPr>
        <w:t xml:space="preserve"> </w:t>
      </w:r>
      <w:r w:rsidR="00253C8F" w:rsidRPr="00253C8F">
        <w:rPr>
          <w:i/>
          <w:iCs/>
        </w:rPr>
        <w:t>You can set up the default claim setup from</w:t>
      </w:r>
      <w:r w:rsidRPr="00253C8F">
        <w:rPr>
          <w:i/>
          <w:iCs/>
        </w:rPr>
        <w:t xml:space="preserve"> Office Manager</w:t>
      </w:r>
      <w:r w:rsidR="00253C8F" w:rsidRPr="00253C8F">
        <w:rPr>
          <w:i/>
          <w:iCs/>
        </w:rPr>
        <w:t xml:space="preserve">. Go to </w:t>
      </w:r>
      <w:r w:rsidRPr="00253C8F">
        <w:rPr>
          <w:b/>
          <w:bCs/>
          <w:i/>
          <w:iCs/>
        </w:rPr>
        <w:t>Maintenance</w:t>
      </w:r>
      <w:r w:rsidRPr="00253C8F">
        <w:rPr>
          <w:i/>
          <w:iCs/>
        </w:rPr>
        <w:t xml:space="preserve"> </w:t>
      </w:r>
      <w:r w:rsidR="00253C8F" w:rsidRPr="00253C8F">
        <w:rPr>
          <w:i/>
          <w:iCs/>
        </w:rPr>
        <w:t>&gt;</w:t>
      </w:r>
      <w:r w:rsidRPr="00253C8F">
        <w:rPr>
          <w:i/>
          <w:iCs/>
        </w:rPr>
        <w:t xml:space="preserve"> </w:t>
      </w:r>
      <w:r w:rsidRPr="00253C8F">
        <w:rPr>
          <w:b/>
          <w:bCs/>
          <w:i/>
          <w:iCs/>
        </w:rPr>
        <w:t>Reference</w:t>
      </w:r>
      <w:r w:rsidRPr="00253C8F">
        <w:rPr>
          <w:i/>
          <w:iCs/>
        </w:rPr>
        <w:t xml:space="preserve"> </w:t>
      </w:r>
      <w:r w:rsidR="00253C8F" w:rsidRPr="00253C8F">
        <w:rPr>
          <w:i/>
          <w:iCs/>
        </w:rPr>
        <w:t>&gt;</w:t>
      </w:r>
      <w:r w:rsidRPr="00253C8F">
        <w:rPr>
          <w:i/>
          <w:iCs/>
        </w:rPr>
        <w:t xml:space="preserve"> </w:t>
      </w:r>
      <w:r w:rsidRPr="00253C8F">
        <w:rPr>
          <w:b/>
          <w:bCs/>
          <w:i/>
          <w:iCs/>
        </w:rPr>
        <w:t>Claim Setup</w:t>
      </w:r>
      <w:r w:rsidRPr="00253C8F">
        <w:rPr>
          <w:i/>
          <w:iCs/>
        </w:rPr>
        <w:t xml:space="preserve">. Changing the default </w:t>
      </w:r>
      <w:r w:rsidR="00253C8F" w:rsidRPr="00253C8F">
        <w:rPr>
          <w:i/>
          <w:iCs/>
        </w:rPr>
        <w:t>c</w:t>
      </w:r>
      <w:r w:rsidRPr="00253C8F">
        <w:rPr>
          <w:i/>
          <w:iCs/>
        </w:rPr>
        <w:t xml:space="preserve">laim </w:t>
      </w:r>
      <w:r w:rsidR="00253C8F" w:rsidRPr="00253C8F">
        <w:rPr>
          <w:i/>
          <w:iCs/>
        </w:rPr>
        <w:t>s</w:t>
      </w:r>
      <w:r w:rsidRPr="00253C8F">
        <w:rPr>
          <w:i/>
          <w:iCs/>
        </w:rPr>
        <w:t xml:space="preserve">etup </w:t>
      </w:r>
      <w:r w:rsidR="00253C8F" w:rsidRPr="00253C8F">
        <w:rPr>
          <w:i/>
          <w:iCs/>
        </w:rPr>
        <w:t>affects</w:t>
      </w:r>
      <w:r w:rsidRPr="00253C8F">
        <w:rPr>
          <w:i/>
          <w:iCs/>
        </w:rPr>
        <w:t xml:space="preserve"> </w:t>
      </w:r>
      <w:r w:rsidR="00253C8F" w:rsidRPr="00253C8F">
        <w:rPr>
          <w:i/>
          <w:iCs/>
        </w:rPr>
        <w:t>any new</w:t>
      </w:r>
      <w:r w:rsidRPr="00253C8F">
        <w:rPr>
          <w:i/>
          <w:iCs/>
        </w:rPr>
        <w:t xml:space="preserve"> insurance plans </w:t>
      </w:r>
      <w:r w:rsidR="00253C8F" w:rsidRPr="00253C8F">
        <w:rPr>
          <w:i/>
          <w:iCs/>
        </w:rPr>
        <w:t xml:space="preserve">that get </w:t>
      </w:r>
      <w:r w:rsidRPr="00253C8F">
        <w:rPr>
          <w:i/>
          <w:iCs/>
        </w:rPr>
        <w:t xml:space="preserve">created </w:t>
      </w:r>
      <w:r w:rsidR="00253C8F" w:rsidRPr="00253C8F">
        <w:rPr>
          <w:i/>
          <w:iCs/>
        </w:rPr>
        <w:t xml:space="preserve">from that point on </w:t>
      </w:r>
      <w:r w:rsidRPr="00253C8F">
        <w:rPr>
          <w:i/>
          <w:iCs/>
        </w:rPr>
        <w:t xml:space="preserve">and does not </w:t>
      </w:r>
      <w:r w:rsidR="00253C8F" w:rsidRPr="00253C8F">
        <w:rPr>
          <w:i/>
          <w:iCs/>
        </w:rPr>
        <w:t>affect</w:t>
      </w:r>
      <w:r w:rsidRPr="00253C8F">
        <w:rPr>
          <w:i/>
          <w:iCs/>
        </w:rPr>
        <w:t xml:space="preserve"> existing plans</w:t>
      </w:r>
      <w:r w:rsidR="00253C8F" w:rsidRPr="00253C8F">
        <w:rPr>
          <w:i/>
          <w:iCs/>
        </w:rPr>
        <w:t>; however, an option to c</w:t>
      </w:r>
      <w:r w:rsidRPr="00253C8F">
        <w:rPr>
          <w:i/>
          <w:iCs/>
        </w:rPr>
        <w:t xml:space="preserve">opy </w:t>
      </w:r>
      <w:r w:rsidR="00253C8F" w:rsidRPr="00253C8F">
        <w:rPr>
          <w:i/>
          <w:iCs/>
        </w:rPr>
        <w:t>the s</w:t>
      </w:r>
      <w:r w:rsidRPr="00253C8F">
        <w:rPr>
          <w:i/>
          <w:iCs/>
        </w:rPr>
        <w:t>ettings to selected or all insurance plans</w:t>
      </w:r>
      <w:r w:rsidR="00253C8F" w:rsidRPr="00253C8F">
        <w:rPr>
          <w:i/>
          <w:iCs/>
        </w:rPr>
        <w:t xml:space="preserve"> is available</w:t>
      </w:r>
      <w:r w:rsidRPr="00253C8F">
        <w:rPr>
          <w:i/>
          <w:iCs/>
        </w:rPr>
        <w:t>.</w:t>
      </w:r>
    </w:p>
    <w:p w14:paraId="79834B04" w14:textId="3CE1DAAE" w:rsidR="00E563B8" w:rsidRDefault="00B3072B" w:rsidP="00E563B8">
      <w:pPr>
        <w:pStyle w:val="Heading4"/>
        <w:rPr>
          <w:bCs/>
        </w:rPr>
      </w:pPr>
      <w:r w:rsidRPr="003F63A2">
        <w:t>Claim Setup</w:t>
      </w:r>
    </w:p>
    <w:p w14:paraId="61481D9C" w14:textId="3CCA8287" w:rsidR="00B3072B" w:rsidRPr="0095119F" w:rsidRDefault="00B3072B" w:rsidP="00E563B8">
      <w:pPr>
        <w:pStyle w:val="BodyText"/>
        <w:rPr>
          <w:b/>
          <w:bCs/>
        </w:rPr>
      </w:pPr>
      <w:r w:rsidRPr="008C0AEE">
        <w:t xml:space="preserve">The ADA </w:t>
      </w:r>
      <w:r w:rsidR="00873C95">
        <w:t>c</w:t>
      </w:r>
      <w:r w:rsidRPr="008C0AEE">
        <w:t>laim</w:t>
      </w:r>
      <w:r w:rsidRPr="008C0AEE">
        <w:rPr>
          <w:b/>
          <w:bCs/>
        </w:rPr>
        <w:t xml:space="preserve"> </w:t>
      </w:r>
      <w:r w:rsidR="00873C95">
        <w:t>f</w:t>
      </w:r>
      <w:r w:rsidRPr="009025FF">
        <w:t>orm</w:t>
      </w:r>
      <w:r w:rsidR="008D0648">
        <w:t xml:space="preserve"> DX2019</w:t>
      </w:r>
      <w:r w:rsidRPr="008C0AEE">
        <w:t xml:space="preserve"> in Dentrix Enterprise provide</w:t>
      </w:r>
      <w:r w:rsidR="00253C8F">
        <w:t>s</w:t>
      </w:r>
      <w:r w:rsidRPr="008C0AEE">
        <w:t xml:space="preserve"> additional settings that can be set per plan or as a default for new insurance plans. </w:t>
      </w:r>
    </w:p>
    <w:p w14:paraId="26A4DD4A" w14:textId="6840518A" w:rsidR="00B3072B" w:rsidRPr="00B110DD" w:rsidRDefault="00B3072B" w:rsidP="00E563B8">
      <w:pPr>
        <w:pStyle w:val="BodyText"/>
        <w:numPr>
          <w:ilvl w:val="0"/>
          <w:numId w:val="63"/>
        </w:numPr>
        <w:ind w:left="540"/>
      </w:pPr>
      <w:r w:rsidRPr="00873C95">
        <w:rPr>
          <w:b/>
          <w:bCs/>
        </w:rPr>
        <w:t>Formatting Options</w:t>
      </w:r>
      <w:r w:rsidRPr="00B110DD">
        <w:t xml:space="preserve"> </w:t>
      </w:r>
      <w:r w:rsidR="00873C95">
        <w:t xml:space="preserve">– </w:t>
      </w:r>
      <w:r w:rsidR="00873C95" w:rsidRPr="00873C95">
        <w:rPr>
          <w:b/>
          <w:bCs/>
        </w:rPr>
        <w:t>F</w:t>
      </w:r>
      <w:r w:rsidRPr="00873C95">
        <w:rPr>
          <w:b/>
          <w:bCs/>
        </w:rPr>
        <w:t xml:space="preserve">ont </w:t>
      </w:r>
      <w:r w:rsidR="00873C95" w:rsidRPr="00873C95">
        <w:rPr>
          <w:b/>
          <w:bCs/>
        </w:rPr>
        <w:t>S</w:t>
      </w:r>
      <w:r w:rsidRPr="00873C95">
        <w:rPr>
          <w:b/>
          <w:bCs/>
        </w:rPr>
        <w:t>ize</w:t>
      </w:r>
      <w:r w:rsidRPr="00B110DD">
        <w:t xml:space="preserve">, </w:t>
      </w:r>
      <w:r w:rsidR="00873C95" w:rsidRPr="00873C95">
        <w:rPr>
          <w:b/>
          <w:bCs/>
        </w:rPr>
        <w:t>D</w:t>
      </w:r>
      <w:r w:rsidRPr="00873C95">
        <w:rPr>
          <w:b/>
          <w:bCs/>
        </w:rPr>
        <w:t xml:space="preserve">ate </w:t>
      </w:r>
      <w:r w:rsidR="00873C95" w:rsidRPr="00873C95">
        <w:rPr>
          <w:b/>
          <w:bCs/>
        </w:rPr>
        <w:t>F</w:t>
      </w:r>
      <w:r w:rsidRPr="00873C95">
        <w:rPr>
          <w:b/>
          <w:bCs/>
        </w:rPr>
        <w:t>ormat</w:t>
      </w:r>
      <w:r w:rsidRPr="00B110DD">
        <w:t>, and other</w:t>
      </w:r>
      <w:r w:rsidR="00873C95">
        <w:t xml:space="preserve"> options (if</w:t>
      </w:r>
      <w:r w:rsidRPr="00B110DD">
        <w:t xml:space="preserve"> a carrier requires something non-standard, such as </w:t>
      </w:r>
      <w:r w:rsidRPr="00873C95">
        <w:rPr>
          <w:b/>
          <w:bCs/>
        </w:rPr>
        <w:t>No Special Characters</w:t>
      </w:r>
      <w:r w:rsidR="00873C95">
        <w:t>)</w:t>
      </w:r>
      <w:r w:rsidRPr="00B110DD">
        <w:t>.</w:t>
      </w:r>
    </w:p>
    <w:p w14:paraId="1DCA1DC7" w14:textId="0E6AD327" w:rsidR="00B3072B" w:rsidRPr="00B110DD" w:rsidRDefault="00B3072B" w:rsidP="00E563B8">
      <w:pPr>
        <w:pStyle w:val="BodyText"/>
        <w:numPr>
          <w:ilvl w:val="0"/>
          <w:numId w:val="63"/>
        </w:numPr>
        <w:ind w:left="540"/>
      </w:pPr>
      <w:r w:rsidRPr="00873C95">
        <w:rPr>
          <w:b/>
          <w:bCs/>
        </w:rPr>
        <w:t>Provider and Fee Options</w:t>
      </w:r>
      <w:r w:rsidRPr="00B110DD">
        <w:t xml:space="preserve"> </w:t>
      </w:r>
      <w:r w:rsidR="00873C95">
        <w:t xml:space="preserve">– </w:t>
      </w:r>
      <w:r w:rsidR="00873C95" w:rsidRPr="00873C95">
        <w:t>The fee schedule to use for procedures on the entire claim</w:t>
      </w:r>
      <w:r w:rsidR="00873C95">
        <w:t>:</w:t>
      </w:r>
      <w:r w:rsidRPr="00B110DD">
        <w:t xml:space="preserve"> </w:t>
      </w:r>
      <w:r w:rsidRPr="00873C95">
        <w:rPr>
          <w:b/>
          <w:bCs/>
        </w:rPr>
        <w:t>Billing Provider</w:t>
      </w:r>
      <w:r w:rsidRPr="00B110DD">
        <w:t xml:space="preserve">, </w:t>
      </w:r>
      <w:r w:rsidRPr="00873C95">
        <w:rPr>
          <w:b/>
          <w:bCs/>
        </w:rPr>
        <w:t>Insurance Plan</w:t>
      </w:r>
      <w:r w:rsidRPr="00B110DD">
        <w:t xml:space="preserve">, or </w:t>
      </w:r>
      <w:r w:rsidRPr="00873C95">
        <w:rPr>
          <w:b/>
          <w:bCs/>
        </w:rPr>
        <w:t>Default</w:t>
      </w:r>
      <w:r w:rsidR="00873C95">
        <w:t xml:space="preserve"> (</w:t>
      </w:r>
      <w:r w:rsidR="00873C95" w:rsidRPr="00873C95">
        <w:t>use the fee schedule that is assigned to the subscriber; or if one is not assigned to the subscriber, the fee schedule that is assigned to the billing provider; or if one is not assigned to the billing provider, the fee schedule that is assigned to the insurance plan</w:t>
      </w:r>
      <w:r w:rsidRPr="00B110DD">
        <w:t>)</w:t>
      </w:r>
      <w:r w:rsidR="00873C95">
        <w:t>.</w:t>
      </w:r>
    </w:p>
    <w:p w14:paraId="5EA44132" w14:textId="5AE46D8F" w:rsidR="00873C95" w:rsidRPr="00B110DD" w:rsidRDefault="00B3072B" w:rsidP="00553CF2">
      <w:pPr>
        <w:pStyle w:val="BodyText"/>
        <w:numPr>
          <w:ilvl w:val="0"/>
          <w:numId w:val="63"/>
        </w:numPr>
        <w:ind w:left="540"/>
      </w:pPr>
      <w:r w:rsidRPr="00553CF2">
        <w:rPr>
          <w:b/>
          <w:bCs/>
        </w:rPr>
        <w:t>Provider Address</w:t>
      </w:r>
      <w:r w:rsidR="00873C95" w:rsidRPr="00553CF2">
        <w:rPr>
          <w:b/>
          <w:bCs/>
        </w:rPr>
        <w:t>es</w:t>
      </w:r>
      <w:r w:rsidRPr="00B110DD">
        <w:t xml:space="preserve"> </w:t>
      </w:r>
      <w:r w:rsidR="00553CF2">
        <w:t xml:space="preserve">– The address to use for the </w:t>
      </w:r>
      <w:r w:rsidR="00553CF2" w:rsidRPr="00553CF2">
        <w:rPr>
          <w:b/>
          <w:bCs/>
        </w:rPr>
        <w:t>Billing Provider</w:t>
      </w:r>
      <w:r w:rsidR="00553CF2">
        <w:t xml:space="preserve"> and </w:t>
      </w:r>
      <w:r w:rsidR="00553CF2" w:rsidRPr="00553CF2">
        <w:rPr>
          <w:b/>
          <w:bCs/>
        </w:rPr>
        <w:t>Rendering Provider</w:t>
      </w:r>
      <w:r w:rsidR="00553CF2">
        <w:t xml:space="preserve"> on</w:t>
      </w:r>
      <w:r w:rsidR="00873C95">
        <w:t xml:space="preserve"> claims: </w:t>
      </w:r>
      <w:r w:rsidR="00873C95" w:rsidRPr="00553CF2">
        <w:rPr>
          <w:b/>
          <w:bCs/>
        </w:rPr>
        <w:t>Billing Provider Address</w:t>
      </w:r>
      <w:r w:rsidR="00873C95">
        <w:t xml:space="preserve">, </w:t>
      </w:r>
      <w:r w:rsidR="00873C95" w:rsidRPr="00553CF2">
        <w:rPr>
          <w:b/>
          <w:bCs/>
        </w:rPr>
        <w:t>Rendering Provider Address</w:t>
      </w:r>
      <w:r w:rsidR="00873C95">
        <w:t xml:space="preserve">, </w:t>
      </w:r>
      <w:r w:rsidR="00873C95" w:rsidRPr="00553CF2">
        <w:rPr>
          <w:b/>
          <w:bCs/>
        </w:rPr>
        <w:t>Rendering Clinic Address</w:t>
      </w:r>
      <w:r w:rsidR="00873C95">
        <w:t xml:space="preserve">, or </w:t>
      </w:r>
      <w:r w:rsidR="00873C95" w:rsidRPr="00553CF2">
        <w:rPr>
          <w:b/>
          <w:bCs/>
        </w:rPr>
        <w:t>Central Clinic Address</w:t>
      </w:r>
      <w:r w:rsidR="00873C95">
        <w:t>.</w:t>
      </w:r>
    </w:p>
    <w:p w14:paraId="59830895" w14:textId="463E6816" w:rsidR="00B3072B" w:rsidRPr="00B110DD" w:rsidRDefault="00B3072B" w:rsidP="00E563B8">
      <w:pPr>
        <w:pStyle w:val="BodyText"/>
        <w:numPr>
          <w:ilvl w:val="0"/>
          <w:numId w:val="63"/>
        </w:numPr>
        <w:ind w:left="540"/>
      </w:pPr>
      <w:r w:rsidRPr="00553CF2">
        <w:rPr>
          <w:b/>
          <w:bCs/>
        </w:rPr>
        <w:t>Advanced Settings</w:t>
      </w:r>
      <w:r w:rsidRPr="00B110DD">
        <w:t xml:space="preserve"> </w:t>
      </w:r>
      <w:r w:rsidR="00553CF2">
        <w:t>– A</w:t>
      </w:r>
      <w:r w:rsidRPr="00B110DD">
        <w:t xml:space="preserve">dditional </w:t>
      </w:r>
      <w:r w:rsidR="00587FED">
        <w:t>information</w:t>
      </w:r>
      <w:r w:rsidRPr="00B110DD">
        <w:t xml:space="preserve"> that a carrier may require</w:t>
      </w:r>
      <w:r w:rsidR="00553CF2">
        <w:t>,</w:t>
      </w:r>
      <w:r w:rsidRPr="00B110DD">
        <w:t xml:space="preserve"> </w:t>
      </w:r>
      <w:r w:rsidRPr="008C0AEE">
        <w:t xml:space="preserve">such as </w:t>
      </w:r>
      <w:r w:rsidR="00553CF2">
        <w:t xml:space="preserve">the order of procedure codes or </w:t>
      </w:r>
      <w:r w:rsidRPr="008C0AEE">
        <w:t>whe</w:t>
      </w:r>
      <w:r>
        <w:t>re</w:t>
      </w:r>
      <w:r w:rsidRPr="008C0AEE">
        <w:t xml:space="preserve"> to us</w:t>
      </w:r>
      <w:r>
        <w:t>e</w:t>
      </w:r>
      <w:r w:rsidRPr="008C0AEE">
        <w:t xml:space="preserve"> </w:t>
      </w:r>
      <w:r>
        <w:t>the SSN</w:t>
      </w:r>
      <w:r w:rsidRPr="008C0AEE">
        <w:t xml:space="preserve"> on a claim.</w:t>
      </w:r>
    </w:p>
    <w:p w14:paraId="51F4E82B" w14:textId="15181862" w:rsidR="00E563B8" w:rsidRDefault="00381692" w:rsidP="00E563B8">
      <w:pPr>
        <w:pStyle w:val="Heading4"/>
      </w:pPr>
      <w:r>
        <w:t>Print/Send</w:t>
      </w:r>
      <w:r w:rsidR="00B3072B" w:rsidRPr="003F63A2">
        <w:t xml:space="preserve"> Options</w:t>
      </w:r>
    </w:p>
    <w:p w14:paraId="12ED111A" w14:textId="5ACE57E6" w:rsidR="00B3072B" w:rsidRPr="008C0AEE" w:rsidRDefault="00553CF2" w:rsidP="00E563B8">
      <w:pPr>
        <w:pStyle w:val="BodyText"/>
        <w:rPr>
          <w:b/>
        </w:rPr>
      </w:pPr>
      <w:r>
        <w:t>The following o</w:t>
      </w:r>
      <w:r w:rsidR="00B3072B" w:rsidRPr="008C0AEE">
        <w:t>ptions for printing or sending insurance claims</w:t>
      </w:r>
      <w:r>
        <w:t xml:space="preserve"> are available:</w:t>
      </w:r>
    </w:p>
    <w:p w14:paraId="2BB5C52C" w14:textId="6E9D4B1A" w:rsidR="00B3072B" w:rsidRPr="00B110DD" w:rsidRDefault="00553CF2" w:rsidP="00E563B8">
      <w:pPr>
        <w:pStyle w:val="BodyText"/>
        <w:numPr>
          <w:ilvl w:val="0"/>
          <w:numId w:val="64"/>
        </w:numPr>
        <w:ind w:left="540"/>
      </w:pPr>
      <w:r>
        <w:t xml:space="preserve">The </w:t>
      </w:r>
      <w:r w:rsidRPr="00553CF2">
        <w:rPr>
          <w:b/>
          <w:bCs/>
        </w:rPr>
        <w:t>Diagnostic Code System</w:t>
      </w:r>
      <w:r>
        <w:t xml:space="preserve"> that is allowed on</w:t>
      </w:r>
      <w:r w:rsidR="00B3072B" w:rsidRPr="00B110DD">
        <w:t xml:space="preserve"> claims: </w:t>
      </w:r>
      <w:r w:rsidR="00B3072B" w:rsidRPr="00553CF2">
        <w:rPr>
          <w:b/>
          <w:bCs/>
        </w:rPr>
        <w:t>ICD 9</w:t>
      </w:r>
      <w:r w:rsidR="00B3072B" w:rsidRPr="00B110DD">
        <w:t xml:space="preserve">, </w:t>
      </w:r>
      <w:r w:rsidR="00B3072B" w:rsidRPr="00553CF2">
        <w:rPr>
          <w:b/>
          <w:bCs/>
        </w:rPr>
        <w:t>ICD 10</w:t>
      </w:r>
      <w:r w:rsidR="00B3072B" w:rsidRPr="00B110DD">
        <w:t xml:space="preserve">, or </w:t>
      </w:r>
      <w:r w:rsidR="00B3072B" w:rsidRPr="00553CF2">
        <w:rPr>
          <w:b/>
          <w:bCs/>
        </w:rPr>
        <w:t>Unspecified</w:t>
      </w:r>
      <w:r w:rsidR="00587FED">
        <w:t xml:space="preserve"> (to </w:t>
      </w:r>
      <w:r w:rsidR="00587FED" w:rsidRPr="00587FED">
        <w:rPr>
          <w:u w:val="single"/>
        </w:rPr>
        <w:t>not</w:t>
      </w:r>
      <w:r w:rsidR="00587FED">
        <w:t xml:space="preserve"> use diagnostic codes).</w:t>
      </w:r>
    </w:p>
    <w:p w14:paraId="775A01B2" w14:textId="0FE853D4" w:rsidR="00B3072B" w:rsidRPr="00B110DD" w:rsidRDefault="00553CF2" w:rsidP="00E563B8">
      <w:pPr>
        <w:pStyle w:val="BodyText"/>
        <w:numPr>
          <w:ilvl w:val="0"/>
          <w:numId w:val="64"/>
        </w:numPr>
        <w:ind w:left="540"/>
      </w:pPr>
      <w:r>
        <w:t>C</w:t>
      </w:r>
      <w:r w:rsidR="00B3072B" w:rsidRPr="00B110DD">
        <w:t xml:space="preserve">heckboxes </w:t>
      </w:r>
      <w:r>
        <w:t xml:space="preserve">for </w:t>
      </w:r>
      <w:r w:rsidR="00B3072B" w:rsidRPr="00B110DD">
        <w:t>exclud</w:t>
      </w:r>
      <w:r>
        <w:t>ing</w:t>
      </w:r>
      <w:r w:rsidR="00B3072B" w:rsidRPr="00B110DD">
        <w:t xml:space="preserve"> or skip</w:t>
      </w:r>
      <w:r>
        <w:t>ping items</w:t>
      </w:r>
      <w:r w:rsidR="00B3072B" w:rsidRPr="00B110DD">
        <w:t xml:space="preserve"> for </w:t>
      </w:r>
      <w:r>
        <w:t>claims</w:t>
      </w:r>
      <w:r w:rsidR="00B3072B" w:rsidRPr="00B110DD">
        <w:t xml:space="preserve">.  </w:t>
      </w:r>
    </w:p>
    <w:p w14:paraId="53000C43" w14:textId="60E3A8F3" w:rsidR="00B3072B" w:rsidRPr="00D04FDB" w:rsidRDefault="00B3072B" w:rsidP="00E563B8">
      <w:pPr>
        <w:pStyle w:val="BodyText"/>
        <w:numPr>
          <w:ilvl w:val="0"/>
          <w:numId w:val="64"/>
        </w:numPr>
        <w:ind w:left="540"/>
      </w:pPr>
      <w:r w:rsidRPr="00783050">
        <w:rPr>
          <w:b/>
          <w:bCs/>
        </w:rPr>
        <w:lastRenderedPageBreak/>
        <w:t>Advanced</w:t>
      </w:r>
      <w:r w:rsidRPr="00B110DD">
        <w:t xml:space="preserve"> </w:t>
      </w:r>
      <w:r w:rsidR="00553CF2">
        <w:t>s</w:t>
      </w:r>
      <w:r w:rsidRPr="00B110DD">
        <w:t xml:space="preserve">ettings </w:t>
      </w:r>
      <w:r w:rsidR="00783050">
        <w:t xml:space="preserve">to </w:t>
      </w:r>
      <w:r w:rsidRPr="00B110DD">
        <w:t xml:space="preserve">support additional </w:t>
      </w:r>
      <w:r w:rsidR="00783050">
        <w:t>information</w:t>
      </w:r>
      <w:r w:rsidRPr="00B110DD">
        <w:t xml:space="preserve"> that a carrier</w:t>
      </w:r>
      <w:r w:rsidRPr="008C0AEE">
        <w:t xml:space="preserve"> may require </w:t>
      </w:r>
      <w:r>
        <w:t xml:space="preserve">in specific boxes on </w:t>
      </w:r>
      <w:r w:rsidR="00783050">
        <w:t>claims</w:t>
      </w:r>
      <w:r w:rsidRPr="008C0AEE">
        <w:t>.</w:t>
      </w:r>
    </w:p>
    <w:p w14:paraId="66EFBD0A" w14:textId="7A307E2E" w:rsidR="00E563B8" w:rsidRDefault="00B3072B" w:rsidP="00E563B8">
      <w:pPr>
        <w:pStyle w:val="Heading4"/>
      </w:pPr>
      <w:r w:rsidRPr="00B110DD">
        <w:t>Auto Adjustment</w:t>
      </w:r>
      <w:r w:rsidR="00381692">
        <w:t xml:space="preserve"> Option</w:t>
      </w:r>
      <w:r w:rsidRPr="00B110DD">
        <w:t>s</w:t>
      </w:r>
    </w:p>
    <w:p w14:paraId="43E35742" w14:textId="75CBD266" w:rsidR="00B3072B" w:rsidRPr="00B110DD" w:rsidRDefault="00B3072B" w:rsidP="00E563B8">
      <w:pPr>
        <w:pStyle w:val="BodyText"/>
      </w:pPr>
      <w:r w:rsidRPr="00B110DD">
        <w:t>The</w:t>
      </w:r>
      <w:r w:rsidR="00783050">
        <w:t xml:space="preserve"> </w:t>
      </w:r>
      <w:r w:rsidR="00783050" w:rsidRPr="00783050">
        <w:rPr>
          <w:b/>
          <w:bCs/>
        </w:rPr>
        <w:t>Auto Adjustment</w:t>
      </w:r>
      <w:r w:rsidRPr="00B110DD">
        <w:t xml:space="preserve"> </w:t>
      </w:r>
      <w:r w:rsidR="00783050">
        <w:t>options</w:t>
      </w:r>
      <w:r w:rsidRPr="00B110DD">
        <w:t xml:space="preserve"> </w:t>
      </w:r>
      <w:r w:rsidR="00783050">
        <w:t xml:space="preserve">allow Dentrix Enterprise to </w:t>
      </w:r>
      <w:r w:rsidRPr="00B110DD">
        <w:t xml:space="preserve">automatically post adjustments based on the </w:t>
      </w:r>
      <w:r w:rsidR="00783050">
        <w:t xml:space="preserve">specified </w:t>
      </w:r>
      <w:r w:rsidRPr="00B110DD">
        <w:t xml:space="preserve">insurance coverage or fee schedules. These options are helpful for creating </w:t>
      </w:r>
      <w:r w:rsidR="00783050">
        <w:t>s</w:t>
      </w:r>
      <w:r w:rsidRPr="00B110DD">
        <w:t xml:space="preserve">liding </w:t>
      </w:r>
      <w:r w:rsidR="00783050">
        <w:t>f</w:t>
      </w:r>
      <w:r w:rsidRPr="00B110DD">
        <w:t xml:space="preserve">ee </w:t>
      </w:r>
      <w:r w:rsidR="00783050">
        <w:t>s</w:t>
      </w:r>
      <w:r w:rsidRPr="00B110DD">
        <w:t xml:space="preserve">cale discounts or other discount plans </w:t>
      </w:r>
      <w:r w:rsidR="00783050">
        <w:t>t</w:t>
      </w:r>
      <w:r w:rsidRPr="00B110DD">
        <w:t>hat provide a percentage discount as well as other variables (</w:t>
      </w:r>
      <w:r w:rsidR="00783050">
        <w:t xml:space="preserve">such as </w:t>
      </w:r>
      <w:r w:rsidRPr="00B110DD">
        <w:t>visit costs</w:t>
      </w:r>
      <w:r w:rsidR="00783050">
        <w:t xml:space="preserve"> and</w:t>
      </w:r>
      <w:r w:rsidRPr="00B110DD">
        <w:t xml:space="preserve"> different coverage per types of codes)</w:t>
      </w:r>
      <w:r w:rsidR="00783050">
        <w:t>.</w:t>
      </w:r>
    </w:p>
    <w:p w14:paraId="3779E68F" w14:textId="497B9F63" w:rsidR="00E563B8" w:rsidRDefault="00B3072B" w:rsidP="00E563B8">
      <w:pPr>
        <w:pStyle w:val="Heading4"/>
      </w:pPr>
      <w:r w:rsidRPr="00B110DD">
        <w:t>Rate Code Options</w:t>
      </w:r>
    </w:p>
    <w:p w14:paraId="03974E8E" w14:textId="3BAFCF3D" w:rsidR="00B3072B" w:rsidRPr="008C0AEE" w:rsidRDefault="00B3072B" w:rsidP="00E563B8">
      <w:pPr>
        <w:pStyle w:val="BodyText"/>
        <w:rPr>
          <w:b/>
          <w:bCs/>
        </w:rPr>
      </w:pPr>
      <w:r w:rsidRPr="00B110DD">
        <w:t>Th</w:t>
      </w:r>
      <w:r w:rsidR="00783050">
        <w:t xml:space="preserve">e </w:t>
      </w:r>
      <w:r w:rsidR="00783050" w:rsidRPr="00783050">
        <w:rPr>
          <w:b/>
          <w:bCs/>
        </w:rPr>
        <w:t>Rate Code Options</w:t>
      </w:r>
      <w:r w:rsidRPr="00B110DD">
        <w:t xml:space="preserve"> provide an automated process for billing rate codes and specific procedure information as directed by the payor. </w:t>
      </w:r>
      <w:r w:rsidR="00783050">
        <w:t>When creating a claim</w:t>
      </w:r>
      <w:r w:rsidRPr="00B110DD">
        <w:t xml:space="preserve">, </w:t>
      </w:r>
      <w:r w:rsidR="00783050">
        <w:t>Dentrix Enterprise</w:t>
      </w:r>
      <w:r w:rsidRPr="00B110DD">
        <w:t xml:space="preserve"> include</w:t>
      </w:r>
      <w:r w:rsidR="00783050">
        <w:t>s</w:t>
      </w:r>
      <w:r w:rsidRPr="00B110DD">
        <w:t xml:space="preserve"> the</w:t>
      </w:r>
      <w:r w:rsidR="00783050">
        <w:t xml:space="preserve"> specified</w:t>
      </w:r>
      <w:r w:rsidRPr="00B110DD">
        <w:t xml:space="preserve"> rate code</w:t>
      </w:r>
      <w:r w:rsidR="00783050">
        <w:t>,</w:t>
      </w:r>
      <w:r w:rsidRPr="008C0AEE">
        <w:t xml:space="preserve"> rate</w:t>
      </w:r>
      <w:r w:rsidR="00783050">
        <w:t>, and</w:t>
      </w:r>
      <w:r w:rsidRPr="008C0AEE">
        <w:t xml:space="preserve"> procedure information.  </w:t>
      </w:r>
    </w:p>
    <w:p w14:paraId="5EAD4D50" w14:textId="77777777" w:rsidR="00B3072B" w:rsidRPr="008C0AEE" w:rsidRDefault="00B3072B" w:rsidP="00D42C5A">
      <w:pPr>
        <w:pStyle w:val="Heading3"/>
      </w:pPr>
      <w:bookmarkStart w:id="181" w:name="_Toc146183328"/>
      <w:r w:rsidRPr="003F63A2">
        <w:t>Insurance Plan Claim Settings (Medical Form)</w:t>
      </w:r>
      <w:r w:rsidRPr="008C0AEE">
        <w:t>:</w:t>
      </w:r>
      <w:bookmarkEnd w:id="181"/>
      <w:r w:rsidRPr="008C0AEE">
        <w:t xml:space="preserve"> </w:t>
      </w:r>
    </w:p>
    <w:p w14:paraId="397BEAF4" w14:textId="635106BF" w:rsidR="00B3072B" w:rsidRPr="008C0AEE" w:rsidRDefault="00B3072B" w:rsidP="00381692">
      <w:pPr>
        <w:pStyle w:val="BodyText"/>
        <w:rPr>
          <w:b/>
          <w:bCs/>
        </w:rPr>
      </w:pPr>
      <w:r w:rsidRPr="00892281">
        <w:t xml:space="preserve">The </w:t>
      </w:r>
      <w:r w:rsidR="00783050">
        <w:t>m</w:t>
      </w:r>
      <w:r w:rsidRPr="008C0AEE">
        <w:t xml:space="preserve">edical claim forms in Dentrix Enterprise provide additional settings that can be set per plan or as a default for new insurance plans. </w:t>
      </w:r>
    </w:p>
    <w:p w14:paraId="61F153E7" w14:textId="3C11A3B2" w:rsidR="00B3072B" w:rsidRPr="008C0AEE" w:rsidRDefault="00B3072B" w:rsidP="00381692">
      <w:pPr>
        <w:pStyle w:val="BodyText"/>
        <w:numPr>
          <w:ilvl w:val="0"/>
          <w:numId w:val="65"/>
        </w:numPr>
        <w:ind w:left="540"/>
      </w:pPr>
      <w:r w:rsidRPr="00B110DD">
        <w:rPr>
          <w:b/>
          <w:bCs/>
        </w:rPr>
        <w:t>HCFA212</w:t>
      </w:r>
      <w:r w:rsidR="00B110DD">
        <w:t>:</w:t>
      </w:r>
    </w:p>
    <w:p w14:paraId="55BF4AA7" w14:textId="77777777" w:rsidR="007B5979" w:rsidRPr="00B110DD" w:rsidRDefault="007B5979" w:rsidP="007B5979">
      <w:pPr>
        <w:pStyle w:val="BodyText"/>
        <w:numPr>
          <w:ilvl w:val="1"/>
          <w:numId w:val="66"/>
        </w:numPr>
        <w:ind w:left="1080"/>
      </w:pPr>
      <w:r w:rsidRPr="00553CF2">
        <w:rPr>
          <w:b/>
          <w:bCs/>
        </w:rPr>
        <w:t>Diagnostic Code System</w:t>
      </w:r>
      <w:r>
        <w:t xml:space="preserve"> – The diagnostic coding system that is allowed on</w:t>
      </w:r>
      <w:r w:rsidRPr="00B110DD">
        <w:t xml:space="preserve"> claims: </w:t>
      </w:r>
      <w:r w:rsidRPr="00553CF2">
        <w:rPr>
          <w:b/>
          <w:bCs/>
        </w:rPr>
        <w:t>ICD 9</w:t>
      </w:r>
      <w:r w:rsidRPr="00B110DD">
        <w:t xml:space="preserve">, </w:t>
      </w:r>
      <w:r w:rsidRPr="00553CF2">
        <w:rPr>
          <w:b/>
          <w:bCs/>
        </w:rPr>
        <w:t>ICD 10</w:t>
      </w:r>
      <w:r w:rsidRPr="00B110DD">
        <w:t xml:space="preserve">, or </w:t>
      </w:r>
      <w:r w:rsidRPr="00553CF2">
        <w:rPr>
          <w:b/>
          <w:bCs/>
        </w:rPr>
        <w:t>Unspecified</w:t>
      </w:r>
      <w:r>
        <w:t xml:space="preserve"> (to </w:t>
      </w:r>
      <w:r w:rsidRPr="00587FED">
        <w:rPr>
          <w:u w:val="single"/>
        </w:rPr>
        <w:t>not</w:t>
      </w:r>
      <w:r>
        <w:t xml:space="preserve"> use diagnostic codes).</w:t>
      </w:r>
    </w:p>
    <w:p w14:paraId="269FBFBD" w14:textId="77777777" w:rsidR="007B5979" w:rsidRPr="008C0AEE" w:rsidRDefault="007B5979" w:rsidP="007B5979">
      <w:pPr>
        <w:pStyle w:val="BodyText"/>
        <w:numPr>
          <w:ilvl w:val="0"/>
          <w:numId w:val="66"/>
        </w:numPr>
        <w:ind w:left="1080"/>
      </w:pPr>
      <w:r w:rsidRPr="00783050">
        <w:rPr>
          <w:b/>
          <w:bCs/>
        </w:rPr>
        <w:t>Advanced</w:t>
      </w:r>
      <w:r w:rsidRPr="00B110DD">
        <w:t xml:space="preserve"> </w:t>
      </w:r>
      <w:r>
        <w:t>– S</w:t>
      </w:r>
      <w:r w:rsidRPr="00B110DD">
        <w:t xml:space="preserve">ettings </w:t>
      </w:r>
      <w:r>
        <w:t xml:space="preserve">to </w:t>
      </w:r>
      <w:r w:rsidRPr="00B110DD">
        <w:t xml:space="preserve">support additional </w:t>
      </w:r>
      <w:r>
        <w:t>information</w:t>
      </w:r>
      <w:r w:rsidRPr="00B110DD">
        <w:t xml:space="preserve"> that a carrier</w:t>
      </w:r>
      <w:r w:rsidRPr="008C0AEE">
        <w:t xml:space="preserve"> may require </w:t>
      </w:r>
      <w:r>
        <w:t>in specific boxes on claims</w:t>
      </w:r>
      <w:r w:rsidRPr="008C0AEE">
        <w:t xml:space="preserve">.  </w:t>
      </w:r>
    </w:p>
    <w:p w14:paraId="32C54A47" w14:textId="749FBB32" w:rsidR="007B5979" w:rsidRPr="007B5979" w:rsidRDefault="007B5979" w:rsidP="00381692">
      <w:pPr>
        <w:pStyle w:val="BodyText"/>
        <w:numPr>
          <w:ilvl w:val="1"/>
          <w:numId w:val="66"/>
        </w:numPr>
        <w:ind w:left="1080"/>
      </w:pPr>
      <w:r w:rsidRPr="007B5979">
        <w:rPr>
          <w:b/>
          <w:bCs/>
        </w:rPr>
        <w:t>Claim Setup</w:t>
      </w:r>
      <w:r>
        <w:t>:</w:t>
      </w:r>
    </w:p>
    <w:p w14:paraId="022CA6C7" w14:textId="6ED66A9F" w:rsidR="00B3072B" w:rsidRPr="008C0AEE" w:rsidRDefault="00587FED" w:rsidP="007B5979">
      <w:pPr>
        <w:pStyle w:val="BodyText"/>
        <w:numPr>
          <w:ilvl w:val="2"/>
          <w:numId w:val="66"/>
        </w:numPr>
        <w:ind w:left="1620"/>
      </w:pPr>
      <w:r w:rsidRPr="00587FED">
        <w:rPr>
          <w:b/>
          <w:bCs/>
        </w:rPr>
        <w:t>Provider and Fee Options</w:t>
      </w:r>
      <w:r>
        <w:t xml:space="preserve"> – </w:t>
      </w:r>
      <w:r w:rsidRPr="00587FED">
        <w:t>The fee schedule to use for procedures on the entire claim</w:t>
      </w:r>
      <w:r>
        <w:t>:</w:t>
      </w:r>
      <w:r w:rsidRPr="00B110DD">
        <w:t xml:space="preserve"> </w:t>
      </w:r>
      <w:r w:rsidRPr="00873C95">
        <w:rPr>
          <w:b/>
          <w:bCs/>
        </w:rPr>
        <w:t>Billing Provider</w:t>
      </w:r>
      <w:r w:rsidRPr="00B110DD">
        <w:t xml:space="preserve">, </w:t>
      </w:r>
      <w:r w:rsidRPr="00873C95">
        <w:rPr>
          <w:b/>
          <w:bCs/>
        </w:rPr>
        <w:t>Insurance Plan</w:t>
      </w:r>
      <w:r w:rsidRPr="00B110DD">
        <w:t xml:space="preserve">, or </w:t>
      </w:r>
      <w:r w:rsidRPr="00873C95">
        <w:rPr>
          <w:b/>
          <w:bCs/>
        </w:rPr>
        <w:t>Default</w:t>
      </w:r>
      <w:r>
        <w:t xml:space="preserve"> (</w:t>
      </w:r>
      <w:r w:rsidRPr="00873C95">
        <w:t>use the fee schedule that is assigned to the subscriber; or if one is not assigned to the subscriber, the fee schedule that is assigned to the billing provider; or if one is not assigned to the billing provider, the fee schedule that is assigned to the insurance plan</w:t>
      </w:r>
      <w:r w:rsidRPr="00B110DD">
        <w:t>)</w:t>
      </w:r>
      <w:r>
        <w:t>.</w:t>
      </w:r>
      <w:r w:rsidR="00B3072B" w:rsidRPr="008C0AEE">
        <w:t xml:space="preserve">  </w:t>
      </w:r>
    </w:p>
    <w:p w14:paraId="0606DC50" w14:textId="38C50C5A" w:rsidR="00B3072B" w:rsidRPr="008C0AEE" w:rsidRDefault="00587FED" w:rsidP="007B5979">
      <w:pPr>
        <w:pStyle w:val="BodyText"/>
        <w:numPr>
          <w:ilvl w:val="2"/>
          <w:numId w:val="66"/>
        </w:numPr>
        <w:ind w:left="1620"/>
      </w:pPr>
      <w:r w:rsidRPr="00553CF2">
        <w:rPr>
          <w:b/>
          <w:bCs/>
        </w:rPr>
        <w:t>Provider Addresses</w:t>
      </w:r>
      <w:r w:rsidRPr="00B110DD">
        <w:t xml:space="preserve"> </w:t>
      </w:r>
      <w:r>
        <w:t xml:space="preserve">– The address to use for the </w:t>
      </w:r>
      <w:r w:rsidRPr="00553CF2">
        <w:rPr>
          <w:b/>
          <w:bCs/>
        </w:rPr>
        <w:t>Billing Provider</w:t>
      </w:r>
      <w:r>
        <w:t xml:space="preserve"> and </w:t>
      </w:r>
      <w:r w:rsidRPr="00553CF2">
        <w:rPr>
          <w:b/>
          <w:bCs/>
        </w:rPr>
        <w:t>Rendering Provider</w:t>
      </w:r>
      <w:r>
        <w:t xml:space="preserve"> on claims: </w:t>
      </w:r>
      <w:r w:rsidRPr="00553CF2">
        <w:rPr>
          <w:b/>
          <w:bCs/>
        </w:rPr>
        <w:t>Billing Provider Address</w:t>
      </w:r>
      <w:r>
        <w:t xml:space="preserve">, </w:t>
      </w:r>
      <w:r w:rsidRPr="00553CF2">
        <w:rPr>
          <w:b/>
          <w:bCs/>
        </w:rPr>
        <w:t>Rendering Provider Address</w:t>
      </w:r>
      <w:r>
        <w:t xml:space="preserve">, </w:t>
      </w:r>
      <w:r w:rsidRPr="00553CF2">
        <w:rPr>
          <w:b/>
          <w:bCs/>
        </w:rPr>
        <w:t>Rendering Clinic Address</w:t>
      </w:r>
      <w:r>
        <w:t xml:space="preserve">, or </w:t>
      </w:r>
      <w:r w:rsidRPr="00553CF2">
        <w:rPr>
          <w:b/>
          <w:bCs/>
        </w:rPr>
        <w:t>Central Clinic Address</w:t>
      </w:r>
      <w:r>
        <w:t>.</w:t>
      </w:r>
      <w:r w:rsidR="00B3072B" w:rsidRPr="008C0AEE">
        <w:t xml:space="preserve">  </w:t>
      </w:r>
    </w:p>
    <w:p w14:paraId="503EAF7F" w14:textId="5AE795F2" w:rsidR="00B3072B" w:rsidRPr="008C0AEE" w:rsidRDefault="00B3072B" w:rsidP="007B5979">
      <w:pPr>
        <w:pStyle w:val="BodyText"/>
        <w:numPr>
          <w:ilvl w:val="2"/>
          <w:numId w:val="66"/>
        </w:numPr>
        <w:ind w:left="1620"/>
      </w:pPr>
      <w:r w:rsidRPr="00587FED">
        <w:rPr>
          <w:b/>
          <w:bCs/>
        </w:rPr>
        <w:t>Advanced Settings</w:t>
      </w:r>
      <w:r w:rsidR="00587FED" w:rsidRPr="00B110DD">
        <w:t xml:space="preserve"> </w:t>
      </w:r>
      <w:r w:rsidR="00587FED">
        <w:t>– A</w:t>
      </w:r>
      <w:r w:rsidR="00587FED" w:rsidRPr="00B110DD">
        <w:t xml:space="preserve">dditional </w:t>
      </w:r>
      <w:r w:rsidR="00587FED">
        <w:t>information</w:t>
      </w:r>
      <w:r w:rsidR="00587FED" w:rsidRPr="00B110DD">
        <w:t xml:space="preserve"> that a carrier may require</w:t>
      </w:r>
      <w:r w:rsidR="00587FED">
        <w:t>,</w:t>
      </w:r>
      <w:r w:rsidRPr="008C0AEE">
        <w:t xml:space="preserve"> such as </w:t>
      </w:r>
      <w:r w:rsidR="00587FED">
        <w:t xml:space="preserve">anesthesia start and stop times or </w:t>
      </w:r>
      <w:r w:rsidRPr="008C0AEE">
        <w:t>wh</w:t>
      </w:r>
      <w:r w:rsidR="00587FED">
        <w:t>ere</w:t>
      </w:r>
      <w:r w:rsidRPr="008C0AEE">
        <w:t xml:space="preserve"> to use </w:t>
      </w:r>
      <w:r w:rsidR="00587FED">
        <w:t>the</w:t>
      </w:r>
      <w:r w:rsidRPr="008C0AEE">
        <w:t xml:space="preserve"> NPI on a claim.  </w:t>
      </w:r>
    </w:p>
    <w:p w14:paraId="428278D7" w14:textId="7FA38FC6" w:rsidR="00B3072B" w:rsidRPr="008C0AEE" w:rsidRDefault="00B3072B" w:rsidP="00381692">
      <w:pPr>
        <w:pStyle w:val="BodyText"/>
        <w:numPr>
          <w:ilvl w:val="0"/>
          <w:numId w:val="65"/>
        </w:numPr>
        <w:ind w:left="540"/>
      </w:pPr>
      <w:r w:rsidRPr="00B110DD">
        <w:rPr>
          <w:b/>
          <w:bCs/>
        </w:rPr>
        <w:t>UB04</w:t>
      </w:r>
      <w:r w:rsidR="007B5979">
        <w:t xml:space="preserve"> </w:t>
      </w:r>
      <w:r w:rsidR="004D4260">
        <w:t>(</w:t>
      </w:r>
      <w:r w:rsidR="007B5979" w:rsidRPr="008C0AEE">
        <w:t xml:space="preserve">837i for </w:t>
      </w:r>
      <w:r w:rsidR="007B5979">
        <w:t>i</w:t>
      </w:r>
      <w:r w:rsidR="007B5979" w:rsidRPr="008C0AEE">
        <w:t xml:space="preserve">nstitutional electronic </w:t>
      </w:r>
      <w:r w:rsidR="004D4260">
        <w:t xml:space="preserve">claim </w:t>
      </w:r>
      <w:r w:rsidR="007B5979" w:rsidRPr="008C0AEE">
        <w:t>submission</w:t>
      </w:r>
      <w:r w:rsidR="004D4260">
        <w:t>)</w:t>
      </w:r>
      <w:r w:rsidR="007B5979">
        <w:t>:</w:t>
      </w:r>
    </w:p>
    <w:p w14:paraId="17760D41" w14:textId="77777777" w:rsidR="004D4260" w:rsidRPr="00B110DD" w:rsidRDefault="004D4260" w:rsidP="004D4260">
      <w:pPr>
        <w:pStyle w:val="BodyText"/>
        <w:numPr>
          <w:ilvl w:val="1"/>
          <w:numId w:val="65"/>
        </w:numPr>
        <w:ind w:left="1080"/>
      </w:pPr>
      <w:r w:rsidRPr="00553CF2">
        <w:rPr>
          <w:b/>
          <w:bCs/>
        </w:rPr>
        <w:t>Diagnostic Code System</w:t>
      </w:r>
      <w:r>
        <w:t xml:space="preserve"> – The diagnostic coding system that is allowed on</w:t>
      </w:r>
      <w:r w:rsidRPr="00B110DD">
        <w:t xml:space="preserve"> claims: </w:t>
      </w:r>
      <w:r w:rsidRPr="00553CF2">
        <w:rPr>
          <w:b/>
          <w:bCs/>
        </w:rPr>
        <w:t>ICD 9</w:t>
      </w:r>
      <w:r w:rsidRPr="00B110DD">
        <w:t xml:space="preserve">, </w:t>
      </w:r>
      <w:r w:rsidRPr="00553CF2">
        <w:rPr>
          <w:b/>
          <w:bCs/>
        </w:rPr>
        <w:t>ICD 10</w:t>
      </w:r>
      <w:r w:rsidRPr="00B110DD">
        <w:t xml:space="preserve">, or </w:t>
      </w:r>
      <w:r w:rsidRPr="00553CF2">
        <w:rPr>
          <w:b/>
          <w:bCs/>
        </w:rPr>
        <w:t>Unspecified</w:t>
      </w:r>
      <w:r>
        <w:t xml:space="preserve"> (to </w:t>
      </w:r>
      <w:r w:rsidRPr="00587FED">
        <w:rPr>
          <w:u w:val="single"/>
        </w:rPr>
        <w:t>not</w:t>
      </w:r>
      <w:r>
        <w:t xml:space="preserve"> use diagnostic codes).</w:t>
      </w:r>
    </w:p>
    <w:p w14:paraId="0B8B63C9" w14:textId="2ECD6C72" w:rsidR="00B3072B" w:rsidRDefault="004D4260" w:rsidP="004D4260">
      <w:pPr>
        <w:pStyle w:val="BodyText"/>
        <w:numPr>
          <w:ilvl w:val="0"/>
          <w:numId w:val="65"/>
        </w:numPr>
        <w:ind w:left="1080"/>
      </w:pPr>
      <w:r w:rsidRPr="00783050">
        <w:rPr>
          <w:b/>
          <w:bCs/>
        </w:rPr>
        <w:t>Advanced</w:t>
      </w:r>
      <w:r w:rsidRPr="00B110DD">
        <w:t xml:space="preserve"> </w:t>
      </w:r>
      <w:r>
        <w:t>– S</w:t>
      </w:r>
      <w:r w:rsidRPr="00B110DD">
        <w:t xml:space="preserve">ettings </w:t>
      </w:r>
      <w:r>
        <w:t xml:space="preserve">to </w:t>
      </w:r>
      <w:r w:rsidRPr="00B110DD">
        <w:t xml:space="preserve">support additional </w:t>
      </w:r>
      <w:r>
        <w:t>information</w:t>
      </w:r>
      <w:r w:rsidRPr="00B110DD">
        <w:t xml:space="preserve"> that a carrier</w:t>
      </w:r>
      <w:r w:rsidRPr="008C0AEE">
        <w:t xml:space="preserve"> may require </w:t>
      </w:r>
      <w:r>
        <w:t>in specific boxes on claims</w:t>
      </w:r>
      <w:r w:rsidRPr="008C0AEE">
        <w:t>.</w:t>
      </w:r>
      <w:r>
        <w:t xml:space="preserve"> </w:t>
      </w:r>
      <w:r w:rsidR="00B3072B">
        <w:t xml:space="preserve">Refer to the IHS </w:t>
      </w:r>
      <w:r w:rsidR="007B5979">
        <w:t>t</w:t>
      </w:r>
      <w:r w:rsidR="00B3072B">
        <w:t xml:space="preserve">raining </w:t>
      </w:r>
      <w:r w:rsidR="007B5979">
        <w:t>v</w:t>
      </w:r>
      <w:r w:rsidR="00B3072B">
        <w:t xml:space="preserve">ideo </w:t>
      </w:r>
      <w:r w:rsidR="007B5979">
        <w:t>“</w:t>
      </w:r>
      <w:r w:rsidR="00B3072B">
        <w:t>837i: Medical Insurance Plan Setup</w:t>
      </w:r>
      <w:r w:rsidR="007B5979">
        <w:t>”</w:t>
      </w:r>
      <w:r w:rsidR="00B3072B">
        <w:t xml:space="preserve"> for </w:t>
      </w:r>
      <w:r w:rsidR="007B5979">
        <w:t>information about</w:t>
      </w:r>
      <w:r w:rsidR="00B3072B">
        <w:t xml:space="preserve"> the supported claim boxes.</w:t>
      </w:r>
    </w:p>
    <w:p w14:paraId="17DE3595" w14:textId="2EFC904A" w:rsidR="007B5979" w:rsidRPr="00381692" w:rsidRDefault="007B5979" w:rsidP="007B5979">
      <w:pPr>
        <w:pStyle w:val="BodyText"/>
        <w:numPr>
          <w:ilvl w:val="1"/>
          <w:numId w:val="67"/>
        </w:numPr>
        <w:ind w:left="1080"/>
      </w:pPr>
      <w:r w:rsidRPr="007B5979">
        <w:rPr>
          <w:b/>
          <w:bCs/>
        </w:rPr>
        <w:t>Claim Setup</w:t>
      </w:r>
      <w:r w:rsidR="004D4260">
        <w:t xml:space="preserve"> – W</w:t>
      </w:r>
      <w:r>
        <w:t>hether</w:t>
      </w:r>
      <w:r w:rsidRPr="008C0AEE">
        <w:t xml:space="preserve"> box 38 is populated</w:t>
      </w:r>
      <w:r>
        <w:t xml:space="preserve"> with g</w:t>
      </w:r>
      <w:r w:rsidRPr="008C0AEE">
        <w:t>uarantor or pay</w:t>
      </w:r>
      <w:r>
        <w:t>o</w:t>
      </w:r>
      <w:r w:rsidRPr="008C0AEE">
        <w:t>r information</w:t>
      </w:r>
      <w:r>
        <w:t>.</w:t>
      </w:r>
    </w:p>
    <w:p w14:paraId="0857E2D6" w14:textId="206C9B44" w:rsidR="00B110DD" w:rsidRDefault="00B3072B" w:rsidP="00D42C5A">
      <w:pPr>
        <w:pStyle w:val="Heading3"/>
      </w:pPr>
      <w:bookmarkStart w:id="182" w:name="_Toc135416721"/>
      <w:bookmarkStart w:id="183" w:name="_Toc146183329"/>
      <w:r w:rsidRPr="7599250B">
        <w:lastRenderedPageBreak/>
        <w:t>Insurance Coverage and Estimates</w:t>
      </w:r>
      <w:bookmarkEnd w:id="182"/>
      <w:bookmarkEnd w:id="183"/>
      <w:r w:rsidRPr="00305937">
        <w:t xml:space="preserve"> </w:t>
      </w:r>
    </w:p>
    <w:p w14:paraId="7D7FDEB2" w14:textId="0B2BBCA3" w:rsidR="00B3072B" w:rsidRPr="00305937" w:rsidRDefault="00B3072B" w:rsidP="00B110DD">
      <w:pPr>
        <w:pStyle w:val="BodyText"/>
        <w:rPr>
          <w:b/>
          <w:bCs/>
        </w:rPr>
      </w:pPr>
      <w:r>
        <w:t>Dentrix Enterprise uses standard formulas to provide insurance estimat</w:t>
      </w:r>
      <w:r w:rsidR="004D4260">
        <w:t>e</w:t>
      </w:r>
      <w:r>
        <w:t>s</w:t>
      </w:r>
      <w:r w:rsidR="004D4260">
        <w:t xml:space="preserve">. </w:t>
      </w:r>
      <w:r>
        <w:t>The formula use</w:t>
      </w:r>
      <w:r w:rsidR="004D4260">
        <w:t>d depends</w:t>
      </w:r>
      <w:r>
        <w:t xml:space="preserve"> on the conditions </w:t>
      </w:r>
      <w:r w:rsidR="004D4260">
        <w:t xml:space="preserve">that are </w:t>
      </w:r>
      <w:r>
        <w:t xml:space="preserve">applicable to the fee schedule, coverage table, co-pay, payment table, and insurance override.  </w:t>
      </w:r>
    </w:p>
    <w:p w14:paraId="2D8F5A36" w14:textId="7C1DF5C2" w:rsidR="00B3072B" w:rsidRPr="004D4260" w:rsidRDefault="00B3072B" w:rsidP="00B110DD">
      <w:pPr>
        <w:pStyle w:val="BodyText"/>
        <w:rPr>
          <w:i/>
          <w:iCs/>
        </w:rPr>
      </w:pPr>
      <w:r w:rsidRPr="004D4260">
        <w:rPr>
          <w:b/>
          <w:bCs/>
          <w:i/>
          <w:iCs/>
        </w:rPr>
        <w:t>Operations Insight</w:t>
      </w:r>
      <w:r w:rsidRPr="004D4260">
        <w:rPr>
          <w:i/>
          <w:iCs/>
        </w:rPr>
        <w:t xml:space="preserve">: All ADA codes in the coverage table must start with </w:t>
      </w:r>
      <w:r w:rsidR="004D4260" w:rsidRPr="004D4260">
        <w:rPr>
          <w:i/>
          <w:iCs/>
        </w:rPr>
        <w:t>an uppercase</w:t>
      </w:r>
      <w:r w:rsidRPr="004D4260">
        <w:rPr>
          <w:i/>
          <w:iCs/>
        </w:rPr>
        <w:t xml:space="preserve"> D. Codes may not register or calculate correctly if a lowercase d or a</w:t>
      </w:r>
      <w:r w:rsidR="004D4260" w:rsidRPr="004D4260">
        <w:rPr>
          <w:i/>
          <w:iCs/>
        </w:rPr>
        <w:t xml:space="preserve"> zero </w:t>
      </w:r>
      <w:r w:rsidRPr="004D4260">
        <w:rPr>
          <w:i/>
          <w:iCs/>
        </w:rPr>
        <w:t>is used.</w:t>
      </w:r>
    </w:p>
    <w:p w14:paraId="394CA857" w14:textId="1D0F7974" w:rsidR="00B110DD" w:rsidRPr="00B110DD" w:rsidRDefault="00B3072B" w:rsidP="00B110DD">
      <w:pPr>
        <w:pStyle w:val="Heading4"/>
        <w:rPr>
          <w:color w:val="auto"/>
        </w:rPr>
      </w:pPr>
      <w:r w:rsidRPr="5A4B8279">
        <w:t>Estimate Components</w:t>
      </w:r>
    </w:p>
    <w:p w14:paraId="4C23EC55" w14:textId="31D4B64F" w:rsidR="00B3072B" w:rsidRDefault="004D4260" w:rsidP="00B110DD">
      <w:pPr>
        <w:pStyle w:val="BodyText"/>
      </w:pPr>
      <w:r>
        <w:t>Dentrix Enterprise uses t</w:t>
      </w:r>
      <w:r w:rsidR="00B3072B" w:rsidRPr="46812195">
        <w:t xml:space="preserve">he following </w:t>
      </w:r>
      <w:r>
        <w:t>factors to calculate</w:t>
      </w:r>
      <w:r w:rsidR="00B3072B" w:rsidRPr="46812195">
        <w:t xml:space="preserve"> insurance estimates</w:t>
      </w:r>
      <w:r w:rsidR="001E0785">
        <w:t>:</w:t>
      </w:r>
    </w:p>
    <w:p w14:paraId="244D0A4E" w14:textId="67308503" w:rsidR="00B3072B" w:rsidRPr="00B110DD" w:rsidRDefault="00B3072B">
      <w:pPr>
        <w:pStyle w:val="BodyText"/>
        <w:numPr>
          <w:ilvl w:val="0"/>
          <w:numId w:val="61"/>
        </w:numPr>
        <w:ind w:left="540"/>
      </w:pPr>
      <w:r w:rsidRPr="00B110DD">
        <w:rPr>
          <w:b/>
          <w:bCs/>
        </w:rPr>
        <w:t>Fee Schedule</w:t>
      </w:r>
      <w:r w:rsidRPr="001D5F9C">
        <w:t xml:space="preserve"> </w:t>
      </w:r>
      <w:r w:rsidR="001E0785">
        <w:t xml:space="preserve">– </w:t>
      </w:r>
      <w:r w:rsidRPr="001D5F9C">
        <w:t>Fee</w:t>
      </w:r>
      <w:r w:rsidRPr="00B110DD">
        <w:t xml:space="preserve"> schedules are lists of the maximum amount charged per service. Fees can be set by </w:t>
      </w:r>
      <w:proofErr w:type="gramStart"/>
      <w:r w:rsidRPr="00B110DD">
        <w:t>organization</w:t>
      </w:r>
      <w:proofErr w:type="gramEnd"/>
      <w:r w:rsidRPr="00B110DD">
        <w:t>, office, insurance companies, and more.</w:t>
      </w:r>
    </w:p>
    <w:p w14:paraId="3A9128BB" w14:textId="49F09506" w:rsidR="00B3072B" w:rsidRPr="00B110DD" w:rsidRDefault="00B3072B" w:rsidP="00B110DD">
      <w:pPr>
        <w:pStyle w:val="BodyText"/>
        <w:ind w:left="540"/>
      </w:pPr>
      <w:r w:rsidRPr="001E0785">
        <w:rPr>
          <w:b/>
          <w:bCs/>
        </w:rPr>
        <w:t>Wh</w:t>
      </w:r>
      <w:r w:rsidR="00B110DD" w:rsidRPr="001E0785">
        <w:rPr>
          <w:b/>
          <w:bCs/>
        </w:rPr>
        <w:t>y</w:t>
      </w:r>
      <w:r w:rsidRPr="001E0785">
        <w:rPr>
          <w:b/>
          <w:bCs/>
        </w:rPr>
        <w:t xml:space="preserve"> is it important?</w:t>
      </w:r>
      <w:r w:rsidRPr="00B110DD">
        <w:t xml:space="preserve"> The </w:t>
      </w:r>
      <w:r w:rsidR="001E0785">
        <w:t>f</w:t>
      </w:r>
      <w:r w:rsidRPr="00B110DD">
        <w:t xml:space="preserve">ee </w:t>
      </w:r>
      <w:r w:rsidR="001E0785">
        <w:t>s</w:t>
      </w:r>
      <w:r w:rsidRPr="00B110DD">
        <w:t xml:space="preserve">chedule is the basis of all financial aspects for production and collection. The fee schedule is directly related to the insurance components and dictates all estimated outcomes.   </w:t>
      </w:r>
    </w:p>
    <w:p w14:paraId="6DD451F7" w14:textId="77777777" w:rsidR="00B3072B" w:rsidRPr="001E0785" w:rsidRDefault="00B3072B" w:rsidP="00B110DD">
      <w:pPr>
        <w:pStyle w:val="BodyText"/>
        <w:ind w:left="540"/>
        <w:rPr>
          <w:b/>
          <w:bCs/>
        </w:rPr>
      </w:pPr>
      <w:r w:rsidRPr="001E0785">
        <w:rPr>
          <w:b/>
          <w:bCs/>
        </w:rPr>
        <w:t>How is it used?</w:t>
      </w:r>
    </w:p>
    <w:p w14:paraId="05596E3D" w14:textId="1174C7CB" w:rsidR="00B3072B" w:rsidRPr="00B110DD" w:rsidRDefault="001E0785">
      <w:pPr>
        <w:pStyle w:val="BodyText"/>
        <w:numPr>
          <w:ilvl w:val="1"/>
          <w:numId w:val="68"/>
        </w:numPr>
        <w:ind w:left="1080"/>
      </w:pPr>
      <w:r>
        <w:t>For t</w:t>
      </w:r>
      <w:r w:rsidR="00B3072B" w:rsidRPr="00B110DD">
        <w:t>reatment plan presentation</w:t>
      </w:r>
      <w:r>
        <w:t>s, to provide g</w:t>
      </w:r>
      <w:r w:rsidR="00B3072B" w:rsidRPr="00B110DD">
        <w:t xml:space="preserve">ood </w:t>
      </w:r>
      <w:r>
        <w:t>f</w:t>
      </w:r>
      <w:r w:rsidR="00B3072B" w:rsidRPr="00B110DD">
        <w:t xml:space="preserve">aith </w:t>
      </w:r>
      <w:r>
        <w:t>e</w:t>
      </w:r>
      <w:r w:rsidR="00B3072B" w:rsidRPr="00B110DD">
        <w:t>stimates</w:t>
      </w:r>
      <w:r>
        <w:t xml:space="preserve"> (</w:t>
      </w:r>
      <w:r w:rsidR="00B3072B" w:rsidRPr="00B110DD">
        <w:t>No Surprise Act)</w:t>
      </w:r>
      <w:r>
        <w:t>.</w:t>
      </w:r>
    </w:p>
    <w:p w14:paraId="52E6D73A" w14:textId="758C78C5" w:rsidR="00B3072B" w:rsidRPr="001D5F9C" w:rsidRDefault="001E0785">
      <w:pPr>
        <w:pStyle w:val="BodyText"/>
        <w:numPr>
          <w:ilvl w:val="1"/>
          <w:numId w:val="68"/>
        </w:numPr>
        <w:ind w:left="1080"/>
      </w:pPr>
      <w:r>
        <w:t>In l</w:t>
      </w:r>
      <w:r w:rsidR="00B3072B" w:rsidRPr="00B110DD">
        <w:t>ine-</w:t>
      </w:r>
      <w:r>
        <w:t>i</w:t>
      </w:r>
      <w:r w:rsidR="00B3072B" w:rsidRPr="00B110DD">
        <w:t xml:space="preserve">tem </w:t>
      </w:r>
      <w:r>
        <w:t>a</w:t>
      </w:r>
      <w:r w:rsidR="00B3072B" w:rsidRPr="00B110DD">
        <w:t>ccounting</w:t>
      </w:r>
      <w:r>
        <w:t>,</w:t>
      </w:r>
      <w:r w:rsidR="00B3072B" w:rsidRPr="00B110DD">
        <w:t xml:space="preserve"> to determine </w:t>
      </w:r>
      <w:r>
        <w:t xml:space="preserve">the </w:t>
      </w:r>
      <w:r w:rsidR="00B3072B" w:rsidRPr="00B110DD">
        <w:t>insurance payment, patient payme</w:t>
      </w:r>
      <w:r w:rsidR="00B3072B">
        <w:t>nt, and provider collections</w:t>
      </w:r>
      <w:r>
        <w:t>.</w:t>
      </w:r>
    </w:p>
    <w:p w14:paraId="7CDBA754" w14:textId="749EA84E" w:rsidR="00B3072B" w:rsidRPr="00B110DD" w:rsidRDefault="00B3072B">
      <w:pPr>
        <w:pStyle w:val="BodyText"/>
        <w:numPr>
          <w:ilvl w:val="0"/>
          <w:numId w:val="68"/>
        </w:numPr>
        <w:ind w:left="540"/>
      </w:pPr>
      <w:r w:rsidRPr="00B110DD">
        <w:rPr>
          <w:b/>
          <w:bCs/>
        </w:rPr>
        <w:t>Fee Schedule Assignment</w:t>
      </w:r>
      <w:r w:rsidR="001E0785" w:rsidRPr="001D5F9C">
        <w:t xml:space="preserve"> </w:t>
      </w:r>
      <w:r w:rsidR="001E0785">
        <w:t xml:space="preserve">– </w:t>
      </w:r>
      <w:r w:rsidRPr="00B110DD">
        <w:rPr>
          <w:bCs/>
        </w:rPr>
        <w:t>T</w:t>
      </w:r>
      <w:r w:rsidRPr="00B110DD">
        <w:t xml:space="preserve">he fee </w:t>
      </w:r>
      <w:r w:rsidR="001E0785">
        <w:t xml:space="preserve">that is </w:t>
      </w:r>
      <w:r w:rsidRPr="00B110DD">
        <w:t xml:space="preserve">used in the insurance estimate will be determined by where the fee schedule is assigned in the system. Fee assignment </w:t>
      </w:r>
      <w:r w:rsidR="001E0785">
        <w:t>is</w:t>
      </w:r>
      <w:r w:rsidRPr="00B110DD">
        <w:t xml:space="preserve"> </w:t>
      </w:r>
      <w:r w:rsidR="001E0785">
        <w:t>handled</w:t>
      </w:r>
      <w:r w:rsidRPr="00B110DD">
        <w:t xml:space="preserve"> in the following hierarch</w:t>
      </w:r>
      <w:r w:rsidR="001E0785">
        <w:t>ical</w:t>
      </w:r>
      <w:r w:rsidRPr="00B110DD">
        <w:t xml:space="preserve"> order:</w:t>
      </w:r>
    </w:p>
    <w:p w14:paraId="11AF4ADD" w14:textId="7FC470D9" w:rsidR="00B3072B" w:rsidRPr="00B110DD" w:rsidRDefault="00B3072B">
      <w:pPr>
        <w:pStyle w:val="BodyText"/>
        <w:numPr>
          <w:ilvl w:val="1"/>
          <w:numId w:val="69"/>
        </w:numPr>
        <w:ind w:left="1080"/>
      </w:pPr>
      <w:r w:rsidRPr="001E0785">
        <w:rPr>
          <w:b/>
          <w:bCs/>
        </w:rPr>
        <w:t xml:space="preserve">Patient </w:t>
      </w:r>
      <w:r w:rsidR="001E0785">
        <w:rPr>
          <w:b/>
          <w:bCs/>
        </w:rPr>
        <w:t>f</w:t>
      </w:r>
      <w:r w:rsidRPr="001E0785">
        <w:rPr>
          <w:b/>
          <w:bCs/>
        </w:rPr>
        <w:t xml:space="preserve">ee </w:t>
      </w:r>
      <w:r w:rsidR="001E0785">
        <w:rPr>
          <w:b/>
          <w:bCs/>
        </w:rPr>
        <w:t>s</w:t>
      </w:r>
      <w:r w:rsidRPr="001E0785">
        <w:rPr>
          <w:b/>
          <w:bCs/>
        </w:rPr>
        <w:t>chedule</w:t>
      </w:r>
      <w:r w:rsidR="001E0785" w:rsidRPr="001D5F9C">
        <w:t xml:space="preserve"> </w:t>
      </w:r>
      <w:r w:rsidR="001E0785">
        <w:t>– A</w:t>
      </w:r>
      <w:r w:rsidRPr="00B110DD">
        <w:t xml:space="preserve"> special fee schedule </w:t>
      </w:r>
      <w:r w:rsidR="001E0785">
        <w:t>that must be assign</w:t>
      </w:r>
      <w:r w:rsidR="00EC3DF9">
        <w:t>ed</w:t>
      </w:r>
      <w:r w:rsidR="001E0785">
        <w:t xml:space="preserve"> to the patient </w:t>
      </w:r>
      <w:r w:rsidRPr="00B110DD">
        <w:t xml:space="preserve">for any reason other than insurance </w:t>
      </w:r>
      <w:r w:rsidR="001E0785">
        <w:t>purposes.</w:t>
      </w:r>
    </w:p>
    <w:p w14:paraId="0CD7B1D1" w14:textId="56CBDC9E" w:rsidR="00B3072B" w:rsidRPr="00B110DD" w:rsidRDefault="00B3072B">
      <w:pPr>
        <w:pStyle w:val="BodyText"/>
        <w:numPr>
          <w:ilvl w:val="1"/>
          <w:numId w:val="69"/>
        </w:numPr>
        <w:ind w:left="1080"/>
      </w:pPr>
      <w:r w:rsidRPr="001E0785">
        <w:rPr>
          <w:b/>
          <w:bCs/>
        </w:rPr>
        <w:t xml:space="preserve">Insurance </w:t>
      </w:r>
      <w:r w:rsidR="001E0785" w:rsidRPr="001E0785">
        <w:rPr>
          <w:b/>
          <w:bCs/>
        </w:rPr>
        <w:t>p</w:t>
      </w:r>
      <w:r w:rsidRPr="001E0785">
        <w:rPr>
          <w:b/>
          <w:bCs/>
        </w:rPr>
        <w:t>lan</w:t>
      </w:r>
      <w:r w:rsidR="001E0785" w:rsidRPr="001E0785">
        <w:rPr>
          <w:b/>
          <w:bCs/>
        </w:rPr>
        <w:t xml:space="preserve"> f</w:t>
      </w:r>
      <w:r w:rsidRPr="001E0785">
        <w:rPr>
          <w:b/>
          <w:bCs/>
        </w:rPr>
        <w:t xml:space="preserve">ee </w:t>
      </w:r>
      <w:r w:rsidR="001E0785" w:rsidRPr="001E0785">
        <w:rPr>
          <w:b/>
          <w:bCs/>
        </w:rPr>
        <w:t>s</w:t>
      </w:r>
      <w:r w:rsidRPr="001E0785">
        <w:rPr>
          <w:b/>
          <w:bCs/>
        </w:rPr>
        <w:t>chedule</w:t>
      </w:r>
      <w:r w:rsidR="001E0785" w:rsidRPr="001D5F9C">
        <w:t xml:space="preserve"> </w:t>
      </w:r>
      <w:r w:rsidR="001E0785">
        <w:t>– T</w:t>
      </w:r>
      <w:r w:rsidRPr="00B110DD">
        <w:t>he breakdown of what the insurance company will pay for specific services, otherwise known as the contracted rate</w:t>
      </w:r>
      <w:r w:rsidR="001E0785">
        <w:t>.</w:t>
      </w:r>
    </w:p>
    <w:p w14:paraId="49CD54E0" w14:textId="56421FB7" w:rsidR="00B3072B" w:rsidRPr="00B110DD" w:rsidRDefault="00B3072B">
      <w:pPr>
        <w:pStyle w:val="BodyText"/>
        <w:numPr>
          <w:ilvl w:val="1"/>
          <w:numId w:val="69"/>
        </w:numPr>
        <w:ind w:left="1080"/>
      </w:pPr>
      <w:r w:rsidRPr="001E0785">
        <w:rPr>
          <w:b/>
          <w:bCs/>
        </w:rPr>
        <w:t xml:space="preserve">Provider </w:t>
      </w:r>
      <w:r w:rsidR="001E0785" w:rsidRPr="001E0785">
        <w:rPr>
          <w:b/>
          <w:bCs/>
        </w:rPr>
        <w:t>f</w:t>
      </w:r>
      <w:r w:rsidRPr="001E0785">
        <w:rPr>
          <w:b/>
          <w:bCs/>
        </w:rPr>
        <w:t xml:space="preserve">ee </w:t>
      </w:r>
      <w:r w:rsidR="001E0785" w:rsidRPr="001E0785">
        <w:rPr>
          <w:b/>
          <w:bCs/>
        </w:rPr>
        <w:t>s</w:t>
      </w:r>
      <w:r w:rsidRPr="001E0785">
        <w:rPr>
          <w:b/>
          <w:bCs/>
        </w:rPr>
        <w:t>chedule</w:t>
      </w:r>
      <w:r w:rsidR="001E0785" w:rsidRPr="001D5F9C">
        <w:t xml:space="preserve"> </w:t>
      </w:r>
      <w:r w:rsidR="001E0785">
        <w:t>– U</w:t>
      </w:r>
      <w:r w:rsidRPr="00B110DD">
        <w:t>sually the office</w:t>
      </w:r>
      <w:r w:rsidR="001E0785">
        <w:t>’s</w:t>
      </w:r>
      <w:r w:rsidRPr="00B110DD">
        <w:t xml:space="preserve"> UCR</w:t>
      </w:r>
      <w:r w:rsidR="001E0785">
        <w:t xml:space="preserve"> fee schedule.</w:t>
      </w:r>
    </w:p>
    <w:p w14:paraId="653DE6D2" w14:textId="6C4E11F3" w:rsidR="00B3072B" w:rsidRPr="00234A19" w:rsidRDefault="00B3072B" w:rsidP="00B110DD">
      <w:pPr>
        <w:pStyle w:val="BodyText"/>
        <w:ind w:left="540"/>
        <w:rPr>
          <w:i/>
          <w:iCs/>
        </w:rPr>
      </w:pPr>
      <w:r w:rsidRPr="00234A19">
        <w:rPr>
          <w:b/>
          <w:bCs/>
          <w:i/>
          <w:iCs/>
        </w:rPr>
        <w:t>Workflow Insight</w:t>
      </w:r>
      <w:r w:rsidRPr="00234A19">
        <w:rPr>
          <w:i/>
          <w:iCs/>
        </w:rPr>
        <w:t>: If two or more of any of the above fee schedules are selected, the system will always read the one higher on the list. For example</w:t>
      </w:r>
      <w:r w:rsidR="001E0785" w:rsidRPr="00234A19">
        <w:rPr>
          <w:i/>
          <w:iCs/>
        </w:rPr>
        <w:t>,</w:t>
      </w:r>
      <w:r w:rsidRPr="00234A19">
        <w:rPr>
          <w:i/>
          <w:iCs/>
        </w:rPr>
        <w:t xml:space="preserve"> </w:t>
      </w:r>
      <w:r w:rsidR="001E0785" w:rsidRPr="00234A19">
        <w:rPr>
          <w:i/>
          <w:iCs/>
        </w:rPr>
        <w:t>t</w:t>
      </w:r>
      <w:r w:rsidRPr="00234A19">
        <w:rPr>
          <w:i/>
          <w:iCs/>
        </w:rPr>
        <w:t xml:space="preserve">he </w:t>
      </w:r>
      <w:r w:rsidR="001E0785" w:rsidRPr="00234A19">
        <w:rPr>
          <w:i/>
          <w:iCs/>
        </w:rPr>
        <w:t>p</w:t>
      </w:r>
      <w:r w:rsidRPr="00234A19">
        <w:rPr>
          <w:i/>
          <w:iCs/>
        </w:rPr>
        <w:t xml:space="preserve">atient </w:t>
      </w:r>
      <w:r w:rsidR="001E0785" w:rsidRPr="00234A19">
        <w:rPr>
          <w:i/>
          <w:iCs/>
        </w:rPr>
        <w:t>f</w:t>
      </w:r>
      <w:r w:rsidRPr="00234A19">
        <w:rPr>
          <w:i/>
          <w:iCs/>
        </w:rPr>
        <w:t xml:space="preserve">ee </w:t>
      </w:r>
      <w:r w:rsidR="001E0785" w:rsidRPr="00234A19">
        <w:rPr>
          <w:i/>
          <w:iCs/>
        </w:rPr>
        <w:t>s</w:t>
      </w:r>
      <w:r w:rsidRPr="00234A19">
        <w:rPr>
          <w:i/>
          <w:iCs/>
        </w:rPr>
        <w:t xml:space="preserve">chedule takes priority over </w:t>
      </w:r>
      <w:r w:rsidR="001E0785" w:rsidRPr="00234A19">
        <w:rPr>
          <w:i/>
          <w:iCs/>
        </w:rPr>
        <w:t>the insurance plan fee schedule; and the insurance plan fee schedule takes priority over the provider fee schedule. Additionally, if the patient has</w:t>
      </w:r>
      <w:r w:rsidRPr="00234A19">
        <w:rPr>
          <w:i/>
          <w:iCs/>
        </w:rPr>
        <w:t xml:space="preserve"> multiple insurance</w:t>
      </w:r>
      <w:r w:rsidR="001E0785" w:rsidRPr="00234A19">
        <w:rPr>
          <w:i/>
          <w:iCs/>
        </w:rPr>
        <w:t xml:space="preserve"> plan</w:t>
      </w:r>
      <w:r w:rsidRPr="00234A19">
        <w:rPr>
          <w:i/>
          <w:iCs/>
        </w:rPr>
        <w:t>s</w:t>
      </w:r>
      <w:r w:rsidR="001E0785" w:rsidRPr="00234A19">
        <w:rPr>
          <w:i/>
          <w:iCs/>
        </w:rPr>
        <w:t>,</w:t>
      </w:r>
      <w:r w:rsidRPr="00234A19">
        <w:rPr>
          <w:i/>
          <w:iCs/>
        </w:rPr>
        <w:t xml:space="preserve"> the primary insurance plan fee schedule </w:t>
      </w:r>
      <w:r w:rsidR="00234A19" w:rsidRPr="00234A19">
        <w:rPr>
          <w:i/>
          <w:iCs/>
        </w:rPr>
        <w:t>takes priority over the secondary and any subsequent coverage</w:t>
      </w:r>
      <w:r w:rsidRPr="00234A19">
        <w:rPr>
          <w:i/>
          <w:iCs/>
        </w:rPr>
        <w:t>.</w:t>
      </w:r>
    </w:p>
    <w:p w14:paraId="12CCF124" w14:textId="13EC591F" w:rsidR="00B3072B" w:rsidRPr="00B110DD" w:rsidRDefault="00B3072B">
      <w:pPr>
        <w:pStyle w:val="BodyText"/>
        <w:numPr>
          <w:ilvl w:val="0"/>
          <w:numId w:val="68"/>
        </w:numPr>
        <w:ind w:left="540"/>
        <w:rPr>
          <w:color w:val="000000" w:themeColor="text1"/>
        </w:rPr>
      </w:pPr>
      <w:r w:rsidRPr="00B110DD">
        <w:rPr>
          <w:b/>
        </w:rPr>
        <w:t>Coverage Table</w:t>
      </w:r>
      <w:r w:rsidRPr="00234A19">
        <w:t xml:space="preserve"> </w:t>
      </w:r>
      <w:r w:rsidR="00234A19" w:rsidRPr="00234A19">
        <w:t>–</w:t>
      </w:r>
      <w:r w:rsidRPr="00234A19">
        <w:t xml:space="preserve"> </w:t>
      </w:r>
      <w:r w:rsidR="00234A19" w:rsidRPr="00234A19">
        <w:t xml:space="preserve">You can </w:t>
      </w:r>
      <w:r w:rsidR="00234A19">
        <w:t>add i</w:t>
      </w:r>
      <w:r w:rsidRPr="00B110DD">
        <w:t xml:space="preserve">nsurance benefit breakdowns for each plan as a coverage table.  The </w:t>
      </w:r>
      <w:r w:rsidR="00234A19">
        <w:t>c</w:t>
      </w:r>
      <w:r w:rsidRPr="00B110DD">
        <w:t xml:space="preserve">overage </w:t>
      </w:r>
      <w:r w:rsidR="00234A19">
        <w:t>t</w:t>
      </w:r>
      <w:r w:rsidRPr="00B110DD">
        <w:t>able include</w:t>
      </w:r>
      <w:r w:rsidR="00234A19">
        <w:t>s</w:t>
      </w:r>
      <w:r w:rsidRPr="00B110DD">
        <w:t xml:space="preserve"> deductible amounts, plan maximums, and the percentage covered. In the absence of </w:t>
      </w:r>
      <w:r w:rsidR="00234A19">
        <w:t xml:space="preserve">an </w:t>
      </w:r>
      <w:r w:rsidRPr="00B110DD">
        <w:t>insurance override and payment tables</w:t>
      </w:r>
      <w:r w:rsidR="00234A19">
        <w:t>,</w:t>
      </w:r>
      <w:r w:rsidRPr="00B110DD">
        <w:t xml:space="preserve"> the fee schedule and coverage table will be used as the primary source for insurance estimates.  </w:t>
      </w:r>
    </w:p>
    <w:p w14:paraId="5B4BA64D" w14:textId="6F32B53F" w:rsidR="00B3072B" w:rsidRPr="00B110DD" w:rsidRDefault="00B3072B">
      <w:pPr>
        <w:pStyle w:val="BodyText"/>
        <w:numPr>
          <w:ilvl w:val="0"/>
          <w:numId w:val="68"/>
        </w:numPr>
        <w:ind w:left="540"/>
        <w:rPr>
          <w:color w:val="000000" w:themeColor="text1"/>
        </w:rPr>
      </w:pPr>
      <w:r w:rsidRPr="00B110DD">
        <w:rPr>
          <w:b/>
          <w:bCs/>
        </w:rPr>
        <w:t>Payment Tables</w:t>
      </w:r>
      <w:r w:rsidR="00234A19">
        <w:t xml:space="preserve"> – In the </w:t>
      </w:r>
      <w:r w:rsidRPr="00B110DD">
        <w:t>payment table</w:t>
      </w:r>
      <w:r w:rsidR="00234A19">
        <w:t>,</w:t>
      </w:r>
      <w:r w:rsidRPr="00B110DD">
        <w:t xml:space="preserve"> you can enter the </w:t>
      </w:r>
      <w:r w:rsidRPr="00B110DD">
        <w:rPr>
          <w:iCs/>
        </w:rPr>
        <w:t>exact dollar amount</w:t>
      </w:r>
      <w:r w:rsidRPr="00B110DD">
        <w:t xml:space="preserve"> that an insurance plan pays towards a specific procedure code. </w:t>
      </w:r>
      <w:r w:rsidRPr="00B110DD">
        <w:rPr>
          <w:color w:val="000000" w:themeColor="text1"/>
        </w:rPr>
        <w:t xml:space="preserve">Payment table codes override </w:t>
      </w:r>
      <w:r w:rsidR="00234A19">
        <w:rPr>
          <w:color w:val="000000" w:themeColor="text1"/>
        </w:rPr>
        <w:t>c</w:t>
      </w:r>
      <w:r w:rsidRPr="00B110DD">
        <w:rPr>
          <w:color w:val="000000" w:themeColor="text1"/>
        </w:rPr>
        <w:t>overage table codes.</w:t>
      </w:r>
    </w:p>
    <w:p w14:paraId="77258245" w14:textId="3B9E44CD" w:rsidR="00B3072B" w:rsidRPr="00B110DD" w:rsidRDefault="00B3072B">
      <w:pPr>
        <w:pStyle w:val="BodyText"/>
        <w:numPr>
          <w:ilvl w:val="0"/>
          <w:numId w:val="68"/>
        </w:numPr>
        <w:ind w:left="540"/>
        <w:rPr>
          <w:b/>
          <w:bCs/>
        </w:rPr>
      </w:pPr>
      <w:r w:rsidRPr="00B110DD">
        <w:rPr>
          <w:b/>
        </w:rPr>
        <w:t>Co-Pays</w:t>
      </w:r>
      <w:r w:rsidR="00234A19">
        <w:t xml:space="preserve"> – </w:t>
      </w:r>
      <w:r w:rsidRPr="00B110DD">
        <w:t xml:space="preserve">The co-pays in the coverage table are designed to support capitation plans. Using the Cap Plan coverage table that lists all procedures, you can enter a co-payment amount for each procedure that is covered by the plan. </w:t>
      </w:r>
      <w:r>
        <w:t xml:space="preserve"> </w:t>
      </w:r>
    </w:p>
    <w:p w14:paraId="75038966" w14:textId="20A00872" w:rsidR="00B3072B" w:rsidRPr="00516E41" w:rsidRDefault="00B3072B" w:rsidP="00B110DD">
      <w:pPr>
        <w:pStyle w:val="Heading4"/>
        <w:rPr>
          <w:u w:val="single"/>
        </w:rPr>
      </w:pPr>
      <w:r w:rsidRPr="46812195">
        <w:lastRenderedPageBreak/>
        <w:t>Es</w:t>
      </w:r>
      <w:r>
        <w:t>timate Exceptions or Overrides</w:t>
      </w:r>
    </w:p>
    <w:p w14:paraId="23BB11B5" w14:textId="47A04EC5" w:rsidR="00B3072B" w:rsidRPr="00B110DD" w:rsidRDefault="00B3072B">
      <w:pPr>
        <w:pStyle w:val="BodyText"/>
        <w:numPr>
          <w:ilvl w:val="0"/>
          <w:numId w:val="70"/>
        </w:numPr>
        <w:ind w:left="540"/>
        <w:rPr>
          <w:b/>
          <w:bCs/>
        </w:rPr>
      </w:pPr>
      <w:r w:rsidRPr="00B110DD">
        <w:rPr>
          <w:b/>
        </w:rPr>
        <w:t>Insurance Override</w:t>
      </w:r>
      <w:r w:rsidRPr="00B110DD">
        <w:rPr>
          <w:b/>
          <w:bCs/>
        </w:rPr>
        <w:t xml:space="preserve"> </w:t>
      </w:r>
      <w:r w:rsidR="00234A19">
        <w:t xml:space="preserve">– </w:t>
      </w:r>
      <w:r w:rsidRPr="00B110DD">
        <w:t>This option is available per procedure code if the patient has insurance coverage. It allows you to manually override what the system has estimated as the insurance portion for the procedure.</w:t>
      </w:r>
      <w:r w:rsidR="00234A19">
        <w:t xml:space="preserve"> Use an i</w:t>
      </w:r>
      <w:r w:rsidRPr="00B110DD">
        <w:t xml:space="preserve">nsurance </w:t>
      </w:r>
      <w:r w:rsidR="00234A19">
        <w:t>o</w:t>
      </w:r>
      <w:r w:rsidRPr="00B110DD">
        <w:t>verride in limited</w:t>
      </w:r>
      <w:r w:rsidR="00234A19">
        <w:t>,</w:t>
      </w:r>
      <w:r w:rsidRPr="00B110DD">
        <w:t xml:space="preserve"> unique circumstances</w:t>
      </w:r>
      <w:r w:rsidR="00234A19">
        <w:t xml:space="preserve">; you </w:t>
      </w:r>
      <w:r w:rsidRPr="00B110DD">
        <w:t xml:space="preserve">should not </w:t>
      </w:r>
      <w:r w:rsidR="00234A19">
        <w:t>use it as</w:t>
      </w:r>
      <w:r w:rsidRPr="00B110DD">
        <w:t xml:space="preserve"> a routine practice in your workflow.  </w:t>
      </w:r>
    </w:p>
    <w:p w14:paraId="5AA305C6" w14:textId="6946C86E" w:rsidR="00B3072B" w:rsidRPr="00B110DD" w:rsidRDefault="00B3072B">
      <w:pPr>
        <w:pStyle w:val="BodyText"/>
        <w:numPr>
          <w:ilvl w:val="0"/>
          <w:numId w:val="70"/>
        </w:numPr>
        <w:ind w:left="540"/>
      </w:pPr>
      <w:r w:rsidRPr="00B110DD">
        <w:rPr>
          <w:b/>
        </w:rPr>
        <w:t>Pre-Authorization Estimates</w:t>
      </w:r>
      <w:r w:rsidRPr="00B110DD">
        <w:rPr>
          <w:b/>
          <w:bCs/>
        </w:rPr>
        <w:t xml:space="preserve"> </w:t>
      </w:r>
      <w:r w:rsidR="00234A19">
        <w:t xml:space="preserve">– </w:t>
      </w:r>
      <w:r w:rsidRPr="00B110DD">
        <w:t>Estimates</w:t>
      </w:r>
      <w:r w:rsidR="00234A19">
        <w:t xml:space="preserve"> that you </w:t>
      </w:r>
      <w:r w:rsidR="00234A19" w:rsidRPr="00B110DD">
        <w:t xml:space="preserve">itemize by procedure </w:t>
      </w:r>
      <w:r w:rsidRPr="00B110DD">
        <w:t xml:space="preserve">will update the insurance portion of the estimate accordingly using </w:t>
      </w:r>
      <w:r w:rsidR="00234A19">
        <w:t xml:space="preserve">an </w:t>
      </w:r>
      <w:r w:rsidRPr="00B110DD">
        <w:t xml:space="preserve">insurance override. Use the pre-authorization management tools to assist your team with managing the process.  </w:t>
      </w:r>
    </w:p>
    <w:p w14:paraId="3B215F89" w14:textId="5B841806" w:rsidR="00B3072B" w:rsidRPr="00B110DD" w:rsidRDefault="00B3072B">
      <w:pPr>
        <w:pStyle w:val="BodyText"/>
        <w:numPr>
          <w:ilvl w:val="0"/>
          <w:numId w:val="70"/>
        </w:numPr>
        <w:ind w:left="1080"/>
        <w:rPr>
          <w:b/>
          <w:bCs/>
        </w:rPr>
      </w:pPr>
      <w:r w:rsidRPr="00B110DD">
        <w:rPr>
          <w:b/>
          <w:bCs/>
        </w:rPr>
        <w:t>Coverage Table</w:t>
      </w:r>
      <w:r w:rsidR="00234A19">
        <w:t xml:space="preserve"> – </w:t>
      </w:r>
      <w:r w:rsidRPr="00B110DD">
        <w:t xml:space="preserve">Procedures can be identified as requiring </w:t>
      </w:r>
      <w:proofErr w:type="gramStart"/>
      <w:r w:rsidRPr="00B110DD">
        <w:t>a pre-</w:t>
      </w:r>
      <w:proofErr w:type="gramEnd"/>
      <w:r w:rsidRPr="00B110DD">
        <w:t>authorization.</w:t>
      </w:r>
    </w:p>
    <w:p w14:paraId="0A5AE61C" w14:textId="7D5C5AEE" w:rsidR="00B3072B" w:rsidRPr="00B110DD" w:rsidRDefault="00B3072B">
      <w:pPr>
        <w:pStyle w:val="BodyText"/>
        <w:numPr>
          <w:ilvl w:val="0"/>
          <w:numId w:val="70"/>
        </w:numPr>
        <w:ind w:left="1080"/>
        <w:rPr>
          <w:b/>
          <w:bCs/>
        </w:rPr>
      </w:pPr>
      <w:r w:rsidRPr="00B110DD">
        <w:rPr>
          <w:b/>
          <w:bCs/>
        </w:rPr>
        <w:t>Treatment Plan –</w:t>
      </w:r>
      <w:r w:rsidRPr="00B110DD">
        <w:t xml:space="preserve"> Flag or clear procedures as needing a pre-authorization from </w:t>
      </w:r>
      <w:r w:rsidR="00234A19">
        <w:t>T</w:t>
      </w:r>
      <w:r w:rsidRPr="00B110DD">
        <w:t xml:space="preserve">reatment </w:t>
      </w:r>
      <w:r w:rsidR="00234A19">
        <w:t>P</w:t>
      </w:r>
      <w:r w:rsidRPr="00B110DD">
        <w:t>lanner. If a procedure was already flagged from the coverage table, the pre-estimate flag cannot be set or cleared.</w:t>
      </w:r>
    </w:p>
    <w:p w14:paraId="5C3A83C1" w14:textId="4D81E03E" w:rsidR="00B3072B" w:rsidRPr="00B110DD" w:rsidRDefault="00B3072B">
      <w:pPr>
        <w:pStyle w:val="BodyText"/>
        <w:numPr>
          <w:ilvl w:val="1"/>
          <w:numId w:val="71"/>
        </w:numPr>
        <w:ind w:left="1620"/>
      </w:pPr>
      <w:r w:rsidRPr="007264E7">
        <w:rPr>
          <w:rFonts w:eastAsiaTheme="minorEastAsia"/>
          <w:b/>
          <w:bCs/>
        </w:rPr>
        <w:t>Pre-treatment authorization codes</w:t>
      </w:r>
      <w:r w:rsidRPr="00B110DD">
        <w:rPr>
          <w:rFonts w:eastAsiaTheme="minorEastAsia"/>
        </w:rPr>
        <w:t xml:space="preserve"> </w:t>
      </w:r>
      <w:r w:rsidR="00234A19">
        <w:t xml:space="preserve">– </w:t>
      </w:r>
      <w:r w:rsidRPr="00B110DD">
        <w:rPr>
          <w:rFonts w:eastAsiaTheme="minorEastAsia"/>
        </w:rPr>
        <w:t xml:space="preserve">The </w:t>
      </w:r>
      <w:r w:rsidRPr="00234A19">
        <w:rPr>
          <w:rFonts w:eastAsiaTheme="minorEastAsia"/>
          <w:b/>
          <w:bCs/>
        </w:rPr>
        <w:t>Pre-Est</w:t>
      </w:r>
      <w:r w:rsidRPr="00B110DD">
        <w:rPr>
          <w:rFonts w:eastAsiaTheme="minorEastAsia"/>
        </w:rPr>
        <w:t xml:space="preserve"> column </w:t>
      </w:r>
      <w:r w:rsidR="00234A19">
        <w:rPr>
          <w:rFonts w:eastAsiaTheme="minorEastAsia"/>
        </w:rPr>
        <w:t>in Treatment Planner identifies the</w:t>
      </w:r>
      <w:r w:rsidRPr="00B110DD">
        <w:rPr>
          <w:rFonts w:eastAsiaTheme="minorEastAsia"/>
        </w:rPr>
        <w:t xml:space="preserve"> need and status of pre-authorizations</w:t>
      </w:r>
      <w:r w:rsidR="00234A19">
        <w:rPr>
          <w:rFonts w:eastAsiaTheme="minorEastAsia"/>
        </w:rPr>
        <w:t>:</w:t>
      </w:r>
    </w:p>
    <w:p w14:paraId="6E4B35C1" w14:textId="7D2AE549" w:rsidR="007264E7" w:rsidRPr="007264E7" w:rsidRDefault="00B3072B">
      <w:pPr>
        <w:pStyle w:val="BodyText"/>
        <w:numPr>
          <w:ilvl w:val="1"/>
          <w:numId w:val="72"/>
        </w:numPr>
      </w:pPr>
      <w:r w:rsidRPr="00234A19">
        <w:rPr>
          <w:rFonts w:eastAsiaTheme="minorEastAsia"/>
          <w:b/>
          <w:bCs/>
        </w:rPr>
        <w:t>N</w:t>
      </w:r>
      <w:r w:rsidR="00234A19" w:rsidRPr="00B110DD">
        <w:rPr>
          <w:b/>
          <w:bCs/>
        </w:rPr>
        <w:t xml:space="preserve"> –</w:t>
      </w:r>
      <w:r w:rsidR="00234A19" w:rsidRPr="00B110DD">
        <w:t xml:space="preserve"> </w:t>
      </w:r>
      <w:r w:rsidRPr="00B110DD">
        <w:rPr>
          <w:rFonts w:eastAsiaTheme="minorEastAsia"/>
        </w:rPr>
        <w:t>Needed</w:t>
      </w:r>
      <w:r w:rsidR="00234A19">
        <w:rPr>
          <w:rFonts w:eastAsiaTheme="minorEastAsia"/>
        </w:rPr>
        <w:t>.</w:t>
      </w:r>
    </w:p>
    <w:p w14:paraId="0CDE1A73" w14:textId="71AB283D" w:rsidR="007264E7" w:rsidRPr="007264E7" w:rsidRDefault="00B3072B">
      <w:pPr>
        <w:pStyle w:val="BodyText"/>
        <w:numPr>
          <w:ilvl w:val="1"/>
          <w:numId w:val="72"/>
        </w:numPr>
      </w:pPr>
      <w:r w:rsidRPr="00234A19">
        <w:rPr>
          <w:rFonts w:eastAsiaTheme="minorEastAsia"/>
          <w:b/>
          <w:bCs/>
        </w:rPr>
        <w:t>S</w:t>
      </w:r>
      <w:r w:rsidR="00234A19" w:rsidRPr="00B110DD">
        <w:rPr>
          <w:b/>
          <w:bCs/>
        </w:rPr>
        <w:t xml:space="preserve"> –</w:t>
      </w:r>
      <w:r w:rsidR="00234A19" w:rsidRPr="00B110DD">
        <w:t xml:space="preserve"> </w:t>
      </w:r>
      <w:r w:rsidRPr="00B110DD">
        <w:rPr>
          <w:rFonts w:eastAsiaTheme="minorEastAsia"/>
        </w:rPr>
        <w:t>Sent</w:t>
      </w:r>
      <w:r w:rsidR="00234A19">
        <w:rPr>
          <w:rFonts w:eastAsiaTheme="minorEastAsia"/>
        </w:rPr>
        <w:t>.</w:t>
      </w:r>
    </w:p>
    <w:p w14:paraId="54AA2E10" w14:textId="4E339CC7" w:rsidR="007264E7" w:rsidRPr="007264E7" w:rsidRDefault="00B3072B">
      <w:pPr>
        <w:pStyle w:val="BodyText"/>
        <w:numPr>
          <w:ilvl w:val="1"/>
          <w:numId w:val="72"/>
        </w:numPr>
      </w:pPr>
      <w:r w:rsidRPr="00234A19">
        <w:rPr>
          <w:rFonts w:eastAsiaTheme="minorEastAsia"/>
          <w:b/>
          <w:bCs/>
        </w:rPr>
        <w:t>A</w:t>
      </w:r>
      <w:r w:rsidR="00234A19" w:rsidRPr="00B110DD">
        <w:rPr>
          <w:b/>
          <w:bCs/>
        </w:rPr>
        <w:t xml:space="preserve"> –</w:t>
      </w:r>
      <w:r w:rsidR="00234A19" w:rsidRPr="00B110DD">
        <w:t xml:space="preserve"> </w:t>
      </w:r>
      <w:r w:rsidRPr="00B110DD">
        <w:rPr>
          <w:rFonts w:eastAsiaTheme="minorEastAsia"/>
        </w:rPr>
        <w:t>Accepted</w:t>
      </w:r>
      <w:r w:rsidR="00234A19">
        <w:rPr>
          <w:rFonts w:eastAsiaTheme="minorEastAsia"/>
        </w:rPr>
        <w:t>.</w:t>
      </w:r>
    </w:p>
    <w:p w14:paraId="3D048BA9" w14:textId="2D12586F" w:rsidR="007264E7" w:rsidRPr="007264E7" w:rsidRDefault="00B3072B">
      <w:pPr>
        <w:pStyle w:val="BodyText"/>
        <w:numPr>
          <w:ilvl w:val="1"/>
          <w:numId w:val="72"/>
        </w:numPr>
      </w:pPr>
      <w:r w:rsidRPr="00234A19">
        <w:rPr>
          <w:rFonts w:eastAsiaTheme="minorEastAsia"/>
          <w:b/>
          <w:bCs/>
        </w:rPr>
        <w:t>R</w:t>
      </w:r>
      <w:r w:rsidR="00234A19" w:rsidRPr="00B110DD">
        <w:rPr>
          <w:b/>
          <w:bCs/>
        </w:rPr>
        <w:t xml:space="preserve"> –</w:t>
      </w:r>
      <w:r w:rsidR="00234A19" w:rsidRPr="00B110DD">
        <w:t xml:space="preserve"> </w:t>
      </w:r>
      <w:r w:rsidRPr="00B110DD">
        <w:rPr>
          <w:rFonts w:eastAsiaTheme="minorEastAsia"/>
        </w:rPr>
        <w:t>Rejected</w:t>
      </w:r>
      <w:r w:rsidR="00234A19">
        <w:rPr>
          <w:rFonts w:eastAsiaTheme="minorEastAsia"/>
        </w:rPr>
        <w:t>.</w:t>
      </w:r>
    </w:p>
    <w:p w14:paraId="4BDD7D2C" w14:textId="1012D1BA" w:rsidR="00B3072B" w:rsidRPr="00B110DD" w:rsidRDefault="00B3072B" w:rsidP="007264E7">
      <w:pPr>
        <w:pStyle w:val="BodyText"/>
        <w:ind w:left="1620"/>
      </w:pPr>
      <w:r w:rsidRPr="00B110DD">
        <w:rPr>
          <w:rFonts w:eastAsiaTheme="minorEastAsia"/>
        </w:rPr>
        <w:t xml:space="preserve">The </w:t>
      </w:r>
      <w:r w:rsidRPr="00234A19">
        <w:rPr>
          <w:rFonts w:eastAsiaTheme="minorEastAsia"/>
          <w:b/>
          <w:bCs/>
        </w:rPr>
        <w:t>1</w:t>
      </w:r>
      <w:r w:rsidRPr="00B110DD">
        <w:rPr>
          <w:rFonts w:eastAsiaTheme="minorEastAsia"/>
        </w:rPr>
        <w:t xml:space="preserve"> or </w:t>
      </w:r>
      <w:r w:rsidRPr="00234A19">
        <w:rPr>
          <w:rFonts w:eastAsiaTheme="minorEastAsia"/>
          <w:b/>
          <w:bCs/>
        </w:rPr>
        <w:t>2</w:t>
      </w:r>
      <w:r w:rsidRPr="00B110DD">
        <w:rPr>
          <w:rFonts w:eastAsiaTheme="minorEastAsia"/>
        </w:rPr>
        <w:t xml:space="preserve"> indicates primary or secondary insurance. </w:t>
      </w:r>
    </w:p>
    <w:p w14:paraId="0B17D6B5" w14:textId="3E03F6F6" w:rsidR="00B3072B" w:rsidRPr="00B110DD" w:rsidRDefault="00B3072B">
      <w:pPr>
        <w:pStyle w:val="BodyText"/>
        <w:numPr>
          <w:ilvl w:val="0"/>
          <w:numId w:val="70"/>
        </w:numPr>
        <w:ind w:left="540"/>
        <w:rPr>
          <w:b/>
          <w:bCs/>
        </w:rPr>
      </w:pPr>
      <w:r w:rsidRPr="00B110DD">
        <w:rPr>
          <w:rFonts w:eastAsiaTheme="minorEastAsia"/>
          <w:b/>
        </w:rPr>
        <w:t>Payment Table</w:t>
      </w:r>
      <w:r w:rsidRPr="00B110DD">
        <w:rPr>
          <w:rFonts w:eastAsiaTheme="minorEastAsia"/>
        </w:rPr>
        <w:t xml:space="preserve"> </w:t>
      </w:r>
      <w:r w:rsidR="00234A19">
        <w:t xml:space="preserve">– </w:t>
      </w:r>
      <w:r w:rsidRPr="00B110DD">
        <w:rPr>
          <w:rFonts w:eastAsiaTheme="minorEastAsia"/>
        </w:rPr>
        <w:t xml:space="preserve">As you post insurance payments, you can select the option to automatically update </w:t>
      </w:r>
      <w:r w:rsidR="00CC01CF">
        <w:rPr>
          <w:rFonts w:eastAsiaTheme="minorEastAsia"/>
        </w:rPr>
        <w:t>the</w:t>
      </w:r>
      <w:r w:rsidRPr="00B110DD">
        <w:rPr>
          <w:rFonts w:eastAsiaTheme="minorEastAsia"/>
        </w:rPr>
        <w:t xml:space="preserve"> payment table for that plan, storing what the insurance plan will pay for a specific procedure. This amount override</w:t>
      </w:r>
      <w:r w:rsidR="00CC01CF">
        <w:rPr>
          <w:rFonts w:eastAsiaTheme="minorEastAsia"/>
        </w:rPr>
        <w:t>s</w:t>
      </w:r>
      <w:r w:rsidRPr="00B110DD">
        <w:rPr>
          <w:rFonts w:eastAsiaTheme="minorEastAsia"/>
        </w:rPr>
        <w:t xml:space="preserve"> any calculation </w:t>
      </w:r>
      <w:r w:rsidR="00CC01CF">
        <w:rPr>
          <w:rFonts w:eastAsiaTheme="minorEastAsia"/>
        </w:rPr>
        <w:t>from</w:t>
      </w:r>
      <w:r w:rsidRPr="00B110DD">
        <w:rPr>
          <w:rFonts w:eastAsiaTheme="minorEastAsia"/>
        </w:rPr>
        <w:t xml:space="preserve"> the coverage table.  </w:t>
      </w:r>
    </w:p>
    <w:p w14:paraId="5969638E" w14:textId="7B360C17" w:rsidR="00B3072B" w:rsidRPr="004A2A35" w:rsidRDefault="00B3072B" w:rsidP="004A2A35">
      <w:pPr>
        <w:pStyle w:val="BodyText"/>
        <w:rPr>
          <w:i/>
          <w:iCs/>
        </w:rPr>
      </w:pPr>
      <w:r w:rsidRPr="00CC01CF">
        <w:rPr>
          <w:b/>
          <w:bCs/>
          <w:i/>
          <w:iCs/>
        </w:rPr>
        <w:t>Workflow Insight</w:t>
      </w:r>
      <w:r w:rsidRPr="00CC01CF">
        <w:rPr>
          <w:i/>
          <w:iCs/>
        </w:rPr>
        <w:t xml:space="preserve">:  </w:t>
      </w:r>
      <w:r w:rsidR="00CC01CF" w:rsidRPr="00CC01CF">
        <w:rPr>
          <w:i/>
          <w:iCs/>
        </w:rPr>
        <w:t>E</w:t>
      </w:r>
      <w:r w:rsidRPr="00CC01CF">
        <w:rPr>
          <w:i/>
          <w:iCs/>
        </w:rPr>
        <w:t>stimates</w:t>
      </w:r>
      <w:r w:rsidR="00CC01CF" w:rsidRPr="00CC01CF">
        <w:rPr>
          <w:i/>
          <w:iCs/>
        </w:rPr>
        <w:t xml:space="preserve"> use </w:t>
      </w:r>
      <w:r w:rsidRPr="00CC01CF">
        <w:rPr>
          <w:i/>
          <w:iCs/>
        </w:rPr>
        <w:t xml:space="preserve">the following </w:t>
      </w:r>
      <w:r w:rsidR="00CC01CF" w:rsidRPr="00CC01CF">
        <w:rPr>
          <w:i/>
          <w:iCs/>
        </w:rPr>
        <w:t>priority</w:t>
      </w:r>
      <w:r w:rsidRPr="00CC01CF">
        <w:rPr>
          <w:i/>
          <w:iCs/>
        </w:rPr>
        <w:t>: Fee</w:t>
      </w:r>
      <w:r w:rsidR="00CC01CF" w:rsidRPr="00CC01CF">
        <w:rPr>
          <w:i/>
          <w:iCs/>
        </w:rPr>
        <w:t xml:space="preserve"> (patient, insurance, or provider)</w:t>
      </w:r>
      <w:r w:rsidRPr="00CC01CF">
        <w:rPr>
          <w:i/>
          <w:iCs/>
        </w:rPr>
        <w:t xml:space="preserve">, </w:t>
      </w:r>
      <w:r w:rsidR="00CC01CF" w:rsidRPr="00CC01CF">
        <w:rPr>
          <w:i/>
          <w:iCs/>
        </w:rPr>
        <w:t>i</w:t>
      </w:r>
      <w:r w:rsidRPr="00CC01CF">
        <w:rPr>
          <w:i/>
          <w:iCs/>
        </w:rPr>
        <w:t xml:space="preserve">nsurance </w:t>
      </w:r>
      <w:r w:rsidR="00CC01CF" w:rsidRPr="00CC01CF">
        <w:rPr>
          <w:i/>
          <w:iCs/>
        </w:rPr>
        <w:t>o</w:t>
      </w:r>
      <w:r w:rsidRPr="00CC01CF">
        <w:rPr>
          <w:i/>
          <w:iCs/>
        </w:rPr>
        <w:t xml:space="preserve">verride (manual or pre-auth), payment table, coverage table, </w:t>
      </w:r>
      <w:r w:rsidR="00CC01CF" w:rsidRPr="00CC01CF">
        <w:rPr>
          <w:i/>
          <w:iCs/>
        </w:rPr>
        <w:t xml:space="preserve">and then </w:t>
      </w:r>
      <w:r w:rsidRPr="00CC01CF">
        <w:rPr>
          <w:i/>
          <w:iCs/>
        </w:rPr>
        <w:t>co-pays.</w:t>
      </w:r>
    </w:p>
    <w:p w14:paraId="14B066C4" w14:textId="505E289E" w:rsidR="007264E7" w:rsidRDefault="00B3072B" w:rsidP="004267C0">
      <w:pPr>
        <w:pStyle w:val="Heading2"/>
        <w:rPr>
          <w:bCs/>
        </w:rPr>
      </w:pPr>
      <w:bookmarkStart w:id="184" w:name="_Toc135416722"/>
      <w:bookmarkStart w:id="185" w:name="_Toc146183330"/>
      <w:r w:rsidRPr="007264E7">
        <w:t>Claim Management</w:t>
      </w:r>
      <w:bookmarkEnd w:id="184"/>
      <w:bookmarkEnd w:id="185"/>
    </w:p>
    <w:p w14:paraId="3B1D1E92" w14:textId="072EF04F" w:rsidR="00B3072B" w:rsidRPr="00486B30" w:rsidRDefault="00CC01CF" w:rsidP="007264E7">
      <w:pPr>
        <w:pStyle w:val="BodyText"/>
        <w:rPr>
          <w:b/>
          <w:bCs/>
        </w:rPr>
      </w:pPr>
      <w:r>
        <w:t>In Dentrix Enterprise, you can manage</w:t>
      </w:r>
      <w:r w:rsidR="00B3072B">
        <w:t xml:space="preserve"> the full cycle of insurance claims. </w:t>
      </w:r>
    </w:p>
    <w:p w14:paraId="67961E7D" w14:textId="0ACE12C5" w:rsidR="00B3072B" w:rsidRPr="00CC01CF" w:rsidRDefault="00B3072B" w:rsidP="00CC01CF">
      <w:pPr>
        <w:pStyle w:val="BodyText"/>
        <w:rPr>
          <w:i/>
        </w:rPr>
      </w:pPr>
      <w:r w:rsidRPr="00CC01CF">
        <w:rPr>
          <w:b/>
          <w:bCs/>
          <w:i/>
        </w:rPr>
        <w:t>Operations Insight</w:t>
      </w:r>
      <w:r w:rsidRPr="00CC01CF">
        <w:rPr>
          <w:i/>
        </w:rPr>
        <w:t xml:space="preserve">: A “clean” dental claim is one that contains all required information for claim adjudication, is free of errors, and is processed in a timely manner. </w:t>
      </w:r>
      <w:r w:rsidR="00CC01CF" w:rsidRPr="00CC01CF">
        <w:rPr>
          <w:i/>
        </w:rPr>
        <w:t>A s</w:t>
      </w:r>
      <w:r w:rsidRPr="00CC01CF">
        <w:rPr>
          <w:i/>
        </w:rPr>
        <w:t>uccessful or “clean” claim submission in Dentrix Enterprise is achieved through the collective efforts of multiple operations and management workflows.</w:t>
      </w:r>
    </w:p>
    <w:p w14:paraId="051C8E5C" w14:textId="7F03DFD5" w:rsidR="00B3072B" w:rsidRDefault="00B3072B" w:rsidP="007264E7">
      <w:pPr>
        <w:pStyle w:val="BodyText"/>
        <w:keepNext/>
      </w:pPr>
      <w:r>
        <w:t>Pre</w:t>
      </w:r>
      <w:r w:rsidR="00CC01CF">
        <w:t>r</w:t>
      </w:r>
      <w:r>
        <w:t>equisites for</w:t>
      </w:r>
      <w:r w:rsidRPr="00F96135">
        <w:t xml:space="preserve"> </w:t>
      </w:r>
      <w:r w:rsidR="00CC01CF">
        <w:t>s</w:t>
      </w:r>
      <w:r>
        <w:t xml:space="preserve">uccessful </w:t>
      </w:r>
      <w:r w:rsidRPr="00F96135">
        <w:t xml:space="preserve">Dentrix Enterprise </w:t>
      </w:r>
      <w:r w:rsidR="00CC01CF">
        <w:t>c</w:t>
      </w:r>
      <w:r>
        <w:t xml:space="preserve">laim </w:t>
      </w:r>
      <w:r w:rsidR="00CC01CF">
        <w:t>m</w:t>
      </w:r>
      <w:r>
        <w:t>anagement</w:t>
      </w:r>
      <w:r w:rsidRPr="00F96135">
        <w:t>:</w:t>
      </w:r>
    </w:p>
    <w:p w14:paraId="110E7DEC" w14:textId="11E111AB" w:rsidR="00CC01CF" w:rsidRPr="00CC01CF" w:rsidRDefault="00CC01CF" w:rsidP="00CC01CF">
      <w:pPr>
        <w:pStyle w:val="BodyText"/>
        <w:numPr>
          <w:ilvl w:val="0"/>
          <w:numId w:val="161"/>
        </w:numPr>
        <w:ind w:left="540"/>
      </w:pPr>
      <w:r w:rsidRPr="00CC01CF">
        <w:rPr>
          <w:b/>
          <w:bCs/>
        </w:rPr>
        <w:t>Patient Information</w:t>
      </w:r>
      <w:r>
        <w:t xml:space="preserve"> – </w:t>
      </w:r>
      <w:r w:rsidRPr="00CC01CF">
        <w:t xml:space="preserve">Refer to </w:t>
      </w:r>
      <w:r>
        <w:t>the “</w:t>
      </w:r>
      <w:r w:rsidRPr="00CC01CF">
        <w:t>Patient Records Management</w:t>
      </w:r>
      <w:r>
        <w:t>” s</w:t>
      </w:r>
      <w:r w:rsidRPr="00CC01CF">
        <w:t>ection</w:t>
      </w:r>
      <w:r>
        <w:t>.</w:t>
      </w:r>
    </w:p>
    <w:p w14:paraId="74016FB8" w14:textId="026F9176" w:rsidR="00CC01CF" w:rsidRPr="00CC01CF" w:rsidRDefault="00CC01CF" w:rsidP="00CC01CF">
      <w:pPr>
        <w:pStyle w:val="BodyText"/>
        <w:numPr>
          <w:ilvl w:val="0"/>
          <w:numId w:val="161"/>
        </w:numPr>
        <w:ind w:left="540"/>
      </w:pPr>
      <w:r w:rsidRPr="00CC01CF">
        <w:rPr>
          <w:b/>
          <w:bCs/>
        </w:rPr>
        <w:t>Clinical Information</w:t>
      </w:r>
      <w:r>
        <w:t xml:space="preserve"> –</w:t>
      </w:r>
      <w:r w:rsidRPr="00CC01CF">
        <w:t xml:space="preserve"> Refer to </w:t>
      </w:r>
      <w:r>
        <w:t>the “</w:t>
      </w:r>
      <w:r w:rsidRPr="00CC01CF">
        <w:t>Clinical Records Management</w:t>
      </w:r>
      <w:r>
        <w:t>” s</w:t>
      </w:r>
      <w:r w:rsidRPr="00CC01CF">
        <w:t>ection</w:t>
      </w:r>
      <w:r>
        <w:t>.</w:t>
      </w:r>
    </w:p>
    <w:p w14:paraId="2B012A31" w14:textId="2DBBAE47" w:rsidR="001F0A8F" w:rsidRPr="0012044C" w:rsidRDefault="00CC01CF" w:rsidP="001F0A8F">
      <w:pPr>
        <w:pStyle w:val="BodyText"/>
        <w:numPr>
          <w:ilvl w:val="0"/>
          <w:numId w:val="161"/>
        </w:numPr>
        <w:ind w:left="540"/>
      </w:pPr>
      <w:r w:rsidRPr="00CC01CF">
        <w:rPr>
          <w:b/>
          <w:bCs/>
        </w:rPr>
        <w:t>Provider/Plan Information</w:t>
      </w:r>
      <w:r>
        <w:t xml:space="preserve"> – </w:t>
      </w:r>
      <w:r w:rsidRPr="00CC01CF">
        <w:t xml:space="preserve">Refer to </w:t>
      </w:r>
      <w:r>
        <w:t>other portions of the</w:t>
      </w:r>
      <w:r w:rsidRPr="00CC01CF">
        <w:t xml:space="preserve"> </w:t>
      </w:r>
      <w:r>
        <w:t>“</w:t>
      </w:r>
      <w:r w:rsidRPr="00CC01CF">
        <w:t>Revenue Cycle Management</w:t>
      </w:r>
      <w:r>
        <w:t>” section and the “</w:t>
      </w:r>
      <w:r w:rsidRPr="00CC01CF">
        <w:t>Database Design</w:t>
      </w:r>
      <w:r>
        <w:t>” section.</w:t>
      </w:r>
    </w:p>
    <w:p w14:paraId="2225D282" w14:textId="52AED93A" w:rsidR="00B3072B" w:rsidRDefault="00B3072B" w:rsidP="00D42C5A">
      <w:pPr>
        <w:pStyle w:val="Heading3"/>
      </w:pPr>
      <w:bookmarkStart w:id="186" w:name="_Toc135416723"/>
      <w:bookmarkStart w:id="187" w:name="_Toc146183331"/>
      <w:r w:rsidRPr="46812195">
        <w:lastRenderedPageBreak/>
        <w:t>Claim Submission</w:t>
      </w:r>
      <w:bookmarkEnd w:id="186"/>
      <w:bookmarkEnd w:id="187"/>
    </w:p>
    <w:p w14:paraId="4EC5663C" w14:textId="6B433F8D" w:rsidR="001F0A8F" w:rsidRPr="001F0A8F" w:rsidRDefault="001F0A8F" w:rsidP="001F0A8F">
      <w:pPr>
        <w:pStyle w:val="BodyText"/>
        <w:keepNext/>
        <w:keepLines/>
      </w:pPr>
      <w:r w:rsidRPr="00454D84">
        <w:rPr>
          <w:color w:val="00B050"/>
        </w:rPr>
        <w:t xml:space="preserve">&lt;&lt;Insert </w:t>
      </w:r>
      <w:r>
        <w:rPr>
          <w:color w:val="00B050"/>
        </w:rPr>
        <w:t xml:space="preserve">Successful </w:t>
      </w:r>
      <w:r w:rsidRPr="00454D84">
        <w:rPr>
          <w:color w:val="00B050"/>
        </w:rPr>
        <w:t xml:space="preserve">Claim </w:t>
      </w:r>
      <w:r>
        <w:rPr>
          <w:color w:val="00B050"/>
        </w:rPr>
        <w:t>Submission</w:t>
      </w:r>
      <w:r w:rsidRPr="00454D84">
        <w:rPr>
          <w:color w:val="00B050"/>
        </w:rPr>
        <w:t xml:space="preserve"> decision support/SOP/guidance here&gt;&gt;</w:t>
      </w:r>
      <w:r w:rsidRPr="00835C2E">
        <w:t xml:space="preserve"> </w:t>
      </w:r>
    </w:p>
    <w:p w14:paraId="2A36D739" w14:textId="73147CDE" w:rsidR="00B3072B" w:rsidRPr="00A0461D" w:rsidRDefault="00B3072B" w:rsidP="00A0461D">
      <w:pPr>
        <w:pStyle w:val="Heading4"/>
      </w:pPr>
      <w:r w:rsidRPr="00A0461D">
        <w:t>Claim Providers</w:t>
      </w:r>
    </w:p>
    <w:p w14:paraId="14EB6F24" w14:textId="6D08A2A4" w:rsidR="00B3072B" w:rsidRPr="00A0461D" w:rsidRDefault="00B3072B">
      <w:pPr>
        <w:pStyle w:val="BodyText"/>
        <w:numPr>
          <w:ilvl w:val="0"/>
          <w:numId w:val="142"/>
        </w:numPr>
        <w:ind w:left="540"/>
      </w:pPr>
      <w:r w:rsidRPr="00A0461D">
        <w:rPr>
          <w:b/>
          <w:bCs/>
        </w:rPr>
        <w:t>Billing Dentist or Dental Entity</w:t>
      </w:r>
      <w:r w:rsidRPr="005F21DF">
        <w:t xml:space="preserve"> </w:t>
      </w:r>
      <w:r w:rsidR="005F21DF" w:rsidRPr="005F21DF">
        <w:t xml:space="preserve">– </w:t>
      </w:r>
      <w:r w:rsidRPr="00A0461D">
        <w:t xml:space="preserve">The </w:t>
      </w:r>
      <w:r w:rsidR="005F21DF">
        <w:t>“</w:t>
      </w:r>
      <w:r w:rsidRPr="00A0461D">
        <w:t>Billing Dentist</w:t>
      </w:r>
      <w:r w:rsidR="005F21DF">
        <w:t>”</w:t>
      </w:r>
      <w:r w:rsidRPr="00A0461D">
        <w:t xml:space="preserve"> or </w:t>
      </w:r>
      <w:r w:rsidR="005F21DF">
        <w:t>“</w:t>
      </w:r>
      <w:r w:rsidRPr="00A0461D">
        <w:t>Dental Entity</w:t>
      </w:r>
      <w:r w:rsidR="005F21DF">
        <w:t>”</w:t>
      </w:r>
      <w:r w:rsidRPr="00A0461D">
        <w:t xml:space="preserve"> section provides information on the individual dentist’s name, the name of the practitioner providing care, or the name of the group practice/corporation that is responsible for billing. Depending on the business relationship of the practice and the treating dentist, the information provided in this section may not be the treating dentist.</w:t>
      </w:r>
    </w:p>
    <w:p w14:paraId="27136BDB" w14:textId="753AC4CE" w:rsidR="00B3072B" w:rsidRPr="00A0461D" w:rsidRDefault="00B3072B">
      <w:pPr>
        <w:pStyle w:val="BodyText"/>
        <w:numPr>
          <w:ilvl w:val="0"/>
          <w:numId w:val="142"/>
        </w:numPr>
        <w:ind w:left="540"/>
      </w:pPr>
      <w:r w:rsidRPr="00AB2B67">
        <w:rPr>
          <w:b/>
          <w:bCs/>
        </w:rPr>
        <w:t>Treating Dentist and Treatment Location</w:t>
      </w:r>
      <w:r w:rsidR="005F21DF" w:rsidRPr="005F21DF">
        <w:t xml:space="preserve"> – </w:t>
      </w:r>
      <w:r w:rsidR="005F21DF">
        <w:t>In this section, enter i</w:t>
      </w:r>
      <w:r w:rsidRPr="00A0461D">
        <w:t>nformation that is specific to the dentist or practitioner acting within the scope of their state licensure who has provided treatment.</w:t>
      </w:r>
    </w:p>
    <w:p w14:paraId="2F1D77BE" w14:textId="65DE85A5" w:rsidR="00B3072B" w:rsidRPr="00A0461D" w:rsidRDefault="00B3072B">
      <w:pPr>
        <w:pStyle w:val="BodyText"/>
        <w:numPr>
          <w:ilvl w:val="0"/>
          <w:numId w:val="142"/>
        </w:numPr>
        <w:ind w:left="540"/>
      </w:pPr>
      <w:r w:rsidRPr="00AB2B67">
        <w:rPr>
          <w:b/>
          <w:bCs/>
        </w:rPr>
        <w:t>Pay-to</w:t>
      </w:r>
      <w:r w:rsidR="005F21DF" w:rsidRPr="005F21DF">
        <w:t xml:space="preserve"> – </w:t>
      </w:r>
      <w:r w:rsidR="005F21DF">
        <w:t>This i</w:t>
      </w:r>
      <w:r w:rsidRPr="00A0461D">
        <w:t>s the business or individual to whom a payment is made.</w:t>
      </w:r>
    </w:p>
    <w:p w14:paraId="1D957A2C" w14:textId="03C0CD9E" w:rsidR="00A0461D" w:rsidRDefault="00B3072B" w:rsidP="00A0461D">
      <w:pPr>
        <w:pStyle w:val="Heading4"/>
      </w:pPr>
      <w:r w:rsidRPr="46812195">
        <w:t>Primary</w:t>
      </w:r>
      <w:r>
        <w:t xml:space="preserve"> Dental C</w:t>
      </w:r>
      <w:r w:rsidRPr="46812195">
        <w:t>laims</w:t>
      </w:r>
    </w:p>
    <w:p w14:paraId="18877CEE" w14:textId="35923F6C" w:rsidR="00B3072B" w:rsidRPr="00BF7CF0" w:rsidRDefault="005F21DF" w:rsidP="00A0461D">
      <w:pPr>
        <w:pStyle w:val="BodyText"/>
        <w:rPr>
          <w:i/>
          <w:iCs/>
          <w:sz w:val="18"/>
          <w:szCs w:val="18"/>
        </w:rPr>
      </w:pPr>
      <w:r>
        <w:t xml:space="preserve">You can create primary dental claims </w:t>
      </w:r>
      <w:r w:rsidR="00B3072B">
        <w:t xml:space="preserve">per patient during the post visit workflow or as a batch of claims from </w:t>
      </w:r>
      <w:r>
        <w:t>O</w:t>
      </w:r>
      <w:r w:rsidR="00B3072B">
        <w:t xml:space="preserve">ffice </w:t>
      </w:r>
      <w:r>
        <w:t>M</w:t>
      </w:r>
      <w:r w:rsidR="00B3072B">
        <w:t xml:space="preserve">anager. </w:t>
      </w:r>
    </w:p>
    <w:p w14:paraId="7AB89D1A" w14:textId="5600CF22" w:rsidR="00B3072B" w:rsidRPr="005F21DF" w:rsidRDefault="00B3072B" w:rsidP="00A0461D">
      <w:pPr>
        <w:pStyle w:val="BodyText"/>
        <w:rPr>
          <w:i/>
          <w:iCs/>
        </w:rPr>
      </w:pPr>
      <w:r w:rsidRPr="005F21DF">
        <w:rPr>
          <w:b/>
          <w:bCs/>
          <w:i/>
          <w:iCs/>
        </w:rPr>
        <w:t>Workflow Insight</w:t>
      </w:r>
      <w:r w:rsidRPr="005F21DF">
        <w:rPr>
          <w:i/>
          <w:iCs/>
        </w:rPr>
        <w:t>: For procedures that require additional information or attachments, creating claims from Ledger is the most efficient way to identify the needs and complete the information. Batching insurance claims is an effective tool to avoid skipping claims that need to be created</w:t>
      </w:r>
      <w:r w:rsidR="005F21DF">
        <w:rPr>
          <w:i/>
          <w:iCs/>
        </w:rPr>
        <w:t>,</w:t>
      </w:r>
      <w:r w:rsidRPr="005F21DF">
        <w:rPr>
          <w:i/>
          <w:iCs/>
        </w:rPr>
        <w:t xml:space="preserve"> and </w:t>
      </w:r>
      <w:r w:rsidR="005F21DF">
        <w:rPr>
          <w:i/>
          <w:iCs/>
        </w:rPr>
        <w:t>you can create</w:t>
      </w:r>
      <w:r w:rsidRPr="005F21DF">
        <w:rPr>
          <w:i/>
          <w:iCs/>
        </w:rPr>
        <w:t xml:space="preserve"> batches of claims for multiple patients at one time.</w:t>
      </w:r>
    </w:p>
    <w:p w14:paraId="76A7C026" w14:textId="5ED933E3" w:rsidR="00A0461D" w:rsidRDefault="00B3072B" w:rsidP="00A0461D">
      <w:pPr>
        <w:pStyle w:val="Heading4"/>
      </w:pPr>
      <w:r w:rsidRPr="46812195">
        <w:t>Sec</w:t>
      </w:r>
      <w:r>
        <w:t>ondary, Tertiary, or Quaternary Dental C</w:t>
      </w:r>
      <w:r w:rsidRPr="46812195">
        <w:t>laims</w:t>
      </w:r>
    </w:p>
    <w:p w14:paraId="176FDB18" w14:textId="2E2A424C" w:rsidR="00B3072B" w:rsidRDefault="005F21DF" w:rsidP="00A0461D">
      <w:pPr>
        <w:pStyle w:val="BodyText"/>
        <w:rPr>
          <w:lang w:bidi="en-US"/>
        </w:rPr>
      </w:pPr>
      <w:r>
        <w:t>When you post</w:t>
      </w:r>
      <w:r w:rsidR="00B3072B" w:rsidRPr="46812195">
        <w:rPr>
          <w:lang w:bidi="en-US"/>
        </w:rPr>
        <w:t xml:space="preserve"> an insurance payment for a primary dental insurance claim</w:t>
      </w:r>
      <w:r>
        <w:rPr>
          <w:lang w:bidi="en-US"/>
        </w:rPr>
        <w:t>, Dentrix Enterprise</w:t>
      </w:r>
      <w:r w:rsidR="00B3072B" w:rsidRPr="46812195">
        <w:rPr>
          <w:lang w:bidi="en-US"/>
        </w:rPr>
        <w:t xml:space="preserve"> automatically prompt</w:t>
      </w:r>
      <w:r>
        <w:rPr>
          <w:lang w:bidi="en-US"/>
        </w:rPr>
        <w:t>s</w:t>
      </w:r>
      <w:r w:rsidR="00B3072B" w:rsidRPr="46812195">
        <w:rPr>
          <w:lang w:bidi="en-US"/>
        </w:rPr>
        <w:t xml:space="preserve"> you to confirm if you want to create a secondary dental insurance claim. If you choose no</w:t>
      </w:r>
      <w:r>
        <w:rPr>
          <w:lang w:bidi="en-US"/>
        </w:rPr>
        <w:t>t to</w:t>
      </w:r>
      <w:r w:rsidR="00B3072B" w:rsidRPr="46812195">
        <w:rPr>
          <w:lang w:bidi="en-US"/>
        </w:rPr>
        <w:t xml:space="preserve">, or if you add the patient's secondary dental insurance plan after entering an insurance payment for the primary dental claim, you still can manually create a secondary dental insurance claim if needed. Tertiary and quaternary claims </w:t>
      </w:r>
      <w:r>
        <w:rPr>
          <w:lang w:bidi="en-US"/>
        </w:rPr>
        <w:t>must always be created manually</w:t>
      </w:r>
      <w:r w:rsidR="00B3072B" w:rsidRPr="46812195">
        <w:rPr>
          <w:lang w:bidi="en-US"/>
        </w:rPr>
        <w:t xml:space="preserve"> and are not shown in insurance estimates, treatment plans, or insurance reports. </w:t>
      </w:r>
    </w:p>
    <w:p w14:paraId="55392EF3" w14:textId="214C2B6C" w:rsidR="00A0461D" w:rsidRDefault="00B3072B" w:rsidP="00A0461D">
      <w:pPr>
        <w:pStyle w:val="Heading4"/>
        <w:rPr>
          <w:lang w:bidi="en-US"/>
        </w:rPr>
      </w:pPr>
      <w:r w:rsidRPr="46812195">
        <w:rPr>
          <w:lang w:bidi="en-US"/>
        </w:rPr>
        <w:t>Medical Claims</w:t>
      </w:r>
    </w:p>
    <w:p w14:paraId="3934E9E2" w14:textId="2CC7AB44" w:rsidR="00B3072B" w:rsidRDefault="00B3072B" w:rsidP="00A0461D">
      <w:pPr>
        <w:pStyle w:val="BodyText"/>
        <w:rPr>
          <w:b/>
          <w:bCs/>
          <w:lang w:bidi="en-US"/>
        </w:rPr>
      </w:pPr>
      <w:r w:rsidRPr="46812195">
        <w:rPr>
          <w:lang w:bidi="en-US"/>
        </w:rPr>
        <w:t xml:space="preserve">Medical Claims require a combination of AMA codes, ICD-10 diagnostic codes, </w:t>
      </w:r>
      <w:r w:rsidR="005F21DF">
        <w:rPr>
          <w:lang w:bidi="en-US"/>
        </w:rPr>
        <w:t>m</w:t>
      </w:r>
      <w:r w:rsidRPr="46812195">
        <w:rPr>
          <w:lang w:bidi="en-US"/>
        </w:rPr>
        <w:t xml:space="preserve">odifier </w:t>
      </w:r>
      <w:r w:rsidR="005F21DF">
        <w:rPr>
          <w:lang w:bidi="en-US"/>
        </w:rPr>
        <w:t>c</w:t>
      </w:r>
      <w:r w:rsidRPr="46812195">
        <w:rPr>
          <w:lang w:bidi="en-US"/>
        </w:rPr>
        <w:t>odes, and service codes added to the system. Entry of the necessary code sets utilized for medical coding can be accomplished manually or installed with the Medical Code Data Pak</w:t>
      </w:r>
      <w:r w:rsidR="005F21DF">
        <w:rPr>
          <w:lang w:bidi="en-US"/>
        </w:rPr>
        <w:t>,</w:t>
      </w:r>
      <w:r w:rsidRPr="46812195">
        <w:rPr>
          <w:lang w:bidi="en-US"/>
        </w:rPr>
        <w:t xml:space="preserve"> which can be purchased from </w:t>
      </w:r>
      <w:r w:rsidR="005F21DF">
        <w:rPr>
          <w:lang w:bidi="en-US"/>
        </w:rPr>
        <w:t xml:space="preserve">Henry Schein One </w:t>
      </w:r>
      <w:r w:rsidRPr="46812195">
        <w:rPr>
          <w:lang w:bidi="en-US"/>
        </w:rPr>
        <w:t xml:space="preserve">Sales.   </w:t>
      </w:r>
    </w:p>
    <w:p w14:paraId="3DFD457D" w14:textId="7C283212" w:rsidR="00B3072B" w:rsidRPr="005F21DF" w:rsidRDefault="00B3072B" w:rsidP="00A0461D">
      <w:pPr>
        <w:pStyle w:val="BodyText"/>
        <w:rPr>
          <w:i/>
          <w:iCs/>
          <w:lang w:bidi="en-US"/>
        </w:rPr>
      </w:pPr>
      <w:r w:rsidRPr="005F21DF">
        <w:rPr>
          <w:b/>
          <w:bCs/>
          <w:i/>
          <w:iCs/>
          <w:lang w:bidi="en-US"/>
        </w:rPr>
        <w:t>Operations Insight</w:t>
      </w:r>
      <w:r w:rsidRPr="005F21DF">
        <w:rPr>
          <w:i/>
          <w:iCs/>
          <w:lang w:bidi="en-US"/>
        </w:rPr>
        <w:t>: Medical claims require manual cross</w:t>
      </w:r>
      <w:r w:rsidR="005F21DF" w:rsidRPr="005F21DF">
        <w:rPr>
          <w:i/>
          <w:iCs/>
          <w:lang w:bidi="en-US"/>
        </w:rPr>
        <w:t xml:space="preserve"> </w:t>
      </w:r>
      <w:r w:rsidRPr="005F21DF">
        <w:rPr>
          <w:i/>
          <w:iCs/>
          <w:lang w:bidi="en-US"/>
        </w:rPr>
        <w:t>coding for each dental procedure code listed on the claim. This process in Dentrix Enterprise is best suited for a limited volume of procedures and claims required for medical cross coding and submission.</w:t>
      </w:r>
    </w:p>
    <w:p w14:paraId="7ACA01FD" w14:textId="0AB20B61" w:rsidR="00A0461D" w:rsidRDefault="00B3072B" w:rsidP="00A0461D">
      <w:pPr>
        <w:pStyle w:val="Heading4"/>
      </w:pPr>
      <w:r w:rsidRPr="46812195">
        <w:lastRenderedPageBreak/>
        <w:t>Electronic Submission</w:t>
      </w:r>
    </w:p>
    <w:p w14:paraId="385FA3B4" w14:textId="3B6BCF37" w:rsidR="00B3072B" w:rsidRDefault="00B3072B" w:rsidP="004A2A35">
      <w:pPr>
        <w:pStyle w:val="BodyText"/>
        <w:keepNext/>
        <w:keepLines/>
      </w:pPr>
      <w:r>
        <w:t xml:space="preserve">Submitting Dental and Medical claims electronically with eClaims will simplify the insurance claims process. With eClaims, you can create, validate, and electronically send your insurance claims to payors.  Claims can be centrally managed </w:t>
      </w:r>
      <w:proofErr w:type="gramStart"/>
      <w:r>
        <w:t>for</w:t>
      </w:r>
      <w:proofErr w:type="gramEnd"/>
      <w:r>
        <w:t xml:space="preserve"> the organization or by individual clinics.   </w:t>
      </w:r>
    </w:p>
    <w:p w14:paraId="4817FB52" w14:textId="60C8D18A" w:rsidR="00B3072B" w:rsidRPr="005F21DF" w:rsidRDefault="00B3072B" w:rsidP="00A0461D">
      <w:pPr>
        <w:pStyle w:val="BodyText"/>
        <w:rPr>
          <w:i/>
          <w:iCs/>
        </w:rPr>
      </w:pPr>
      <w:r w:rsidRPr="005F21DF">
        <w:rPr>
          <w:b/>
          <w:bCs/>
          <w:i/>
          <w:iCs/>
        </w:rPr>
        <w:t>Operations Insight</w:t>
      </w:r>
      <w:r w:rsidRPr="005F21DF">
        <w:rPr>
          <w:i/>
          <w:iCs/>
        </w:rPr>
        <w:t>: Sending claims electronically reduces the reimbursement time to days instead of weeks. Many claims can be adjudicated in real time, reducing the reimbursement time even further.</w:t>
      </w:r>
    </w:p>
    <w:p w14:paraId="1B201FB2" w14:textId="55BEFFE6" w:rsidR="007264E7" w:rsidRDefault="00B3072B" w:rsidP="00D42C5A">
      <w:pPr>
        <w:pStyle w:val="Heading3"/>
      </w:pPr>
      <w:bookmarkStart w:id="188" w:name="_Toc135416724"/>
      <w:bookmarkStart w:id="189" w:name="_Toc146183332"/>
      <w:r w:rsidRPr="46812195">
        <w:t>Claim Tracking</w:t>
      </w:r>
      <w:bookmarkEnd w:id="188"/>
      <w:bookmarkEnd w:id="189"/>
    </w:p>
    <w:p w14:paraId="5B1144D7" w14:textId="16A0350E" w:rsidR="00B3072B" w:rsidRPr="00835C2E" w:rsidRDefault="00B3072B" w:rsidP="007264E7">
      <w:pPr>
        <w:pStyle w:val="BodyText"/>
        <w:rPr>
          <w:b/>
          <w:bCs/>
        </w:rPr>
      </w:pPr>
      <w:r>
        <w:t xml:space="preserve">There are multiple resources to assist you with confirming all necessary claims are sent and tracking the status and data for submitted claims.  </w:t>
      </w:r>
    </w:p>
    <w:p w14:paraId="408AD3F5" w14:textId="77777777" w:rsidR="00B3072B" w:rsidRPr="00AB2B67" w:rsidRDefault="00B3072B" w:rsidP="00AB2B67">
      <w:pPr>
        <w:pStyle w:val="BodyText"/>
      </w:pPr>
      <w:r w:rsidRPr="00454D84">
        <w:rPr>
          <w:color w:val="00B050"/>
        </w:rPr>
        <w:t>&lt;&lt;Insert Claim Tracking decision support/SOP/guidance here&gt;&gt;</w:t>
      </w:r>
      <w:r w:rsidRPr="00835C2E">
        <w:t xml:space="preserve"> </w:t>
      </w:r>
    </w:p>
    <w:p w14:paraId="7B289872" w14:textId="75E1E4D6" w:rsidR="00AB2B67" w:rsidRDefault="00B3072B" w:rsidP="00AB2B67">
      <w:pPr>
        <w:pStyle w:val="Heading4"/>
      </w:pPr>
      <w:proofErr w:type="spellStart"/>
      <w:r>
        <w:t>eCentral</w:t>
      </w:r>
      <w:proofErr w:type="spellEnd"/>
      <w:r>
        <w:t xml:space="preserve"> Insurance Manager</w:t>
      </w:r>
    </w:p>
    <w:p w14:paraId="28F22E67" w14:textId="3ABD6659" w:rsidR="00B3072B" w:rsidRDefault="00B3072B" w:rsidP="00AB2B67">
      <w:pPr>
        <w:pStyle w:val="BodyText"/>
        <w:rPr>
          <w:b/>
          <w:bCs/>
        </w:rPr>
      </w:pPr>
      <w:r>
        <w:t xml:space="preserve">The Insurance Manager allows you to track your electronic claims, view submission reports, and view claim statistics. The Insurance Manager cuts the wait time by giving </w:t>
      </w:r>
      <w:r w:rsidR="005F21DF">
        <w:t xml:space="preserve">you </w:t>
      </w:r>
      <w:r>
        <w:t>real</w:t>
      </w:r>
      <w:r w:rsidR="005F21DF">
        <w:t>-</w:t>
      </w:r>
      <w:r>
        <w:t xml:space="preserve">time access to a claim’s status, </w:t>
      </w:r>
      <w:r w:rsidR="005F21DF">
        <w:t>which allows</w:t>
      </w:r>
      <w:r>
        <w:t xml:space="preserve"> you to identify and begin resolving any “problem” claims within the first two weeks.  </w:t>
      </w:r>
    </w:p>
    <w:p w14:paraId="53FEBD24" w14:textId="6EAAFCF8" w:rsidR="00AB2B67" w:rsidRDefault="00B3072B" w:rsidP="00AB2B67">
      <w:pPr>
        <w:pStyle w:val="Heading4"/>
      </w:pPr>
      <w:r>
        <w:t>Procedures Not Attached</w:t>
      </w:r>
    </w:p>
    <w:p w14:paraId="6DEAFB6F" w14:textId="204A0DC3" w:rsidR="00B3072B" w:rsidRDefault="00B3072B" w:rsidP="00AB2B67">
      <w:pPr>
        <w:pStyle w:val="BodyText"/>
        <w:rPr>
          <w:b/>
          <w:bCs/>
        </w:rPr>
      </w:pPr>
      <w:r>
        <w:t xml:space="preserve">This report identifies any patient who has insurance and completed procedures not attached to a claim.  </w:t>
      </w:r>
    </w:p>
    <w:p w14:paraId="6ABCBF3E" w14:textId="7075F57D" w:rsidR="00B3072B" w:rsidRPr="00357663" w:rsidRDefault="00B3072B" w:rsidP="00AB2B67">
      <w:pPr>
        <w:pStyle w:val="BodyText"/>
        <w:rPr>
          <w:i/>
          <w:iCs/>
        </w:rPr>
      </w:pPr>
      <w:r w:rsidRPr="00357663">
        <w:rPr>
          <w:b/>
          <w:bCs/>
          <w:i/>
          <w:iCs/>
        </w:rPr>
        <w:t>Workflow Insight</w:t>
      </w:r>
      <w:r w:rsidRPr="00357663">
        <w:rPr>
          <w:i/>
          <w:iCs/>
        </w:rPr>
        <w:t>:  If there are procedures that are not sent on insurance claims, you can mark the individual code as “do not bill.” This helps avoid having products and other elective items</w:t>
      </w:r>
      <w:r w:rsidR="005F21DF" w:rsidRPr="00357663">
        <w:rPr>
          <w:i/>
          <w:iCs/>
        </w:rPr>
        <w:t xml:space="preserve"> that should not be billed to insurance</w:t>
      </w:r>
      <w:r w:rsidRPr="00357663">
        <w:rPr>
          <w:i/>
          <w:iCs/>
        </w:rPr>
        <w:t xml:space="preserve"> listed on the report.</w:t>
      </w:r>
    </w:p>
    <w:p w14:paraId="664D9B08" w14:textId="1488D618" w:rsidR="00AB2B67" w:rsidRDefault="00B3072B" w:rsidP="00AB2B67">
      <w:pPr>
        <w:pStyle w:val="Heading4"/>
      </w:pPr>
      <w:r>
        <w:t>Claims Not Sent</w:t>
      </w:r>
    </w:p>
    <w:p w14:paraId="66019958" w14:textId="4E1BBC3A" w:rsidR="00B3072B" w:rsidRDefault="00B3072B" w:rsidP="00AB2B67">
      <w:pPr>
        <w:pStyle w:val="BodyText"/>
      </w:pPr>
      <w:r>
        <w:t xml:space="preserve">This report ensures claims are processed after being created. If a claim was not sent to the batch, printed, or sent electronically, it </w:t>
      </w:r>
      <w:r w:rsidR="00357663">
        <w:t>appears on</w:t>
      </w:r>
      <w:r>
        <w:t xml:space="preserve"> this report.  </w:t>
      </w:r>
    </w:p>
    <w:p w14:paraId="49FBEDF4" w14:textId="0270858B" w:rsidR="00AB2B67" w:rsidRDefault="00B3072B" w:rsidP="00AB2B67">
      <w:pPr>
        <w:pStyle w:val="Heading4"/>
      </w:pPr>
      <w:r>
        <w:t>Insurance Claims Aging</w:t>
      </w:r>
    </w:p>
    <w:p w14:paraId="6664AD6B" w14:textId="459D0140" w:rsidR="00B3072B" w:rsidRDefault="00B3072B" w:rsidP="00AB2B67">
      <w:pPr>
        <w:pStyle w:val="BodyText"/>
        <w:rPr>
          <w:b/>
          <w:bCs/>
        </w:rPr>
      </w:pPr>
      <w:r>
        <w:t>Th</w:t>
      </w:r>
      <w:r w:rsidR="00357663">
        <w:t>is</w:t>
      </w:r>
      <w:r>
        <w:t xml:space="preserve"> report list</w:t>
      </w:r>
      <w:r w:rsidR="00357663">
        <w:t>s</w:t>
      </w:r>
      <w:r>
        <w:t xml:space="preserve"> outstanding insurance claims, grouped by insurance carrier, along with the aged balances of each claim.  </w:t>
      </w:r>
    </w:p>
    <w:p w14:paraId="394A1AB8" w14:textId="345443AC" w:rsidR="00AB2B67" w:rsidRDefault="00B3072B" w:rsidP="00AB2B67">
      <w:pPr>
        <w:pStyle w:val="Heading4"/>
      </w:pPr>
      <w:r>
        <w:lastRenderedPageBreak/>
        <w:t>Claim Denials Management</w:t>
      </w:r>
    </w:p>
    <w:p w14:paraId="3F5DC3A7" w14:textId="54229BF1" w:rsidR="00B3072B" w:rsidRDefault="00B3072B" w:rsidP="004A2A35">
      <w:pPr>
        <w:pStyle w:val="BodyText"/>
        <w:keepNext/>
        <w:keepLines/>
      </w:pPr>
      <w:r>
        <w:t xml:space="preserve">Request for additional information </w:t>
      </w:r>
      <w:r w:rsidR="00357663">
        <w:t>versus</w:t>
      </w:r>
      <w:r>
        <w:t xml:space="preserve"> a true denial. </w:t>
      </w:r>
    </w:p>
    <w:p w14:paraId="0B27B916" w14:textId="604687BE" w:rsidR="00B3072B" w:rsidRDefault="00B3072B" w:rsidP="004A2A35">
      <w:pPr>
        <w:pStyle w:val="BodyText"/>
        <w:keepNext/>
        <w:keepLines/>
        <w:numPr>
          <w:ilvl w:val="0"/>
          <w:numId w:val="143"/>
        </w:numPr>
        <w:ind w:left="540"/>
      </w:pPr>
      <w:r>
        <w:rPr>
          <w:b/>
          <w:bCs/>
        </w:rPr>
        <w:t>Insurance Claim Statuses and N</w:t>
      </w:r>
      <w:r w:rsidRPr="46812195">
        <w:rPr>
          <w:b/>
          <w:bCs/>
        </w:rPr>
        <w:t xml:space="preserve">otes – </w:t>
      </w:r>
      <w:r>
        <w:t>As you follow up on outstanding insurance claims, you can update an individual claim's status using one of the standard status options listed</w:t>
      </w:r>
      <w:r w:rsidR="00357663">
        <w:t>:</w:t>
      </w:r>
      <w:r>
        <w:t xml:space="preserve"> </w:t>
      </w:r>
      <w:r w:rsidRPr="00357663">
        <w:rPr>
          <w:b/>
          <w:bCs/>
        </w:rPr>
        <w:t>Tracer Sent</w:t>
      </w:r>
      <w:r>
        <w:t xml:space="preserve">, </w:t>
      </w:r>
      <w:r w:rsidRPr="00357663">
        <w:rPr>
          <w:b/>
          <w:bCs/>
        </w:rPr>
        <w:t>On Hold</w:t>
      </w:r>
      <w:r>
        <w:t xml:space="preserve">, </w:t>
      </w:r>
      <w:r w:rsidRPr="00357663">
        <w:rPr>
          <w:b/>
          <w:bCs/>
        </w:rPr>
        <w:t>Re-Sent</w:t>
      </w:r>
      <w:r>
        <w:t xml:space="preserve">, or </w:t>
      </w:r>
      <w:r w:rsidRPr="00357663">
        <w:rPr>
          <w:b/>
          <w:bCs/>
        </w:rPr>
        <w:t>Voided</w:t>
      </w:r>
      <w:r>
        <w:t xml:space="preserve">. The claim status note will automatically </w:t>
      </w:r>
      <w:r w:rsidR="00357663">
        <w:t xml:space="preserve">be </w:t>
      </w:r>
      <w:r>
        <w:t>populate</w:t>
      </w:r>
      <w:r w:rsidR="00357663">
        <w:t>d with</w:t>
      </w:r>
      <w:r>
        <w:t xml:space="preserve"> status information, and you can </w:t>
      </w:r>
      <w:r w:rsidR="00357663">
        <w:t xml:space="preserve">manually </w:t>
      </w:r>
      <w:r>
        <w:t xml:space="preserve">type </w:t>
      </w:r>
      <w:r w:rsidR="00357663">
        <w:t>additional information</w:t>
      </w:r>
      <w:r>
        <w:t xml:space="preserve">.  </w:t>
      </w:r>
    </w:p>
    <w:p w14:paraId="0DF42530" w14:textId="46553E11" w:rsidR="00B3072B" w:rsidRDefault="00B3072B" w:rsidP="004A2A35">
      <w:pPr>
        <w:pStyle w:val="BodyText"/>
        <w:keepNext/>
        <w:keepLines/>
        <w:numPr>
          <w:ilvl w:val="0"/>
          <w:numId w:val="143"/>
        </w:numPr>
        <w:ind w:left="540"/>
        <w:rPr>
          <w:b/>
          <w:bCs/>
        </w:rPr>
      </w:pPr>
      <w:r>
        <w:rPr>
          <w:b/>
          <w:bCs/>
        </w:rPr>
        <w:t>Re</w:t>
      </w:r>
      <w:r w:rsidR="00357663">
        <w:rPr>
          <w:b/>
          <w:bCs/>
        </w:rPr>
        <w:t>s</w:t>
      </w:r>
      <w:r>
        <w:rPr>
          <w:b/>
          <w:bCs/>
        </w:rPr>
        <w:t xml:space="preserve">ubmit Reasons </w:t>
      </w:r>
      <w:r w:rsidR="00357663" w:rsidRPr="46812195">
        <w:rPr>
          <w:b/>
          <w:bCs/>
        </w:rPr>
        <w:t>–</w:t>
      </w:r>
      <w:r w:rsidRPr="46812195">
        <w:rPr>
          <w:b/>
          <w:bCs/>
        </w:rPr>
        <w:t xml:space="preserve"> </w:t>
      </w:r>
      <w:r>
        <w:t xml:space="preserve">Resubmitting claims can help elevate your RCM effectiveness by reducing management efforts for a claim that has been addressed recently and </w:t>
      </w:r>
      <w:r w:rsidR="00357663">
        <w:t xml:space="preserve">by </w:t>
      </w:r>
      <w:r>
        <w:t xml:space="preserve">providing insight into trends with denied claims within your organization.  </w:t>
      </w:r>
    </w:p>
    <w:p w14:paraId="6A434BA5" w14:textId="41A6E551" w:rsidR="00B3072B" w:rsidRPr="00357663" w:rsidRDefault="00B3072B" w:rsidP="004A2A35">
      <w:pPr>
        <w:pStyle w:val="BodyText"/>
        <w:keepNext/>
        <w:keepLines/>
        <w:ind w:left="540"/>
        <w:rPr>
          <w:i/>
          <w:iCs/>
        </w:rPr>
      </w:pPr>
      <w:r w:rsidRPr="00357663">
        <w:rPr>
          <w:b/>
          <w:bCs/>
          <w:i/>
          <w:iCs/>
        </w:rPr>
        <w:t xml:space="preserve">Operations </w:t>
      </w:r>
      <w:r w:rsidR="00357663" w:rsidRPr="00357663">
        <w:rPr>
          <w:b/>
          <w:bCs/>
          <w:i/>
          <w:iCs/>
        </w:rPr>
        <w:t>I</w:t>
      </w:r>
      <w:r w:rsidRPr="00357663">
        <w:rPr>
          <w:b/>
          <w:bCs/>
          <w:i/>
          <w:iCs/>
        </w:rPr>
        <w:t>nsight</w:t>
      </w:r>
      <w:r w:rsidRPr="00357663">
        <w:rPr>
          <w:i/>
          <w:iCs/>
        </w:rPr>
        <w:t xml:space="preserve">: Resubmitting claims is recommended to maintain the integrity of data surrounding each claim. It is especially important if you are enrolled in </w:t>
      </w:r>
      <w:proofErr w:type="spellStart"/>
      <w:r w:rsidRPr="00357663">
        <w:rPr>
          <w:i/>
          <w:iCs/>
        </w:rPr>
        <w:t>eEOB</w:t>
      </w:r>
      <w:proofErr w:type="spellEnd"/>
      <w:r w:rsidRPr="00357663">
        <w:rPr>
          <w:i/>
          <w:iCs/>
        </w:rPr>
        <w:t xml:space="preserve"> import. Deleting the claim will also eliminate the internal data that links the claim to the </w:t>
      </w:r>
      <w:proofErr w:type="spellStart"/>
      <w:r w:rsidRPr="00357663">
        <w:rPr>
          <w:i/>
          <w:iCs/>
        </w:rPr>
        <w:t>eEOB</w:t>
      </w:r>
      <w:proofErr w:type="spellEnd"/>
      <w:r w:rsidRPr="00357663">
        <w:rPr>
          <w:i/>
          <w:iCs/>
        </w:rPr>
        <w:t>. This simple step can enhance your electronic posting processes.</w:t>
      </w:r>
    </w:p>
    <w:p w14:paraId="32B9F566" w14:textId="20D97A02" w:rsidR="00B3072B" w:rsidRDefault="00B3072B">
      <w:pPr>
        <w:pStyle w:val="BodyText"/>
        <w:numPr>
          <w:ilvl w:val="0"/>
          <w:numId w:val="144"/>
        </w:numPr>
        <w:ind w:left="540"/>
      </w:pPr>
      <w:r w:rsidRPr="46812195">
        <w:rPr>
          <w:b/>
          <w:bCs/>
        </w:rPr>
        <w:t>Split Primary Claim</w:t>
      </w:r>
      <w:r>
        <w:rPr>
          <w:b/>
          <w:bCs/>
        </w:rPr>
        <w:t xml:space="preserve"> </w:t>
      </w:r>
      <w:r w:rsidR="00357663" w:rsidRPr="46812195">
        <w:rPr>
          <w:b/>
          <w:bCs/>
        </w:rPr>
        <w:t>–</w:t>
      </w:r>
      <w:r w:rsidRPr="46812195">
        <w:rPr>
          <w:b/>
          <w:bCs/>
        </w:rPr>
        <w:t xml:space="preserve"> </w:t>
      </w:r>
      <w:r w:rsidRPr="00835C2E">
        <w:rPr>
          <w:bCs/>
        </w:rPr>
        <w:t>Splitting</w:t>
      </w:r>
      <w:r>
        <w:t xml:space="preserve"> a primary claim is important for maintaining accuracy in claims tracking when the data within one claim needs alternative management tasks. This process allows you to single out the procedures you plan to resubmit to the insurance company and allows you to post payment to any procedures that were successfully adjudicated.  </w:t>
      </w:r>
    </w:p>
    <w:p w14:paraId="23081895" w14:textId="68DEBC82" w:rsidR="00B3072B" w:rsidRDefault="00B3072B">
      <w:pPr>
        <w:pStyle w:val="BodyText"/>
        <w:numPr>
          <w:ilvl w:val="0"/>
          <w:numId w:val="144"/>
        </w:numPr>
        <w:ind w:left="540"/>
        <w:rPr>
          <w:b/>
          <w:bCs/>
        </w:rPr>
      </w:pPr>
      <w:r w:rsidRPr="46812195">
        <w:rPr>
          <w:b/>
          <w:bCs/>
        </w:rPr>
        <w:t xml:space="preserve">Zero Payment </w:t>
      </w:r>
      <w:r w:rsidR="00357663" w:rsidRPr="46812195">
        <w:rPr>
          <w:b/>
          <w:bCs/>
        </w:rPr>
        <w:t>–</w:t>
      </w:r>
      <w:r w:rsidRPr="46812195">
        <w:rPr>
          <w:b/>
          <w:bCs/>
        </w:rPr>
        <w:t xml:space="preserve"> </w:t>
      </w:r>
      <w:r>
        <w:t xml:space="preserve">Posting a zero payment also closes the claim </w:t>
      </w:r>
      <w:r w:rsidR="00357663">
        <w:t>on</w:t>
      </w:r>
      <w:r>
        <w:t xml:space="preserve"> the ledger. Before posting a zero </w:t>
      </w:r>
      <w:r w:rsidR="00357663">
        <w:t xml:space="preserve">payment </w:t>
      </w:r>
      <w:r>
        <w:t xml:space="preserve">to denied claims, </w:t>
      </w:r>
      <w:r w:rsidR="00357663">
        <w:t>we</w:t>
      </w:r>
      <w:r>
        <w:t xml:space="preserve"> recommend</w:t>
      </w:r>
      <w:r w:rsidR="00357663">
        <w:t xml:space="preserve"> that you</w:t>
      </w:r>
      <w:r>
        <w:t xml:space="preserve"> review the circumstances to determine if resubmission, splitting, or updating data could warrant new denial management efforts.  </w:t>
      </w:r>
    </w:p>
    <w:p w14:paraId="0F0B5730" w14:textId="7042F379" w:rsidR="00B3072B" w:rsidRPr="00AB2B67" w:rsidRDefault="00B3072B">
      <w:pPr>
        <w:pStyle w:val="BodyText"/>
        <w:numPr>
          <w:ilvl w:val="0"/>
          <w:numId w:val="144"/>
        </w:numPr>
        <w:ind w:left="540"/>
        <w:rPr>
          <w:b/>
          <w:bCs/>
        </w:rPr>
      </w:pPr>
      <w:r w:rsidRPr="00AB2B67">
        <w:rPr>
          <w:b/>
          <w:bCs/>
        </w:rPr>
        <w:t>Claims In History</w:t>
      </w:r>
      <w:r w:rsidRPr="00357663">
        <w:t xml:space="preserve"> </w:t>
      </w:r>
      <w:r w:rsidR="00357663" w:rsidRPr="00357663">
        <w:t>–</w:t>
      </w:r>
      <w:r w:rsidRPr="00357663">
        <w:t xml:space="preserve"> </w:t>
      </w:r>
      <w:r>
        <w:t xml:space="preserve">Once a claim has been </w:t>
      </w:r>
      <w:proofErr w:type="gramStart"/>
      <w:r>
        <w:t>closed</w:t>
      </w:r>
      <w:proofErr w:type="gramEnd"/>
      <w:r>
        <w:t xml:space="preserve">, depending on security rights, you may be able to edit and correct the information to resend the original claim. If the claim is closed as well as the month, the claim will be placed into history. It isn’t impossible to generate the necessary documentation in the system to resubmit or appeal a claim. The following steps could change based on your internal financial guidelines and account policies.  </w:t>
      </w:r>
    </w:p>
    <w:p w14:paraId="411C8875" w14:textId="729724F3" w:rsidR="00B3072B" w:rsidRPr="00AB2B67" w:rsidRDefault="00B3072B">
      <w:pPr>
        <w:pStyle w:val="BodyText"/>
        <w:numPr>
          <w:ilvl w:val="1"/>
          <w:numId w:val="145"/>
        </w:numPr>
        <w:ind w:left="1080"/>
      </w:pPr>
      <w:r>
        <w:t>Pos</w:t>
      </w:r>
      <w:r w:rsidRPr="00AB2B67">
        <w:t xml:space="preserve">t the original procedures with the backdated date of service in </w:t>
      </w:r>
      <w:r w:rsidR="00357663">
        <w:t>L</w:t>
      </w:r>
      <w:r w:rsidRPr="00AB2B67">
        <w:t xml:space="preserve">edger.  </w:t>
      </w:r>
    </w:p>
    <w:p w14:paraId="7EABB6EF" w14:textId="16E16D99" w:rsidR="00B3072B" w:rsidRPr="00AB2B67" w:rsidRDefault="00357663">
      <w:pPr>
        <w:pStyle w:val="BodyText"/>
        <w:numPr>
          <w:ilvl w:val="1"/>
          <w:numId w:val="145"/>
        </w:numPr>
        <w:ind w:left="1080"/>
      </w:pPr>
      <w:r>
        <w:t>If you p</w:t>
      </w:r>
      <w:r w:rsidR="00B3072B" w:rsidRPr="00AB2B67">
        <w:t>ost the procedures for the second time</w:t>
      </w:r>
      <w:r>
        <w:t>,</w:t>
      </w:r>
      <w:r w:rsidR="00B3072B" w:rsidRPr="00AB2B67">
        <w:t xml:space="preserve"> manually post an adjustment to offset the additional charge.  </w:t>
      </w:r>
    </w:p>
    <w:p w14:paraId="1C95E523" w14:textId="77777777" w:rsidR="00B3072B" w:rsidRPr="00AB2B67" w:rsidRDefault="00B3072B">
      <w:pPr>
        <w:pStyle w:val="BodyText"/>
        <w:numPr>
          <w:ilvl w:val="1"/>
          <w:numId w:val="145"/>
        </w:numPr>
        <w:ind w:left="1080"/>
      </w:pPr>
      <w:r w:rsidRPr="00AB2B67">
        <w:t xml:space="preserve">Create a claim with the new procedures to submit for payment.  </w:t>
      </w:r>
    </w:p>
    <w:p w14:paraId="3D84425C" w14:textId="2A1776A3" w:rsidR="00B3072B" w:rsidRDefault="00357663">
      <w:pPr>
        <w:pStyle w:val="BodyText"/>
        <w:numPr>
          <w:ilvl w:val="1"/>
          <w:numId w:val="145"/>
        </w:numPr>
        <w:ind w:left="1080"/>
        <w:rPr>
          <w:b/>
          <w:bCs/>
        </w:rPr>
      </w:pPr>
      <w:r>
        <w:t>I</w:t>
      </w:r>
      <w:r w:rsidR="00B3072B" w:rsidRPr="00AB2B67">
        <w:t xml:space="preserve">f the insurance company sends an </w:t>
      </w:r>
      <w:proofErr w:type="spellStart"/>
      <w:r w:rsidR="00B3072B" w:rsidRPr="00AB2B67">
        <w:t>eEOB</w:t>
      </w:r>
      <w:proofErr w:type="spellEnd"/>
      <w:r w:rsidR="00B3072B" w:rsidRPr="00AB2B67">
        <w:t xml:space="preserve"> that is electronically linked to the orig</w:t>
      </w:r>
      <w:r w:rsidR="00B3072B">
        <w:t>inal claim</w:t>
      </w:r>
      <w:r>
        <w:t>, post the payment manually</w:t>
      </w:r>
      <w:r w:rsidR="00B3072B">
        <w:t xml:space="preserve">.  </w:t>
      </w:r>
    </w:p>
    <w:p w14:paraId="15F2AAAD" w14:textId="1F928AA0" w:rsidR="00B3072B" w:rsidRDefault="00B3072B" w:rsidP="00D42C5A">
      <w:pPr>
        <w:pStyle w:val="Heading3"/>
      </w:pPr>
      <w:bookmarkStart w:id="190" w:name="_Toc135416725"/>
      <w:bookmarkStart w:id="191" w:name="_Toc146183333"/>
      <w:r w:rsidRPr="1A6CC218">
        <w:lastRenderedPageBreak/>
        <w:t>Claim Payments</w:t>
      </w:r>
      <w:bookmarkEnd w:id="190"/>
      <w:bookmarkEnd w:id="191"/>
    </w:p>
    <w:p w14:paraId="198A6DDD" w14:textId="77777777" w:rsidR="00B3072B" w:rsidRPr="00AB2B67" w:rsidRDefault="00B3072B" w:rsidP="000D7FFC">
      <w:pPr>
        <w:pStyle w:val="BodyText"/>
        <w:keepNext/>
        <w:keepLines/>
      </w:pPr>
      <w:r w:rsidRPr="00454D84">
        <w:rPr>
          <w:color w:val="00B050"/>
        </w:rPr>
        <w:t>&lt;&lt;Insert Claim Payments and Adjustments decision support/SOP/guidance here&gt;&gt;</w:t>
      </w:r>
    </w:p>
    <w:p w14:paraId="2EF871C5" w14:textId="495CBAA2" w:rsidR="00AB2B67" w:rsidRDefault="00B3072B" w:rsidP="000D7FFC">
      <w:pPr>
        <w:pStyle w:val="Heading4"/>
      </w:pPr>
      <w:proofErr w:type="spellStart"/>
      <w:r>
        <w:t>eEOB</w:t>
      </w:r>
      <w:proofErr w:type="spellEnd"/>
      <w:r>
        <w:t xml:space="preserve"> (</w:t>
      </w:r>
      <w:r w:rsidR="00357663">
        <w:t>B</w:t>
      </w:r>
      <w:r w:rsidRPr="1A6CC218">
        <w:t xml:space="preserve">atch </w:t>
      </w:r>
      <w:r w:rsidR="00357663">
        <w:t>I</w:t>
      </w:r>
      <w:r w:rsidRPr="1A6CC218">
        <w:t xml:space="preserve">nsurance </w:t>
      </w:r>
      <w:r w:rsidR="00357663">
        <w:t>P</w:t>
      </w:r>
      <w:r w:rsidRPr="1A6CC218">
        <w:t>ayment</w:t>
      </w:r>
      <w:r>
        <w:t>)</w:t>
      </w:r>
    </w:p>
    <w:p w14:paraId="6EA587E8" w14:textId="1B3A8476" w:rsidR="00B3072B" w:rsidRDefault="00B3072B" w:rsidP="000D7FFC">
      <w:pPr>
        <w:pStyle w:val="BodyText"/>
        <w:keepNext/>
        <w:keepLines/>
      </w:pPr>
      <w:r>
        <w:t>When an insurance carrier sends your office one check or electronic funds transfer (EFT) to cover multiple claims for multiple patients, with Dentrix Enterprise, you can post the large insurance check to multiple patients without having to switch back and forth between different accounts and insurance claims.</w:t>
      </w:r>
    </w:p>
    <w:p w14:paraId="5F5BBA34" w14:textId="7C02F9DA" w:rsidR="00B3072B" w:rsidRDefault="00B3072B" w:rsidP="000D7FFC">
      <w:pPr>
        <w:pStyle w:val="BodyText"/>
        <w:keepNext/>
        <w:keepLines/>
        <w:numPr>
          <w:ilvl w:val="0"/>
          <w:numId w:val="146"/>
        </w:numPr>
        <w:ind w:left="540"/>
      </w:pPr>
      <w:proofErr w:type="spellStart"/>
      <w:r>
        <w:rPr>
          <w:b/>
          <w:bCs/>
        </w:rPr>
        <w:t>e</w:t>
      </w:r>
      <w:r w:rsidRPr="1A6CC218">
        <w:rPr>
          <w:b/>
          <w:bCs/>
        </w:rPr>
        <w:t>EOB</w:t>
      </w:r>
      <w:proofErr w:type="spellEnd"/>
      <w:r>
        <w:rPr>
          <w:b/>
          <w:bCs/>
        </w:rPr>
        <w:t xml:space="preserve"> </w:t>
      </w:r>
      <w:r w:rsidR="00357663">
        <w:rPr>
          <w:b/>
          <w:bCs/>
        </w:rPr>
        <w:t>–</w:t>
      </w:r>
      <w:r w:rsidRPr="1A6CC218">
        <w:rPr>
          <w:b/>
          <w:bCs/>
        </w:rPr>
        <w:t xml:space="preserve"> </w:t>
      </w:r>
      <w:r w:rsidRPr="1A6CC218">
        <w:t xml:space="preserve">Some payors provide an electronic Explanation of Benefits (EOB) as an Electronic Remittance Advice (ERA) for an electronic claim that you submit. With the 835 EOB import utility, you can import EOBs (in the 835 X12 4010 standard format) from </w:t>
      </w:r>
      <w:proofErr w:type="spellStart"/>
      <w:r w:rsidRPr="1A6CC218">
        <w:t>eCentral</w:t>
      </w:r>
      <w:proofErr w:type="spellEnd"/>
      <w:r w:rsidRPr="1A6CC218">
        <w:t xml:space="preserve"> into Dentrix Enterprise and post batches of insurance payments to multiple patients' accounts.</w:t>
      </w:r>
    </w:p>
    <w:p w14:paraId="5D033E85" w14:textId="42CBB358" w:rsidR="00B3072B" w:rsidRPr="00357663" w:rsidRDefault="00B3072B" w:rsidP="00AB2B67">
      <w:pPr>
        <w:pStyle w:val="BodyText"/>
        <w:ind w:left="540"/>
        <w:rPr>
          <w:i/>
          <w:iCs/>
        </w:rPr>
      </w:pPr>
      <w:r w:rsidRPr="00357663">
        <w:rPr>
          <w:b/>
          <w:bCs/>
          <w:i/>
          <w:iCs/>
        </w:rPr>
        <w:t>Operations Insight</w:t>
      </w:r>
      <w:r w:rsidRPr="00357663">
        <w:rPr>
          <w:i/>
          <w:iCs/>
        </w:rPr>
        <w:t>: This feature is available as an add-on that you can purchase</w:t>
      </w:r>
      <w:r w:rsidR="00357663" w:rsidRPr="00357663">
        <w:rPr>
          <w:i/>
          <w:iCs/>
        </w:rPr>
        <w:t>,</w:t>
      </w:r>
      <w:r w:rsidRPr="00357663">
        <w:rPr>
          <w:i/>
          <w:iCs/>
        </w:rPr>
        <w:t xml:space="preserve"> and you must be submitting claims electronically through eClaims. Also, a global setting controls the availability of this feature.</w:t>
      </w:r>
    </w:p>
    <w:p w14:paraId="60826827" w14:textId="524CE1E6" w:rsidR="00B3072B" w:rsidRPr="00357663" w:rsidRDefault="00B3072B" w:rsidP="00AB2B67">
      <w:pPr>
        <w:pStyle w:val="BodyText"/>
        <w:ind w:left="540"/>
        <w:rPr>
          <w:i/>
          <w:iCs/>
        </w:rPr>
      </w:pPr>
      <w:r w:rsidRPr="00357663">
        <w:rPr>
          <w:b/>
          <w:bCs/>
          <w:i/>
          <w:iCs/>
        </w:rPr>
        <w:t>Workflow Insight</w:t>
      </w:r>
      <w:r w:rsidRPr="00357663">
        <w:rPr>
          <w:i/>
          <w:iCs/>
        </w:rPr>
        <w:t>: Do not import EOBs until you have received a check from the payor or verified that funds have been transferred through an EFT.</w:t>
      </w:r>
    </w:p>
    <w:p w14:paraId="05E29955" w14:textId="145891F0" w:rsidR="00B3072B" w:rsidRDefault="00B3072B">
      <w:pPr>
        <w:pStyle w:val="BodyText"/>
        <w:numPr>
          <w:ilvl w:val="0"/>
          <w:numId w:val="146"/>
        </w:numPr>
        <w:ind w:left="540"/>
      </w:pPr>
      <w:r w:rsidRPr="1A6CC218">
        <w:rPr>
          <w:b/>
          <w:bCs/>
        </w:rPr>
        <w:t>Check number</w:t>
      </w:r>
      <w:r>
        <w:rPr>
          <w:b/>
          <w:bCs/>
        </w:rPr>
        <w:t xml:space="preserve"> </w:t>
      </w:r>
      <w:r w:rsidR="00357663">
        <w:t>–</w:t>
      </w:r>
      <w:r>
        <w:t xml:space="preserve"> The check number appears as part of a payment description on family walkouts (enhanced and plain forms), billing statements, the Family Ledger Report, and the Patient Ledger Report. For walkouts and statements, if the check number is longer than 14 characters, an ellipsis and the last 11 characters are displayed. For family and patient ledger reports, if the check number is longer than 13 characters, an ellipsis and the last 10 characters are displayed. Due to space limitations, the following reports, although they do list guarantor payments, do not show payment check numbers: Day Sheet (charges and receipts), Payment Summary Report, Suspended Credits Report, and Day Sheet-Receipts Report.</w:t>
      </w:r>
    </w:p>
    <w:p w14:paraId="6120FA57" w14:textId="1D1A5A61" w:rsidR="00B3072B" w:rsidRPr="00A07EE9" w:rsidRDefault="00B3072B">
      <w:pPr>
        <w:pStyle w:val="BodyText"/>
        <w:numPr>
          <w:ilvl w:val="0"/>
          <w:numId w:val="146"/>
        </w:numPr>
        <w:ind w:left="540"/>
        <w:rPr>
          <w:b/>
          <w:bCs/>
        </w:rPr>
      </w:pPr>
      <w:r>
        <w:rPr>
          <w:b/>
          <w:bCs/>
        </w:rPr>
        <w:t>I</w:t>
      </w:r>
      <w:r w:rsidRPr="595666BA">
        <w:rPr>
          <w:b/>
          <w:bCs/>
        </w:rPr>
        <w:t xml:space="preserve">nsurance </w:t>
      </w:r>
      <w:r>
        <w:rPr>
          <w:b/>
          <w:bCs/>
        </w:rPr>
        <w:t>O</w:t>
      </w:r>
      <w:r w:rsidRPr="595666BA">
        <w:rPr>
          <w:b/>
          <w:bCs/>
        </w:rPr>
        <w:t>verpayments</w:t>
      </w:r>
      <w:r>
        <w:rPr>
          <w:b/>
          <w:bCs/>
        </w:rPr>
        <w:t xml:space="preserve"> </w:t>
      </w:r>
      <w:r w:rsidR="00251C04">
        <w:rPr>
          <w:b/>
          <w:bCs/>
        </w:rPr>
        <w:t>–</w:t>
      </w:r>
      <w:r w:rsidRPr="595666BA">
        <w:rPr>
          <w:b/>
          <w:bCs/>
        </w:rPr>
        <w:t xml:space="preserve"> </w:t>
      </w:r>
      <w:r w:rsidR="00251C04">
        <w:t>A</w:t>
      </w:r>
      <w:r>
        <w:t xml:space="preserve"> procedure </w:t>
      </w:r>
      <w:r w:rsidR="00251C04">
        <w:t xml:space="preserve">is considered </w:t>
      </w:r>
      <w:r>
        <w:t xml:space="preserve">“overpaid” if the amount paid by the insurance company exceeds the estimated amount for an individual line item. When </w:t>
      </w:r>
      <w:r w:rsidR="00251C04">
        <w:t xml:space="preserve">you are </w:t>
      </w:r>
      <w:r>
        <w:t xml:space="preserve">posting a batch insurance payment, the </w:t>
      </w:r>
      <w:r w:rsidR="00251C04" w:rsidRPr="00251C04">
        <w:rPr>
          <w:b/>
          <w:bCs/>
        </w:rPr>
        <w:t>P</w:t>
      </w:r>
      <w:r w:rsidRPr="00251C04">
        <w:rPr>
          <w:b/>
          <w:bCs/>
        </w:rPr>
        <w:t xml:space="preserve">rocedures </w:t>
      </w:r>
      <w:r w:rsidR="00251C04" w:rsidRPr="00251C04">
        <w:rPr>
          <w:b/>
          <w:bCs/>
        </w:rPr>
        <w:t>U</w:t>
      </w:r>
      <w:r w:rsidRPr="00251C04">
        <w:rPr>
          <w:b/>
          <w:bCs/>
        </w:rPr>
        <w:t xml:space="preserve">ndercharged or </w:t>
      </w:r>
      <w:r w:rsidR="00251C04" w:rsidRPr="00251C04">
        <w:rPr>
          <w:b/>
          <w:bCs/>
        </w:rPr>
        <w:t>O</w:t>
      </w:r>
      <w:r w:rsidRPr="00251C04">
        <w:rPr>
          <w:b/>
          <w:bCs/>
        </w:rPr>
        <w:t>verpaid</w:t>
      </w:r>
      <w:r>
        <w:t xml:space="preserve"> </w:t>
      </w:r>
      <w:r w:rsidR="00251C04">
        <w:t>dialog box appears so you can</w:t>
      </w:r>
      <w:r>
        <w:t xml:space="preserve"> allocate the overpayment. The following actions are available:</w:t>
      </w:r>
    </w:p>
    <w:p w14:paraId="4930B8BE" w14:textId="0105238E" w:rsidR="00B3072B" w:rsidRPr="00AB2B67" w:rsidRDefault="00B3072B">
      <w:pPr>
        <w:pStyle w:val="BodyText"/>
        <w:numPr>
          <w:ilvl w:val="1"/>
          <w:numId w:val="147"/>
        </w:numPr>
        <w:ind w:left="1080"/>
      </w:pPr>
      <w:r w:rsidRPr="00251C04">
        <w:rPr>
          <w:b/>
          <w:bCs/>
        </w:rPr>
        <w:t xml:space="preserve">Add Charge Adjustment to Claim and </w:t>
      </w:r>
      <w:r w:rsidR="00251C04">
        <w:rPr>
          <w:b/>
          <w:bCs/>
        </w:rPr>
        <w:t>a</w:t>
      </w:r>
      <w:r w:rsidRPr="00251C04">
        <w:rPr>
          <w:b/>
          <w:bCs/>
        </w:rPr>
        <w:t xml:space="preserve">pply </w:t>
      </w:r>
      <w:r w:rsidR="00251C04">
        <w:rPr>
          <w:b/>
          <w:bCs/>
        </w:rPr>
        <w:t>r</w:t>
      </w:r>
      <w:r w:rsidRPr="00251C04">
        <w:rPr>
          <w:b/>
          <w:bCs/>
        </w:rPr>
        <w:t>emaining</w:t>
      </w:r>
      <w:r w:rsidRPr="00AB2B67">
        <w:t xml:space="preserve"> </w:t>
      </w:r>
      <w:r w:rsidR="00251C04">
        <w:t>–</w:t>
      </w:r>
      <w:r w:rsidRPr="00AB2B67">
        <w:t xml:space="preserve"> This option adds a charge adjustment to the claim and applies it to the remaining balance (up to the maximum allowed charge for the procedure).</w:t>
      </w:r>
    </w:p>
    <w:p w14:paraId="6D2C2265" w14:textId="74A5F5CF" w:rsidR="00B3072B" w:rsidRPr="00AB2B67" w:rsidRDefault="00B3072B">
      <w:pPr>
        <w:pStyle w:val="BodyText"/>
        <w:numPr>
          <w:ilvl w:val="1"/>
          <w:numId w:val="147"/>
        </w:numPr>
        <w:ind w:left="1080"/>
      </w:pPr>
      <w:r w:rsidRPr="00251C04">
        <w:rPr>
          <w:b/>
          <w:bCs/>
        </w:rPr>
        <w:t>Suspend Credit for Refund or Credit to Patient</w:t>
      </w:r>
      <w:r w:rsidRPr="00AB2B67">
        <w:t xml:space="preserve"> </w:t>
      </w:r>
      <w:r w:rsidR="00251C04">
        <w:t>–</w:t>
      </w:r>
      <w:r w:rsidRPr="00AB2B67">
        <w:t xml:space="preserve"> This option adds offsetting adjustments to the claim to remove the balance and posts a suspended credit to the patient’s </w:t>
      </w:r>
      <w:r w:rsidR="00251C04">
        <w:t>l</w:t>
      </w:r>
      <w:r w:rsidRPr="00AB2B67">
        <w:t>edger for a refund or credit.</w:t>
      </w:r>
    </w:p>
    <w:p w14:paraId="51306092" w14:textId="1DD40A73" w:rsidR="00B3072B" w:rsidRPr="00AB2B67" w:rsidRDefault="00B3072B">
      <w:pPr>
        <w:pStyle w:val="BodyText"/>
        <w:numPr>
          <w:ilvl w:val="1"/>
          <w:numId w:val="147"/>
        </w:numPr>
        <w:ind w:left="1080"/>
      </w:pPr>
      <w:r w:rsidRPr="00251C04">
        <w:rPr>
          <w:b/>
          <w:bCs/>
        </w:rPr>
        <w:t>Allocate to procedure with remaining balance</w:t>
      </w:r>
      <w:r w:rsidR="00251C04">
        <w:t>.</w:t>
      </w:r>
    </w:p>
    <w:p w14:paraId="47F59FD3" w14:textId="6AA1A82E" w:rsidR="00B3072B" w:rsidRPr="00AB2B67" w:rsidRDefault="00B3072B">
      <w:pPr>
        <w:pStyle w:val="BodyText"/>
        <w:numPr>
          <w:ilvl w:val="1"/>
          <w:numId w:val="147"/>
        </w:numPr>
        <w:ind w:left="1080"/>
      </w:pPr>
      <w:r w:rsidRPr="00251C04">
        <w:rPr>
          <w:b/>
          <w:bCs/>
        </w:rPr>
        <w:t>Allocate charge adjustment to claim and apply remaining</w:t>
      </w:r>
      <w:r w:rsidR="00251C04">
        <w:t>.</w:t>
      </w:r>
    </w:p>
    <w:p w14:paraId="350132E0" w14:textId="56BDD4B6" w:rsidR="00B3072B" w:rsidRDefault="00B3072B">
      <w:pPr>
        <w:pStyle w:val="BodyText"/>
        <w:numPr>
          <w:ilvl w:val="1"/>
          <w:numId w:val="147"/>
        </w:numPr>
        <w:ind w:left="1080"/>
        <w:rPr>
          <w:b/>
          <w:bCs/>
        </w:rPr>
      </w:pPr>
      <w:r w:rsidRPr="00251C04">
        <w:rPr>
          <w:b/>
          <w:bCs/>
        </w:rPr>
        <w:t>Reduce Guarantor credit amount and apply to procedure</w:t>
      </w:r>
      <w:r w:rsidR="00251C04">
        <w:t>.</w:t>
      </w:r>
    </w:p>
    <w:p w14:paraId="2C18B761" w14:textId="14CE4ED4" w:rsidR="00B3072B" w:rsidRPr="00AB2B67" w:rsidRDefault="00B3072B">
      <w:pPr>
        <w:pStyle w:val="BodyText"/>
        <w:numPr>
          <w:ilvl w:val="0"/>
          <w:numId w:val="146"/>
        </w:numPr>
        <w:ind w:left="540"/>
        <w:rPr>
          <w:color w:val="000000" w:themeColor="text1"/>
        </w:rPr>
      </w:pPr>
      <w:r>
        <w:rPr>
          <w:b/>
          <w:bCs/>
        </w:rPr>
        <w:t>Insurance U</w:t>
      </w:r>
      <w:r w:rsidRPr="595666BA">
        <w:rPr>
          <w:b/>
          <w:bCs/>
        </w:rPr>
        <w:t>nderpayments</w:t>
      </w:r>
      <w:r>
        <w:rPr>
          <w:b/>
          <w:bCs/>
        </w:rPr>
        <w:t xml:space="preserve"> </w:t>
      </w:r>
      <w:r w:rsidR="00251C04">
        <w:rPr>
          <w:b/>
          <w:bCs/>
        </w:rPr>
        <w:t>–</w:t>
      </w:r>
      <w:r w:rsidRPr="595666BA">
        <w:rPr>
          <w:b/>
          <w:bCs/>
        </w:rPr>
        <w:t xml:space="preserve"> </w:t>
      </w:r>
      <w:r w:rsidR="00251C04">
        <w:t>A procedure is considered</w:t>
      </w:r>
      <w:r w:rsidRPr="595666BA">
        <w:t xml:space="preserve"> “underpa</w:t>
      </w:r>
      <w:r w:rsidR="00251C04">
        <w:t>id</w:t>
      </w:r>
      <w:r w:rsidRPr="595666BA">
        <w:t xml:space="preserve">” </w:t>
      </w:r>
      <w:r w:rsidR="00251C04">
        <w:t>if</w:t>
      </w:r>
      <w:r w:rsidRPr="595666BA">
        <w:t xml:space="preserve"> the amount paid by the insurance payment is less than the estimated amount for an individual line item. When </w:t>
      </w:r>
      <w:r w:rsidR="00251C04">
        <w:t xml:space="preserve">you are </w:t>
      </w:r>
      <w:r w:rsidRPr="595666BA">
        <w:t xml:space="preserve">posting a batch insurance payment, the </w:t>
      </w:r>
      <w:r w:rsidR="00251C04" w:rsidRPr="00251C04">
        <w:rPr>
          <w:b/>
          <w:bCs/>
        </w:rPr>
        <w:t>Procedures Undercharged or Overpaid</w:t>
      </w:r>
      <w:r w:rsidR="00251C04">
        <w:t xml:space="preserve"> dialog box appears so you can</w:t>
      </w:r>
      <w:r>
        <w:t xml:space="preserve"> ad</w:t>
      </w:r>
      <w:r w:rsidRPr="595666BA">
        <w:t>dress the underpayment.</w:t>
      </w:r>
    </w:p>
    <w:p w14:paraId="5E0B9F74" w14:textId="703AA2A9" w:rsidR="007264E7" w:rsidRPr="007264E7" w:rsidRDefault="00407AF4" w:rsidP="004267C0">
      <w:pPr>
        <w:pStyle w:val="Heading2"/>
      </w:pPr>
      <w:bookmarkStart w:id="192" w:name="_Toc135416726"/>
      <w:bookmarkStart w:id="193" w:name="_Toc146183334"/>
      <w:r>
        <w:lastRenderedPageBreak/>
        <w:t xml:space="preserve">Posting </w:t>
      </w:r>
      <w:r w:rsidR="00B3072B" w:rsidRPr="46812195">
        <w:t>P</w:t>
      </w:r>
      <w:bookmarkEnd w:id="192"/>
      <w:r>
        <w:t>ayments</w:t>
      </w:r>
      <w:bookmarkEnd w:id="193"/>
    </w:p>
    <w:p w14:paraId="4B3FCDBE" w14:textId="02150346" w:rsidR="00B3072B" w:rsidRDefault="00251C04" w:rsidP="007264E7">
      <w:pPr>
        <w:pStyle w:val="BodyText"/>
      </w:pPr>
      <w:r>
        <w:t>In Dentrix Enterprise, you can m</w:t>
      </w:r>
      <w:r w:rsidR="00B3072B">
        <w:t>anage patient payment allocation</w:t>
      </w:r>
      <w:r>
        <w:t>s</w:t>
      </w:r>
      <w:r w:rsidR="00B3072B">
        <w:t xml:space="preserve"> and adjustments</w:t>
      </w:r>
      <w:r>
        <w:t>.</w:t>
      </w:r>
    </w:p>
    <w:p w14:paraId="69C4D321" w14:textId="77777777" w:rsidR="00B3072B" w:rsidRPr="00AB2B67" w:rsidRDefault="00B3072B" w:rsidP="00AB2B67">
      <w:pPr>
        <w:pStyle w:val="BodyText"/>
      </w:pPr>
      <w:r w:rsidRPr="00454D84">
        <w:rPr>
          <w:color w:val="00B050"/>
        </w:rPr>
        <w:t>&lt;&lt;Insert Patient Payment, Allocations and Credits decision support/SOP/guidance here&gt;&gt;</w:t>
      </w:r>
    </w:p>
    <w:p w14:paraId="5B11F9F7" w14:textId="05A59624" w:rsidR="007264E7" w:rsidRPr="007264E7" w:rsidRDefault="00B3072B" w:rsidP="00D42C5A">
      <w:pPr>
        <w:pStyle w:val="Heading3"/>
      </w:pPr>
      <w:bookmarkStart w:id="194" w:name="_Toc135416727"/>
      <w:bookmarkStart w:id="195" w:name="_Toc146183335"/>
      <w:r>
        <w:t>Patient Payments</w:t>
      </w:r>
      <w:bookmarkEnd w:id="194"/>
      <w:bookmarkEnd w:id="195"/>
    </w:p>
    <w:p w14:paraId="3EE4826A" w14:textId="7B2B35D8" w:rsidR="00B3072B" w:rsidRDefault="00B3072B" w:rsidP="007264E7">
      <w:pPr>
        <w:pStyle w:val="BodyText"/>
        <w:widowControl w:val="0"/>
        <w:autoSpaceDE w:val="0"/>
        <w:autoSpaceDN w:val="0"/>
        <w:spacing w:before="22" w:after="240"/>
        <w:rPr>
          <w:b/>
          <w:bCs/>
          <w:color w:val="000000" w:themeColor="text1"/>
        </w:rPr>
      </w:pPr>
      <w:r w:rsidRPr="2B4022DB">
        <w:t xml:space="preserve">Even if you apply a payment to charges for a family member other than the guarantor, all patient payments are classified as guarantor payments. Guarantor payments always appear in the ledger view, so you can easily see when the last time a payment was made to the account. </w:t>
      </w:r>
    </w:p>
    <w:p w14:paraId="1E45602C" w14:textId="0AB414EA" w:rsidR="00AB2B67" w:rsidRDefault="00B3072B" w:rsidP="00AB2B67">
      <w:pPr>
        <w:pStyle w:val="Heading4"/>
      </w:pPr>
      <w:r>
        <w:t>Payment T</w:t>
      </w:r>
      <w:r w:rsidRPr="2B4022DB">
        <w:t>ypes</w:t>
      </w:r>
    </w:p>
    <w:p w14:paraId="5F6BE5C9" w14:textId="04D22B30" w:rsidR="00B3072B" w:rsidRDefault="00B3072B" w:rsidP="00AB2B67">
      <w:pPr>
        <w:pStyle w:val="BodyText"/>
        <w:rPr>
          <w:b/>
          <w:bCs/>
          <w:color w:val="000000" w:themeColor="text1"/>
        </w:rPr>
      </w:pPr>
      <w:r w:rsidRPr="2B4022DB">
        <w:t xml:space="preserve">There are two general categories in the system for payments: Insurance payments and guarantor payments. Payments </w:t>
      </w:r>
      <w:r w:rsidR="00251C04">
        <w:t xml:space="preserve">that are </w:t>
      </w:r>
      <w:r w:rsidRPr="2B4022DB">
        <w:t xml:space="preserve">attached to an insurance claim generated in Dentrix Enterprise are categorized as insurance payments. Payments </w:t>
      </w:r>
      <w:r w:rsidR="00251C04">
        <w:t xml:space="preserve">that are </w:t>
      </w:r>
      <w:r w:rsidRPr="2B4022DB">
        <w:t xml:space="preserve">received from patients are categorized as guarantor payments. To assist you in classifying the different types of payments received from patients, </w:t>
      </w:r>
      <w:r w:rsidR="00251C04">
        <w:t xml:space="preserve">you can add and customize </w:t>
      </w:r>
      <w:r w:rsidRPr="2B4022DB">
        <w:t>guarantor payment types</w:t>
      </w:r>
      <w:r w:rsidR="00251C04">
        <w:t xml:space="preserve"> in Practice Definitions</w:t>
      </w:r>
      <w:r w:rsidRPr="2B4022DB">
        <w:t xml:space="preserve">. You can define up to 99 payment types.  </w:t>
      </w:r>
    </w:p>
    <w:p w14:paraId="495B4296" w14:textId="6894C41A" w:rsidR="00B3072B" w:rsidRPr="00AB2B67" w:rsidRDefault="00B3072B">
      <w:pPr>
        <w:pStyle w:val="BodyText"/>
        <w:numPr>
          <w:ilvl w:val="0"/>
          <w:numId w:val="146"/>
        </w:numPr>
        <w:ind w:left="540"/>
      </w:pPr>
      <w:r w:rsidRPr="2B4022DB">
        <w:t>Spelling</w:t>
      </w:r>
      <w:r w:rsidRPr="00AB2B67">
        <w:t xml:space="preserve"> and grammar are important </w:t>
      </w:r>
      <w:r w:rsidR="00251C04">
        <w:t>for</w:t>
      </w:r>
      <w:r w:rsidRPr="00AB2B67">
        <w:t xml:space="preserve"> payment types. Be sure to make payment types understandable and professional as </w:t>
      </w:r>
      <w:r w:rsidR="00251C04">
        <w:t>the description of a payment appears</w:t>
      </w:r>
      <w:r w:rsidRPr="00AB2B67">
        <w:t xml:space="preserve"> on billing and walkout statements.</w:t>
      </w:r>
    </w:p>
    <w:p w14:paraId="4D1643EA" w14:textId="4981AC90" w:rsidR="00B3072B" w:rsidRPr="00AB2B67" w:rsidRDefault="00B3072B">
      <w:pPr>
        <w:pStyle w:val="BodyText"/>
        <w:numPr>
          <w:ilvl w:val="0"/>
          <w:numId w:val="146"/>
        </w:numPr>
        <w:ind w:left="540"/>
      </w:pPr>
      <w:r w:rsidRPr="00AB2B67">
        <w:t xml:space="preserve">If you want to use a payment type for processing credit cards through Axia, select the </w:t>
      </w:r>
      <w:r w:rsidRPr="00251C04">
        <w:rPr>
          <w:b/>
          <w:bCs/>
        </w:rPr>
        <w:t>Associate with Axia CC Processing</w:t>
      </w:r>
      <w:r w:rsidRPr="00AB2B67">
        <w:t xml:space="preserve"> checkbox. </w:t>
      </w:r>
      <w:r w:rsidR="00251C04">
        <w:t>Also</w:t>
      </w:r>
      <w:r w:rsidRPr="00AB2B67">
        <w:t xml:space="preserve">, if you want a copy of the details from a receipt to be included in the notes of the payment, select the </w:t>
      </w:r>
      <w:r w:rsidRPr="00251C04">
        <w:rPr>
          <w:b/>
          <w:bCs/>
        </w:rPr>
        <w:t>Copy receipt details to the notes</w:t>
      </w:r>
      <w:r w:rsidRPr="00AB2B67">
        <w:t xml:space="preserve"> checkbox. </w:t>
      </w:r>
    </w:p>
    <w:p w14:paraId="6A385686" w14:textId="3717C66B" w:rsidR="00B3072B" w:rsidRDefault="00251C04">
      <w:pPr>
        <w:pStyle w:val="BodyText"/>
        <w:numPr>
          <w:ilvl w:val="0"/>
          <w:numId w:val="146"/>
        </w:numPr>
        <w:ind w:left="540"/>
        <w:rPr>
          <w:b/>
          <w:bCs/>
          <w:color w:val="000000" w:themeColor="text1"/>
        </w:rPr>
      </w:pPr>
      <w:r>
        <w:t xml:space="preserve">You cannot delete a </w:t>
      </w:r>
      <w:r w:rsidR="00B3072B" w:rsidRPr="00AB2B67">
        <w:t xml:space="preserve">payment type </w:t>
      </w:r>
      <w:r>
        <w:t>definition</w:t>
      </w:r>
      <w:r w:rsidR="00B3072B" w:rsidRPr="00AB2B67">
        <w:t xml:space="preserve"> if </w:t>
      </w:r>
      <w:r>
        <w:t>the payment type</w:t>
      </w:r>
      <w:r w:rsidR="00B3072B" w:rsidRPr="00AB2B67">
        <w:t xml:space="preserve"> </w:t>
      </w:r>
      <w:r>
        <w:t>is</w:t>
      </w:r>
      <w:r w:rsidR="00B3072B" w:rsidRPr="2B4022DB">
        <w:t xml:space="preserve"> associated with a payment that has been posted to any patient’s ledger.  </w:t>
      </w:r>
    </w:p>
    <w:p w14:paraId="1297524C" w14:textId="7A511574" w:rsidR="00AB2B67" w:rsidRDefault="00B3072B" w:rsidP="00AB2B67">
      <w:pPr>
        <w:pStyle w:val="Heading4"/>
      </w:pPr>
      <w:r w:rsidRPr="2B4022DB">
        <w:t>Family /</w:t>
      </w:r>
      <w:r>
        <w:t xml:space="preserve"> </w:t>
      </w:r>
      <w:r w:rsidRPr="2B4022DB">
        <w:t>Patient</w:t>
      </w:r>
    </w:p>
    <w:p w14:paraId="066E9F14" w14:textId="6D850343" w:rsidR="00B3072B" w:rsidRDefault="00E048C2" w:rsidP="00E048C2">
      <w:pPr>
        <w:pStyle w:val="BodyText"/>
        <w:rPr>
          <w:b/>
          <w:bCs/>
          <w:color w:val="000000" w:themeColor="text1"/>
        </w:rPr>
      </w:pPr>
      <w:r>
        <w:t>For payments, t</w:t>
      </w:r>
      <w:r w:rsidR="00251C04">
        <w:t xml:space="preserve">he </w:t>
      </w:r>
      <w:r w:rsidR="00B3072B" w:rsidRPr="2B4022DB">
        <w:t>default</w:t>
      </w:r>
      <w:r w:rsidR="00251C04">
        <w:t xml:space="preserve"> selection for</w:t>
      </w:r>
      <w:r w:rsidR="00B3072B" w:rsidRPr="2B4022DB">
        <w:t xml:space="preserve"> </w:t>
      </w:r>
      <w:r w:rsidR="00B3072B" w:rsidRPr="2B4022DB">
        <w:rPr>
          <w:b/>
          <w:bCs/>
        </w:rPr>
        <w:t xml:space="preserve">Apply to charges for </w:t>
      </w:r>
      <w:r w:rsidR="00B3072B" w:rsidRPr="2B4022DB">
        <w:t xml:space="preserve">can be set to </w:t>
      </w:r>
      <w:r>
        <w:t>the f</w:t>
      </w:r>
      <w:r w:rsidR="00B3072B" w:rsidRPr="2B4022DB">
        <w:t>amily or who</w:t>
      </w:r>
      <w:r w:rsidR="00B3072B">
        <w:t>m</w:t>
      </w:r>
      <w:r w:rsidR="00B3072B" w:rsidRPr="2B4022DB">
        <w:t xml:space="preserve">ever is currently being viewed in </w:t>
      </w:r>
      <w:r>
        <w:t>L</w:t>
      </w:r>
      <w:r w:rsidR="00B3072B" w:rsidRPr="2B4022DB">
        <w:t xml:space="preserve">edger. </w:t>
      </w:r>
      <w:r>
        <w:t>We</w:t>
      </w:r>
      <w:r w:rsidR="00B3072B" w:rsidRPr="2B4022DB">
        <w:t xml:space="preserve"> recommend</w:t>
      </w:r>
      <w:r>
        <w:t xml:space="preserve"> that the </w:t>
      </w:r>
      <w:r w:rsidR="00B3072B" w:rsidRPr="2B4022DB">
        <w:t xml:space="preserve">individual ledger view is used for easily maintaining individual patient balances within the families. </w:t>
      </w:r>
      <w:r>
        <w:t>Allocating the payment to the</w:t>
      </w:r>
      <w:r w:rsidR="00B3072B" w:rsidRPr="2B4022DB">
        <w:t xml:space="preserve"> family</w:t>
      </w:r>
      <w:r>
        <w:t>,</w:t>
      </w:r>
      <w:r w:rsidR="00B3072B" w:rsidRPr="2B4022DB">
        <w:t xml:space="preserve"> </w:t>
      </w:r>
      <w:proofErr w:type="gramStart"/>
      <w:r w:rsidR="00B3072B" w:rsidRPr="2B4022DB">
        <w:t>allocate</w:t>
      </w:r>
      <w:r>
        <w:t>s</w:t>
      </w:r>
      <w:proofErr w:type="gramEnd"/>
      <w:r w:rsidR="00B3072B" w:rsidRPr="2B4022DB">
        <w:t xml:space="preserve"> the payment using FIFO to all balances for the family</w:t>
      </w:r>
      <w:r>
        <w:t>; i</w:t>
      </w:r>
      <w:r w:rsidR="00B3072B" w:rsidRPr="2B4022DB">
        <w:t xml:space="preserve">f the patient </w:t>
      </w:r>
      <w:r>
        <w:t>should</w:t>
      </w:r>
      <w:r w:rsidR="00B3072B" w:rsidRPr="2B4022DB">
        <w:t xml:space="preserve"> pay for only th</w:t>
      </w:r>
      <w:r>
        <w:t>at</w:t>
      </w:r>
      <w:r w:rsidR="00B3072B" w:rsidRPr="2B4022DB">
        <w:t xml:space="preserve"> individual’s balance</w:t>
      </w:r>
      <w:r>
        <w:t>,</w:t>
      </w:r>
      <w:r w:rsidR="00B3072B" w:rsidRPr="2B4022DB">
        <w:t xml:space="preserve"> </w:t>
      </w:r>
      <w:r>
        <w:t>using the family option</w:t>
      </w:r>
      <w:r w:rsidR="00B3072B" w:rsidRPr="2B4022DB">
        <w:t xml:space="preserve"> could result in the need for manually adjusting allocations.</w:t>
      </w:r>
      <w:r>
        <w:t xml:space="preserve"> When you are entering payments, you can select whether</w:t>
      </w:r>
      <w:r w:rsidR="00B3072B" w:rsidRPr="2B4022DB">
        <w:t xml:space="preserve"> to apply payments to the family or other individual family members as needed.</w:t>
      </w:r>
    </w:p>
    <w:p w14:paraId="6D123B37" w14:textId="001687EB" w:rsidR="00AB2B67" w:rsidRDefault="00B3072B" w:rsidP="00AB2B67">
      <w:pPr>
        <w:pStyle w:val="Heading4"/>
      </w:pPr>
      <w:r w:rsidRPr="2B4022DB">
        <w:lastRenderedPageBreak/>
        <w:t>Integrated</w:t>
      </w:r>
      <w:r>
        <w:t xml:space="preserve"> </w:t>
      </w:r>
      <w:r w:rsidRPr="2B4022DB">
        <w:t>/</w:t>
      </w:r>
      <w:r>
        <w:t xml:space="preserve"> Automated</w:t>
      </w:r>
    </w:p>
    <w:p w14:paraId="5CD984CD" w14:textId="4F56B5CE" w:rsidR="00B3072B" w:rsidRDefault="00B3072B" w:rsidP="000D7FFC">
      <w:pPr>
        <w:pStyle w:val="BodyText"/>
        <w:keepNext/>
        <w:keepLines/>
        <w:rPr>
          <w:b/>
          <w:bCs/>
          <w:color w:val="000000" w:themeColor="text1"/>
        </w:rPr>
      </w:pPr>
      <w:r w:rsidRPr="2B4022DB">
        <w:t xml:space="preserve">If the selected payment type has a </w:t>
      </w:r>
      <w:r w:rsidR="00E048C2">
        <w:t>“</w:t>
      </w:r>
      <w:r w:rsidRPr="2B4022DB">
        <w:t>[cc]</w:t>
      </w:r>
      <w:r w:rsidR="00E048C2">
        <w:t>”</w:t>
      </w:r>
      <w:r w:rsidRPr="2B4022DB">
        <w:t xml:space="preserve"> at the end of the name, you can use Axia to process a credit card</w:t>
      </w:r>
      <w:r w:rsidR="00E048C2">
        <w:t>. S</w:t>
      </w:r>
      <w:r w:rsidRPr="2B4022DB">
        <w:t>elect the credit card terminal that you want to use for this payment (the selection will be saved f</w:t>
      </w:r>
      <w:r>
        <w:t>or the user account</w:t>
      </w:r>
      <w:r w:rsidRPr="2B4022DB">
        <w:t xml:space="preserve"> currently logg</w:t>
      </w:r>
      <w:r>
        <w:t xml:space="preserve">ed </w:t>
      </w:r>
      <w:r w:rsidR="00E048C2">
        <w:t>i</w:t>
      </w:r>
      <w:r>
        <w:t>n to Dentrix Enterprise</w:t>
      </w:r>
      <w:r w:rsidRPr="2B4022DB">
        <w:t xml:space="preserve">). </w:t>
      </w:r>
    </w:p>
    <w:p w14:paraId="1FC891B4" w14:textId="510AB1A7" w:rsidR="00B3072B" w:rsidRDefault="00B3072B" w:rsidP="000D7FFC">
      <w:pPr>
        <w:pStyle w:val="BodyText"/>
        <w:keepNext/>
        <w:keepLines/>
        <w:rPr>
          <w:b/>
          <w:bCs/>
          <w:color w:val="000000" w:themeColor="text1"/>
        </w:rPr>
      </w:pPr>
      <w:r w:rsidRPr="2B4022DB">
        <w:t xml:space="preserve">You can refund a patient’s credit card for the amount of payment that was posted in </w:t>
      </w:r>
      <w:r w:rsidR="00E048C2">
        <w:t>L</w:t>
      </w:r>
      <w:r w:rsidRPr="2B4022DB">
        <w:t xml:space="preserve">edger if the payment is associated with an Axia credit card transaction. If the transaction has not been settled yet by Axia (no money has been transferred yet; this usually happens at the end of the business day), the credit card transaction will not be handled as a refund but will be voided.  </w:t>
      </w:r>
    </w:p>
    <w:p w14:paraId="6C8A6913" w14:textId="2D42D9BE" w:rsidR="00B3072B" w:rsidRPr="00E048C2" w:rsidRDefault="00B3072B" w:rsidP="00AB2B67">
      <w:pPr>
        <w:pStyle w:val="BodyText"/>
        <w:rPr>
          <w:i/>
          <w:iCs/>
          <w:u w:val="single"/>
        </w:rPr>
      </w:pPr>
      <w:r w:rsidRPr="00E048C2">
        <w:rPr>
          <w:b/>
          <w:bCs/>
          <w:i/>
          <w:iCs/>
        </w:rPr>
        <w:t>Workflow Insight</w:t>
      </w:r>
      <w:r w:rsidRPr="00E048C2">
        <w:rPr>
          <w:i/>
          <w:iCs/>
        </w:rPr>
        <w:t>: When a patient makes a payment, you can credit the payment to individual patient charges or to the entire family balance (oldest balance first). Also, you can post pre-payments and suspended payments that are not immediately allocated to a charge.</w:t>
      </w:r>
    </w:p>
    <w:p w14:paraId="363F9734" w14:textId="73BF263F" w:rsidR="007264E7" w:rsidRPr="007264E7" w:rsidRDefault="00B3072B" w:rsidP="00D42C5A">
      <w:pPr>
        <w:pStyle w:val="Heading3"/>
      </w:pPr>
      <w:bookmarkStart w:id="196" w:name="_Toc135416728"/>
      <w:bookmarkStart w:id="197" w:name="_Toc146183336"/>
      <w:r w:rsidRPr="2B4022DB">
        <w:t>Adjust</w:t>
      </w:r>
      <w:bookmarkEnd w:id="196"/>
      <w:r w:rsidR="00E048C2">
        <w:t>ments</w:t>
      </w:r>
      <w:bookmarkEnd w:id="197"/>
    </w:p>
    <w:p w14:paraId="14EDF112" w14:textId="3C7D840C" w:rsidR="00B3072B" w:rsidRPr="00A07EE9" w:rsidRDefault="00B3072B" w:rsidP="007264E7">
      <w:pPr>
        <w:pStyle w:val="BodyText"/>
        <w:rPr>
          <w:b/>
          <w:bCs/>
          <w:color w:val="000000" w:themeColor="text1"/>
        </w:rPr>
      </w:pPr>
      <w:r w:rsidRPr="2B4022DB">
        <w:t xml:space="preserve">Dentrix Enterprise aligns itself with generally accepted accounting principles (GAAP), which recommends that you enter adjustments to correct posting errors, record refunds, and offer discounts.  Posting adjustments instead of just editing procedure amounts will allow you to accurately track how those adjustments affect revenue.  </w:t>
      </w:r>
    </w:p>
    <w:p w14:paraId="1632F56E" w14:textId="7A55BF58" w:rsidR="00AB2B67" w:rsidRDefault="00B3072B" w:rsidP="00AB2B67">
      <w:pPr>
        <w:pStyle w:val="Heading4"/>
      </w:pPr>
      <w:r w:rsidRPr="2B4022DB">
        <w:t xml:space="preserve">Production </w:t>
      </w:r>
      <w:r w:rsidR="00E048C2">
        <w:t>Versus</w:t>
      </w:r>
      <w:r w:rsidRPr="2B4022DB">
        <w:t xml:space="preserve"> Collection</w:t>
      </w:r>
    </w:p>
    <w:p w14:paraId="0745FA10" w14:textId="1CE757BB" w:rsidR="00B3072B" w:rsidRPr="00A07EE9" w:rsidRDefault="00B3072B" w:rsidP="00AB2B67">
      <w:pPr>
        <w:pStyle w:val="BodyText"/>
        <w:rPr>
          <w:b/>
          <w:bCs/>
          <w:color w:val="000000" w:themeColor="text1"/>
        </w:rPr>
      </w:pPr>
      <w:r w:rsidRPr="2B4022DB">
        <w:t>For reporting purposes, adjustments can be assigned as either Production adjustments or Collection adjustments. By default, all debit adjustments are in the production adjustments list</w:t>
      </w:r>
      <w:r w:rsidR="00E048C2">
        <w:t>,</w:t>
      </w:r>
      <w:r w:rsidRPr="2B4022DB">
        <w:t xml:space="preserve"> and all credit adjustments are in the collection adjustments list.  </w:t>
      </w:r>
    </w:p>
    <w:p w14:paraId="2296E5F8" w14:textId="1A608D78" w:rsidR="00B3072B" w:rsidRDefault="00B3072B" w:rsidP="00AB2B67">
      <w:pPr>
        <w:pStyle w:val="BodyText"/>
        <w:rPr>
          <w:b/>
          <w:bCs/>
          <w:color w:val="000000" w:themeColor="text1"/>
        </w:rPr>
      </w:pPr>
      <w:r w:rsidRPr="2B4022DB">
        <w:t>When</w:t>
      </w:r>
      <w:r w:rsidR="00E048C2">
        <w:t xml:space="preserve"> you are</w:t>
      </w:r>
      <w:r w:rsidRPr="2B4022DB">
        <w:t xml:space="preserve"> adding adjustments to the system, it is helpful to include some sort of identifier in the nam</w:t>
      </w:r>
      <w:r w:rsidR="00E048C2">
        <w:t>e</w:t>
      </w:r>
      <w:r w:rsidRPr="2B4022DB">
        <w:t xml:space="preserve"> of the adjustments to assist with selecting the correct type of adjustment for adjusting production or collections.</w:t>
      </w:r>
    </w:p>
    <w:p w14:paraId="120130BD" w14:textId="7E373CD5" w:rsidR="00B3072B" w:rsidRPr="00A07EE9" w:rsidRDefault="00B3072B" w:rsidP="00AB2B67">
      <w:pPr>
        <w:pStyle w:val="Heading4"/>
      </w:pPr>
      <w:r>
        <w:t>A</w:t>
      </w:r>
      <w:r w:rsidRPr="2B4022DB">
        <w:t>djustment</w:t>
      </w:r>
      <w:r w:rsidR="00E048C2">
        <w:t xml:space="preserve"> Type</w:t>
      </w:r>
      <w:r w:rsidRPr="2B4022DB">
        <w:t>s</w:t>
      </w:r>
    </w:p>
    <w:p w14:paraId="66C565A6" w14:textId="5C2E540A" w:rsidR="00B3072B" w:rsidRPr="00E048C2" w:rsidRDefault="00B3072B" w:rsidP="007F28DF">
      <w:pPr>
        <w:pStyle w:val="BodyText"/>
        <w:numPr>
          <w:ilvl w:val="0"/>
          <w:numId w:val="148"/>
        </w:numPr>
        <w:ind w:left="540"/>
        <w:rPr>
          <w:b/>
          <w:bCs/>
          <w:color w:val="000000" w:themeColor="text1"/>
        </w:rPr>
      </w:pPr>
      <w:r w:rsidRPr="00E048C2">
        <w:rPr>
          <w:b/>
          <w:bCs/>
        </w:rPr>
        <w:t xml:space="preserve">Credit </w:t>
      </w:r>
      <w:r w:rsidR="00E048C2">
        <w:rPr>
          <w:b/>
          <w:bCs/>
        </w:rPr>
        <w:t>a</w:t>
      </w:r>
      <w:r w:rsidRPr="00E048C2">
        <w:rPr>
          <w:b/>
          <w:bCs/>
        </w:rPr>
        <w:t>djustments</w:t>
      </w:r>
      <w:r>
        <w:t xml:space="preserve"> </w:t>
      </w:r>
      <w:r w:rsidR="00E048C2">
        <w:t>–</w:t>
      </w:r>
      <w:r w:rsidRPr="2B4022DB">
        <w:t xml:space="preserve"> When you enter an amount, </w:t>
      </w:r>
      <w:r>
        <w:t xml:space="preserve">Dentrix </w:t>
      </w:r>
      <w:r w:rsidRPr="2B4022DB">
        <w:t xml:space="preserve">Enterprise automatically allocates the adjustment to the oldest provider balances, according to the charges listed. The amount applied appears in the </w:t>
      </w:r>
      <w:r w:rsidRPr="00E048C2">
        <w:rPr>
          <w:b/>
        </w:rPr>
        <w:t>Applied</w:t>
      </w:r>
      <w:r w:rsidRPr="2B4022DB">
        <w:t xml:space="preserve"> column.</w:t>
      </w:r>
      <w:r w:rsidR="00E048C2">
        <w:t xml:space="preserve"> </w:t>
      </w:r>
      <w:r w:rsidRPr="2B4022DB">
        <w:t>If all or a portion of the adjustment has not been applied to any charges, a message appears and asks if you want to suspend the amount</w:t>
      </w:r>
      <w:r w:rsidR="00E048C2">
        <w:t>; t</w:t>
      </w:r>
      <w:r w:rsidRPr="2B4022DB">
        <w:t xml:space="preserve">he unapplied amount will be suspended but can be applied at a later time.  </w:t>
      </w:r>
    </w:p>
    <w:p w14:paraId="3DD970EA" w14:textId="120BA84E" w:rsidR="00B3072B" w:rsidRPr="00D74F52" w:rsidRDefault="00B3072B">
      <w:pPr>
        <w:pStyle w:val="BodyText"/>
        <w:numPr>
          <w:ilvl w:val="0"/>
          <w:numId w:val="148"/>
        </w:numPr>
        <w:ind w:left="540"/>
        <w:rPr>
          <w:b/>
          <w:bCs/>
          <w:color w:val="000000" w:themeColor="text1"/>
        </w:rPr>
      </w:pPr>
      <w:r w:rsidRPr="00AB2B67">
        <w:rPr>
          <w:b/>
          <w:bCs/>
        </w:rPr>
        <w:t xml:space="preserve">Charge </w:t>
      </w:r>
      <w:r w:rsidR="00E048C2">
        <w:rPr>
          <w:b/>
          <w:bCs/>
        </w:rPr>
        <w:t>a</w:t>
      </w:r>
      <w:r w:rsidRPr="00AB2B67">
        <w:rPr>
          <w:b/>
          <w:bCs/>
        </w:rPr>
        <w:t>djustments</w:t>
      </w:r>
      <w:r>
        <w:t xml:space="preserve"> </w:t>
      </w:r>
      <w:r w:rsidR="00E048C2">
        <w:t>–</w:t>
      </w:r>
      <w:r w:rsidRPr="2B4022DB">
        <w:t xml:space="preserve"> </w:t>
      </w:r>
      <w:r w:rsidR="00E048C2">
        <w:t>Dentrix Enterprise</w:t>
      </w:r>
      <w:r w:rsidRPr="2B4022DB">
        <w:t xml:space="preserve"> assigns the selected patient’s primary provider as the provider for the adjustment. </w:t>
      </w:r>
      <w:r w:rsidR="00E048C2">
        <w:t>When you are entering</w:t>
      </w:r>
      <w:r w:rsidR="005D72E9">
        <w:t xml:space="preserve"> the adjustment, y</w:t>
      </w:r>
      <w:r w:rsidR="00E048C2">
        <w:t>ou can change the provider</w:t>
      </w:r>
      <w:r w:rsidRPr="2B4022DB">
        <w:t xml:space="preserve"> if necessary. </w:t>
      </w:r>
      <w:r w:rsidR="005D72E9">
        <w:t xml:space="preserve">For </w:t>
      </w:r>
      <w:r w:rsidR="005D72E9" w:rsidRPr="005D72E9">
        <w:rPr>
          <w:b/>
          <w:bCs/>
        </w:rPr>
        <w:t>Apply Charge</w:t>
      </w:r>
      <w:r w:rsidR="005D72E9">
        <w:t>, select whether t</w:t>
      </w:r>
      <w:r w:rsidRPr="2B4022DB">
        <w:t>o apply the charge to the entire family’s balance</w:t>
      </w:r>
      <w:r w:rsidR="005D72E9">
        <w:t xml:space="preserve"> or </w:t>
      </w:r>
      <w:r w:rsidRPr="2B4022DB">
        <w:t xml:space="preserve">to apply the charge to only </w:t>
      </w:r>
      <w:r w:rsidR="005D72E9">
        <w:t xml:space="preserve">the </w:t>
      </w:r>
      <w:r w:rsidRPr="2B4022DB">
        <w:t>balance</w:t>
      </w:r>
      <w:r w:rsidR="005D72E9">
        <w:t xml:space="preserve"> of the patient you specify</w:t>
      </w:r>
      <w:r w:rsidRPr="2B4022DB">
        <w:t xml:space="preserve">.  </w:t>
      </w:r>
    </w:p>
    <w:p w14:paraId="3D48A922" w14:textId="0EC4133F" w:rsidR="007264E7" w:rsidRPr="007264E7" w:rsidRDefault="00B3072B" w:rsidP="00D42C5A">
      <w:pPr>
        <w:pStyle w:val="Heading3"/>
      </w:pPr>
      <w:bookmarkStart w:id="198" w:name="_Toc135416729"/>
      <w:bookmarkStart w:id="199" w:name="_Toc146183337"/>
      <w:r>
        <w:lastRenderedPageBreak/>
        <w:t>Suspended C</w:t>
      </w:r>
      <w:r w:rsidRPr="2B4022DB">
        <w:t>redits</w:t>
      </w:r>
      <w:bookmarkEnd w:id="198"/>
      <w:bookmarkEnd w:id="199"/>
    </w:p>
    <w:p w14:paraId="59CD9227" w14:textId="072AC1A6" w:rsidR="00B3072B" w:rsidRDefault="00B3072B" w:rsidP="000D7FFC">
      <w:pPr>
        <w:pStyle w:val="BodyText"/>
        <w:keepNext/>
        <w:keepLines/>
        <w:rPr>
          <w:b/>
          <w:bCs/>
          <w:color w:val="000000" w:themeColor="text1"/>
        </w:rPr>
      </w:pPr>
      <w:r w:rsidRPr="2B4022DB">
        <w:t xml:space="preserve">Any payments or credits that </w:t>
      </w:r>
      <w:r w:rsidR="005D72E9">
        <w:t>are</w:t>
      </w:r>
      <w:r w:rsidRPr="2B4022DB">
        <w:t xml:space="preserve"> not allocated to a procedure or a debit adjustment </w:t>
      </w:r>
      <w:r w:rsidR="005D72E9">
        <w:t>are</w:t>
      </w:r>
      <w:r w:rsidRPr="2B4022DB">
        <w:t xml:space="preserve"> considered suspended credit</w:t>
      </w:r>
      <w:r w:rsidR="005D72E9">
        <w:t>s</w:t>
      </w:r>
      <w:r w:rsidRPr="2B4022DB">
        <w:t>. This is similar to a “credit balance”</w:t>
      </w:r>
      <w:r w:rsidR="005D72E9">
        <w:t>;</w:t>
      </w:r>
      <w:r>
        <w:t xml:space="preserve"> the difference being that the </w:t>
      </w:r>
      <w:r w:rsidR="005D72E9">
        <w:t>l</w:t>
      </w:r>
      <w:r w:rsidRPr="2B4022DB">
        <w:t>edger can have a balance and a suspended credit, whereas a credit balance is generally an overpayment.</w:t>
      </w:r>
    </w:p>
    <w:p w14:paraId="1BB137A4" w14:textId="69118A10" w:rsidR="00AB2B67" w:rsidRDefault="00B3072B" w:rsidP="00AB2B67">
      <w:pPr>
        <w:pStyle w:val="Heading4"/>
      </w:pPr>
      <w:r w:rsidRPr="2B4022DB">
        <w:t>Patient</w:t>
      </w:r>
    </w:p>
    <w:p w14:paraId="3E6CD782" w14:textId="3B779531" w:rsidR="00B3072B" w:rsidRDefault="00B3072B" w:rsidP="00AB2B67">
      <w:pPr>
        <w:pStyle w:val="BodyText"/>
        <w:rPr>
          <w:b/>
          <w:bCs/>
          <w:color w:val="000000" w:themeColor="text1"/>
        </w:rPr>
      </w:pPr>
      <w:r w:rsidRPr="2B4022DB">
        <w:t xml:space="preserve">If a payment or credit </w:t>
      </w:r>
      <w:r w:rsidR="005D72E9">
        <w:t xml:space="preserve">that is </w:t>
      </w:r>
      <w:r w:rsidRPr="2B4022DB">
        <w:t xml:space="preserve">assigned to an individual patient results in a suspended credit, it is available to </w:t>
      </w:r>
      <w:r w:rsidR="005D72E9">
        <w:t xml:space="preserve">be </w:t>
      </w:r>
      <w:r w:rsidRPr="2B4022DB">
        <w:t>allocate</w:t>
      </w:r>
      <w:r w:rsidR="005D72E9">
        <w:t>d</w:t>
      </w:r>
      <w:r w:rsidRPr="2B4022DB">
        <w:t xml:space="preserve"> to that patient’s balances. To apply a specific patient’s suspended credit to another family member</w:t>
      </w:r>
      <w:r w:rsidR="00CA0DE6" w:rsidRPr="2B4022DB">
        <w:t xml:space="preserve"> with a balance</w:t>
      </w:r>
      <w:r w:rsidR="005D72E9">
        <w:t xml:space="preserve">, in the </w:t>
      </w:r>
      <w:r w:rsidR="005D72E9" w:rsidRPr="2B4022DB">
        <w:rPr>
          <w:b/>
          <w:bCs/>
        </w:rPr>
        <w:t xml:space="preserve">Apply </w:t>
      </w:r>
      <w:r w:rsidR="00CA0DE6">
        <w:rPr>
          <w:b/>
          <w:bCs/>
        </w:rPr>
        <w:t>S</w:t>
      </w:r>
      <w:r w:rsidR="005D72E9" w:rsidRPr="2B4022DB">
        <w:rPr>
          <w:b/>
          <w:bCs/>
        </w:rPr>
        <w:t xml:space="preserve">uspended </w:t>
      </w:r>
      <w:r w:rsidR="00CA0DE6">
        <w:rPr>
          <w:b/>
          <w:bCs/>
        </w:rPr>
        <w:t>C</w:t>
      </w:r>
      <w:r w:rsidR="005D72E9" w:rsidRPr="2B4022DB">
        <w:rPr>
          <w:b/>
          <w:bCs/>
        </w:rPr>
        <w:t>redits</w:t>
      </w:r>
      <w:r w:rsidR="005D72E9" w:rsidRPr="2B4022DB">
        <w:t xml:space="preserve"> </w:t>
      </w:r>
      <w:r w:rsidR="005D72E9">
        <w:t>dialog box</w:t>
      </w:r>
      <w:r w:rsidRPr="2B4022DB">
        <w:t xml:space="preserve"> you can right</w:t>
      </w:r>
      <w:r w:rsidR="005D72E9">
        <w:t>-</w:t>
      </w:r>
      <w:r w:rsidRPr="2B4022DB">
        <w:t xml:space="preserve">click the suspended amount </w:t>
      </w:r>
      <w:r w:rsidR="00CA0DE6">
        <w:t>to</w:t>
      </w:r>
      <w:r w:rsidRPr="2B4022DB">
        <w:t xml:space="preserve"> change it from patient to family.</w:t>
      </w:r>
    </w:p>
    <w:p w14:paraId="13A253A8" w14:textId="1B0C766E" w:rsidR="00AB2B67" w:rsidRDefault="00B3072B" w:rsidP="00AB2B67">
      <w:pPr>
        <w:pStyle w:val="Heading4"/>
      </w:pPr>
      <w:r w:rsidRPr="2B4022DB">
        <w:t>Family</w:t>
      </w:r>
    </w:p>
    <w:p w14:paraId="70945AEF" w14:textId="73446529" w:rsidR="00B3072B" w:rsidRDefault="00B3072B" w:rsidP="00AB2B67">
      <w:pPr>
        <w:pStyle w:val="BodyText"/>
        <w:rPr>
          <w:b/>
          <w:bCs/>
          <w:color w:val="000000" w:themeColor="text1"/>
        </w:rPr>
      </w:pPr>
      <w:r w:rsidRPr="2B4022DB">
        <w:t xml:space="preserve">Payments or credits </w:t>
      </w:r>
      <w:r w:rsidR="0081269D">
        <w:t xml:space="preserve">that are </w:t>
      </w:r>
      <w:r w:rsidRPr="2B4022DB">
        <w:t xml:space="preserve">assigned to family that result in a suspended credit </w:t>
      </w:r>
      <w:r w:rsidR="0081269D">
        <w:t>can</w:t>
      </w:r>
      <w:r w:rsidRPr="2B4022DB">
        <w:t xml:space="preserve"> be </w:t>
      </w:r>
      <w:r w:rsidR="0081269D">
        <w:t>applied</w:t>
      </w:r>
      <w:r w:rsidRPr="2B4022DB">
        <w:t xml:space="preserve"> to any family future balances. If the intent is to suspend the amount for a specific purpose,</w:t>
      </w:r>
      <w:r w:rsidR="0081269D">
        <w:t xml:space="preserve"> you can assign it</w:t>
      </w:r>
      <w:r w:rsidRPr="2B4022DB">
        <w:t xml:space="preserve"> to an individual patient</w:t>
      </w:r>
      <w:r w:rsidR="0081269D">
        <w:t>,</w:t>
      </w:r>
      <w:r w:rsidRPr="2B4022DB">
        <w:t xml:space="preserve"> or </w:t>
      </w:r>
      <w:r w:rsidR="0081269D">
        <w:t xml:space="preserve">you can </w:t>
      </w:r>
      <w:r w:rsidRPr="2B4022DB">
        <w:t>mark</w:t>
      </w:r>
      <w:r w:rsidR="0081269D">
        <w:t xml:space="preserve"> it</w:t>
      </w:r>
      <w:r w:rsidRPr="2B4022DB">
        <w:t xml:space="preserve"> as “do not automatically allocate” </w:t>
      </w:r>
      <w:r w:rsidR="0081269D">
        <w:t>and add</w:t>
      </w:r>
      <w:r w:rsidRPr="2B4022DB">
        <w:t xml:space="preserve"> a note to </w:t>
      </w:r>
      <w:r w:rsidR="0081269D">
        <w:t>communicate</w:t>
      </w:r>
      <w:r w:rsidRPr="2B4022DB">
        <w:t xml:space="preserve"> the intended use of the credit.  </w:t>
      </w:r>
    </w:p>
    <w:p w14:paraId="06717252" w14:textId="3644E221" w:rsidR="00B3072B" w:rsidRPr="0081269D" w:rsidRDefault="00B3072B" w:rsidP="00AB2B67">
      <w:pPr>
        <w:pStyle w:val="BodyText"/>
        <w:rPr>
          <w:i/>
          <w:iCs/>
        </w:rPr>
      </w:pPr>
      <w:r w:rsidRPr="0081269D">
        <w:rPr>
          <w:b/>
          <w:bCs/>
          <w:i/>
          <w:iCs/>
        </w:rPr>
        <w:t>Workflow Insight</w:t>
      </w:r>
      <w:r w:rsidR="0081269D" w:rsidRPr="0081269D">
        <w:rPr>
          <w:i/>
          <w:iCs/>
        </w:rPr>
        <w:t>:</w:t>
      </w:r>
      <w:r w:rsidRPr="0081269D">
        <w:rPr>
          <w:i/>
          <w:iCs/>
        </w:rPr>
        <w:t xml:space="preserve"> If the option to apply </w:t>
      </w:r>
      <w:r w:rsidR="0081269D">
        <w:rPr>
          <w:i/>
          <w:iCs/>
        </w:rPr>
        <w:t>a credit to the</w:t>
      </w:r>
      <w:r w:rsidRPr="0081269D">
        <w:rPr>
          <w:i/>
          <w:iCs/>
        </w:rPr>
        <w:t xml:space="preserve"> family is </w:t>
      </w:r>
      <w:r w:rsidR="0081269D">
        <w:rPr>
          <w:i/>
          <w:iCs/>
        </w:rPr>
        <w:t>not available</w:t>
      </w:r>
      <w:r w:rsidRPr="0081269D">
        <w:rPr>
          <w:i/>
          <w:iCs/>
        </w:rPr>
        <w:t xml:space="preserve">, </w:t>
      </w:r>
      <w:r w:rsidR="0081269D">
        <w:rPr>
          <w:i/>
          <w:iCs/>
        </w:rPr>
        <w:t>t</w:t>
      </w:r>
      <w:r w:rsidRPr="0081269D">
        <w:rPr>
          <w:i/>
          <w:iCs/>
        </w:rPr>
        <w:t xml:space="preserve">he credit is from an insurance overpayment and cannot be applied to </w:t>
      </w:r>
      <w:r w:rsidR="0081269D">
        <w:rPr>
          <w:i/>
          <w:iCs/>
        </w:rPr>
        <w:t xml:space="preserve">the </w:t>
      </w:r>
      <w:r w:rsidRPr="0081269D">
        <w:rPr>
          <w:i/>
          <w:iCs/>
        </w:rPr>
        <w:t>famil</w:t>
      </w:r>
      <w:r w:rsidR="0081269D">
        <w:rPr>
          <w:i/>
          <w:iCs/>
        </w:rPr>
        <w:t>y. To clear the suspended credit, you must post an</w:t>
      </w:r>
      <w:r w:rsidRPr="0081269D">
        <w:rPr>
          <w:i/>
          <w:iCs/>
        </w:rPr>
        <w:t xml:space="preserve"> adjustment on that patient</w:t>
      </w:r>
      <w:r w:rsidR="0081269D">
        <w:rPr>
          <w:i/>
          <w:iCs/>
        </w:rPr>
        <w:t>’s</w:t>
      </w:r>
      <w:r w:rsidRPr="0081269D">
        <w:rPr>
          <w:i/>
          <w:iCs/>
        </w:rPr>
        <w:t xml:space="preserve"> ledger.</w:t>
      </w:r>
    </w:p>
    <w:p w14:paraId="4D05B486" w14:textId="48413406" w:rsidR="00AB2B67" w:rsidRDefault="00B3072B" w:rsidP="00AB2B67">
      <w:pPr>
        <w:pStyle w:val="Heading4"/>
      </w:pPr>
      <w:r w:rsidRPr="2B4022DB">
        <w:t>S</w:t>
      </w:r>
      <w:r>
        <w:t xml:space="preserve">uspended </w:t>
      </w:r>
      <w:r w:rsidRPr="2B4022DB">
        <w:t>C</w:t>
      </w:r>
      <w:r>
        <w:t>redits</w:t>
      </w:r>
      <w:r w:rsidRPr="2B4022DB">
        <w:t xml:space="preserve"> Manager</w:t>
      </w:r>
    </w:p>
    <w:p w14:paraId="493B720E" w14:textId="0FA7FA6B" w:rsidR="00B3072B" w:rsidRDefault="00B3072B" w:rsidP="00AB2B67">
      <w:pPr>
        <w:pStyle w:val="BodyText"/>
        <w:rPr>
          <w:b/>
          <w:bCs/>
          <w:color w:val="000000" w:themeColor="text1"/>
        </w:rPr>
      </w:pPr>
      <w:r w:rsidRPr="2B4022DB">
        <w:t xml:space="preserve">From the Suspended Credits Manager in Dentrix Enterprise, you can apply credits to charges without having to </w:t>
      </w:r>
      <w:r w:rsidR="0081269D">
        <w:t>access</w:t>
      </w:r>
      <w:r w:rsidRPr="2B4022DB">
        <w:t xml:space="preserve"> each patient's </w:t>
      </w:r>
      <w:r w:rsidR="0081269D">
        <w:t>l</w:t>
      </w:r>
      <w:r w:rsidRPr="2B4022DB">
        <w:t xml:space="preserve">edger one at a time. The Suspended Credits Manager provides centralized management of suspended credits for all patients’ accounts. </w:t>
      </w:r>
    </w:p>
    <w:p w14:paraId="08935AC1" w14:textId="0C2CE66A" w:rsidR="00B3072B" w:rsidRPr="0081269D" w:rsidRDefault="00B3072B" w:rsidP="00AB2B67">
      <w:pPr>
        <w:pStyle w:val="BodyText"/>
        <w:rPr>
          <w:b/>
          <w:bCs/>
          <w:i/>
          <w:iCs/>
          <w:color w:val="FF0000"/>
        </w:rPr>
      </w:pPr>
      <w:r w:rsidRPr="0081269D">
        <w:rPr>
          <w:b/>
          <w:bCs/>
          <w:i/>
          <w:iCs/>
        </w:rPr>
        <w:t>Workflow Insight</w:t>
      </w:r>
      <w:r w:rsidRPr="0081269D">
        <w:rPr>
          <w:i/>
          <w:iCs/>
        </w:rPr>
        <w:t xml:space="preserve">: If the payment amount exceeds the guarantor estimate, a dialog box will appear.  Select either </w:t>
      </w:r>
      <w:r w:rsidRPr="0081269D">
        <w:rPr>
          <w:b/>
          <w:bCs/>
          <w:i/>
          <w:iCs/>
        </w:rPr>
        <w:t xml:space="preserve">Do not apply the remaining amount </w:t>
      </w:r>
      <w:r w:rsidRPr="0081269D">
        <w:rPr>
          <w:i/>
          <w:iCs/>
        </w:rPr>
        <w:t xml:space="preserve">(to only apply an amount equal to the guarantor estimate) or </w:t>
      </w:r>
      <w:r w:rsidRPr="0081269D">
        <w:rPr>
          <w:b/>
          <w:bCs/>
          <w:i/>
          <w:iCs/>
        </w:rPr>
        <w:t xml:space="preserve">Apply the remaining amount to the balances </w:t>
      </w:r>
      <w:r w:rsidRPr="0081269D">
        <w:rPr>
          <w:i/>
          <w:iCs/>
        </w:rPr>
        <w:t xml:space="preserve">(to apply the remaining amount but not exceed the total charge, which can be paid by insurance and will result in overpayment), and then click </w:t>
      </w:r>
      <w:r w:rsidRPr="0081269D">
        <w:rPr>
          <w:b/>
          <w:bCs/>
          <w:i/>
          <w:iCs/>
        </w:rPr>
        <w:t>OK</w:t>
      </w:r>
      <w:r w:rsidRPr="0081269D">
        <w:rPr>
          <w:i/>
          <w:iCs/>
        </w:rPr>
        <w:t xml:space="preserve">.  </w:t>
      </w:r>
    </w:p>
    <w:p w14:paraId="54FC7D20" w14:textId="26EE327D" w:rsidR="00B3072B" w:rsidRPr="0081269D" w:rsidRDefault="00B3072B" w:rsidP="00AB2B67">
      <w:pPr>
        <w:pStyle w:val="BodyText"/>
        <w:rPr>
          <w:i/>
          <w:iCs/>
        </w:rPr>
      </w:pPr>
      <w:r w:rsidRPr="0081269D">
        <w:rPr>
          <w:b/>
          <w:bCs/>
          <w:i/>
          <w:iCs/>
        </w:rPr>
        <w:t>Operations Insight</w:t>
      </w:r>
      <w:r w:rsidRPr="0081269D">
        <w:rPr>
          <w:i/>
          <w:iCs/>
        </w:rPr>
        <w:t xml:space="preserve">: </w:t>
      </w:r>
      <w:r w:rsidR="0081269D" w:rsidRPr="0081269D">
        <w:rPr>
          <w:i/>
          <w:iCs/>
        </w:rPr>
        <w:t>You can never purposefully suspend a</w:t>
      </w:r>
      <w:r w:rsidRPr="0081269D">
        <w:rPr>
          <w:i/>
          <w:iCs/>
        </w:rPr>
        <w:t>n insurance payment</w:t>
      </w:r>
      <w:r w:rsidR="0081269D" w:rsidRPr="0081269D">
        <w:rPr>
          <w:i/>
          <w:iCs/>
        </w:rPr>
        <w:t xml:space="preserve">. </w:t>
      </w:r>
      <w:r w:rsidRPr="0081269D">
        <w:rPr>
          <w:i/>
          <w:iCs/>
        </w:rPr>
        <w:t xml:space="preserve">If an insurance payment for more than the amount due is applied, a pair of offsetting adjustments </w:t>
      </w:r>
      <w:r w:rsidR="0081269D" w:rsidRPr="0081269D">
        <w:rPr>
          <w:i/>
          <w:iCs/>
        </w:rPr>
        <w:t>are</w:t>
      </w:r>
      <w:r w:rsidRPr="0081269D">
        <w:rPr>
          <w:i/>
          <w:iCs/>
        </w:rPr>
        <w:t xml:space="preserve"> </w:t>
      </w:r>
      <w:r w:rsidR="0081269D" w:rsidRPr="0081269D">
        <w:rPr>
          <w:i/>
          <w:iCs/>
        </w:rPr>
        <w:t>posted</w:t>
      </w:r>
      <w:r w:rsidRPr="0081269D">
        <w:rPr>
          <w:i/>
          <w:iCs/>
        </w:rPr>
        <w:t xml:space="preserve">, and the overpayment </w:t>
      </w:r>
      <w:r w:rsidR="0081269D" w:rsidRPr="0081269D">
        <w:rPr>
          <w:i/>
          <w:iCs/>
        </w:rPr>
        <w:t>is</w:t>
      </w:r>
      <w:r w:rsidRPr="0081269D">
        <w:rPr>
          <w:i/>
          <w:iCs/>
        </w:rPr>
        <w:t xml:space="preserve"> applied to the charge (debit) adjustment, leaving the credit adjustment on the account as a suspended credit. It is important that insurance plan setup is accurate to avoid excessive suspended credits </w:t>
      </w:r>
      <w:r w:rsidR="0081269D" w:rsidRPr="0081269D">
        <w:rPr>
          <w:i/>
          <w:iCs/>
        </w:rPr>
        <w:t xml:space="preserve">being </w:t>
      </w:r>
      <w:r w:rsidRPr="0081269D">
        <w:rPr>
          <w:i/>
          <w:iCs/>
        </w:rPr>
        <w:t>generated from insurance estimate inaccuracy.</w:t>
      </w:r>
    </w:p>
    <w:p w14:paraId="75591E59" w14:textId="6FB71A62" w:rsidR="00B3072B" w:rsidRPr="00BC0572" w:rsidRDefault="00B3072B" w:rsidP="004267C0">
      <w:pPr>
        <w:pStyle w:val="Heading2"/>
      </w:pPr>
      <w:bookmarkStart w:id="200" w:name="_Toc135416730"/>
      <w:bookmarkStart w:id="201" w:name="_Toc146183338"/>
      <w:r w:rsidRPr="00BC0572">
        <w:lastRenderedPageBreak/>
        <w:t>Maintain</w:t>
      </w:r>
      <w:r>
        <w:t>ing Insurance Database and Fees</w:t>
      </w:r>
      <w:bookmarkEnd w:id="200"/>
      <w:bookmarkEnd w:id="201"/>
    </w:p>
    <w:p w14:paraId="76EE217B" w14:textId="143F7630" w:rsidR="00B3072B" w:rsidRPr="007264E7" w:rsidRDefault="00B3072B" w:rsidP="00D42C5A">
      <w:pPr>
        <w:pStyle w:val="Heading3"/>
      </w:pPr>
      <w:bookmarkStart w:id="202" w:name="_Toc135416731"/>
      <w:bookmarkStart w:id="203" w:name="_Toc146183339"/>
      <w:r w:rsidRPr="007264E7">
        <w:t>Insurance Reference Utilities</w:t>
      </w:r>
      <w:bookmarkEnd w:id="202"/>
      <w:bookmarkEnd w:id="203"/>
    </w:p>
    <w:p w14:paraId="28877448" w14:textId="61A5D93D" w:rsidR="00B3072B" w:rsidRPr="007264E7" w:rsidRDefault="00B3072B" w:rsidP="000D7FFC">
      <w:pPr>
        <w:pStyle w:val="BodyText"/>
        <w:keepNext/>
        <w:keepLines/>
      </w:pPr>
      <w:r w:rsidRPr="007264E7">
        <w:t>A centralized location to manage insurance plans.</w:t>
      </w:r>
    </w:p>
    <w:p w14:paraId="6F84A6B9" w14:textId="77777777" w:rsidR="00B3072B" w:rsidRPr="0081269D" w:rsidRDefault="00B3072B" w:rsidP="000D7FFC">
      <w:pPr>
        <w:pStyle w:val="BodyText"/>
        <w:keepNext/>
        <w:keepLines/>
        <w:rPr>
          <w:b/>
          <w:bCs/>
        </w:rPr>
      </w:pPr>
      <w:r w:rsidRPr="0081269D">
        <w:rPr>
          <w:b/>
          <w:bCs/>
        </w:rPr>
        <w:t xml:space="preserve">Why is it important? </w:t>
      </w:r>
    </w:p>
    <w:p w14:paraId="4EFD0CBB" w14:textId="1B13A3D4" w:rsidR="00B3072B" w:rsidRPr="007264E7" w:rsidRDefault="00B3072B" w:rsidP="000D7FFC">
      <w:pPr>
        <w:pStyle w:val="BodyText"/>
        <w:keepNext/>
        <w:keepLines/>
        <w:numPr>
          <w:ilvl w:val="0"/>
          <w:numId w:val="70"/>
        </w:numPr>
        <w:ind w:left="540"/>
      </w:pPr>
      <w:r w:rsidRPr="007264E7">
        <w:t>Eliminates duplicated insurance plans</w:t>
      </w:r>
      <w:r w:rsidR="0081269D">
        <w:t>.</w:t>
      </w:r>
    </w:p>
    <w:p w14:paraId="5CDE2FC8" w14:textId="40C30435" w:rsidR="00B3072B" w:rsidRPr="007264E7" w:rsidRDefault="00B3072B" w:rsidP="000D7FFC">
      <w:pPr>
        <w:pStyle w:val="BodyText"/>
        <w:keepNext/>
        <w:keepLines/>
        <w:numPr>
          <w:ilvl w:val="0"/>
          <w:numId w:val="70"/>
        </w:numPr>
        <w:ind w:left="540"/>
      </w:pPr>
      <w:r w:rsidRPr="007264E7">
        <w:t>Reduces operator error of selecting an incorrect plan (</w:t>
      </w:r>
      <w:r w:rsidR="0081269D">
        <w:t>fewer</w:t>
      </w:r>
      <w:r w:rsidRPr="007264E7">
        <w:t xml:space="preserve"> to choose from)</w:t>
      </w:r>
      <w:r w:rsidR="0081269D">
        <w:t>.</w:t>
      </w:r>
    </w:p>
    <w:p w14:paraId="52DC014B" w14:textId="549EE6BD" w:rsidR="00B3072B" w:rsidRPr="00981A7F" w:rsidRDefault="00B3072B">
      <w:pPr>
        <w:pStyle w:val="BodyText"/>
        <w:numPr>
          <w:ilvl w:val="0"/>
          <w:numId w:val="70"/>
        </w:numPr>
        <w:ind w:left="540"/>
        <w:rPr>
          <w:color w:val="FF0000"/>
        </w:rPr>
      </w:pPr>
      <w:r w:rsidRPr="007264E7">
        <w:t>Ensures more accurate patient out-of-pocket estimated expenses (No Surprise Act)</w:t>
      </w:r>
      <w:r w:rsidR="0081269D">
        <w:t>.</w:t>
      </w:r>
    </w:p>
    <w:p w14:paraId="62E7C518" w14:textId="4F53276E" w:rsidR="007264E7" w:rsidRDefault="00B3072B" w:rsidP="007264E7">
      <w:pPr>
        <w:pStyle w:val="Heading4"/>
      </w:pPr>
      <w:r>
        <w:t>Purge P</w:t>
      </w:r>
      <w:r w:rsidRPr="00BC0572">
        <w:t>lans</w:t>
      </w:r>
    </w:p>
    <w:p w14:paraId="23092A4F" w14:textId="706CCF53" w:rsidR="00B3072B" w:rsidRPr="00BC0572" w:rsidRDefault="00B3072B" w:rsidP="007264E7">
      <w:pPr>
        <w:pStyle w:val="BodyText"/>
      </w:pPr>
      <w:r w:rsidRPr="00BC0572">
        <w:t xml:space="preserve">It is vital to have the most updated and accurate insurance plan information. Periodically you should purge your database of outdated or inactive insurance carriers that are no longer attached to any patients in your system. </w:t>
      </w:r>
    </w:p>
    <w:p w14:paraId="31A8E248" w14:textId="4A609CBF" w:rsidR="00B3072B" w:rsidRPr="00BC0572" w:rsidRDefault="00B3072B" w:rsidP="007264E7">
      <w:pPr>
        <w:pStyle w:val="BodyText"/>
      </w:pPr>
      <w:r w:rsidRPr="0081269D">
        <w:rPr>
          <w:b/>
          <w:bCs/>
        </w:rPr>
        <w:t>Operations Insight</w:t>
      </w:r>
      <w:r w:rsidRPr="007264E7">
        <w:t>:</w:t>
      </w:r>
      <w:r w:rsidRPr="00BC0572">
        <w:t xml:space="preserve"> As a safeguard, Dentrix Enterprise allows you to purge </w:t>
      </w:r>
      <w:r w:rsidR="0081269D">
        <w:t xml:space="preserve">only </w:t>
      </w:r>
      <w:r w:rsidRPr="00BC0572">
        <w:t xml:space="preserve">insurance plans that do not have subscribers attached or outstanding claims. </w:t>
      </w:r>
    </w:p>
    <w:p w14:paraId="1E769B3C" w14:textId="2004D274" w:rsidR="007264E7" w:rsidRDefault="00B3072B" w:rsidP="007264E7">
      <w:pPr>
        <w:pStyle w:val="Heading4"/>
      </w:pPr>
      <w:r>
        <w:t>Join P</w:t>
      </w:r>
      <w:r w:rsidRPr="00BC0572">
        <w:t>lans</w:t>
      </w:r>
    </w:p>
    <w:p w14:paraId="36FDA5DF" w14:textId="4AC93706" w:rsidR="00B3072B" w:rsidRPr="00BC0572" w:rsidRDefault="00B3072B" w:rsidP="007264E7">
      <w:pPr>
        <w:pStyle w:val="BodyText"/>
      </w:pPr>
      <w:r w:rsidRPr="00BC0572">
        <w:t>Another essential part of insurance maintenance is making sure that you are not cluttering up your insurance carrier database with multiple, identical plans. Joining plans reassign</w:t>
      </w:r>
      <w:r w:rsidR="0081269D">
        <w:t>s</w:t>
      </w:r>
      <w:r w:rsidRPr="00BC0572">
        <w:t xml:space="preserve"> patients between plan</w:t>
      </w:r>
      <w:r w:rsidR="0081269D">
        <w:t>s so you can purge</w:t>
      </w:r>
      <w:r w:rsidRPr="00BC0572">
        <w:t xml:space="preserve"> the </w:t>
      </w:r>
      <w:r w:rsidR="0081269D">
        <w:t>unwanted duplicates</w:t>
      </w:r>
      <w:r w:rsidRPr="00BC0572">
        <w:t xml:space="preserve">.   </w:t>
      </w:r>
    </w:p>
    <w:p w14:paraId="3BD11AF4" w14:textId="19C07A13" w:rsidR="00B3072B" w:rsidRPr="0009008A" w:rsidRDefault="00B3072B" w:rsidP="007264E7">
      <w:pPr>
        <w:pStyle w:val="BodyText"/>
        <w:rPr>
          <w:i/>
          <w:iCs/>
        </w:rPr>
      </w:pPr>
      <w:r w:rsidRPr="0009008A">
        <w:rPr>
          <w:b/>
          <w:bCs/>
          <w:i/>
          <w:iCs/>
        </w:rPr>
        <w:t>Workflow Insight</w:t>
      </w:r>
      <w:r w:rsidRPr="0009008A">
        <w:rPr>
          <w:i/>
          <w:iCs/>
        </w:rPr>
        <w:t>: Following the recommended workflows, combined with your organizations guidelines for adding and updating insurance plans, reduce</w:t>
      </w:r>
      <w:r w:rsidR="0009008A" w:rsidRPr="0009008A">
        <w:rPr>
          <w:i/>
          <w:iCs/>
        </w:rPr>
        <w:t>s</w:t>
      </w:r>
      <w:r w:rsidRPr="0009008A">
        <w:rPr>
          <w:i/>
          <w:iCs/>
        </w:rPr>
        <w:t xml:space="preserve"> </w:t>
      </w:r>
      <w:r w:rsidR="0009008A" w:rsidRPr="0009008A">
        <w:rPr>
          <w:i/>
          <w:iCs/>
        </w:rPr>
        <w:t xml:space="preserve">the </w:t>
      </w:r>
      <w:r w:rsidRPr="0009008A">
        <w:rPr>
          <w:i/>
          <w:iCs/>
        </w:rPr>
        <w:t xml:space="preserve">duplication </w:t>
      </w:r>
      <w:r w:rsidR="0009008A" w:rsidRPr="0009008A">
        <w:rPr>
          <w:i/>
          <w:iCs/>
        </w:rPr>
        <w:t xml:space="preserve">of </w:t>
      </w:r>
      <w:r w:rsidRPr="0009008A">
        <w:rPr>
          <w:i/>
          <w:iCs/>
        </w:rPr>
        <w:t>plans in your database.</w:t>
      </w:r>
    </w:p>
    <w:p w14:paraId="6003CC4B" w14:textId="694AA759" w:rsidR="00B3072B" w:rsidRPr="0009008A" w:rsidRDefault="0009008A" w:rsidP="007264E7">
      <w:pPr>
        <w:pStyle w:val="BodyText"/>
        <w:rPr>
          <w:i/>
          <w:iCs/>
        </w:rPr>
      </w:pPr>
      <w:r w:rsidRPr="0009008A">
        <w:rPr>
          <w:b/>
          <w:bCs/>
          <w:i/>
          <w:iCs/>
        </w:rPr>
        <w:t>Note</w:t>
      </w:r>
      <w:r w:rsidRPr="0009008A">
        <w:rPr>
          <w:i/>
          <w:iCs/>
        </w:rPr>
        <w:t>: When you are</w:t>
      </w:r>
      <w:r w:rsidR="00B3072B" w:rsidRPr="0009008A">
        <w:rPr>
          <w:i/>
          <w:iCs/>
        </w:rPr>
        <w:t xml:space="preserve"> joining duplicate plans, sometimes due to outstanding claims, one of the plans cannot be purged from the system right away. Consider internal naming or identifiers to</w:t>
      </w:r>
      <w:r w:rsidRPr="0009008A">
        <w:rPr>
          <w:i/>
          <w:iCs/>
        </w:rPr>
        <w:t xml:space="preserve"> help prevent the </w:t>
      </w:r>
      <w:r w:rsidR="00B3072B" w:rsidRPr="0009008A">
        <w:rPr>
          <w:i/>
          <w:iCs/>
        </w:rPr>
        <w:t xml:space="preserve">plan </w:t>
      </w:r>
      <w:r w:rsidRPr="0009008A">
        <w:rPr>
          <w:i/>
          <w:iCs/>
        </w:rPr>
        <w:t>from being used anymore</w:t>
      </w:r>
      <w:r w:rsidR="00B3072B" w:rsidRPr="0009008A">
        <w:rPr>
          <w:i/>
          <w:iCs/>
        </w:rPr>
        <w:t>.</w:t>
      </w:r>
    </w:p>
    <w:p w14:paraId="54878792" w14:textId="6172ECA1" w:rsidR="007264E7" w:rsidRPr="007264E7" w:rsidRDefault="00B3072B" w:rsidP="00D42C5A">
      <w:pPr>
        <w:pStyle w:val="Heading3"/>
        <w:rPr>
          <w:rFonts w:ascii="Times New Roman" w:hAnsi="Times New Roman"/>
        </w:rPr>
      </w:pPr>
      <w:bookmarkStart w:id="204" w:name="_Toc135416732"/>
      <w:bookmarkStart w:id="205" w:name="_Toc146183340"/>
      <w:r w:rsidRPr="007264E7">
        <w:t>Fee Schedule Maintenance</w:t>
      </w:r>
      <w:bookmarkEnd w:id="204"/>
      <w:bookmarkEnd w:id="205"/>
    </w:p>
    <w:p w14:paraId="0CC1484B" w14:textId="1A21C6B2" w:rsidR="00B3072B" w:rsidRPr="007264E7" w:rsidRDefault="00B3072B" w:rsidP="0009008A">
      <w:pPr>
        <w:pStyle w:val="BodyText"/>
      </w:pPr>
      <w:r w:rsidRPr="007264E7">
        <w:t>There are multiple sources and uses for fee schedules</w:t>
      </w:r>
      <w:r w:rsidR="0009008A">
        <w:t>:</w:t>
      </w:r>
      <w:r w:rsidRPr="007264E7">
        <w:t xml:space="preserve"> </w:t>
      </w:r>
      <w:r w:rsidR="0009008A">
        <w:t>u</w:t>
      </w:r>
      <w:r w:rsidRPr="007264E7">
        <w:t xml:space="preserve">sual and customary rates (UCR), if your site participates and is in-network with insurance companies, specialty services, </w:t>
      </w:r>
      <w:r w:rsidR="0009008A">
        <w:t>d</w:t>
      </w:r>
      <w:r w:rsidRPr="007264E7">
        <w:t xml:space="preserve">ental </w:t>
      </w:r>
      <w:r w:rsidR="0009008A">
        <w:t>d</w:t>
      </w:r>
      <w:r w:rsidRPr="007264E7">
        <w:t xml:space="preserve">iscount </w:t>
      </w:r>
      <w:r w:rsidR="0009008A">
        <w:t>p</w:t>
      </w:r>
      <w:r w:rsidRPr="007264E7">
        <w:t xml:space="preserve">lans, and more. </w:t>
      </w:r>
    </w:p>
    <w:p w14:paraId="6DFF2010" w14:textId="76FB12D2" w:rsidR="00B3072B" w:rsidRPr="007264E7" w:rsidRDefault="00B3072B" w:rsidP="007264E7">
      <w:pPr>
        <w:pStyle w:val="BodyText"/>
      </w:pPr>
      <w:r w:rsidRPr="0009008A">
        <w:rPr>
          <w:b/>
          <w:bCs/>
        </w:rPr>
        <w:t>What is it?</w:t>
      </w:r>
      <w:r w:rsidRPr="007264E7">
        <w:t xml:space="preserve"> A centralized location to manage fee schedules. The </w:t>
      </w:r>
      <w:r w:rsidR="0009008A">
        <w:t>f</w:t>
      </w:r>
      <w:r w:rsidRPr="007264E7">
        <w:t xml:space="preserve">ee </w:t>
      </w:r>
      <w:r w:rsidR="0009008A">
        <w:t>s</w:t>
      </w:r>
      <w:r w:rsidRPr="007264E7">
        <w:t xml:space="preserve">chedule is the basis of </w:t>
      </w:r>
      <w:r w:rsidR="0009008A">
        <w:t>l</w:t>
      </w:r>
      <w:r w:rsidRPr="007264E7">
        <w:t>ine-</w:t>
      </w:r>
      <w:r w:rsidR="0009008A">
        <w:t>i</w:t>
      </w:r>
      <w:r w:rsidRPr="007264E7">
        <w:t xml:space="preserve">tem </w:t>
      </w:r>
      <w:r w:rsidR="0009008A">
        <w:t>a</w:t>
      </w:r>
      <w:r w:rsidRPr="007264E7">
        <w:t xml:space="preserve">ccounting and insurance estimate calculation.  </w:t>
      </w:r>
    </w:p>
    <w:p w14:paraId="6F7DF634" w14:textId="77777777" w:rsidR="00B3072B" w:rsidRPr="0009008A" w:rsidRDefault="00B3072B" w:rsidP="007264E7">
      <w:pPr>
        <w:pStyle w:val="BodyText"/>
        <w:rPr>
          <w:b/>
          <w:bCs/>
        </w:rPr>
      </w:pPr>
      <w:r w:rsidRPr="0009008A">
        <w:rPr>
          <w:b/>
          <w:bCs/>
        </w:rPr>
        <w:t xml:space="preserve">Why is it important? </w:t>
      </w:r>
    </w:p>
    <w:p w14:paraId="4E5B146A" w14:textId="75A3C622" w:rsidR="00B3072B" w:rsidRPr="007264E7" w:rsidRDefault="0009008A">
      <w:pPr>
        <w:pStyle w:val="BodyText"/>
        <w:numPr>
          <w:ilvl w:val="0"/>
          <w:numId w:val="73"/>
        </w:numPr>
        <w:ind w:left="540"/>
      </w:pPr>
      <w:r>
        <w:t>You can a</w:t>
      </w:r>
      <w:r w:rsidR="00B3072B" w:rsidRPr="007264E7">
        <w:t>utomatically update your fee schedules quickly.</w:t>
      </w:r>
    </w:p>
    <w:p w14:paraId="172AF32A" w14:textId="4C4A7A3D" w:rsidR="00B3072B" w:rsidRPr="007264E7" w:rsidRDefault="0009008A">
      <w:pPr>
        <w:pStyle w:val="BodyText"/>
        <w:numPr>
          <w:ilvl w:val="0"/>
          <w:numId w:val="73"/>
        </w:numPr>
        <w:ind w:left="540"/>
      </w:pPr>
      <w:r>
        <w:t xml:space="preserve">You can quickly </w:t>
      </w:r>
      <w:r w:rsidR="00B3072B" w:rsidRPr="007264E7">
        <w:t xml:space="preserve">identify the number of patients, insurance plans, and providers </w:t>
      </w:r>
      <w:r>
        <w:t xml:space="preserve">that are </w:t>
      </w:r>
      <w:r w:rsidR="00B3072B" w:rsidRPr="007264E7">
        <w:t xml:space="preserve">assigned to each </w:t>
      </w:r>
      <w:r>
        <w:t>f</w:t>
      </w:r>
      <w:r w:rsidR="00B3072B" w:rsidRPr="007264E7">
        <w:t xml:space="preserve">ee </w:t>
      </w:r>
      <w:r>
        <w:t>s</w:t>
      </w:r>
      <w:r w:rsidR="00B3072B" w:rsidRPr="007264E7">
        <w:t>chedule.</w:t>
      </w:r>
    </w:p>
    <w:p w14:paraId="65BF3EC3" w14:textId="0134D1DD" w:rsidR="00B3072B" w:rsidRPr="00E62DDA" w:rsidRDefault="0009008A">
      <w:pPr>
        <w:pStyle w:val="BodyText"/>
        <w:numPr>
          <w:ilvl w:val="0"/>
          <w:numId w:val="73"/>
        </w:numPr>
        <w:ind w:left="540"/>
        <w:rPr>
          <w:color w:val="FF0000"/>
        </w:rPr>
      </w:pPr>
      <w:r>
        <w:t>You can u</w:t>
      </w:r>
      <w:r w:rsidR="00B3072B" w:rsidRPr="007264E7">
        <w:t>pdate your treatment plan fees for a patient from Treatment Planner to reflect any fee schedule changes.</w:t>
      </w:r>
    </w:p>
    <w:p w14:paraId="3E920C67" w14:textId="7BC71206" w:rsidR="009473AD" w:rsidRPr="009473AD" w:rsidRDefault="0009008A" w:rsidP="009473AD">
      <w:pPr>
        <w:pStyle w:val="Heading4"/>
        <w:rPr>
          <w:rFonts w:cstheme="minorHAnsi"/>
        </w:rPr>
      </w:pPr>
      <w:r>
        <w:lastRenderedPageBreak/>
        <w:t>Editing or Adding F</w:t>
      </w:r>
      <w:r w:rsidR="00B3072B" w:rsidRPr="092CC55B">
        <w:t xml:space="preserve">ee </w:t>
      </w:r>
      <w:r>
        <w:t>S</w:t>
      </w:r>
      <w:r w:rsidR="00B3072B" w:rsidRPr="092CC55B">
        <w:t>chedules</w:t>
      </w:r>
    </w:p>
    <w:p w14:paraId="74D7BAFE" w14:textId="455FC17B" w:rsidR="00B3072B" w:rsidRPr="00BC0572" w:rsidRDefault="00B3072B" w:rsidP="00A0461D">
      <w:pPr>
        <w:pStyle w:val="BodyText"/>
        <w:rPr>
          <w:rFonts w:cstheme="minorHAnsi"/>
        </w:rPr>
      </w:pPr>
      <w:r w:rsidRPr="092CC55B">
        <w:t xml:space="preserve">When </w:t>
      </w:r>
      <w:r w:rsidR="0009008A">
        <w:t xml:space="preserve">you are </w:t>
      </w:r>
      <w:r w:rsidRPr="092CC55B">
        <w:t xml:space="preserve">adding fee schedules, you can enter the fees manually per code, copy from a base fee schedule, or import a fee schedule.  </w:t>
      </w:r>
    </w:p>
    <w:p w14:paraId="132DA1A8" w14:textId="4AB8FE5A" w:rsidR="00B3072B" w:rsidRPr="00BC0572" w:rsidRDefault="00B3072B">
      <w:pPr>
        <w:pStyle w:val="BodyText"/>
        <w:numPr>
          <w:ilvl w:val="0"/>
          <w:numId w:val="141"/>
        </w:numPr>
        <w:ind w:left="540"/>
        <w:rPr>
          <w:rFonts w:cstheme="minorHAnsi"/>
        </w:rPr>
      </w:pPr>
      <w:r w:rsidRPr="092CC55B">
        <w:rPr>
          <w:b/>
        </w:rPr>
        <w:t xml:space="preserve">Attach </w:t>
      </w:r>
      <w:r w:rsidR="0009008A">
        <w:rPr>
          <w:b/>
        </w:rPr>
        <w:t>–</w:t>
      </w:r>
      <w:r w:rsidRPr="092CC55B">
        <w:rPr>
          <w:b/>
        </w:rPr>
        <w:t xml:space="preserve"> </w:t>
      </w:r>
      <w:r w:rsidRPr="092CC55B">
        <w:t xml:space="preserve">With the fee schedule attached to a clinic, everywhere in the system that you can select a fee schedule, you can filter the list by clinic.  </w:t>
      </w:r>
    </w:p>
    <w:p w14:paraId="589F556A" w14:textId="767B72A6" w:rsidR="00B3072B" w:rsidRPr="0009008A" w:rsidRDefault="00B3072B" w:rsidP="00A0461D">
      <w:pPr>
        <w:pStyle w:val="BodyText"/>
        <w:ind w:left="540"/>
        <w:rPr>
          <w:i/>
          <w:iCs/>
        </w:rPr>
      </w:pPr>
      <w:r w:rsidRPr="0009008A">
        <w:rPr>
          <w:b/>
          <w:bCs/>
          <w:i/>
          <w:iCs/>
        </w:rPr>
        <w:t>Operations Insight</w:t>
      </w:r>
      <w:r w:rsidRPr="0009008A">
        <w:rPr>
          <w:i/>
          <w:iCs/>
        </w:rPr>
        <w:t>: Dentrix Enterprise has one centralized database of fee schedules. Attaching fee schedules to a clinic allows you to sort the full list according to the applicable fees for the location. The system will allow 99,999 fee schedules to be entered</w:t>
      </w:r>
      <w:r w:rsidR="0009008A" w:rsidRPr="0009008A">
        <w:rPr>
          <w:i/>
          <w:iCs/>
        </w:rPr>
        <w:t>, so we strongly recommend attaching</w:t>
      </w:r>
      <w:r w:rsidRPr="0009008A">
        <w:rPr>
          <w:i/>
          <w:iCs/>
        </w:rPr>
        <w:t xml:space="preserve"> fees to the applicable clinics.</w:t>
      </w:r>
    </w:p>
    <w:p w14:paraId="739CA3DD" w14:textId="666016E6" w:rsidR="00B3072B" w:rsidRPr="00BC0572" w:rsidRDefault="00B3072B">
      <w:pPr>
        <w:pStyle w:val="BodyText"/>
        <w:numPr>
          <w:ilvl w:val="0"/>
          <w:numId w:val="141"/>
        </w:numPr>
        <w:ind w:left="540"/>
        <w:rPr>
          <w:rFonts w:cstheme="minorHAnsi"/>
          <w:b/>
          <w:bCs/>
        </w:rPr>
      </w:pPr>
      <w:r w:rsidRPr="092CC55B">
        <w:rPr>
          <w:b/>
        </w:rPr>
        <w:t xml:space="preserve">Copy </w:t>
      </w:r>
      <w:r w:rsidR="0009008A">
        <w:rPr>
          <w:b/>
        </w:rPr>
        <w:t>–</w:t>
      </w:r>
      <w:r w:rsidRPr="092CC55B">
        <w:rPr>
          <w:b/>
        </w:rPr>
        <w:t xml:space="preserve"> </w:t>
      </w:r>
      <w:r w:rsidR="0009008A">
        <w:t xml:space="preserve">You can </w:t>
      </w:r>
      <w:r w:rsidRPr="092CC55B">
        <w:t>use an existing fee schedule as the basis for a new fee schedule. You can change any of the amounts as needed once the fee</w:t>
      </w:r>
      <w:r w:rsidR="0009008A">
        <w:t xml:space="preserve"> schedule is</w:t>
      </w:r>
      <w:r w:rsidRPr="092CC55B">
        <w:t xml:space="preserve"> copied</w:t>
      </w:r>
      <w:r w:rsidR="0009008A">
        <w:t xml:space="preserve"> over</w:t>
      </w:r>
      <w:r w:rsidRPr="092CC55B">
        <w:t xml:space="preserve">.  </w:t>
      </w:r>
    </w:p>
    <w:p w14:paraId="5B4745C0" w14:textId="78C74623" w:rsidR="00B3072B" w:rsidRPr="00BC0572" w:rsidRDefault="00B3072B">
      <w:pPr>
        <w:pStyle w:val="BodyText"/>
        <w:numPr>
          <w:ilvl w:val="0"/>
          <w:numId w:val="141"/>
        </w:numPr>
        <w:ind w:left="540"/>
        <w:rPr>
          <w:rFonts w:cstheme="minorHAnsi"/>
          <w:b/>
          <w:bCs/>
        </w:rPr>
      </w:pPr>
      <w:r w:rsidRPr="092CC55B">
        <w:rPr>
          <w:b/>
        </w:rPr>
        <w:t>Import</w:t>
      </w:r>
      <w:r w:rsidRPr="0009008A">
        <w:rPr>
          <w:bCs/>
        </w:rPr>
        <w:t xml:space="preserve"> </w:t>
      </w:r>
      <w:r w:rsidR="0009008A" w:rsidRPr="0009008A">
        <w:rPr>
          <w:bCs/>
        </w:rPr>
        <w:t xml:space="preserve">– </w:t>
      </w:r>
      <w:r w:rsidRPr="092CC55B">
        <w:t xml:space="preserve">Importing </w:t>
      </w:r>
      <w:r w:rsidR="0009008A">
        <w:t xml:space="preserve">a </w:t>
      </w:r>
      <w:r w:rsidRPr="092CC55B">
        <w:t xml:space="preserve">fee schedule is the preferred method to add or update </w:t>
      </w:r>
      <w:r w:rsidR="0009008A">
        <w:t xml:space="preserve">a </w:t>
      </w:r>
      <w:r w:rsidRPr="092CC55B">
        <w:t>fee schedule</w:t>
      </w:r>
      <w:r w:rsidR="0009008A">
        <w:t>. F</w:t>
      </w:r>
      <w:r w:rsidRPr="092CC55B">
        <w:t xml:space="preserve">ee </w:t>
      </w:r>
      <w:r w:rsidR="0009008A">
        <w:t>s</w:t>
      </w:r>
      <w:r w:rsidRPr="092CC55B">
        <w:t xml:space="preserve">chedules must be saved </w:t>
      </w:r>
      <w:r w:rsidR="0009008A">
        <w:t xml:space="preserve">in </w:t>
      </w:r>
      <w:r w:rsidRPr="092CC55B">
        <w:t>.csv, .</w:t>
      </w:r>
      <w:proofErr w:type="spellStart"/>
      <w:r w:rsidRPr="092CC55B">
        <w:t>xls</w:t>
      </w:r>
      <w:proofErr w:type="spellEnd"/>
      <w:r w:rsidRPr="092CC55B">
        <w:t>, or .xlsx file</w:t>
      </w:r>
      <w:r w:rsidR="0009008A">
        <w:t>s</w:t>
      </w:r>
      <w:r w:rsidRPr="092CC55B">
        <w:t xml:space="preserve">. </w:t>
      </w:r>
    </w:p>
    <w:p w14:paraId="584BC950" w14:textId="039379F4" w:rsidR="00B3072B" w:rsidRPr="00BC0572" w:rsidRDefault="00B3072B">
      <w:pPr>
        <w:pStyle w:val="BodyText"/>
        <w:numPr>
          <w:ilvl w:val="0"/>
          <w:numId w:val="141"/>
        </w:numPr>
        <w:ind w:left="540"/>
        <w:rPr>
          <w:rFonts w:cstheme="minorHAnsi"/>
          <w:b/>
          <w:bCs/>
        </w:rPr>
      </w:pPr>
      <w:r w:rsidRPr="092CC55B">
        <w:rPr>
          <w:b/>
        </w:rPr>
        <w:t xml:space="preserve">Viewing Fee Schedule Associations </w:t>
      </w:r>
      <w:r w:rsidR="0009008A">
        <w:rPr>
          <w:b/>
        </w:rPr>
        <w:t>–</w:t>
      </w:r>
      <w:r w:rsidRPr="092CC55B">
        <w:rPr>
          <w:b/>
        </w:rPr>
        <w:t xml:space="preserve"> </w:t>
      </w:r>
      <w:r w:rsidR="0009008A">
        <w:t>In</w:t>
      </w:r>
      <w:r w:rsidRPr="092CC55B">
        <w:t xml:space="preserve"> the </w:t>
      </w:r>
      <w:r w:rsidRPr="0009008A">
        <w:rPr>
          <w:b/>
          <w:bCs/>
        </w:rPr>
        <w:t>Fee Schedule Maintenance</w:t>
      </w:r>
      <w:r w:rsidRPr="092CC55B">
        <w:t xml:space="preserve"> </w:t>
      </w:r>
      <w:r w:rsidR="0009008A">
        <w:t>dialog box</w:t>
      </w:r>
      <w:r w:rsidRPr="092CC55B">
        <w:t xml:space="preserve">, selecting </w:t>
      </w:r>
      <w:r w:rsidRPr="0009008A">
        <w:rPr>
          <w:b/>
          <w:bCs/>
        </w:rPr>
        <w:t>Attachments</w:t>
      </w:r>
      <w:r w:rsidRPr="092CC55B">
        <w:t xml:space="preserve"> </w:t>
      </w:r>
      <w:r w:rsidR="0009008A">
        <w:t>allows</w:t>
      </w:r>
      <w:r w:rsidRPr="092CC55B">
        <w:t xml:space="preserve"> you to view the number of patients, insurance plans, and providers </w:t>
      </w:r>
      <w:r w:rsidR="0009008A">
        <w:t xml:space="preserve">that are </w:t>
      </w:r>
      <w:r w:rsidRPr="092CC55B">
        <w:t>attached to each fee schedule. Right</w:t>
      </w:r>
      <w:r w:rsidR="0009008A">
        <w:t xml:space="preserve">-click in </w:t>
      </w:r>
      <w:r w:rsidRPr="092CC55B">
        <w:t xml:space="preserve">the </w:t>
      </w:r>
      <w:r w:rsidRPr="0009008A">
        <w:rPr>
          <w:b/>
          <w:bCs/>
        </w:rPr>
        <w:t>Provider</w:t>
      </w:r>
      <w:r w:rsidRPr="092CC55B">
        <w:t xml:space="preserve">, </w:t>
      </w:r>
      <w:r w:rsidRPr="0009008A">
        <w:rPr>
          <w:b/>
          <w:bCs/>
        </w:rPr>
        <w:t>Patient</w:t>
      </w:r>
      <w:r w:rsidRPr="092CC55B">
        <w:t xml:space="preserve">, or </w:t>
      </w:r>
      <w:r w:rsidRPr="0009008A">
        <w:rPr>
          <w:b/>
          <w:bCs/>
        </w:rPr>
        <w:t>Insurance</w:t>
      </w:r>
      <w:r w:rsidRPr="092CC55B">
        <w:t xml:space="preserve"> column to view the details.  </w:t>
      </w:r>
    </w:p>
    <w:p w14:paraId="6E76F7D9" w14:textId="62D3645C" w:rsidR="00B3072B" w:rsidRPr="00AB7939" w:rsidRDefault="00B3072B" w:rsidP="00A0461D">
      <w:pPr>
        <w:pStyle w:val="BodyText"/>
        <w:rPr>
          <w:i/>
          <w:iCs/>
        </w:rPr>
      </w:pPr>
      <w:r w:rsidRPr="00AB7939">
        <w:rPr>
          <w:b/>
          <w:bCs/>
          <w:i/>
          <w:iCs/>
        </w:rPr>
        <w:t>Workflow Insight</w:t>
      </w:r>
      <w:r w:rsidRPr="00AB7939">
        <w:rPr>
          <w:i/>
          <w:iCs/>
        </w:rPr>
        <w:t xml:space="preserve">: Even if fee schedules are not provided in the required format, or any digital format, there are options for scanning </w:t>
      </w:r>
      <w:r w:rsidR="0009008A" w:rsidRPr="00AB7939">
        <w:rPr>
          <w:i/>
          <w:iCs/>
        </w:rPr>
        <w:t>a documen</w:t>
      </w:r>
      <w:r w:rsidR="00AB7939">
        <w:rPr>
          <w:i/>
          <w:iCs/>
        </w:rPr>
        <w:t>t, saving it as a .pdf file,</w:t>
      </w:r>
      <w:r w:rsidR="00AB7939" w:rsidRPr="00AB7939">
        <w:rPr>
          <w:i/>
          <w:iCs/>
        </w:rPr>
        <w:t xml:space="preserve"> and</w:t>
      </w:r>
      <w:r w:rsidRPr="00AB7939">
        <w:rPr>
          <w:i/>
          <w:iCs/>
        </w:rPr>
        <w:t xml:space="preserve"> then converting the </w:t>
      </w:r>
      <w:r w:rsidR="00AB7939">
        <w:rPr>
          <w:i/>
          <w:iCs/>
        </w:rPr>
        <w:t>.pdf file to a .xlsx file</w:t>
      </w:r>
      <w:r w:rsidRPr="00AB7939">
        <w:rPr>
          <w:i/>
          <w:iCs/>
        </w:rPr>
        <w:t xml:space="preserve">. Work with your IT to identify options </w:t>
      </w:r>
      <w:r w:rsidR="00AB7939" w:rsidRPr="00AB7939">
        <w:rPr>
          <w:i/>
          <w:iCs/>
        </w:rPr>
        <w:t>for importing fee schedules</w:t>
      </w:r>
      <w:r w:rsidRPr="00AB7939">
        <w:rPr>
          <w:i/>
          <w:iCs/>
        </w:rPr>
        <w:t>.</w:t>
      </w:r>
    </w:p>
    <w:p w14:paraId="51005936" w14:textId="29FCE544" w:rsidR="009473AD" w:rsidRDefault="00B3072B" w:rsidP="009473AD">
      <w:pPr>
        <w:pStyle w:val="Heading4"/>
      </w:pPr>
      <w:r w:rsidRPr="092CC55B">
        <w:t>Updat</w:t>
      </w:r>
      <w:r w:rsidR="0009008A">
        <w:t>ing</w:t>
      </w:r>
      <w:r w:rsidRPr="092CC55B">
        <w:t xml:space="preserve"> Treatment Plan Fees </w:t>
      </w:r>
    </w:p>
    <w:p w14:paraId="0D80B561" w14:textId="7E83B37E" w:rsidR="00B3072B" w:rsidRDefault="00B3072B" w:rsidP="00AB7939">
      <w:pPr>
        <w:pStyle w:val="BodyText"/>
      </w:pPr>
      <w:r w:rsidRPr="092CC55B">
        <w:t xml:space="preserve">To maintain the integrity of treatment plan estimates, Dentrix Enterprise does not automatically update the fees for procedures </w:t>
      </w:r>
      <w:r w:rsidR="00AB7939">
        <w:t xml:space="preserve">that are </w:t>
      </w:r>
      <w:r w:rsidRPr="092CC55B">
        <w:t xml:space="preserve">assigned to a treatment plan. If the fees have changed since the time </w:t>
      </w:r>
      <w:r w:rsidR="00AB7939">
        <w:t>a</w:t>
      </w:r>
      <w:r w:rsidRPr="092CC55B">
        <w:t xml:space="preserve"> treatment plan was given to a patient, </w:t>
      </w:r>
      <w:r w:rsidR="00AB7939">
        <w:t xml:space="preserve">you can manually update the fees in </w:t>
      </w:r>
      <w:r w:rsidRPr="092CC55B">
        <w:t xml:space="preserve">the treatment plan for that individual patient or </w:t>
      </w:r>
      <w:r w:rsidR="00AB7939">
        <w:t xml:space="preserve">for </w:t>
      </w:r>
      <w:r w:rsidRPr="092CC55B">
        <w:t xml:space="preserve">all patients from the </w:t>
      </w:r>
      <w:r w:rsidRPr="00AB7939">
        <w:rPr>
          <w:b/>
          <w:bCs/>
        </w:rPr>
        <w:t>Fee Schedule Maintenance</w:t>
      </w:r>
      <w:r w:rsidRPr="092CC55B">
        <w:t xml:space="preserve"> </w:t>
      </w:r>
      <w:r w:rsidR="00AB7939">
        <w:t>dialog box</w:t>
      </w:r>
      <w:r w:rsidRPr="092CC55B">
        <w:t xml:space="preserve">. </w:t>
      </w:r>
    </w:p>
    <w:p w14:paraId="11837CDC" w14:textId="77777777" w:rsidR="009473AD" w:rsidRDefault="009473AD" w:rsidP="00B3072B">
      <w:pPr>
        <w:sectPr w:rsidR="009473AD" w:rsidSect="007074D3">
          <w:pgSz w:w="12240" w:h="15840"/>
          <w:pgMar w:top="1440" w:right="1440" w:bottom="1440" w:left="1440" w:header="360" w:footer="360" w:gutter="0"/>
          <w:cols w:space="720"/>
          <w:docGrid w:linePitch="299"/>
        </w:sectPr>
      </w:pPr>
    </w:p>
    <w:p w14:paraId="3666EE1E" w14:textId="77777777" w:rsidR="009473AD" w:rsidRPr="003A572D" w:rsidRDefault="009473AD" w:rsidP="004D3D1C">
      <w:pPr>
        <w:pStyle w:val="Heading1"/>
        <w:rPr>
          <w:lang w:val="en"/>
        </w:rPr>
      </w:pPr>
      <w:bookmarkStart w:id="206" w:name="_Toc135416597"/>
      <w:bookmarkStart w:id="207" w:name="_Toc135416733"/>
      <w:bookmarkStart w:id="208" w:name="_Toc146183341"/>
      <w:r w:rsidRPr="003A572D">
        <w:rPr>
          <w:lang w:val="en"/>
        </w:rPr>
        <w:lastRenderedPageBreak/>
        <w:t>Database Design</w:t>
      </w:r>
      <w:bookmarkEnd w:id="206"/>
      <w:bookmarkEnd w:id="207"/>
      <w:bookmarkEnd w:id="208"/>
    </w:p>
    <w:p w14:paraId="47D6B3CF" w14:textId="63A96E0C" w:rsidR="009473AD" w:rsidRDefault="00AB7939" w:rsidP="004D3D1C">
      <w:pPr>
        <w:pStyle w:val="BodyText"/>
      </w:pPr>
      <w:r>
        <w:t xml:space="preserve">You can configure </w:t>
      </w:r>
      <w:r w:rsidR="009473AD" w:rsidRPr="00821A05">
        <w:t xml:space="preserve">Dentrix Enterprise </w:t>
      </w:r>
      <w:r>
        <w:t>to meet</w:t>
      </w:r>
      <w:r w:rsidR="009473AD" w:rsidRPr="00821A05">
        <w:t xml:space="preserve"> your organization’s specific needs. </w:t>
      </w:r>
      <w:r>
        <w:t>This section</w:t>
      </w:r>
      <w:r w:rsidR="009473AD" w:rsidRPr="00821A05">
        <w:t xml:space="preserve"> reviews the foundational </w:t>
      </w:r>
      <w:r w:rsidR="00A66ABB">
        <w:t>setup</w:t>
      </w:r>
      <w:r w:rsidR="009473AD" w:rsidRPr="00821A05">
        <w:t xml:space="preserve"> for </w:t>
      </w:r>
      <w:r w:rsidR="00A66ABB">
        <w:t>your</w:t>
      </w:r>
      <w:r w:rsidR="009473AD" w:rsidRPr="00821A05">
        <w:t xml:space="preserve"> </w:t>
      </w:r>
      <w:r w:rsidR="00A66ABB" w:rsidRPr="348AB196">
        <w:t>organization</w:t>
      </w:r>
      <w:r w:rsidR="00A66ABB">
        <w:t xml:space="preserve">’s </w:t>
      </w:r>
      <w:r w:rsidR="00A66ABB" w:rsidRPr="348AB196">
        <w:t>database</w:t>
      </w:r>
      <w:r w:rsidR="00DD173F">
        <w:t xml:space="preserve"> and the configuration of</w:t>
      </w:r>
      <w:r w:rsidR="009473AD" w:rsidRPr="00821A05">
        <w:t xml:space="preserve"> individual modules</w:t>
      </w:r>
      <w:r w:rsidR="00DD173F">
        <w:t xml:space="preserve"> to</w:t>
      </w:r>
      <w:r w:rsidR="00A66ABB" w:rsidRPr="348AB196">
        <w:t xml:space="preserve"> best support your workflows</w:t>
      </w:r>
      <w:r w:rsidR="00DD173F">
        <w:t xml:space="preserve"> (</w:t>
      </w:r>
      <w:r w:rsidR="00A66ABB" w:rsidRPr="348AB196">
        <w:t>centralized, location</w:t>
      </w:r>
      <w:r w:rsidR="00DD173F">
        <w:t xml:space="preserve"> based</w:t>
      </w:r>
      <w:r w:rsidR="00A66ABB" w:rsidRPr="348AB196">
        <w:t xml:space="preserve">, or a blend of </w:t>
      </w:r>
      <w:r w:rsidR="00DD173F">
        <w:t>both types)</w:t>
      </w:r>
      <w:r w:rsidR="00A66ABB" w:rsidRPr="348AB196">
        <w:t>.</w:t>
      </w:r>
    </w:p>
    <w:p w14:paraId="7BA251F1" w14:textId="53EA58E3" w:rsidR="00042795" w:rsidRDefault="00AB7939" w:rsidP="004D3D1C">
      <w:pPr>
        <w:pStyle w:val="BodyText"/>
      </w:pPr>
      <w:r>
        <w:t>The following table lists the c</w:t>
      </w:r>
      <w:r w:rsidR="00042795" w:rsidRPr="00F96135">
        <w:t xml:space="preserve">omponents of </w:t>
      </w:r>
      <w:r w:rsidR="00042795">
        <w:t>database design</w:t>
      </w:r>
      <w:r>
        <w:t>.</w:t>
      </w:r>
    </w:p>
    <w:tbl>
      <w:tblPr>
        <w:tblStyle w:val="TableGrid"/>
        <w:tblW w:w="0" w:type="auto"/>
        <w:tblLook w:val="04A0" w:firstRow="1" w:lastRow="0" w:firstColumn="1" w:lastColumn="0" w:noHBand="0" w:noVBand="1"/>
      </w:tblPr>
      <w:tblGrid>
        <w:gridCol w:w="3116"/>
        <w:gridCol w:w="3117"/>
        <w:gridCol w:w="3117"/>
      </w:tblGrid>
      <w:tr w:rsidR="00E745C2" w14:paraId="69678C36" w14:textId="77777777" w:rsidTr="00AB7939">
        <w:trPr>
          <w:trHeight w:val="611"/>
        </w:trPr>
        <w:tc>
          <w:tcPr>
            <w:tcW w:w="3116" w:type="dxa"/>
          </w:tcPr>
          <w:p w14:paraId="710B77B3" w14:textId="77777777" w:rsidR="00E745C2" w:rsidRPr="004D3D1C" w:rsidRDefault="00E745C2" w:rsidP="00AB7939">
            <w:pPr>
              <w:pStyle w:val="BodyText"/>
              <w:spacing w:after="0"/>
              <w:rPr>
                <w:rFonts w:ascii="Arial" w:hAnsi="Arial"/>
                <w:b/>
                <w:bCs/>
              </w:rPr>
            </w:pPr>
            <w:r w:rsidRPr="004D3D1C">
              <w:rPr>
                <w:rFonts w:ascii="Arial" w:hAnsi="Arial"/>
                <w:b/>
                <w:bCs/>
              </w:rPr>
              <w:t xml:space="preserve">Step 1: </w:t>
            </w:r>
            <w:r>
              <w:rPr>
                <w:rFonts w:ascii="Arial" w:hAnsi="Arial"/>
                <w:b/>
                <w:bCs/>
              </w:rPr>
              <w:t>Enterprise</w:t>
            </w:r>
            <w:r w:rsidRPr="004D3D1C">
              <w:rPr>
                <w:rFonts w:ascii="Arial" w:hAnsi="Arial"/>
                <w:b/>
                <w:bCs/>
              </w:rPr>
              <w:t xml:space="preserve"> Setup</w:t>
            </w:r>
          </w:p>
        </w:tc>
        <w:tc>
          <w:tcPr>
            <w:tcW w:w="3117" w:type="dxa"/>
          </w:tcPr>
          <w:p w14:paraId="5FFBF833" w14:textId="77777777" w:rsidR="00E745C2" w:rsidRPr="004D3D1C" w:rsidRDefault="00E745C2" w:rsidP="00AB7939">
            <w:pPr>
              <w:pStyle w:val="BodyText"/>
              <w:spacing w:after="0"/>
              <w:rPr>
                <w:rFonts w:ascii="Arial" w:hAnsi="Arial"/>
                <w:b/>
                <w:bCs/>
              </w:rPr>
            </w:pPr>
            <w:r w:rsidRPr="004D3D1C">
              <w:rPr>
                <w:rFonts w:ascii="Arial" w:hAnsi="Arial"/>
                <w:b/>
                <w:bCs/>
              </w:rPr>
              <w:t>Step 2: Clinic Resource Setup</w:t>
            </w:r>
          </w:p>
        </w:tc>
        <w:tc>
          <w:tcPr>
            <w:tcW w:w="3117" w:type="dxa"/>
          </w:tcPr>
          <w:p w14:paraId="606DA533" w14:textId="77777777" w:rsidR="00E745C2" w:rsidRPr="004D3D1C" w:rsidRDefault="00E745C2" w:rsidP="00AB7939">
            <w:pPr>
              <w:pStyle w:val="BodyText"/>
              <w:spacing w:after="0"/>
              <w:rPr>
                <w:rFonts w:ascii="Arial" w:hAnsi="Arial"/>
                <w:b/>
                <w:bCs/>
              </w:rPr>
            </w:pPr>
            <w:r w:rsidRPr="004D3D1C">
              <w:rPr>
                <w:rFonts w:ascii="Arial" w:hAnsi="Arial"/>
                <w:b/>
                <w:bCs/>
              </w:rPr>
              <w:t>Step 3: Dentrix Enterprise Configuration</w:t>
            </w:r>
          </w:p>
        </w:tc>
      </w:tr>
      <w:tr w:rsidR="00E745C2" w14:paraId="6D9577FD" w14:textId="77777777" w:rsidTr="0092407D">
        <w:tc>
          <w:tcPr>
            <w:tcW w:w="3116" w:type="dxa"/>
          </w:tcPr>
          <w:p w14:paraId="447AE908" w14:textId="4EFF2719" w:rsidR="00E745C2" w:rsidRDefault="00E745C2" w:rsidP="00AB7939">
            <w:pPr>
              <w:pStyle w:val="BodyText"/>
              <w:numPr>
                <w:ilvl w:val="0"/>
                <w:numId w:val="75"/>
              </w:numPr>
              <w:ind w:left="216" w:hanging="245"/>
            </w:pPr>
            <w:r>
              <w:t>Creat</w:t>
            </w:r>
            <w:r w:rsidR="00AB7939">
              <w:t>ing</w:t>
            </w:r>
            <w:r>
              <w:t xml:space="preserve"> Clinic</w:t>
            </w:r>
            <w:r w:rsidR="00AB7939">
              <w:t>s</w:t>
            </w:r>
          </w:p>
          <w:p w14:paraId="3A4AA396" w14:textId="59E2D489" w:rsidR="00E745C2" w:rsidRDefault="00E745C2" w:rsidP="00AB7939">
            <w:pPr>
              <w:pStyle w:val="BodyText"/>
              <w:numPr>
                <w:ilvl w:val="0"/>
                <w:numId w:val="75"/>
              </w:numPr>
              <w:ind w:left="216" w:hanging="245"/>
            </w:pPr>
            <w:r>
              <w:t>Configur</w:t>
            </w:r>
            <w:r w:rsidR="00AB7939">
              <w:t>ing</w:t>
            </w:r>
            <w:r>
              <w:t xml:space="preserve"> Clinic Information</w:t>
            </w:r>
          </w:p>
        </w:tc>
        <w:tc>
          <w:tcPr>
            <w:tcW w:w="3117" w:type="dxa"/>
          </w:tcPr>
          <w:p w14:paraId="72266763" w14:textId="77777777" w:rsidR="00AB7939" w:rsidRDefault="00E745C2" w:rsidP="00AB7939">
            <w:pPr>
              <w:pStyle w:val="BodyText"/>
              <w:numPr>
                <w:ilvl w:val="0"/>
                <w:numId w:val="75"/>
              </w:numPr>
              <w:ind w:left="245" w:hanging="245"/>
            </w:pPr>
            <w:r>
              <w:t>Provider</w:t>
            </w:r>
            <w:r w:rsidR="00AB7939">
              <w:t xml:space="preserve"> Setup</w:t>
            </w:r>
          </w:p>
          <w:p w14:paraId="5C727680" w14:textId="1872E176" w:rsidR="00E745C2" w:rsidRDefault="00E745C2" w:rsidP="00AB7939">
            <w:pPr>
              <w:pStyle w:val="BodyText"/>
              <w:numPr>
                <w:ilvl w:val="0"/>
                <w:numId w:val="75"/>
              </w:numPr>
              <w:ind w:left="245" w:hanging="245"/>
            </w:pPr>
            <w:r>
              <w:t>Staff</w:t>
            </w:r>
            <w:r w:rsidR="00AB7939">
              <w:t xml:space="preserve"> Setup</w:t>
            </w:r>
          </w:p>
          <w:p w14:paraId="5995B602" w14:textId="4F71D4D3" w:rsidR="00F3166B" w:rsidRDefault="00E745C2" w:rsidP="00AB7939">
            <w:pPr>
              <w:pStyle w:val="BodyText"/>
              <w:numPr>
                <w:ilvl w:val="0"/>
                <w:numId w:val="75"/>
              </w:numPr>
              <w:ind w:left="245" w:hanging="245"/>
            </w:pPr>
            <w:r>
              <w:t>Operator</w:t>
            </w:r>
            <w:r w:rsidR="00AB7939">
              <w:t>y Setup</w:t>
            </w:r>
          </w:p>
        </w:tc>
        <w:tc>
          <w:tcPr>
            <w:tcW w:w="3117" w:type="dxa"/>
          </w:tcPr>
          <w:p w14:paraId="6F3D9ACF" w14:textId="53A36B5C" w:rsidR="00F3166B" w:rsidRDefault="005A5AC4" w:rsidP="00AB7939">
            <w:pPr>
              <w:pStyle w:val="BodyText"/>
              <w:numPr>
                <w:ilvl w:val="0"/>
                <w:numId w:val="75"/>
              </w:numPr>
              <w:ind w:left="245" w:hanging="245"/>
            </w:pPr>
            <w:r>
              <w:t>S</w:t>
            </w:r>
            <w:r w:rsidR="00F3166B">
              <w:t xml:space="preserve">ecurity </w:t>
            </w:r>
            <w:r>
              <w:t>Setup</w:t>
            </w:r>
          </w:p>
          <w:p w14:paraId="5F7443E4" w14:textId="76B0947E" w:rsidR="00E745C2" w:rsidRDefault="00E745C2" w:rsidP="00AB7939">
            <w:pPr>
              <w:pStyle w:val="BodyText"/>
              <w:numPr>
                <w:ilvl w:val="0"/>
                <w:numId w:val="75"/>
              </w:numPr>
              <w:ind w:left="245" w:hanging="245"/>
            </w:pPr>
            <w:r>
              <w:t>Definitions</w:t>
            </w:r>
          </w:p>
          <w:p w14:paraId="0A5D6184" w14:textId="77777777" w:rsidR="00E745C2" w:rsidRDefault="00E745C2" w:rsidP="00AB7939">
            <w:pPr>
              <w:pStyle w:val="BodyText"/>
              <w:numPr>
                <w:ilvl w:val="0"/>
                <w:numId w:val="75"/>
              </w:numPr>
              <w:ind w:left="245" w:hanging="245"/>
            </w:pPr>
            <w:r>
              <w:t>Procedure Code Setup</w:t>
            </w:r>
          </w:p>
          <w:p w14:paraId="3243CEBC" w14:textId="77777777" w:rsidR="005A5AC4" w:rsidRDefault="005A5AC4" w:rsidP="00AB7939">
            <w:pPr>
              <w:pStyle w:val="BodyText"/>
              <w:numPr>
                <w:ilvl w:val="0"/>
                <w:numId w:val="75"/>
              </w:numPr>
              <w:ind w:left="245" w:hanging="245"/>
            </w:pPr>
            <w:r>
              <w:t>Continuing Care Setup</w:t>
            </w:r>
          </w:p>
          <w:p w14:paraId="3B72B6B5" w14:textId="7B276B14" w:rsidR="00E745C2" w:rsidRDefault="00E745C2" w:rsidP="00AB7939">
            <w:pPr>
              <w:pStyle w:val="BodyText"/>
              <w:numPr>
                <w:ilvl w:val="0"/>
                <w:numId w:val="75"/>
              </w:numPr>
              <w:ind w:left="245" w:hanging="245"/>
            </w:pPr>
            <w:r>
              <w:t>Appointment Book Setup</w:t>
            </w:r>
          </w:p>
          <w:p w14:paraId="3AD8089C" w14:textId="6E5ECE7F" w:rsidR="00E745C2" w:rsidRDefault="00E745C2" w:rsidP="00AB7939">
            <w:pPr>
              <w:pStyle w:val="BodyText"/>
              <w:numPr>
                <w:ilvl w:val="0"/>
                <w:numId w:val="75"/>
              </w:numPr>
              <w:ind w:left="245" w:hanging="245"/>
            </w:pPr>
            <w:r>
              <w:t>Clinical Setup</w:t>
            </w:r>
          </w:p>
          <w:p w14:paraId="4624D3ED" w14:textId="62E9BA19" w:rsidR="005A5AC4" w:rsidRDefault="005A5AC4" w:rsidP="00AB7939">
            <w:pPr>
              <w:pStyle w:val="BodyText"/>
              <w:numPr>
                <w:ilvl w:val="0"/>
                <w:numId w:val="75"/>
              </w:numPr>
              <w:ind w:left="245" w:hanging="245"/>
            </w:pPr>
            <w:r>
              <w:t>Prescriptions</w:t>
            </w:r>
            <w:r w:rsidR="00AB7939">
              <w:t xml:space="preserve"> Setup</w:t>
            </w:r>
          </w:p>
          <w:p w14:paraId="0CCF0DC2" w14:textId="77777777" w:rsidR="00E745C2" w:rsidRDefault="00E745C2" w:rsidP="00AB7939">
            <w:pPr>
              <w:pStyle w:val="BodyText"/>
              <w:numPr>
                <w:ilvl w:val="0"/>
                <w:numId w:val="75"/>
              </w:numPr>
              <w:ind w:left="245" w:hanging="245"/>
            </w:pPr>
            <w:r>
              <w:t>Ledger Setup</w:t>
            </w:r>
          </w:p>
          <w:p w14:paraId="7E4F9115" w14:textId="77777777" w:rsidR="00E745C2" w:rsidRDefault="00E745C2" w:rsidP="00AB7939">
            <w:pPr>
              <w:pStyle w:val="BodyText"/>
              <w:numPr>
                <w:ilvl w:val="0"/>
                <w:numId w:val="75"/>
              </w:numPr>
              <w:ind w:left="245" w:hanging="245"/>
            </w:pPr>
            <w:r>
              <w:t>Document Center Setup</w:t>
            </w:r>
          </w:p>
          <w:p w14:paraId="4D7DC904" w14:textId="16FA9A6A" w:rsidR="00E745C2" w:rsidRDefault="00E745C2" w:rsidP="00AB7939">
            <w:pPr>
              <w:pStyle w:val="BodyText"/>
              <w:numPr>
                <w:ilvl w:val="0"/>
                <w:numId w:val="75"/>
              </w:numPr>
              <w:ind w:left="245" w:hanging="245"/>
            </w:pPr>
            <w:r>
              <w:t xml:space="preserve">Customize Individual Modules </w:t>
            </w:r>
            <w:r w:rsidR="00AB7939">
              <w:t>and</w:t>
            </w:r>
            <w:r>
              <w:t xml:space="preserve"> </w:t>
            </w:r>
            <w:r w:rsidR="00AB7939">
              <w:t xml:space="preserve">the </w:t>
            </w:r>
            <w:r>
              <w:t>Registry</w:t>
            </w:r>
          </w:p>
        </w:tc>
      </w:tr>
    </w:tbl>
    <w:p w14:paraId="51C27288" w14:textId="39BFA5FC" w:rsidR="004D3D1C" w:rsidRPr="004D3D1C" w:rsidRDefault="00E745C2" w:rsidP="004267C0">
      <w:pPr>
        <w:pStyle w:val="Heading2"/>
        <w:numPr>
          <w:ilvl w:val="0"/>
          <w:numId w:val="74"/>
        </w:numPr>
      </w:pPr>
      <w:bookmarkStart w:id="209" w:name="_Toc135416598"/>
      <w:bookmarkStart w:id="210" w:name="_Toc135416734"/>
      <w:bookmarkStart w:id="211" w:name="_Toc146183342"/>
      <w:bookmarkStart w:id="212" w:name="PracticeSetup"/>
      <w:r w:rsidRPr="004267C0">
        <w:rPr>
          <w:rStyle w:val="Heading1Char"/>
          <w:rFonts w:eastAsiaTheme="majorEastAsia"/>
          <w:b/>
          <w:bCs w:val="0"/>
          <w:kern w:val="0"/>
          <w:sz w:val="36"/>
          <w:szCs w:val="26"/>
        </w:rPr>
        <w:t>Enterprise</w:t>
      </w:r>
      <w:r w:rsidR="009473AD" w:rsidRPr="004267C0">
        <w:rPr>
          <w:rStyle w:val="Heading1Char"/>
          <w:rFonts w:eastAsiaTheme="majorEastAsia"/>
          <w:b/>
          <w:bCs w:val="0"/>
          <w:kern w:val="0"/>
          <w:sz w:val="36"/>
          <w:szCs w:val="26"/>
        </w:rPr>
        <w:t xml:space="preserve"> S</w:t>
      </w:r>
      <w:r w:rsidR="004D3D1C" w:rsidRPr="004267C0">
        <w:rPr>
          <w:rStyle w:val="Heading1Char"/>
          <w:rFonts w:eastAsiaTheme="majorEastAsia"/>
          <w:b/>
          <w:bCs w:val="0"/>
          <w:kern w:val="0"/>
          <w:sz w:val="36"/>
          <w:szCs w:val="26"/>
        </w:rPr>
        <w:t>etup</w:t>
      </w:r>
      <w:bookmarkEnd w:id="209"/>
      <w:bookmarkEnd w:id="210"/>
      <w:bookmarkEnd w:id="211"/>
    </w:p>
    <w:bookmarkEnd w:id="212"/>
    <w:p w14:paraId="7747434D" w14:textId="6CDCFECB" w:rsidR="009473AD" w:rsidRPr="004D3D1C" w:rsidRDefault="00A66ABB" w:rsidP="004D3D1C">
      <w:pPr>
        <w:pStyle w:val="BodyText"/>
      </w:pPr>
      <w:r w:rsidRPr="004D3D1C">
        <w:t>Customization</w:t>
      </w:r>
      <w:r w:rsidR="00DD173F">
        <w:t>s</w:t>
      </w:r>
      <w:r w:rsidRPr="004D3D1C">
        <w:t xml:space="preserve"> </w:t>
      </w:r>
      <w:r>
        <w:t xml:space="preserve">to meet </w:t>
      </w:r>
      <w:r w:rsidR="00DD173F">
        <w:t xml:space="preserve">your </w:t>
      </w:r>
      <w:r w:rsidRPr="004D3D1C">
        <w:t>organizational needs start with defining the dental location</w:t>
      </w:r>
      <w:r>
        <w:t xml:space="preserve">s, so </w:t>
      </w:r>
      <w:r w:rsidR="00DD173F" w:rsidRPr="004D3D1C">
        <w:t xml:space="preserve">the Dentrix Enterprise setup </w:t>
      </w:r>
      <w:r w:rsidR="00DD173F">
        <w:t xml:space="preserve">process </w:t>
      </w:r>
      <w:r w:rsidR="00DD173F" w:rsidRPr="004D3D1C">
        <w:t>begins</w:t>
      </w:r>
      <w:r w:rsidR="00DD173F">
        <w:t xml:space="preserve"> in </w:t>
      </w:r>
      <w:r>
        <w:t xml:space="preserve">the </w:t>
      </w:r>
      <w:r w:rsidRPr="00A66ABB">
        <w:rPr>
          <w:b/>
          <w:bCs/>
        </w:rPr>
        <w:t>Enterprise Setup</w:t>
      </w:r>
      <w:r w:rsidRPr="0030168F">
        <w:t xml:space="preserve"> </w:t>
      </w:r>
      <w:r>
        <w:t>dialog box</w:t>
      </w:r>
      <w:r w:rsidRPr="004D3D1C">
        <w:t>.</w:t>
      </w:r>
      <w:r>
        <w:t xml:space="preserve"> In the </w:t>
      </w:r>
      <w:r w:rsidR="009473AD" w:rsidRPr="00A66ABB">
        <w:rPr>
          <w:b/>
          <w:bCs/>
        </w:rPr>
        <w:t>Enterprise Setup</w:t>
      </w:r>
      <w:r w:rsidR="009473AD" w:rsidRPr="0030168F">
        <w:t xml:space="preserve"> </w:t>
      </w:r>
      <w:r>
        <w:t xml:space="preserve">dialog box, </w:t>
      </w:r>
      <w:r w:rsidR="009473AD" w:rsidRPr="0030168F">
        <w:t xml:space="preserve">you </w:t>
      </w:r>
      <w:r>
        <w:t xml:space="preserve">can </w:t>
      </w:r>
      <w:r w:rsidR="009473AD" w:rsidRPr="0030168F">
        <w:t xml:space="preserve">create </w:t>
      </w:r>
      <w:r>
        <w:t xml:space="preserve">a clinic </w:t>
      </w:r>
      <w:r w:rsidR="009473AD" w:rsidRPr="0030168F">
        <w:t xml:space="preserve">and </w:t>
      </w:r>
      <w:r>
        <w:t xml:space="preserve">configure that clinic’s </w:t>
      </w:r>
      <w:r w:rsidR="009473AD" w:rsidRPr="0030168F">
        <w:t xml:space="preserve">information for operations and reporting. </w:t>
      </w:r>
      <w:r w:rsidR="009473AD" w:rsidRPr="004D3D1C">
        <w:t>You must be logged in</w:t>
      </w:r>
      <w:r>
        <w:t xml:space="preserve"> </w:t>
      </w:r>
      <w:r w:rsidR="009473AD" w:rsidRPr="004D3D1C">
        <w:t>to the C</w:t>
      </w:r>
      <w:r w:rsidR="00E07E85">
        <w:t>entral</w:t>
      </w:r>
      <w:r w:rsidR="009473AD" w:rsidRPr="004D3D1C">
        <w:t xml:space="preserve"> clinic to set up a clinic.</w:t>
      </w:r>
    </w:p>
    <w:p w14:paraId="03EDD7BD" w14:textId="794B4C59" w:rsidR="009473AD" w:rsidRPr="00DD173F" w:rsidRDefault="009473AD" w:rsidP="004D3D1C">
      <w:pPr>
        <w:pStyle w:val="BodyText"/>
        <w:rPr>
          <w:i/>
          <w:iCs/>
        </w:rPr>
      </w:pPr>
      <w:r w:rsidRPr="00DD173F">
        <w:rPr>
          <w:b/>
          <w:bCs/>
          <w:i/>
          <w:iCs/>
        </w:rPr>
        <w:t>Operations Insight</w:t>
      </w:r>
      <w:r w:rsidR="00E07E85" w:rsidRPr="00DD173F">
        <w:rPr>
          <w:i/>
          <w:iCs/>
        </w:rPr>
        <w:t>:</w:t>
      </w:r>
      <w:r w:rsidRPr="00DD173F">
        <w:rPr>
          <w:i/>
          <w:iCs/>
        </w:rPr>
        <w:t xml:space="preserve"> Add each dental location as a clinic. </w:t>
      </w:r>
      <w:r w:rsidR="00DD173F" w:rsidRPr="00DD173F">
        <w:rPr>
          <w:i/>
          <w:iCs/>
        </w:rPr>
        <w:t xml:space="preserve">You can </w:t>
      </w:r>
      <w:r w:rsidRPr="00DD173F">
        <w:rPr>
          <w:i/>
          <w:iCs/>
        </w:rPr>
        <w:t>filter reports for data output at the individual clinic level or grouped with other clinics. Additionally, the creation of clinics provides the opportunity to develop a unique Appointment Book for scheduling patients at each clinic.</w:t>
      </w:r>
    </w:p>
    <w:p w14:paraId="448BB9D2" w14:textId="58BCD935" w:rsidR="009473AD" w:rsidRPr="00DD173F" w:rsidRDefault="009473AD" w:rsidP="00F57732">
      <w:pPr>
        <w:pStyle w:val="BodyText"/>
        <w:rPr>
          <w:i/>
          <w:iCs/>
        </w:rPr>
      </w:pPr>
      <w:r w:rsidRPr="00DD173F">
        <w:rPr>
          <w:b/>
          <w:bCs/>
          <w:i/>
          <w:iCs/>
        </w:rPr>
        <w:t>Operations Insight</w:t>
      </w:r>
      <w:r w:rsidR="00E07E85" w:rsidRPr="00DD173F">
        <w:rPr>
          <w:i/>
          <w:iCs/>
        </w:rPr>
        <w:t>:</w:t>
      </w:r>
      <w:r w:rsidRPr="00DD173F">
        <w:rPr>
          <w:i/>
          <w:iCs/>
        </w:rPr>
        <w:t xml:space="preserve"> Adding a new clinic in an HL7 interface environment will require updates to the HL7 messaging with the Electronic Medical Record (EMR, such as RPMS).</w:t>
      </w:r>
    </w:p>
    <w:p w14:paraId="3F648F25" w14:textId="062AC9CB" w:rsidR="009473AD" w:rsidRPr="004D3D1C" w:rsidRDefault="009473AD" w:rsidP="004D3D1C">
      <w:pPr>
        <w:pStyle w:val="BodyText"/>
      </w:pPr>
      <w:r w:rsidRPr="00E07E85">
        <w:rPr>
          <w:b/>
          <w:bCs/>
        </w:rPr>
        <w:t>What is a Clinic?</w:t>
      </w:r>
      <w:r w:rsidRPr="004D3D1C">
        <w:rPr>
          <w:b/>
          <w:bCs/>
        </w:rPr>
        <w:t xml:space="preserve"> </w:t>
      </w:r>
      <w:r w:rsidRPr="004D3D1C">
        <w:t xml:space="preserve">Clinics are physical dental locations. A clinic could also be non-physical, such as </w:t>
      </w:r>
      <w:r w:rsidR="00DD173F">
        <w:t xml:space="preserve">a </w:t>
      </w:r>
      <w:r w:rsidRPr="004D3D1C">
        <w:t>department. In Dentrix Enterprise, a clinic provides a space for unique data entry and tracking and should be considered anytime separation (or filtering) of data is desired.</w:t>
      </w:r>
    </w:p>
    <w:p w14:paraId="0FD460D3" w14:textId="14ABF608" w:rsidR="009473AD" w:rsidRPr="004D3D1C" w:rsidRDefault="009473AD" w:rsidP="004D3D1C">
      <w:pPr>
        <w:pStyle w:val="BodyText"/>
      </w:pPr>
      <w:r w:rsidRPr="00E07E85">
        <w:rPr>
          <w:b/>
          <w:bCs/>
        </w:rPr>
        <w:t>Why is Clinic Information Important?</w:t>
      </w:r>
      <w:r w:rsidRPr="004D3D1C">
        <w:t xml:space="preserve"> Clinics are the key to allocation, or the assignment of resources to a location. For example, clinics are used to </w:t>
      </w:r>
      <w:r w:rsidR="00DD173F">
        <w:t>manage patient</w:t>
      </w:r>
      <w:r w:rsidRPr="004D3D1C">
        <w:t>s, services, staffing, and security assignments. A clinic can be reported on separately or in a group with other clinics. A clinic can have its own setup, including an Appointment Book for scheduling patients.</w:t>
      </w:r>
    </w:p>
    <w:p w14:paraId="61934515" w14:textId="11663F0D" w:rsidR="009473AD" w:rsidRPr="004D3D1C" w:rsidRDefault="00DD173F" w:rsidP="000D7FFC">
      <w:pPr>
        <w:pStyle w:val="BodyText"/>
        <w:keepNext/>
        <w:keepLines/>
      </w:pPr>
      <w:r>
        <w:lastRenderedPageBreak/>
        <w:t>Because</w:t>
      </w:r>
      <w:r w:rsidR="009473AD" w:rsidRPr="004D3D1C">
        <w:t xml:space="preserve"> clinic</w:t>
      </w:r>
      <w:r>
        <w:t>s are</w:t>
      </w:r>
      <w:r w:rsidR="009473AD" w:rsidRPr="004D3D1C">
        <w:t xml:space="preserve"> the base structure for many </w:t>
      </w:r>
      <w:r w:rsidR="005D4E8A">
        <w:t xml:space="preserve">areas of </w:t>
      </w:r>
      <w:r w:rsidR="009473AD" w:rsidRPr="004D3D1C">
        <w:t>Dentrix Enterprise</w:t>
      </w:r>
      <w:r w:rsidR="005D4E8A">
        <w:t xml:space="preserve"> </w:t>
      </w:r>
      <w:r w:rsidR="009473AD" w:rsidRPr="004D3D1C">
        <w:t>configuration</w:t>
      </w:r>
      <w:r>
        <w:t>s</w:t>
      </w:r>
      <w:r w:rsidR="009473AD" w:rsidRPr="004D3D1C">
        <w:t xml:space="preserve"> and workflows</w:t>
      </w:r>
      <w:r w:rsidR="005D4E8A">
        <w:t xml:space="preserve">, be aware of how the following areas are dependent upon </w:t>
      </w:r>
      <w:r w:rsidR="000D2421">
        <w:t xml:space="preserve">your </w:t>
      </w:r>
      <w:r w:rsidR="005D4E8A">
        <w:t>clinics</w:t>
      </w:r>
      <w:r>
        <w:t>:</w:t>
      </w:r>
    </w:p>
    <w:p w14:paraId="69CE2CF0" w14:textId="7CAE62ED" w:rsidR="009473AD" w:rsidRPr="004D3D1C" w:rsidRDefault="009473AD">
      <w:pPr>
        <w:pStyle w:val="BodyText"/>
        <w:numPr>
          <w:ilvl w:val="0"/>
          <w:numId w:val="76"/>
        </w:numPr>
        <w:ind w:left="540"/>
      </w:pPr>
      <w:r w:rsidRPr="004D3D1C">
        <w:t>Users</w:t>
      </w:r>
      <w:r w:rsidR="00E07E85">
        <w:t xml:space="preserve"> (</w:t>
      </w:r>
      <w:r w:rsidRPr="004D3D1C">
        <w:t>providers and staff</w:t>
      </w:r>
      <w:r w:rsidR="00E07E85">
        <w:t>).</w:t>
      </w:r>
    </w:p>
    <w:p w14:paraId="259EEC20" w14:textId="49682FE4" w:rsidR="009473AD" w:rsidRPr="004D3D1C" w:rsidRDefault="009473AD">
      <w:pPr>
        <w:pStyle w:val="BodyText"/>
        <w:numPr>
          <w:ilvl w:val="0"/>
          <w:numId w:val="76"/>
        </w:numPr>
        <w:ind w:left="540"/>
      </w:pPr>
      <w:r w:rsidRPr="004D3D1C">
        <w:t>Security rights</w:t>
      </w:r>
      <w:r w:rsidR="00E07E85">
        <w:t xml:space="preserve"> (for restricting</w:t>
      </w:r>
      <w:r w:rsidRPr="004D3D1C">
        <w:t xml:space="preserve"> access</w:t>
      </w:r>
      <w:r w:rsidR="00E07E85">
        <w:t>).</w:t>
      </w:r>
    </w:p>
    <w:p w14:paraId="5CD5418B" w14:textId="6E7E4C81" w:rsidR="009473AD" w:rsidRPr="004D3D1C" w:rsidRDefault="009473AD">
      <w:pPr>
        <w:pStyle w:val="BodyText"/>
        <w:numPr>
          <w:ilvl w:val="0"/>
          <w:numId w:val="76"/>
        </w:numPr>
        <w:ind w:left="540"/>
      </w:pPr>
      <w:r w:rsidRPr="004D3D1C">
        <w:t xml:space="preserve">Operatories </w:t>
      </w:r>
      <w:r w:rsidR="00A66ABB">
        <w:t>(</w:t>
      </w:r>
      <w:r w:rsidRPr="004D3D1C">
        <w:t>for scheduling</w:t>
      </w:r>
      <w:r w:rsidR="00A66ABB">
        <w:t>)</w:t>
      </w:r>
      <w:r w:rsidR="00E07E85">
        <w:t>.</w:t>
      </w:r>
    </w:p>
    <w:p w14:paraId="7C405AFE" w14:textId="7E49E42D" w:rsidR="009473AD" w:rsidRPr="004D3D1C" w:rsidRDefault="009473AD">
      <w:pPr>
        <w:pStyle w:val="BodyText"/>
        <w:numPr>
          <w:ilvl w:val="0"/>
          <w:numId w:val="76"/>
        </w:numPr>
        <w:ind w:left="540"/>
      </w:pPr>
      <w:r w:rsidRPr="004D3D1C">
        <w:t>HL7 interface messages</w:t>
      </w:r>
      <w:r w:rsidR="00A66ABB">
        <w:t>.</w:t>
      </w:r>
    </w:p>
    <w:p w14:paraId="4694A49F" w14:textId="73C3812A" w:rsidR="009473AD" w:rsidRPr="004D3D1C" w:rsidRDefault="009473AD">
      <w:pPr>
        <w:pStyle w:val="BodyText"/>
        <w:numPr>
          <w:ilvl w:val="0"/>
          <w:numId w:val="76"/>
        </w:numPr>
        <w:ind w:left="540"/>
      </w:pPr>
      <w:r w:rsidRPr="004D3D1C">
        <w:t>Reporting</w:t>
      </w:r>
      <w:r w:rsidR="00A66ABB">
        <w:t>.</w:t>
      </w:r>
    </w:p>
    <w:p w14:paraId="113A2A93" w14:textId="3991CC0C" w:rsidR="00F57732" w:rsidRDefault="00F57732" w:rsidP="00D42C5A">
      <w:pPr>
        <w:pStyle w:val="Heading3"/>
      </w:pPr>
      <w:bookmarkStart w:id="213" w:name="GeneralTab"/>
      <w:bookmarkStart w:id="214" w:name="_Toc135416735"/>
      <w:bookmarkStart w:id="215" w:name="_Toc146183343"/>
      <w:r>
        <w:t xml:space="preserve">Clinic Information </w:t>
      </w:r>
      <w:r w:rsidR="00660280">
        <w:t>–</w:t>
      </w:r>
      <w:r>
        <w:t xml:space="preserve"> </w:t>
      </w:r>
      <w:r w:rsidR="00660280">
        <w:t>Clinic Settings</w:t>
      </w:r>
      <w:r w:rsidR="009473AD" w:rsidRPr="00E20C66">
        <w:t xml:space="preserve"> Tab</w:t>
      </w:r>
      <w:bookmarkEnd w:id="213"/>
      <w:bookmarkEnd w:id="214"/>
      <w:bookmarkEnd w:id="215"/>
    </w:p>
    <w:p w14:paraId="6C77A7EB" w14:textId="3004ACC4" w:rsidR="009473AD" w:rsidRPr="00024B83" w:rsidRDefault="000D2421" w:rsidP="00024B83">
      <w:pPr>
        <w:pStyle w:val="BodyText"/>
      </w:pPr>
      <w:r>
        <w:t>On th</w:t>
      </w:r>
      <w:r w:rsidR="00660280">
        <w:t xml:space="preserve">e </w:t>
      </w:r>
      <w:r w:rsidR="00660280" w:rsidRPr="00660280">
        <w:rPr>
          <w:b/>
          <w:bCs/>
        </w:rPr>
        <w:t>Clinic Settings</w:t>
      </w:r>
      <w:r>
        <w:t xml:space="preserve"> tab</w:t>
      </w:r>
      <w:r w:rsidR="00660280">
        <w:t xml:space="preserve"> of the </w:t>
      </w:r>
      <w:r w:rsidR="00660280" w:rsidRPr="00660280">
        <w:rPr>
          <w:b/>
          <w:bCs/>
        </w:rPr>
        <w:t>Clinic Information</w:t>
      </w:r>
      <w:r w:rsidR="00660280">
        <w:t xml:space="preserve"> dialog box</w:t>
      </w:r>
      <w:r>
        <w:t>, you enter</w:t>
      </w:r>
      <w:r w:rsidR="009473AD">
        <w:t xml:space="preserve"> clinic</w:t>
      </w:r>
      <w:r>
        <w:t>-</w:t>
      </w:r>
      <w:r w:rsidR="009473AD">
        <w:t>specific information. Combining these details with</w:t>
      </w:r>
      <w:r w:rsidR="009473AD" w:rsidRPr="00E20C66">
        <w:t xml:space="preserve"> </w:t>
      </w:r>
      <w:r w:rsidR="009473AD">
        <w:t>other settings throughout</w:t>
      </w:r>
      <w:r w:rsidR="009473AD" w:rsidRPr="00E20C66">
        <w:t xml:space="preserve"> the system</w:t>
      </w:r>
      <w:r>
        <w:t xml:space="preserve"> allows you</w:t>
      </w:r>
      <w:r w:rsidR="009473AD">
        <w:t xml:space="preserve"> to customize where </w:t>
      </w:r>
      <w:r>
        <w:t>a</w:t>
      </w:r>
      <w:r w:rsidR="009473AD">
        <w:t xml:space="preserve"> clinic</w:t>
      </w:r>
      <w:r>
        <w:t>’s</w:t>
      </w:r>
      <w:r w:rsidR="009473AD">
        <w:t xml:space="preserve"> information will </w:t>
      </w:r>
      <w:r>
        <w:t>appear</w:t>
      </w:r>
      <w:r w:rsidR="009473AD">
        <w:t>.</w:t>
      </w:r>
      <w:r>
        <w:t xml:space="preserve"> </w:t>
      </w:r>
      <w:r w:rsidR="009473AD">
        <w:t>The details alone do not establish</w:t>
      </w:r>
      <w:r w:rsidR="009473AD" w:rsidRPr="00E20C66">
        <w:t xml:space="preserve"> </w:t>
      </w:r>
      <w:r w:rsidR="009473AD" w:rsidRPr="000D2421">
        <w:rPr>
          <w:iCs/>
          <w:u w:val="single"/>
        </w:rPr>
        <w:t>how</w:t>
      </w:r>
      <w:r w:rsidR="009473AD">
        <w:t xml:space="preserve"> the information is used in Dentrix Enterprise</w:t>
      </w:r>
      <w:r w:rsidR="009473AD" w:rsidRPr="00E20C66">
        <w:t xml:space="preserve">.  </w:t>
      </w:r>
    </w:p>
    <w:p w14:paraId="4571CB45" w14:textId="5F1E354F" w:rsidR="009473AD" w:rsidRPr="00C7738D" w:rsidRDefault="009473AD">
      <w:pPr>
        <w:pStyle w:val="BodyText"/>
        <w:numPr>
          <w:ilvl w:val="0"/>
          <w:numId w:val="77"/>
        </w:numPr>
        <w:ind w:left="540"/>
      </w:pPr>
      <w:r w:rsidRPr="050847E4">
        <w:rPr>
          <w:b/>
          <w:bCs/>
        </w:rPr>
        <w:t xml:space="preserve">Descriptive ID </w:t>
      </w:r>
      <w:r w:rsidRPr="050847E4">
        <w:t xml:space="preserve">– This Internal ID is a reference name for the clinic in Dentrix Enterprise and on reports. This is the </w:t>
      </w:r>
      <w:r w:rsidRPr="004D3D1C">
        <w:t xml:space="preserve">site’s </w:t>
      </w:r>
      <w:r w:rsidRPr="050847E4">
        <w:t xml:space="preserve">short name or </w:t>
      </w:r>
      <w:r w:rsidR="000D2421">
        <w:t xml:space="preserve">the </w:t>
      </w:r>
      <w:r w:rsidRPr="050847E4">
        <w:t xml:space="preserve">abbreviated name for the clinic. The Descriptive ID </w:t>
      </w:r>
      <w:r w:rsidR="000D2421">
        <w:t>can be</w:t>
      </w:r>
      <w:r w:rsidRPr="050847E4">
        <w:t xml:space="preserve"> a maximum of 11 characters </w:t>
      </w:r>
      <w:r w:rsidR="000D2421">
        <w:t>long</w:t>
      </w:r>
      <w:r w:rsidRPr="050847E4">
        <w:t xml:space="preserve">, </w:t>
      </w:r>
      <w:r w:rsidR="000D2421">
        <w:t xml:space="preserve">and </w:t>
      </w:r>
      <w:r w:rsidRPr="050847E4">
        <w:t>no spaces</w:t>
      </w:r>
      <w:r w:rsidR="000D2421">
        <w:t xml:space="preserve"> are</w:t>
      </w:r>
      <w:r w:rsidRPr="050847E4">
        <w:t xml:space="preserve"> allowed. </w:t>
      </w:r>
    </w:p>
    <w:p w14:paraId="398FFB4C" w14:textId="7579384F" w:rsidR="009473AD" w:rsidRDefault="009473AD">
      <w:pPr>
        <w:pStyle w:val="BodyText"/>
        <w:numPr>
          <w:ilvl w:val="0"/>
          <w:numId w:val="77"/>
        </w:numPr>
        <w:ind w:left="540"/>
      </w:pPr>
      <w:r w:rsidRPr="092CC55B">
        <w:rPr>
          <w:b/>
          <w:bCs/>
        </w:rPr>
        <w:t xml:space="preserve">Clinic TIN </w:t>
      </w:r>
      <w:r w:rsidRPr="092CC55B">
        <w:t xml:space="preserve">– </w:t>
      </w:r>
      <w:r w:rsidR="000D2421">
        <w:t>You can link t</w:t>
      </w:r>
      <w:r w:rsidRPr="092CC55B">
        <w:t xml:space="preserve">he Clinic TIN to a </w:t>
      </w:r>
      <w:r w:rsidR="000D2421">
        <w:t>p</w:t>
      </w:r>
      <w:r w:rsidRPr="092CC55B">
        <w:t xml:space="preserve">rovider in the </w:t>
      </w:r>
      <w:r w:rsidR="000D2421">
        <w:t>Clinic Resource Setup</w:t>
      </w:r>
      <w:r w:rsidRPr="092CC55B">
        <w:t xml:space="preserve">.    </w:t>
      </w:r>
    </w:p>
    <w:p w14:paraId="63A8554B" w14:textId="7531C57B" w:rsidR="009473AD" w:rsidRPr="00F57732" w:rsidRDefault="009473AD" w:rsidP="00024B83">
      <w:pPr>
        <w:pStyle w:val="BodyText"/>
        <w:ind w:left="540"/>
      </w:pPr>
      <w:r w:rsidRPr="000D2421">
        <w:rPr>
          <w:b/>
          <w:bCs/>
        </w:rPr>
        <w:t>What is a TIN?</w:t>
      </w:r>
      <w:r w:rsidRPr="00F57732">
        <w:t xml:space="preserve"> A Taxpayer Identification Number (Tax ID, or TIN) is a generic term used by the Internal Revenue Service to designate the types of numbers that it allows to be used for tax and identification purposes. It is primarily used to track payments for tax purposes. The Internal Revenue Service assigns a Tax Identifier Number (TIN) to each practice for tax purposes. A TIN can be assigned to the billing dentist if </w:t>
      </w:r>
      <w:r w:rsidR="000D2421">
        <w:t>he or she is</w:t>
      </w:r>
      <w:r w:rsidRPr="00F57732">
        <w:t xml:space="preserve"> unincorporated.</w:t>
      </w:r>
    </w:p>
    <w:p w14:paraId="4BDD1169" w14:textId="608EA473" w:rsidR="009473AD" w:rsidRPr="00024B83" w:rsidRDefault="009473AD" w:rsidP="00024B83">
      <w:pPr>
        <w:pStyle w:val="BodyText"/>
        <w:ind w:left="540"/>
      </w:pPr>
      <w:r w:rsidRPr="000D2421">
        <w:rPr>
          <w:b/>
          <w:bCs/>
        </w:rPr>
        <w:t>Who needs a TIN?</w:t>
      </w:r>
      <w:r w:rsidRPr="00F57732">
        <w:rPr>
          <w:b/>
          <w:bCs/>
        </w:rPr>
        <w:t xml:space="preserve"> </w:t>
      </w:r>
      <w:r w:rsidRPr="00F57732">
        <w:t xml:space="preserve">A </w:t>
      </w:r>
      <w:r w:rsidR="000D2421">
        <w:t>TIN</w:t>
      </w:r>
      <w:r w:rsidRPr="00024B83">
        <w:t xml:space="preserve"> is not required if you operate a sole proprietorship or an LLC with no employees. This </w:t>
      </w:r>
      <w:r w:rsidR="000D2421">
        <w:t>person</w:t>
      </w:r>
      <w:r w:rsidRPr="00024B83">
        <w:t xml:space="preserve"> would simply use </w:t>
      </w:r>
      <w:r w:rsidR="000D2421">
        <w:t>his or her</w:t>
      </w:r>
      <w:r w:rsidRPr="00024B83">
        <w:t xml:space="preserve"> own Social Security Number as a tax ID. </w:t>
      </w:r>
      <w:r w:rsidR="000D2421">
        <w:t>A company getting a</w:t>
      </w:r>
      <w:r w:rsidRPr="00024B83">
        <w:t xml:space="preserve"> TIN is based on whether </w:t>
      </w:r>
      <w:r w:rsidR="000D2421">
        <w:t>there are</w:t>
      </w:r>
      <w:r w:rsidRPr="00024B83">
        <w:t xml:space="preserve"> employees</w:t>
      </w:r>
      <w:r w:rsidR="000D2421">
        <w:t xml:space="preserve"> or not</w:t>
      </w:r>
      <w:r w:rsidRPr="00024B83">
        <w:t>.</w:t>
      </w:r>
    </w:p>
    <w:p w14:paraId="59D5CFB0" w14:textId="77777777" w:rsidR="000D2421" w:rsidRDefault="009473AD" w:rsidP="00024B83">
      <w:pPr>
        <w:pStyle w:val="BodyText"/>
        <w:ind w:left="540"/>
      </w:pPr>
      <w:r w:rsidRPr="000D2421">
        <w:rPr>
          <w:b/>
          <w:bCs/>
        </w:rPr>
        <w:t>Why is it important?</w:t>
      </w:r>
      <w:r w:rsidRPr="00024B83">
        <w:t xml:space="preserve"> </w:t>
      </w:r>
      <w:proofErr w:type="gramStart"/>
      <w:r w:rsidR="000D2421">
        <w:t>A TIN</w:t>
      </w:r>
      <w:proofErr w:type="gramEnd"/>
      <w:r w:rsidRPr="00024B83">
        <w:t xml:space="preserve"> is important for several reasons</w:t>
      </w:r>
      <w:r w:rsidR="000D2421">
        <w:t>. I</w:t>
      </w:r>
      <w:r w:rsidRPr="00024B83">
        <w:t xml:space="preserve">t is how the IRS track payments made to agencies, and it is how </w:t>
      </w:r>
      <w:r w:rsidR="000D2421">
        <w:t>agencies</w:t>
      </w:r>
      <w:r w:rsidRPr="00024B83">
        <w:t xml:space="preserve"> a</w:t>
      </w:r>
      <w:r w:rsidRPr="00F57732">
        <w:t>re identified on claim forms. More information on reporting the TIN on the ADA 2019 Claim Form can be found in the ADA Dental Claim Form Completion Instructio</w:t>
      </w:r>
      <w:r w:rsidRPr="00024B83">
        <w:t>ns</w:t>
      </w:r>
      <w:r w:rsidR="000D2421">
        <w:t xml:space="preserve"> document.</w:t>
      </w:r>
    </w:p>
    <w:p w14:paraId="7AF1C9F3" w14:textId="1E43A04F" w:rsidR="009473AD" w:rsidRPr="00024B83" w:rsidRDefault="00000000" w:rsidP="00660280">
      <w:pPr>
        <w:pStyle w:val="BodyText"/>
        <w:ind w:left="720"/>
      </w:pPr>
      <w:hyperlink r:id="rId39" w:history="1">
        <w:r w:rsidR="009473AD" w:rsidRPr="00660280">
          <w:rPr>
            <w:rStyle w:val="Hyperlink"/>
            <w:color w:val="0070C0"/>
          </w:rPr>
          <w:t>https://www.ada.org/-/media/project/ada-organization/ada/ada-org/files/publications/cdt/</w:t>
        </w:r>
        <w:r w:rsidR="000D2421" w:rsidRPr="00660280">
          <w:rPr>
            <w:rStyle w:val="Hyperlink"/>
            <w:color w:val="0070C0"/>
          </w:rPr>
          <w:br/>
        </w:r>
        <w:r w:rsidR="009473AD" w:rsidRPr="00660280">
          <w:rPr>
            <w:rStyle w:val="Hyperlink"/>
            <w:color w:val="0070C0"/>
          </w:rPr>
          <w:t>v2019adadentalclaimcompletioninstructions_v3_2022feb.pdf</w:t>
        </w:r>
      </w:hyperlink>
    </w:p>
    <w:p w14:paraId="503328A4" w14:textId="5404042E" w:rsidR="009473AD" w:rsidRPr="00660280" w:rsidRDefault="009473AD" w:rsidP="00024B83">
      <w:pPr>
        <w:pStyle w:val="BodyText"/>
        <w:ind w:left="540"/>
        <w:rPr>
          <w:i/>
          <w:iCs/>
        </w:rPr>
      </w:pPr>
      <w:r w:rsidRPr="00660280">
        <w:rPr>
          <w:b/>
          <w:bCs/>
          <w:i/>
          <w:iCs/>
        </w:rPr>
        <w:t>Operations</w:t>
      </w:r>
      <w:r w:rsidR="00660280" w:rsidRPr="00660280">
        <w:rPr>
          <w:b/>
          <w:bCs/>
          <w:i/>
          <w:iCs/>
        </w:rPr>
        <w:t xml:space="preserve"> I</w:t>
      </w:r>
      <w:r w:rsidRPr="00660280">
        <w:rPr>
          <w:b/>
          <w:bCs/>
          <w:i/>
          <w:iCs/>
        </w:rPr>
        <w:t>nsight</w:t>
      </w:r>
      <w:r w:rsidR="00660280" w:rsidRPr="00660280">
        <w:rPr>
          <w:i/>
          <w:iCs/>
        </w:rPr>
        <w:t>:</w:t>
      </w:r>
      <w:r w:rsidRPr="00660280">
        <w:rPr>
          <w:i/>
          <w:iCs/>
        </w:rPr>
        <w:t xml:space="preserve"> </w:t>
      </w:r>
      <w:r w:rsidR="00660280" w:rsidRPr="00660280">
        <w:rPr>
          <w:i/>
          <w:iCs/>
        </w:rPr>
        <w:t>Specifying t</w:t>
      </w:r>
      <w:r w:rsidRPr="00660280">
        <w:rPr>
          <w:i/>
          <w:iCs/>
        </w:rPr>
        <w:t>he TIN</w:t>
      </w:r>
      <w:r w:rsidR="00660280" w:rsidRPr="00660280">
        <w:rPr>
          <w:i/>
          <w:iCs/>
        </w:rPr>
        <w:t xml:space="preserve"> and </w:t>
      </w:r>
      <w:r w:rsidRPr="00660280">
        <w:rPr>
          <w:i/>
          <w:iCs/>
        </w:rPr>
        <w:t xml:space="preserve">NPI for claims </w:t>
      </w:r>
      <w:r w:rsidR="00660280" w:rsidRPr="00660280">
        <w:rPr>
          <w:i/>
          <w:iCs/>
        </w:rPr>
        <w:t>is part of</w:t>
      </w:r>
      <w:r w:rsidRPr="00660280">
        <w:rPr>
          <w:i/>
          <w:iCs/>
        </w:rPr>
        <w:t xml:space="preserve"> the Revenue Cycle Management workflow.</w:t>
      </w:r>
    </w:p>
    <w:p w14:paraId="55AAED40" w14:textId="251527BC" w:rsidR="009473AD" w:rsidRPr="00F57732" w:rsidRDefault="009473AD" w:rsidP="000D7FFC">
      <w:pPr>
        <w:pStyle w:val="BodyText"/>
        <w:keepNext/>
        <w:keepLines/>
        <w:numPr>
          <w:ilvl w:val="0"/>
          <w:numId w:val="77"/>
        </w:numPr>
        <w:ind w:left="540"/>
      </w:pPr>
      <w:r w:rsidRPr="00F57732">
        <w:rPr>
          <w:b/>
          <w:bCs/>
        </w:rPr>
        <w:lastRenderedPageBreak/>
        <w:t>Clinic NPI</w:t>
      </w:r>
      <w:r w:rsidR="00660280" w:rsidRPr="00660280">
        <w:t xml:space="preserve"> </w:t>
      </w:r>
      <w:r w:rsidR="00660280">
        <w:t>–</w:t>
      </w:r>
      <w:r w:rsidRPr="00660280">
        <w:t xml:space="preserve"> </w:t>
      </w:r>
      <w:r w:rsidRPr="00F57732">
        <w:t xml:space="preserve">The </w:t>
      </w:r>
      <w:r w:rsidR="00660280">
        <w:t>c</w:t>
      </w:r>
      <w:r w:rsidRPr="00F57732">
        <w:t>linic</w:t>
      </w:r>
      <w:r w:rsidR="00660280">
        <w:t>’s</w:t>
      </w:r>
      <w:r w:rsidRPr="00F57732">
        <w:t xml:space="preserve"> NPI</w:t>
      </w:r>
      <w:r w:rsidR="00660280">
        <w:t>. You can specify an NPI for a provider as explained in the “Provider Setup” section</w:t>
      </w:r>
      <w:r w:rsidRPr="00F57732">
        <w:t>.</w:t>
      </w:r>
    </w:p>
    <w:p w14:paraId="195C89A4" w14:textId="5C307791" w:rsidR="009473AD" w:rsidRPr="00F57732" w:rsidRDefault="009473AD" w:rsidP="000D7FFC">
      <w:pPr>
        <w:pStyle w:val="BodyText"/>
        <w:keepNext/>
        <w:keepLines/>
        <w:ind w:left="540"/>
      </w:pPr>
      <w:r w:rsidRPr="00660280">
        <w:rPr>
          <w:b/>
          <w:bCs/>
        </w:rPr>
        <w:t>What is an NPI?</w:t>
      </w:r>
      <w:r w:rsidRPr="00F57732">
        <w:t xml:space="preserve"> A National Provider Identifier, or NPI, is a unique identification number for health care agencies and/or providers. All health care providers must apply for an NPI if they </w:t>
      </w:r>
      <w:r w:rsidR="00660280">
        <w:t>want</w:t>
      </w:r>
      <w:r w:rsidRPr="00F57732">
        <w:t xml:space="preserve"> to be reimbursed by insurance companies, refer patients to others, or write prescriptions.</w:t>
      </w:r>
    </w:p>
    <w:p w14:paraId="0E1926CE" w14:textId="3F17BEB1" w:rsidR="009473AD" w:rsidRPr="00F57732" w:rsidRDefault="009473AD" w:rsidP="000D7FFC">
      <w:pPr>
        <w:pStyle w:val="BodyText"/>
        <w:keepNext/>
        <w:keepLines/>
        <w:numPr>
          <w:ilvl w:val="1"/>
          <w:numId w:val="77"/>
        </w:numPr>
        <w:ind w:left="1080"/>
        <w:rPr>
          <w:b/>
          <w:bCs/>
        </w:rPr>
      </w:pPr>
      <w:r w:rsidRPr="00F57732">
        <w:rPr>
          <w:b/>
          <w:bCs/>
        </w:rPr>
        <w:t>Type</w:t>
      </w:r>
      <w:r w:rsidR="001F12D4">
        <w:rPr>
          <w:b/>
          <w:bCs/>
        </w:rPr>
        <w:t>s of NPIs</w:t>
      </w:r>
      <w:r w:rsidRPr="00F57732">
        <w:rPr>
          <w:b/>
          <w:bCs/>
        </w:rPr>
        <w:t xml:space="preserve">: </w:t>
      </w:r>
    </w:p>
    <w:p w14:paraId="75F27896" w14:textId="34B89937" w:rsidR="009473AD" w:rsidRPr="00F57732" w:rsidRDefault="009473AD" w:rsidP="000D7FFC">
      <w:pPr>
        <w:pStyle w:val="BodyText"/>
        <w:keepNext/>
        <w:keepLines/>
        <w:numPr>
          <w:ilvl w:val="2"/>
          <w:numId w:val="78"/>
        </w:numPr>
        <w:ind w:left="1620"/>
      </w:pPr>
      <w:r w:rsidRPr="00F57732">
        <w:rPr>
          <w:b/>
          <w:bCs/>
        </w:rPr>
        <w:t>Type 1 (Individual) NPI</w:t>
      </w:r>
      <w:r w:rsidR="00660280" w:rsidRPr="00660280">
        <w:t xml:space="preserve"> </w:t>
      </w:r>
      <w:r w:rsidR="00660280">
        <w:t>–</w:t>
      </w:r>
      <w:r w:rsidR="00660280" w:rsidRPr="00660280">
        <w:t xml:space="preserve"> </w:t>
      </w:r>
      <w:r w:rsidR="001F12D4">
        <w:t>An</w:t>
      </w:r>
      <w:r w:rsidR="00660280">
        <w:t xml:space="preserve"> </w:t>
      </w:r>
      <w:r w:rsidRPr="00F57732">
        <w:t xml:space="preserve">NPI assigned to </w:t>
      </w:r>
      <w:r w:rsidR="001F12D4">
        <w:t>an</w:t>
      </w:r>
      <w:r w:rsidRPr="00F57732">
        <w:t xml:space="preserve"> individual healthcare provider</w:t>
      </w:r>
      <w:r w:rsidR="00660280">
        <w:t>.</w:t>
      </w:r>
      <w:r w:rsidRPr="00F57732">
        <w:t xml:space="preserve"> </w:t>
      </w:r>
    </w:p>
    <w:p w14:paraId="720904D4" w14:textId="4BD16467" w:rsidR="009473AD" w:rsidRPr="00F57732" w:rsidRDefault="009473AD">
      <w:pPr>
        <w:pStyle w:val="BodyText"/>
        <w:numPr>
          <w:ilvl w:val="2"/>
          <w:numId w:val="78"/>
        </w:numPr>
        <w:ind w:left="1620"/>
      </w:pPr>
      <w:r w:rsidRPr="00F57732">
        <w:rPr>
          <w:b/>
          <w:bCs/>
        </w:rPr>
        <w:t>Type 2 (Group) NPI</w:t>
      </w:r>
      <w:r w:rsidR="00660280" w:rsidRPr="00660280">
        <w:t xml:space="preserve"> </w:t>
      </w:r>
      <w:r w:rsidR="00660280">
        <w:t>–</w:t>
      </w:r>
      <w:r w:rsidR="00660280" w:rsidRPr="00660280">
        <w:t xml:space="preserve"> </w:t>
      </w:r>
      <w:r w:rsidR="001F12D4">
        <w:t xml:space="preserve">An </w:t>
      </w:r>
      <w:r w:rsidRPr="00F57732">
        <w:t>NPI assigned to a healthcare provider group or organization</w:t>
      </w:r>
      <w:r w:rsidR="00660280">
        <w:t>.</w:t>
      </w:r>
    </w:p>
    <w:p w14:paraId="5F0B4069" w14:textId="57D20669" w:rsidR="009473AD" w:rsidRPr="00F57732" w:rsidRDefault="009473AD" w:rsidP="00F57732">
      <w:pPr>
        <w:pStyle w:val="BodyText"/>
        <w:ind w:left="540"/>
      </w:pPr>
      <w:r w:rsidRPr="001F12D4">
        <w:rPr>
          <w:b/>
          <w:bCs/>
        </w:rPr>
        <w:t>When does an agency need both?</w:t>
      </w:r>
      <w:r w:rsidRPr="00F57732">
        <w:t xml:space="preserve"> The purpose of the two types of NPIs is when a patient receives treatment from a large clinic. The insurance company not only wants to know which clinic the patient visited but also which of the many providers within the large clinic treated the patient.</w:t>
      </w:r>
    </w:p>
    <w:p w14:paraId="62156737" w14:textId="08023A1E" w:rsidR="009473AD" w:rsidRPr="00F57732" w:rsidRDefault="009473AD" w:rsidP="00F57732">
      <w:pPr>
        <w:pStyle w:val="BodyText"/>
        <w:ind w:left="540"/>
        <w:rPr>
          <w:color w:val="FF0000"/>
        </w:rPr>
      </w:pPr>
      <w:r w:rsidRPr="001F12D4">
        <w:rPr>
          <w:b/>
          <w:bCs/>
        </w:rPr>
        <w:t>Why is it important?</w:t>
      </w:r>
      <w:r w:rsidRPr="00F57732">
        <w:t xml:space="preserve"> Without an NPI</w:t>
      </w:r>
      <w:r w:rsidR="001F12D4">
        <w:t>, a</w:t>
      </w:r>
      <w:r w:rsidRPr="00F57732">
        <w:t xml:space="preserve">gencies and their providers will not be able to be reimbursed by insurance companies. If </w:t>
      </w:r>
      <w:r w:rsidR="001F12D4">
        <w:t>a provider</w:t>
      </w:r>
      <w:r w:rsidRPr="00F57732">
        <w:t xml:space="preserve"> </w:t>
      </w:r>
      <w:r w:rsidR="001F12D4">
        <w:t>refers a</w:t>
      </w:r>
      <w:r w:rsidRPr="00F57732">
        <w:t xml:space="preserve"> patient to </w:t>
      </w:r>
      <w:r w:rsidR="001F12D4">
        <w:t>an</w:t>
      </w:r>
      <w:r w:rsidRPr="00F57732">
        <w:t xml:space="preserve">other provider who </w:t>
      </w:r>
      <w:r w:rsidR="001F12D4">
        <w:t>is</w:t>
      </w:r>
      <w:r w:rsidRPr="00F57732">
        <w:t xml:space="preserve"> paid by insurance companies, th</w:t>
      </w:r>
      <w:r w:rsidR="001F12D4">
        <w:t>at referred provider</w:t>
      </w:r>
      <w:r w:rsidRPr="00F57732">
        <w:t xml:space="preserve"> need</w:t>
      </w:r>
      <w:r w:rsidR="001F12D4">
        <w:t>s</w:t>
      </w:r>
      <w:r w:rsidRPr="00F57732">
        <w:t xml:space="preserve"> </w:t>
      </w:r>
      <w:r w:rsidR="001F12D4">
        <w:t>the referring provider’s</w:t>
      </w:r>
      <w:r w:rsidRPr="00F57732">
        <w:t xml:space="preserve"> NPI to get paid by insurance companies. </w:t>
      </w:r>
      <w:r w:rsidR="001F12D4">
        <w:t>A r</w:t>
      </w:r>
      <w:r w:rsidRPr="00F57732">
        <w:t xml:space="preserve">eferred provider must report </w:t>
      </w:r>
      <w:r w:rsidR="001F12D4">
        <w:t>the referring provider’s</w:t>
      </w:r>
      <w:r w:rsidRPr="00F57732">
        <w:t xml:space="preserve"> name and NPI number on </w:t>
      </w:r>
      <w:r w:rsidR="001F12D4">
        <w:t>a</w:t>
      </w:r>
      <w:r w:rsidRPr="00F57732">
        <w:t xml:space="preserve"> claim form. Pharmacies will no longer fill prescriptions without the NPI number of the referring provider.</w:t>
      </w:r>
    </w:p>
    <w:p w14:paraId="3F20A10B" w14:textId="0564EA38" w:rsidR="009473AD" w:rsidRPr="00D16799" w:rsidRDefault="009473AD" w:rsidP="001F12D4">
      <w:pPr>
        <w:pStyle w:val="BodyText"/>
        <w:ind w:left="540"/>
        <w:rPr>
          <w:i/>
          <w:iCs/>
        </w:rPr>
      </w:pPr>
      <w:r w:rsidRPr="00D16799">
        <w:rPr>
          <w:b/>
          <w:bCs/>
          <w:i/>
          <w:iCs/>
        </w:rPr>
        <w:t>Operations Insight</w:t>
      </w:r>
      <w:r w:rsidRPr="00D16799">
        <w:rPr>
          <w:i/>
          <w:iCs/>
        </w:rPr>
        <w:t>:</w:t>
      </w:r>
      <w:r w:rsidRPr="00D16799">
        <w:rPr>
          <w:b/>
          <w:bCs/>
          <w:i/>
          <w:iCs/>
        </w:rPr>
        <w:t xml:space="preserve"> </w:t>
      </w:r>
      <w:r w:rsidRPr="00D16799">
        <w:rPr>
          <w:i/>
          <w:iCs/>
        </w:rPr>
        <w:t>In short</w:t>
      </w:r>
      <w:r w:rsidR="001F12D4" w:rsidRPr="00D16799">
        <w:rPr>
          <w:i/>
          <w:iCs/>
        </w:rPr>
        <w:t>,</w:t>
      </w:r>
      <w:r w:rsidRPr="00D16799">
        <w:rPr>
          <w:i/>
          <w:iCs/>
        </w:rPr>
        <w:t xml:space="preserve"> </w:t>
      </w:r>
      <w:r w:rsidR="001F12D4" w:rsidRPr="00D16799">
        <w:rPr>
          <w:i/>
          <w:iCs/>
        </w:rPr>
        <w:t>t</w:t>
      </w:r>
      <w:r w:rsidRPr="00D16799">
        <w:rPr>
          <w:i/>
          <w:iCs/>
        </w:rPr>
        <w:t xml:space="preserve">he </w:t>
      </w:r>
      <w:r w:rsidR="001F12D4" w:rsidRPr="00D16799">
        <w:rPr>
          <w:i/>
          <w:iCs/>
        </w:rPr>
        <w:t>TIN</w:t>
      </w:r>
      <w:r w:rsidRPr="00D16799">
        <w:rPr>
          <w:i/>
          <w:iCs/>
        </w:rPr>
        <w:t xml:space="preserve"> is the number the IRS uses to track money and identify a group with employees</w:t>
      </w:r>
      <w:r w:rsidR="001F12D4" w:rsidRPr="00D16799">
        <w:rPr>
          <w:i/>
          <w:iCs/>
        </w:rPr>
        <w:t>. T</w:t>
      </w:r>
      <w:r w:rsidRPr="00D16799">
        <w:rPr>
          <w:i/>
          <w:iCs/>
        </w:rPr>
        <w:t xml:space="preserve">he NPI is an ID number issued to physicians and others that provide medical/dental services. The TIN ensures </w:t>
      </w:r>
      <w:r w:rsidR="001F12D4" w:rsidRPr="00D16799">
        <w:rPr>
          <w:i/>
          <w:iCs/>
        </w:rPr>
        <w:t xml:space="preserve">that </w:t>
      </w:r>
      <w:r w:rsidRPr="00D16799">
        <w:rPr>
          <w:i/>
          <w:iCs/>
        </w:rPr>
        <w:t xml:space="preserve">you receive accurate reporting of payments for tax purposes, and the NPI assures </w:t>
      </w:r>
      <w:r w:rsidR="001F12D4" w:rsidRPr="00D16799">
        <w:rPr>
          <w:i/>
          <w:iCs/>
        </w:rPr>
        <w:t xml:space="preserve">others </w:t>
      </w:r>
      <w:r w:rsidRPr="00D16799">
        <w:rPr>
          <w:i/>
          <w:iCs/>
        </w:rPr>
        <w:t>that your credentials are legitimate.</w:t>
      </w:r>
    </w:p>
    <w:p w14:paraId="61CEFC3C" w14:textId="4D5973ED" w:rsidR="009473AD" w:rsidRPr="00C7738D" w:rsidRDefault="009473AD">
      <w:pPr>
        <w:pStyle w:val="BodyText"/>
        <w:numPr>
          <w:ilvl w:val="0"/>
          <w:numId w:val="77"/>
        </w:numPr>
        <w:ind w:left="540"/>
      </w:pPr>
      <w:r w:rsidRPr="050847E4">
        <w:rPr>
          <w:b/>
          <w:bCs/>
        </w:rPr>
        <w:t xml:space="preserve">Title </w:t>
      </w:r>
      <w:r w:rsidRPr="050847E4">
        <w:t xml:space="preserve">– </w:t>
      </w:r>
      <w:r w:rsidR="001F12D4">
        <w:t>The official</w:t>
      </w:r>
      <w:r w:rsidRPr="050847E4">
        <w:t xml:space="preserve"> practice name. The title will </w:t>
      </w:r>
      <w:r w:rsidR="001F12D4">
        <w:t>appear</w:t>
      </w:r>
      <w:r w:rsidRPr="050847E4">
        <w:t xml:space="preserve"> </w:t>
      </w:r>
      <w:r w:rsidR="001F12D4">
        <w:t xml:space="preserve">wherever </w:t>
      </w:r>
      <w:r w:rsidRPr="050847E4">
        <w:t>specific clinic</w:t>
      </w:r>
      <w:r w:rsidR="001F12D4">
        <w:t>s can be selected</w:t>
      </w:r>
      <w:r w:rsidRPr="050847E4">
        <w:t xml:space="preserve"> or </w:t>
      </w:r>
      <w:r w:rsidR="001F12D4">
        <w:t xml:space="preserve">wherever </w:t>
      </w:r>
      <w:r w:rsidRPr="050847E4">
        <w:t>practice</w:t>
      </w:r>
      <w:r w:rsidR="001F12D4">
        <w:t xml:space="preserve"> or </w:t>
      </w:r>
      <w:r w:rsidRPr="050847E4">
        <w:t>clinic information</w:t>
      </w:r>
      <w:r w:rsidR="001F12D4">
        <w:t xml:space="preserve"> is displayed</w:t>
      </w:r>
      <w:r w:rsidRPr="050847E4">
        <w:t xml:space="preserve">. </w:t>
      </w:r>
    </w:p>
    <w:p w14:paraId="5CAF7072" w14:textId="1BBD8F89" w:rsidR="009473AD" w:rsidRDefault="009473AD">
      <w:pPr>
        <w:pStyle w:val="BodyText"/>
        <w:numPr>
          <w:ilvl w:val="0"/>
          <w:numId w:val="77"/>
        </w:numPr>
        <w:ind w:left="540"/>
      </w:pPr>
      <w:r w:rsidRPr="050847E4">
        <w:rPr>
          <w:b/>
          <w:bCs/>
        </w:rPr>
        <w:t xml:space="preserve">Address </w:t>
      </w:r>
      <w:r w:rsidRPr="050847E4">
        <w:t xml:space="preserve">– </w:t>
      </w:r>
      <w:r w:rsidR="001F12D4">
        <w:t>The p</w:t>
      </w:r>
      <w:r w:rsidRPr="050847E4">
        <w:t xml:space="preserve">hysical or mailing address of the individual clinic. </w:t>
      </w:r>
    </w:p>
    <w:p w14:paraId="22C41875" w14:textId="21F01752" w:rsidR="009473AD" w:rsidRDefault="009473AD" w:rsidP="00F57732">
      <w:pPr>
        <w:pStyle w:val="BodyText"/>
        <w:ind w:left="540"/>
        <w:rPr>
          <w:i/>
          <w:iCs/>
        </w:rPr>
      </w:pPr>
      <w:r w:rsidRPr="00D16799">
        <w:rPr>
          <w:b/>
          <w:bCs/>
          <w:i/>
          <w:iCs/>
        </w:rPr>
        <w:t>Operations Insight</w:t>
      </w:r>
      <w:r w:rsidR="001F12D4" w:rsidRPr="00D16799">
        <w:rPr>
          <w:i/>
          <w:iCs/>
        </w:rPr>
        <w:t xml:space="preserve">: A </w:t>
      </w:r>
      <w:r w:rsidRPr="00D16799">
        <w:rPr>
          <w:i/>
          <w:iCs/>
        </w:rPr>
        <w:t>P.O. Box</w:t>
      </w:r>
      <w:r w:rsidR="001F12D4" w:rsidRPr="00D16799">
        <w:rPr>
          <w:i/>
          <w:iCs/>
        </w:rPr>
        <w:t xml:space="preserve"> </w:t>
      </w:r>
      <w:r w:rsidRPr="00D16799">
        <w:rPr>
          <w:i/>
          <w:iCs/>
        </w:rPr>
        <w:t xml:space="preserve">or lock box address </w:t>
      </w:r>
      <w:r w:rsidR="001F12D4" w:rsidRPr="00D16799">
        <w:rPr>
          <w:i/>
          <w:iCs/>
        </w:rPr>
        <w:t>is</w:t>
      </w:r>
      <w:r w:rsidRPr="00D16799">
        <w:rPr>
          <w:i/>
          <w:iCs/>
        </w:rPr>
        <w:t xml:space="preserve"> </w:t>
      </w:r>
      <w:r w:rsidR="00D16799">
        <w:rPr>
          <w:i/>
          <w:iCs/>
        </w:rPr>
        <w:t xml:space="preserve">not </w:t>
      </w:r>
      <w:r w:rsidRPr="00D16799">
        <w:rPr>
          <w:i/>
          <w:iCs/>
        </w:rPr>
        <w:t>acceptable in th</w:t>
      </w:r>
      <w:r w:rsidR="001F12D4" w:rsidRPr="00D16799">
        <w:rPr>
          <w:i/>
          <w:iCs/>
        </w:rPr>
        <w:t>ese boxes because</w:t>
      </w:r>
      <w:r w:rsidRPr="00D16799">
        <w:rPr>
          <w:i/>
          <w:iCs/>
        </w:rPr>
        <w:t xml:space="preserve"> </w:t>
      </w:r>
      <w:r w:rsidR="001F12D4" w:rsidRPr="00D16799">
        <w:rPr>
          <w:i/>
          <w:iCs/>
        </w:rPr>
        <w:t xml:space="preserve">you can select an </w:t>
      </w:r>
      <w:r w:rsidRPr="00D16799">
        <w:rPr>
          <w:i/>
          <w:iCs/>
        </w:rPr>
        <w:t xml:space="preserve">alternate address </w:t>
      </w:r>
      <w:r w:rsidR="001F12D4" w:rsidRPr="00D16799">
        <w:rPr>
          <w:i/>
          <w:iCs/>
        </w:rPr>
        <w:t>as an</w:t>
      </w:r>
      <w:r w:rsidRPr="00D16799">
        <w:rPr>
          <w:i/>
          <w:iCs/>
        </w:rPr>
        <w:t xml:space="preserve"> insurance claim provider</w:t>
      </w:r>
      <w:r w:rsidR="00D16799" w:rsidRPr="00D16799">
        <w:rPr>
          <w:i/>
          <w:iCs/>
        </w:rPr>
        <w:t>’s</w:t>
      </w:r>
      <w:r w:rsidRPr="00D16799">
        <w:rPr>
          <w:i/>
          <w:iCs/>
        </w:rPr>
        <w:t xml:space="preserve"> address.</w:t>
      </w:r>
    </w:p>
    <w:p w14:paraId="66ABCDF6" w14:textId="216D4EA6" w:rsidR="00D16799" w:rsidRPr="00D16799" w:rsidRDefault="00D16799" w:rsidP="00D16799">
      <w:pPr>
        <w:pStyle w:val="BodyText"/>
        <w:numPr>
          <w:ilvl w:val="0"/>
          <w:numId w:val="79"/>
        </w:numPr>
        <w:ind w:left="540"/>
        <w:rPr>
          <w:b/>
          <w:bCs/>
        </w:rPr>
      </w:pPr>
      <w:r w:rsidRPr="59EE75BD">
        <w:rPr>
          <w:b/>
          <w:bCs/>
        </w:rPr>
        <w:t xml:space="preserve">Time Zone- </w:t>
      </w:r>
      <w:r w:rsidR="00A3320E">
        <w:t>E</w:t>
      </w:r>
      <w:r w:rsidRPr="59EE75BD">
        <w:t>ach clinic in your organization</w:t>
      </w:r>
      <w:r w:rsidR="00A3320E">
        <w:t xml:space="preserve"> can be in a different time zone</w:t>
      </w:r>
      <w:r w:rsidRPr="59EE75BD">
        <w:t xml:space="preserve">. </w:t>
      </w:r>
      <w:r w:rsidR="00A3320E">
        <w:t xml:space="preserve">Access to </w:t>
      </w:r>
      <w:proofErr w:type="spellStart"/>
      <w:r w:rsidR="00A3320E">
        <w:t>ePrescribe</w:t>
      </w:r>
      <w:proofErr w:type="spellEnd"/>
      <w:r w:rsidR="00A3320E">
        <w:t xml:space="preserve"> from this clinic </w:t>
      </w:r>
      <w:r w:rsidRPr="59EE75BD">
        <w:t>require</w:t>
      </w:r>
      <w:r w:rsidR="00A3320E">
        <w:t>s</w:t>
      </w:r>
      <w:r w:rsidRPr="59EE75BD">
        <w:t xml:space="preserve"> </w:t>
      </w:r>
      <w:r w:rsidR="00A3320E">
        <w:t xml:space="preserve">that </w:t>
      </w:r>
      <w:r w:rsidRPr="59EE75BD">
        <w:t xml:space="preserve">the clinic </w:t>
      </w:r>
      <w:r w:rsidR="00A3320E">
        <w:t>have a time zone selected. C</w:t>
      </w:r>
      <w:r w:rsidRPr="59EE75BD">
        <w:t>onverting data into Dentrix Enterprise</w:t>
      </w:r>
      <w:r w:rsidR="00A3320E">
        <w:t xml:space="preserve"> for this clinic </w:t>
      </w:r>
      <w:r w:rsidR="00A3320E" w:rsidRPr="59EE75BD">
        <w:t>require</w:t>
      </w:r>
      <w:r w:rsidR="00A3320E">
        <w:t>s</w:t>
      </w:r>
      <w:r w:rsidR="00A3320E" w:rsidRPr="59EE75BD">
        <w:t xml:space="preserve"> </w:t>
      </w:r>
      <w:r w:rsidR="00A3320E">
        <w:t xml:space="preserve">that </w:t>
      </w:r>
      <w:r w:rsidR="00A3320E" w:rsidRPr="59EE75BD">
        <w:t xml:space="preserve">the clinic </w:t>
      </w:r>
      <w:r w:rsidR="00A3320E">
        <w:t>have a time zone selected</w:t>
      </w:r>
      <w:r w:rsidRPr="59EE75BD">
        <w:t xml:space="preserve">.  </w:t>
      </w:r>
    </w:p>
    <w:p w14:paraId="45A48C25" w14:textId="5DB61FAF" w:rsidR="00D16799" w:rsidRPr="00F57732" w:rsidRDefault="00D16799" w:rsidP="00D16799">
      <w:pPr>
        <w:pStyle w:val="BodyText"/>
        <w:numPr>
          <w:ilvl w:val="0"/>
          <w:numId w:val="79"/>
        </w:numPr>
        <w:ind w:left="540"/>
      </w:pPr>
      <w:r w:rsidRPr="71EB9571">
        <w:rPr>
          <w:b/>
          <w:bCs/>
        </w:rPr>
        <w:t xml:space="preserve">Show/Hide/Mask SSN </w:t>
      </w:r>
      <w:r w:rsidRPr="71EB9571">
        <w:t xml:space="preserve">– Select how </w:t>
      </w:r>
      <w:r w:rsidR="00A3320E">
        <w:t>S</w:t>
      </w:r>
      <w:r w:rsidRPr="71EB9571">
        <w:t xml:space="preserve">ocial </w:t>
      </w:r>
      <w:r w:rsidR="00A3320E">
        <w:t>S</w:t>
      </w:r>
      <w:r w:rsidRPr="71EB9571">
        <w:t xml:space="preserve">ecurity </w:t>
      </w:r>
      <w:r w:rsidR="00A3320E">
        <w:t>N</w:t>
      </w:r>
      <w:r w:rsidRPr="71EB9571">
        <w:t xml:space="preserve">umbers (SSN) </w:t>
      </w:r>
      <w:r w:rsidR="00A3320E">
        <w:t>appear</w:t>
      </w:r>
      <w:r w:rsidRPr="71EB9571">
        <w:t xml:space="preserve"> throughout </w:t>
      </w:r>
      <w:r w:rsidR="00A3320E">
        <w:t>areas of Dentrix Enterprise</w:t>
      </w:r>
      <w:r w:rsidRPr="71EB9571">
        <w:t xml:space="preserve">, </w:t>
      </w:r>
      <w:r w:rsidR="00A3320E">
        <w:t>such as</w:t>
      </w:r>
      <w:r w:rsidRPr="71EB9571">
        <w:t xml:space="preserve"> reports, route slips, pati</w:t>
      </w:r>
      <w:r>
        <w:t>ent lists, and clinical charts.</w:t>
      </w:r>
      <w:r w:rsidRPr="00F57732">
        <w:t xml:space="preserve"> </w:t>
      </w:r>
    </w:p>
    <w:p w14:paraId="54A146C0" w14:textId="4F281524" w:rsidR="00D16799" w:rsidRDefault="00D16799" w:rsidP="00D16799">
      <w:pPr>
        <w:pStyle w:val="BodyText"/>
        <w:ind w:left="540"/>
      </w:pPr>
      <w:r w:rsidRPr="00D16799">
        <w:rPr>
          <w:b/>
          <w:bCs/>
        </w:rPr>
        <w:t>Operations Insight</w:t>
      </w:r>
      <w:r>
        <w:t xml:space="preserve">: </w:t>
      </w:r>
      <w:r w:rsidR="00A3320E">
        <w:t>By default, the Central clinic will mask all but the last four numbers</w:t>
      </w:r>
      <w:r w:rsidR="00E10B35">
        <w:t>, but other clinics that you add will show all the numbers, so change this setting so</w:t>
      </w:r>
      <w:r w:rsidR="00A3320E">
        <w:t xml:space="preserve"> that the</w:t>
      </w:r>
      <w:r w:rsidRPr="71EB9571">
        <w:t xml:space="preserve"> clinic will mask all but the last four numbers. This setting is recommended to ensure that patient information is secure and removed</w:t>
      </w:r>
      <w:r w:rsidR="00A3320E">
        <w:t xml:space="preserve"> from or </w:t>
      </w:r>
      <w:r w:rsidRPr="71EB9571">
        <w:t xml:space="preserve">masked </w:t>
      </w:r>
      <w:r w:rsidR="00A3320E">
        <w:t>on</w:t>
      </w:r>
      <w:r w:rsidRPr="71EB9571">
        <w:t xml:space="preserve"> reports</w:t>
      </w:r>
      <w:r w:rsidR="00A3320E">
        <w:t>, such as</w:t>
      </w:r>
      <w:r w:rsidRPr="71EB9571">
        <w:t xml:space="preserve"> route slips, and </w:t>
      </w:r>
      <w:r>
        <w:t>computers</w:t>
      </w:r>
      <w:r w:rsidR="00A3320E">
        <w:t xml:space="preserve"> that are visible to patients</w:t>
      </w:r>
      <w:r>
        <w:t>.</w:t>
      </w:r>
      <w:r w:rsidRPr="71EB9571">
        <w:t xml:space="preserve"> </w:t>
      </w:r>
    </w:p>
    <w:p w14:paraId="4A240F63" w14:textId="7698C478" w:rsidR="00D16799" w:rsidRPr="00D16799" w:rsidRDefault="00D16799" w:rsidP="00D16799">
      <w:pPr>
        <w:pStyle w:val="BodyText"/>
        <w:ind w:left="540"/>
        <w:rPr>
          <w:i/>
          <w:iCs/>
        </w:rPr>
      </w:pPr>
      <w:r w:rsidRPr="00D16799">
        <w:rPr>
          <w:b/>
          <w:bCs/>
          <w:i/>
          <w:iCs/>
        </w:rPr>
        <w:t>Note</w:t>
      </w:r>
      <w:r w:rsidRPr="00D16799">
        <w:rPr>
          <w:i/>
          <w:iCs/>
        </w:rPr>
        <w:t xml:space="preserve">: The SS# </w:t>
      </w:r>
      <w:r w:rsidR="00A3320E">
        <w:rPr>
          <w:i/>
          <w:iCs/>
        </w:rPr>
        <w:t>and</w:t>
      </w:r>
      <w:r w:rsidRPr="00D16799">
        <w:rPr>
          <w:i/>
          <w:iCs/>
        </w:rPr>
        <w:t xml:space="preserve"> Subscriber ID# box</w:t>
      </w:r>
      <w:r w:rsidR="00A3320E">
        <w:rPr>
          <w:i/>
          <w:iCs/>
        </w:rPr>
        <w:t>es in Family File</w:t>
      </w:r>
      <w:r w:rsidRPr="00D16799">
        <w:rPr>
          <w:i/>
          <w:iCs/>
        </w:rPr>
        <w:t xml:space="preserve"> and some audit reports ignore the show/mask/hide selection.</w:t>
      </w:r>
    </w:p>
    <w:p w14:paraId="646F286C" w14:textId="02BE73DF" w:rsidR="00D16799" w:rsidRPr="00024B83" w:rsidRDefault="00D16799" w:rsidP="000D7FFC">
      <w:pPr>
        <w:pStyle w:val="BodyText"/>
        <w:keepNext/>
        <w:keepLines/>
        <w:ind w:left="547"/>
      </w:pPr>
      <w:r w:rsidRPr="00024B83">
        <w:lastRenderedPageBreak/>
        <w:t>The </w:t>
      </w:r>
      <w:hyperlink r:id="rId40" w:history="1">
        <w:r w:rsidRPr="00024B83">
          <w:rPr>
            <w:rStyle w:val="Hyperlink"/>
            <w:color w:val="auto"/>
            <w:u w:val="none"/>
          </w:rPr>
          <w:t>Social Security Number Fraud Prevention Act of 2017</w:t>
        </w:r>
      </w:hyperlink>
      <w:r w:rsidRPr="00024B83">
        <w:t> (Pub. L. 115-59; 42 U.S.C. § 405 note) (the Act), prohibits federal agencies from mailing an unredacted Social Security Number (SSN) through regular USPS mail. This includes truncated SSN (last 4).</w:t>
      </w:r>
    </w:p>
    <w:p w14:paraId="176EA0D0" w14:textId="38106B34" w:rsidR="00D16799" w:rsidRPr="00024B83" w:rsidRDefault="00D16799" w:rsidP="00D16799">
      <w:pPr>
        <w:pStyle w:val="BodyText"/>
        <w:numPr>
          <w:ilvl w:val="1"/>
          <w:numId w:val="79"/>
        </w:numPr>
        <w:ind w:left="1080"/>
      </w:pPr>
      <w:r w:rsidRPr="00024B83">
        <w:t>To ensure that IHS personnel do not unwittingly violate the Act, it is required that effective September 15, 2022, any record released in response to any request or business function that contains an SSN and that will be sent by mail (meaning, through the U.S. Postal Service without delivery confirmation) must have the SSN redacted. “Mail” does not include an overnight delivery service, such as USPS Priority Mail® with Delivery Confirmation (DelCon). “Redacted” means fully redacted</w:t>
      </w:r>
      <w:r>
        <w:t xml:space="preserve"> </w:t>
      </w:r>
      <w:r w:rsidRPr="00024B83">
        <w:t>because truncation would require a regulation.</w:t>
      </w:r>
    </w:p>
    <w:p w14:paraId="0A1BFC6B" w14:textId="06AE96AE" w:rsidR="00D16799" w:rsidRPr="00024B83" w:rsidRDefault="00D16799" w:rsidP="00D16799">
      <w:pPr>
        <w:pStyle w:val="BodyText"/>
        <w:numPr>
          <w:ilvl w:val="1"/>
          <w:numId w:val="79"/>
        </w:numPr>
        <w:ind w:left="1080"/>
      </w:pPr>
      <w:r w:rsidRPr="00024B83">
        <w:t xml:space="preserve">All IHS clinics should configure Dentrix Enterprise to </w:t>
      </w:r>
      <w:r w:rsidRPr="00D16799">
        <w:rPr>
          <w:u w:val="single"/>
        </w:rPr>
        <w:t>not</w:t>
      </w:r>
      <w:r w:rsidRPr="00024B83">
        <w:t xml:space="preserve"> display the entire SSN. The setting should be set to either </w:t>
      </w:r>
      <w:r>
        <w:t>not</w:t>
      </w:r>
      <w:r w:rsidRPr="00024B83">
        <w:t xml:space="preserve"> display</w:t>
      </w:r>
      <w:r>
        <w:t xml:space="preserve"> the SSN</w:t>
      </w:r>
      <w:r w:rsidRPr="00024B83">
        <w:t xml:space="preserve"> or only display a portion of the SSN. If you are unsure how to verify or change the setting, </w:t>
      </w:r>
      <w:r>
        <w:t>search for “</w:t>
      </w:r>
      <w:r w:rsidRPr="00024B83">
        <w:t>changing clinic settings</w:t>
      </w:r>
      <w:r>
        <w:t>”</w:t>
      </w:r>
      <w:r w:rsidRPr="00024B83">
        <w:t xml:space="preserve"> or </w:t>
      </w:r>
      <w:r>
        <w:t>“</w:t>
      </w:r>
      <w:r w:rsidRPr="00024B83">
        <w:t>SSN</w:t>
      </w:r>
      <w:r>
        <w:t>”</w:t>
      </w:r>
      <w:r w:rsidRPr="00024B83">
        <w:t xml:space="preserve"> </w:t>
      </w:r>
      <w:r>
        <w:t>in</w:t>
      </w:r>
      <w:r w:rsidRPr="00024B83">
        <w:t xml:space="preserve"> the Dentrix Enterprise Help, or contact Dentrix Enterprise Support at </w:t>
      </w:r>
      <w:r w:rsidRPr="00D16799">
        <w:rPr>
          <w:u w:val="single"/>
        </w:rPr>
        <w:t>1-800-459-8067, Option 2, then Option 3</w:t>
      </w:r>
      <w:r w:rsidRPr="00024B83">
        <w:t xml:space="preserve">.  When </w:t>
      </w:r>
      <w:r>
        <w:t xml:space="preserve">you </w:t>
      </w:r>
      <w:r w:rsidRPr="00024B83">
        <w:t>contact</w:t>
      </w:r>
      <w:r>
        <w:t xml:space="preserve"> Support</w:t>
      </w:r>
      <w:r w:rsidRPr="00024B83">
        <w:t xml:space="preserve">, you will be asked for the Dentrix Customer </w:t>
      </w:r>
      <w:proofErr w:type="gramStart"/>
      <w:r w:rsidRPr="00024B83">
        <w:t>ID</w:t>
      </w:r>
      <w:proofErr w:type="gramEnd"/>
      <w:r w:rsidRPr="00024B83">
        <w:t xml:space="preserve"> </w:t>
      </w:r>
      <w:r>
        <w:t>the ZIP Code</w:t>
      </w:r>
      <w:r w:rsidRPr="00024B83">
        <w:t xml:space="preserve"> for the clinic. </w:t>
      </w:r>
    </w:p>
    <w:p w14:paraId="6EAF58D4" w14:textId="410839E2" w:rsidR="00D16799" w:rsidRDefault="00D16799" w:rsidP="00D16799">
      <w:pPr>
        <w:pStyle w:val="BodyText"/>
        <w:numPr>
          <w:ilvl w:val="1"/>
          <w:numId w:val="79"/>
        </w:numPr>
        <w:ind w:left="1080"/>
      </w:pPr>
      <w:r w:rsidRPr="00024B83">
        <w:t xml:space="preserve">We all need to be aware </w:t>
      </w:r>
      <w:r>
        <w:t xml:space="preserve">that </w:t>
      </w:r>
      <w:r w:rsidRPr="00024B83">
        <w:t>this prohibition on displaying/sharing SSNs includes any previously existing document that displays an SSN</w:t>
      </w:r>
      <w:r>
        <w:t>,</w:t>
      </w:r>
      <w:r w:rsidRPr="00024B83">
        <w:t xml:space="preserve"> and </w:t>
      </w:r>
      <w:r>
        <w:t xml:space="preserve">you must </w:t>
      </w:r>
      <w:r w:rsidRPr="00024B83">
        <w:t>communicate th</w:t>
      </w:r>
      <w:r>
        <w:t>is guideline</w:t>
      </w:r>
      <w:r w:rsidRPr="00024B83">
        <w:t xml:space="preserve"> to all personnel in your office, including contractor personnel, on an ongoing basis.</w:t>
      </w:r>
    </w:p>
    <w:p w14:paraId="4342583A" w14:textId="68E7230A" w:rsidR="00D16799" w:rsidRDefault="00D16799" w:rsidP="00D16799">
      <w:pPr>
        <w:pStyle w:val="BodyText"/>
        <w:numPr>
          <w:ilvl w:val="0"/>
          <w:numId w:val="79"/>
        </w:numPr>
        <w:ind w:left="540"/>
      </w:pPr>
      <w:r w:rsidRPr="050847E4">
        <w:rPr>
          <w:b/>
          <w:bCs/>
        </w:rPr>
        <w:t xml:space="preserve">Administrative Contact </w:t>
      </w:r>
      <w:r w:rsidRPr="050847E4">
        <w:t xml:space="preserve">– The </w:t>
      </w:r>
      <w:r w:rsidR="00E10B35">
        <w:t>a</w:t>
      </w:r>
      <w:r w:rsidRPr="050847E4">
        <w:t xml:space="preserve">dministrative </w:t>
      </w:r>
      <w:r w:rsidR="00E10B35">
        <w:t>c</w:t>
      </w:r>
      <w:r w:rsidRPr="050847E4">
        <w:t xml:space="preserve">ontact is used for electronic service communication. Only primary providers entered into Dentrix Enterprise with a 10-digit phone number are available for selection. </w:t>
      </w:r>
    </w:p>
    <w:p w14:paraId="6661FBF0" w14:textId="77777777" w:rsidR="00D16799" w:rsidRDefault="00D16799" w:rsidP="00D16799">
      <w:pPr>
        <w:pStyle w:val="BodyText"/>
        <w:numPr>
          <w:ilvl w:val="0"/>
          <w:numId w:val="79"/>
        </w:numPr>
        <w:ind w:left="540"/>
      </w:pPr>
      <w:r w:rsidRPr="71EB9571">
        <w:rPr>
          <w:b/>
          <w:bCs/>
        </w:rPr>
        <w:t xml:space="preserve">Fiscal year’s beginning month (1-12) </w:t>
      </w:r>
      <w:r w:rsidRPr="71EB9571">
        <w:t xml:space="preserve">– The selected month applies to year-to-date (YTD) totals on reports. </w:t>
      </w:r>
    </w:p>
    <w:p w14:paraId="059DCA45" w14:textId="34A06D04" w:rsidR="00D16799" w:rsidRDefault="00D16799" w:rsidP="00D16799">
      <w:pPr>
        <w:pStyle w:val="BodyText"/>
        <w:ind w:left="540"/>
        <w:rPr>
          <w:i/>
          <w:iCs/>
        </w:rPr>
      </w:pPr>
      <w:r w:rsidRPr="00D16799">
        <w:rPr>
          <w:b/>
          <w:bCs/>
          <w:i/>
          <w:iCs/>
        </w:rPr>
        <w:t>Operations Insight</w:t>
      </w:r>
      <w:r w:rsidRPr="00D16799">
        <w:rPr>
          <w:i/>
          <w:iCs/>
        </w:rPr>
        <w:t xml:space="preserve">: Each clinic can have a unique individual fiscal year beginning month if needed. To align with the federal fiscal year, the beginning month should be set to </w:t>
      </w:r>
      <w:r w:rsidRPr="00D16799">
        <w:rPr>
          <w:b/>
          <w:bCs/>
          <w:i/>
          <w:iCs/>
        </w:rPr>
        <w:t>10</w:t>
      </w:r>
      <w:r w:rsidRPr="00D16799">
        <w:rPr>
          <w:i/>
          <w:iCs/>
        </w:rPr>
        <w:t xml:space="preserve"> (October).</w:t>
      </w:r>
    </w:p>
    <w:p w14:paraId="6072EA11" w14:textId="7CBBB29E" w:rsidR="001D7AFC" w:rsidRDefault="001D7AFC" w:rsidP="001D7AFC">
      <w:pPr>
        <w:pStyle w:val="BodyText"/>
        <w:numPr>
          <w:ilvl w:val="0"/>
          <w:numId w:val="81"/>
        </w:numPr>
        <w:ind w:left="540"/>
        <w:rPr>
          <w:b/>
          <w:bCs/>
        </w:rPr>
      </w:pPr>
      <w:r w:rsidRPr="71EB9571">
        <w:rPr>
          <w:b/>
          <w:bCs/>
        </w:rPr>
        <w:t xml:space="preserve">Appointment Book “Late Appt” Tracking </w:t>
      </w:r>
      <w:r w:rsidRPr="71EB9571">
        <w:t xml:space="preserve">– To enable late appointment tracking, you must first identify the appointment status and number of minutes before your organization considers </w:t>
      </w:r>
      <w:r w:rsidR="00E10B35">
        <w:t>a</w:t>
      </w:r>
      <w:r w:rsidRPr="71EB9571">
        <w:t xml:space="preserve"> patient late for </w:t>
      </w:r>
      <w:r w:rsidR="00E10B35">
        <w:t>an</w:t>
      </w:r>
      <w:r w:rsidRPr="71EB9571">
        <w:t xml:space="preserve"> appointment. A “late appointment” will be indicated by a red dot in the upper-right corner of the scheduled appointment when the specified appointment status to watch for remains unchanged for more than the specified number of minutes.</w:t>
      </w:r>
    </w:p>
    <w:p w14:paraId="338A877C" w14:textId="77777777" w:rsidR="001D7AFC" w:rsidRPr="005944F1" w:rsidRDefault="001D7AFC" w:rsidP="001D7AFC">
      <w:pPr>
        <w:pStyle w:val="BodyText"/>
        <w:ind w:left="540"/>
      </w:pPr>
      <w:r w:rsidRPr="00454D84">
        <w:rPr>
          <w:color w:val="00B050"/>
        </w:rPr>
        <w:t>&lt;&lt;Insert late appointment and appointment status SOP/guideline here&gt;&gt;</w:t>
      </w:r>
    </w:p>
    <w:p w14:paraId="41547756" w14:textId="2DBC11C9" w:rsidR="001D7AFC" w:rsidRPr="00E10B35" w:rsidRDefault="001D7AFC" w:rsidP="001D7AFC">
      <w:pPr>
        <w:pStyle w:val="BodyText"/>
        <w:ind w:left="540"/>
        <w:rPr>
          <w:i/>
          <w:iCs/>
        </w:rPr>
      </w:pPr>
      <w:r w:rsidRPr="00E10B35">
        <w:rPr>
          <w:b/>
          <w:bCs/>
          <w:i/>
          <w:iCs/>
        </w:rPr>
        <w:t>Workflow Insight</w:t>
      </w:r>
      <w:r w:rsidRPr="00E10B35">
        <w:rPr>
          <w:i/>
          <w:iCs/>
        </w:rPr>
        <w:t xml:space="preserve">: This option will only identify “late appointments” for a single appointment status used as the starting point for tracking. You </w:t>
      </w:r>
      <w:r w:rsidR="00E10B35" w:rsidRPr="00E10B35">
        <w:rPr>
          <w:i/>
          <w:iCs/>
        </w:rPr>
        <w:t>should</w:t>
      </w:r>
      <w:r w:rsidRPr="00E10B35">
        <w:rPr>
          <w:i/>
          <w:iCs/>
        </w:rPr>
        <w:t xml:space="preserve"> use the status that is most commonly applied to confirmed appointments, or </w:t>
      </w:r>
      <w:r w:rsidR="00E10B35" w:rsidRPr="00E10B35">
        <w:rPr>
          <w:i/>
          <w:iCs/>
        </w:rPr>
        <w:t xml:space="preserve">you can use a </w:t>
      </w:r>
      <w:r w:rsidRPr="00E10B35">
        <w:rPr>
          <w:i/>
          <w:iCs/>
        </w:rPr>
        <w:t>reduce</w:t>
      </w:r>
      <w:r w:rsidR="00E10B35" w:rsidRPr="00E10B35">
        <w:rPr>
          <w:i/>
          <w:iCs/>
        </w:rPr>
        <w:t>d</w:t>
      </w:r>
      <w:r w:rsidRPr="00E10B35">
        <w:rPr>
          <w:i/>
          <w:iCs/>
        </w:rPr>
        <w:t xml:space="preserve"> </w:t>
      </w:r>
      <w:r w:rsidR="00E10B35" w:rsidRPr="00E10B35">
        <w:rPr>
          <w:i/>
          <w:iCs/>
        </w:rPr>
        <w:t>number of</w:t>
      </w:r>
      <w:r w:rsidRPr="00E10B35">
        <w:rPr>
          <w:i/>
          <w:iCs/>
        </w:rPr>
        <w:t xml:space="preserve"> statuses </w:t>
      </w:r>
      <w:r w:rsidR="00E10B35" w:rsidRPr="00E10B35">
        <w:rPr>
          <w:i/>
          <w:iCs/>
        </w:rPr>
        <w:t>that are applied to confirmed appointments</w:t>
      </w:r>
      <w:r w:rsidRPr="00E10B35">
        <w:rPr>
          <w:i/>
          <w:iCs/>
        </w:rPr>
        <w:t>.</w:t>
      </w:r>
    </w:p>
    <w:p w14:paraId="6F8B15F4" w14:textId="67D7359C" w:rsidR="00D16799" w:rsidRDefault="00D16799" w:rsidP="000D7FFC">
      <w:pPr>
        <w:pStyle w:val="BodyText"/>
        <w:keepNext/>
        <w:keepLines/>
        <w:numPr>
          <w:ilvl w:val="0"/>
          <w:numId w:val="79"/>
        </w:numPr>
        <w:ind w:left="540"/>
      </w:pPr>
      <w:r w:rsidRPr="59EE75BD">
        <w:rPr>
          <w:b/>
          <w:bCs/>
        </w:rPr>
        <w:lastRenderedPageBreak/>
        <w:t xml:space="preserve">Billing Statements </w:t>
      </w:r>
      <w:r w:rsidRPr="59EE75BD">
        <w:t xml:space="preserve">– </w:t>
      </w:r>
      <w:r w:rsidR="00E10B35">
        <w:t>T</w:t>
      </w:r>
      <w:r w:rsidR="00E10B35" w:rsidRPr="00E10B35">
        <w:t>he information you want to have appear on printed billing statements</w:t>
      </w:r>
      <w:r w:rsidR="00E10B35">
        <w:t xml:space="preserve"> and walkouts:</w:t>
      </w:r>
    </w:p>
    <w:p w14:paraId="43C51338" w14:textId="77777777" w:rsidR="00E10B35" w:rsidRDefault="00E10B35" w:rsidP="000D7FFC">
      <w:pPr>
        <w:pStyle w:val="BodyText"/>
        <w:keepNext/>
        <w:keepLines/>
        <w:numPr>
          <w:ilvl w:val="0"/>
          <w:numId w:val="79"/>
        </w:numPr>
        <w:ind w:left="1080"/>
      </w:pPr>
      <w:r w:rsidRPr="00E10B35">
        <w:rPr>
          <w:b/>
          <w:bCs/>
        </w:rPr>
        <w:t>Use Central Office Info on Statements</w:t>
      </w:r>
      <w:r>
        <w:t xml:space="preserve"> – To print the name and address of the Central clinic on a statement that is sent to a patient of this clinic.</w:t>
      </w:r>
    </w:p>
    <w:p w14:paraId="7C185E5A" w14:textId="77777777" w:rsidR="00E10B35" w:rsidRDefault="00E10B35" w:rsidP="000D7FFC">
      <w:pPr>
        <w:pStyle w:val="BodyText"/>
        <w:keepNext/>
        <w:keepLines/>
        <w:numPr>
          <w:ilvl w:val="0"/>
          <w:numId w:val="79"/>
        </w:numPr>
        <w:ind w:left="1080"/>
      </w:pPr>
      <w:r w:rsidRPr="00E10B35">
        <w:rPr>
          <w:b/>
          <w:bCs/>
        </w:rPr>
        <w:t>Use Clinic Info on Statements</w:t>
      </w:r>
      <w:r>
        <w:t xml:space="preserve"> – To print this clinic's name and address on a statement that is sent to a patient of this clinic.</w:t>
      </w:r>
    </w:p>
    <w:p w14:paraId="71EED597" w14:textId="2D8F33AD" w:rsidR="00E10B35" w:rsidRDefault="00E10B35" w:rsidP="000D7FFC">
      <w:pPr>
        <w:pStyle w:val="BodyText"/>
        <w:keepNext/>
        <w:keepLines/>
        <w:numPr>
          <w:ilvl w:val="0"/>
          <w:numId w:val="79"/>
        </w:numPr>
        <w:ind w:left="1080"/>
      </w:pPr>
      <w:r w:rsidRPr="00E10B35">
        <w:rPr>
          <w:b/>
          <w:bCs/>
        </w:rPr>
        <w:t>Use Provider Info on Statements</w:t>
      </w:r>
      <w:r>
        <w:t xml:space="preserve"> – To print the name and address of the patient's primary provider (</w:t>
      </w:r>
      <w:r w:rsidRPr="00E10B35">
        <w:rPr>
          <w:b/>
          <w:bCs/>
        </w:rPr>
        <w:t>Prov1</w:t>
      </w:r>
      <w:r>
        <w:t>) on a statement that is sent to a patient of this clinic.</w:t>
      </w:r>
    </w:p>
    <w:p w14:paraId="46309EA7" w14:textId="5C02E87A" w:rsidR="00E10B35" w:rsidRPr="00672268" w:rsidRDefault="00E10B35" w:rsidP="00E10B35">
      <w:pPr>
        <w:pStyle w:val="BodyText"/>
        <w:numPr>
          <w:ilvl w:val="0"/>
          <w:numId w:val="79"/>
        </w:numPr>
        <w:ind w:left="1080"/>
      </w:pPr>
      <w:r w:rsidRPr="00E10B35">
        <w:rPr>
          <w:b/>
          <w:bCs/>
        </w:rPr>
        <w:t>Use Custom Settings on Statements</w:t>
      </w:r>
      <w:r>
        <w:t xml:space="preserve"> – To print a specified name, address, phone number, and message on a statement that is sent to a patient of this clinic. This option is available only if a certain global setting has been enabled by Support. With </w:t>
      </w:r>
      <w:r w:rsidRPr="00E10B35">
        <w:rPr>
          <w:b/>
          <w:bCs/>
        </w:rPr>
        <w:t>Use Custom Settings on Statements</w:t>
      </w:r>
      <w:r>
        <w:t xml:space="preserve"> selected, you can specify the clinic or provider name, clinic address, clinic phone number, and statement message separately, and each clinic can have different settings.</w:t>
      </w:r>
    </w:p>
    <w:p w14:paraId="546BD14F" w14:textId="77C43EA1" w:rsidR="00D16799" w:rsidRPr="00E10B35" w:rsidRDefault="00D16799" w:rsidP="00D16799">
      <w:pPr>
        <w:pStyle w:val="BodyText"/>
        <w:ind w:left="720"/>
        <w:rPr>
          <w:i/>
          <w:iCs/>
        </w:rPr>
      </w:pPr>
      <w:r w:rsidRPr="00E10B35">
        <w:rPr>
          <w:b/>
          <w:bCs/>
          <w:i/>
          <w:iCs/>
        </w:rPr>
        <w:t>Operations Insight</w:t>
      </w:r>
      <w:r w:rsidR="001D7AFC" w:rsidRPr="00E10B35">
        <w:rPr>
          <w:i/>
          <w:iCs/>
        </w:rPr>
        <w:t>:</w:t>
      </w:r>
      <w:r w:rsidRPr="00E10B35">
        <w:rPr>
          <w:i/>
          <w:iCs/>
        </w:rPr>
        <w:t xml:space="preserve"> This setting supports both centralized and de-centralized billing options.  The </w:t>
      </w:r>
      <w:r w:rsidR="00E10B35" w:rsidRPr="00E10B35">
        <w:rPr>
          <w:i/>
          <w:iCs/>
        </w:rPr>
        <w:t>b</w:t>
      </w:r>
      <w:r w:rsidRPr="00E10B35">
        <w:rPr>
          <w:i/>
          <w:iCs/>
        </w:rPr>
        <w:t xml:space="preserve">illing </w:t>
      </w:r>
      <w:r w:rsidR="00E10B35" w:rsidRPr="00E10B35">
        <w:rPr>
          <w:i/>
          <w:iCs/>
        </w:rPr>
        <w:t>s</w:t>
      </w:r>
      <w:r w:rsidRPr="00E10B35">
        <w:rPr>
          <w:i/>
          <w:iCs/>
        </w:rPr>
        <w:t>tatement</w:t>
      </w:r>
      <w:r w:rsidR="00E10B35" w:rsidRPr="00E10B35">
        <w:rPr>
          <w:i/>
          <w:iCs/>
        </w:rPr>
        <w:t>’s</w:t>
      </w:r>
      <w:r w:rsidRPr="00E10B35">
        <w:rPr>
          <w:i/>
          <w:iCs/>
        </w:rPr>
        <w:t xml:space="preserve"> return address is clinic specific and can be set up with a central return address for all locations</w:t>
      </w:r>
      <w:r w:rsidR="00E10B35" w:rsidRPr="00E10B35">
        <w:rPr>
          <w:i/>
          <w:iCs/>
        </w:rPr>
        <w:t>,</w:t>
      </w:r>
      <w:r w:rsidRPr="00E10B35">
        <w:rPr>
          <w:i/>
          <w:iCs/>
        </w:rPr>
        <w:t xml:space="preserve"> with individual clinic information</w:t>
      </w:r>
      <w:r w:rsidR="00E10B35" w:rsidRPr="00E10B35">
        <w:rPr>
          <w:i/>
          <w:iCs/>
        </w:rPr>
        <w:t>,</w:t>
      </w:r>
      <w:r w:rsidRPr="00E10B35">
        <w:rPr>
          <w:i/>
          <w:iCs/>
        </w:rPr>
        <w:t xml:space="preserve"> or </w:t>
      </w:r>
      <w:r w:rsidR="00E10B35" w:rsidRPr="00E10B35">
        <w:rPr>
          <w:i/>
          <w:iCs/>
        </w:rPr>
        <w:t xml:space="preserve">with </w:t>
      </w:r>
      <w:r w:rsidRPr="00E10B35">
        <w:rPr>
          <w:i/>
          <w:iCs/>
        </w:rPr>
        <w:t>a blend of the options using the global setting.</w:t>
      </w:r>
    </w:p>
    <w:p w14:paraId="4749A987" w14:textId="0AC26F6A" w:rsidR="00D16799" w:rsidRPr="003F444C" w:rsidRDefault="00D16799" w:rsidP="00D16799">
      <w:pPr>
        <w:pStyle w:val="BodyText"/>
        <w:ind w:left="720"/>
        <w:rPr>
          <w:i/>
          <w:iCs/>
        </w:rPr>
      </w:pPr>
      <w:r w:rsidRPr="003F444C">
        <w:rPr>
          <w:b/>
          <w:bCs/>
          <w:i/>
          <w:iCs/>
        </w:rPr>
        <w:t xml:space="preserve">Workflow </w:t>
      </w:r>
      <w:r w:rsidR="001D7AFC" w:rsidRPr="003F444C">
        <w:rPr>
          <w:b/>
          <w:bCs/>
          <w:i/>
          <w:iCs/>
        </w:rPr>
        <w:t>I</w:t>
      </w:r>
      <w:r w:rsidRPr="003F444C">
        <w:rPr>
          <w:b/>
          <w:bCs/>
          <w:i/>
          <w:iCs/>
        </w:rPr>
        <w:t>nsight</w:t>
      </w:r>
      <w:r w:rsidR="001D7AFC" w:rsidRPr="003F444C">
        <w:rPr>
          <w:i/>
          <w:iCs/>
        </w:rPr>
        <w:t>:</w:t>
      </w:r>
      <w:r w:rsidRPr="003F444C">
        <w:rPr>
          <w:i/>
          <w:iCs/>
        </w:rPr>
        <w:t xml:space="preserve"> When </w:t>
      </w:r>
      <w:r w:rsidR="00E10B35" w:rsidRPr="003F444C">
        <w:rPr>
          <w:i/>
          <w:iCs/>
        </w:rPr>
        <w:t>you are generating</w:t>
      </w:r>
      <w:r w:rsidRPr="003F444C">
        <w:rPr>
          <w:i/>
          <w:iCs/>
        </w:rPr>
        <w:t xml:space="preserve"> statements, there is an option to use </w:t>
      </w:r>
      <w:r w:rsidR="003F444C" w:rsidRPr="003F444C">
        <w:rPr>
          <w:i/>
          <w:iCs/>
        </w:rPr>
        <w:t xml:space="preserve">either </w:t>
      </w:r>
      <w:r w:rsidRPr="003F444C">
        <w:rPr>
          <w:i/>
          <w:iCs/>
        </w:rPr>
        <w:t>the default</w:t>
      </w:r>
      <w:r w:rsidR="003F444C" w:rsidRPr="003F444C">
        <w:rPr>
          <w:i/>
          <w:iCs/>
        </w:rPr>
        <w:t xml:space="preserve"> settings</w:t>
      </w:r>
      <w:r w:rsidRPr="003F444C">
        <w:rPr>
          <w:i/>
          <w:iCs/>
        </w:rPr>
        <w:t xml:space="preserve"> </w:t>
      </w:r>
      <w:r w:rsidR="003F444C" w:rsidRPr="003F444C">
        <w:rPr>
          <w:i/>
          <w:iCs/>
        </w:rPr>
        <w:t>from</w:t>
      </w:r>
      <w:r w:rsidRPr="003F444C">
        <w:rPr>
          <w:i/>
          <w:iCs/>
        </w:rPr>
        <w:t xml:space="preserve"> the clinics selected or the settings </w:t>
      </w:r>
      <w:r w:rsidR="003F444C" w:rsidRPr="003F444C">
        <w:rPr>
          <w:i/>
          <w:iCs/>
        </w:rPr>
        <w:t>from</w:t>
      </w:r>
      <w:r w:rsidRPr="003F444C">
        <w:rPr>
          <w:i/>
          <w:iCs/>
        </w:rPr>
        <w:t xml:space="preserve"> the logged in</w:t>
      </w:r>
      <w:r w:rsidR="003F444C" w:rsidRPr="003F444C">
        <w:rPr>
          <w:i/>
          <w:iCs/>
        </w:rPr>
        <w:t xml:space="preserve"> clinic</w:t>
      </w:r>
      <w:r w:rsidRPr="003F444C">
        <w:rPr>
          <w:i/>
          <w:iCs/>
        </w:rPr>
        <w:t xml:space="preserve"> for all statements being </w:t>
      </w:r>
      <w:r w:rsidR="003F444C" w:rsidRPr="003F444C">
        <w:rPr>
          <w:i/>
          <w:iCs/>
        </w:rPr>
        <w:t>generated</w:t>
      </w:r>
      <w:r w:rsidRPr="003F444C">
        <w:rPr>
          <w:i/>
          <w:iCs/>
        </w:rPr>
        <w:t>.</w:t>
      </w:r>
    </w:p>
    <w:p w14:paraId="6FF9741C" w14:textId="3CAD6869" w:rsidR="00D16799" w:rsidRDefault="00D16799" w:rsidP="00D16799">
      <w:pPr>
        <w:pStyle w:val="BodyText"/>
        <w:numPr>
          <w:ilvl w:val="0"/>
          <w:numId w:val="79"/>
        </w:numPr>
        <w:ind w:left="540"/>
      </w:pPr>
      <w:r w:rsidRPr="59EE75BD">
        <w:rPr>
          <w:b/>
          <w:bCs/>
        </w:rPr>
        <w:t xml:space="preserve">Change Provider Completion Options </w:t>
      </w:r>
      <w:r w:rsidRPr="59EE75BD">
        <w:t xml:space="preserve">– This setting </w:t>
      </w:r>
      <w:r w:rsidR="003F444C">
        <w:t>a</w:t>
      </w:r>
      <w:r w:rsidRPr="59EE75BD">
        <w:t>utomate</w:t>
      </w:r>
      <w:r w:rsidR="003F444C">
        <w:t>s</w:t>
      </w:r>
      <w:r w:rsidRPr="59EE75BD">
        <w:t xml:space="preserve"> the process for changing the rendering provider </w:t>
      </w:r>
      <w:r w:rsidR="003F444C">
        <w:t>in</w:t>
      </w:r>
      <w:r w:rsidRPr="59EE75BD">
        <w:t xml:space="preserve"> circumstances when </w:t>
      </w:r>
      <w:r w:rsidR="003F444C">
        <w:t>that provider is</w:t>
      </w:r>
      <w:r w:rsidRPr="59EE75BD">
        <w:t xml:space="preserve"> not the treatment-planning provider. You can specify </w:t>
      </w:r>
      <w:r w:rsidR="003F444C">
        <w:t>whether</w:t>
      </w:r>
      <w:r w:rsidRPr="59EE75BD">
        <w:t xml:space="preserve"> the provider selected will be per patient or the provider selection should be retained until the user logs out. </w:t>
      </w:r>
    </w:p>
    <w:p w14:paraId="4FE84EBB" w14:textId="45D38E15" w:rsidR="00D16799" w:rsidRPr="003F444C" w:rsidRDefault="00D16799" w:rsidP="00D16799">
      <w:pPr>
        <w:pStyle w:val="BodyText"/>
        <w:ind w:left="540"/>
        <w:rPr>
          <w:i/>
          <w:iCs/>
        </w:rPr>
      </w:pPr>
      <w:r w:rsidRPr="003F444C">
        <w:rPr>
          <w:b/>
          <w:bCs/>
          <w:i/>
          <w:iCs/>
        </w:rPr>
        <w:t>Operations Insight</w:t>
      </w:r>
      <w:r w:rsidR="001D7AFC" w:rsidRPr="003F444C">
        <w:rPr>
          <w:i/>
          <w:iCs/>
        </w:rPr>
        <w:t>:</w:t>
      </w:r>
      <w:r w:rsidRPr="003F444C">
        <w:rPr>
          <w:i/>
          <w:iCs/>
        </w:rPr>
        <w:t xml:space="preserve"> If the completing provider for procedures is often different from the treatment-planning provider, automating the provider override options will reduce the manual process for changing providers on procedures. Even if the current process does not need this setting in place, it is good to think about future growth in the organization and having the setting support multiple providers treating common patients in the future.</w:t>
      </w:r>
    </w:p>
    <w:p w14:paraId="1E213FD1" w14:textId="11FF55DA" w:rsidR="00D16799" w:rsidRPr="003F444C" w:rsidRDefault="00D16799" w:rsidP="00D16799">
      <w:pPr>
        <w:pStyle w:val="BodyText"/>
        <w:ind w:left="540"/>
        <w:rPr>
          <w:i/>
          <w:iCs/>
        </w:rPr>
      </w:pPr>
      <w:r w:rsidRPr="003F444C">
        <w:rPr>
          <w:b/>
          <w:bCs/>
          <w:i/>
          <w:iCs/>
        </w:rPr>
        <w:t>Workflow Insight</w:t>
      </w:r>
      <w:r w:rsidR="001D7AFC" w:rsidRPr="003F444C">
        <w:rPr>
          <w:i/>
          <w:iCs/>
        </w:rPr>
        <w:t>:</w:t>
      </w:r>
      <w:r w:rsidRPr="003F444C">
        <w:rPr>
          <w:i/>
          <w:iCs/>
        </w:rPr>
        <w:t xml:space="preserve"> This setting works in conjunction with the </w:t>
      </w:r>
      <w:r w:rsidRPr="003F444C">
        <w:rPr>
          <w:b/>
          <w:bCs/>
          <w:i/>
          <w:iCs/>
        </w:rPr>
        <w:t>Default Chart Provider</w:t>
      </w:r>
      <w:r w:rsidR="003F444C" w:rsidRPr="003F444C">
        <w:rPr>
          <w:i/>
          <w:iCs/>
        </w:rPr>
        <w:t xml:space="preserve"> and</w:t>
      </w:r>
      <w:r w:rsidRPr="003F444C">
        <w:rPr>
          <w:i/>
          <w:iCs/>
        </w:rPr>
        <w:t xml:space="preserve"> </w:t>
      </w:r>
      <w:r w:rsidRPr="003F444C">
        <w:rPr>
          <w:b/>
          <w:bCs/>
          <w:i/>
          <w:iCs/>
        </w:rPr>
        <w:t>Provider from Selected Appointment</w:t>
      </w:r>
      <w:r w:rsidRPr="003F444C">
        <w:rPr>
          <w:i/>
          <w:iCs/>
        </w:rPr>
        <w:t xml:space="preserve"> setting</w:t>
      </w:r>
      <w:r w:rsidR="003F444C" w:rsidRPr="003F444C">
        <w:rPr>
          <w:i/>
          <w:iCs/>
        </w:rPr>
        <w:t>s</w:t>
      </w:r>
      <w:r w:rsidRPr="003F444C">
        <w:rPr>
          <w:i/>
          <w:iCs/>
        </w:rPr>
        <w:t xml:space="preserve"> in </w:t>
      </w:r>
      <w:r w:rsidR="003F444C" w:rsidRPr="003F444C">
        <w:rPr>
          <w:i/>
          <w:iCs/>
        </w:rPr>
        <w:t xml:space="preserve">the </w:t>
      </w:r>
      <w:r w:rsidRPr="003F444C">
        <w:rPr>
          <w:i/>
          <w:iCs/>
        </w:rPr>
        <w:t>Practice Defaults. Combining these two options eliminates the need to select the chart provider per patient or session.</w:t>
      </w:r>
    </w:p>
    <w:p w14:paraId="09830EFE" w14:textId="6CFEEA68" w:rsidR="00D16799" w:rsidRPr="00D16799" w:rsidRDefault="00D16799" w:rsidP="00D16799">
      <w:pPr>
        <w:pStyle w:val="BodyText"/>
        <w:ind w:left="540"/>
        <w:rPr>
          <w:color w:val="00B050"/>
        </w:rPr>
      </w:pPr>
      <w:r w:rsidRPr="00454D84">
        <w:rPr>
          <w:color w:val="00B050"/>
        </w:rPr>
        <w:t>&lt;&lt;Insert Change Provider Completion Options SOP/guideline here&gt;&gt;</w:t>
      </w:r>
    </w:p>
    <w:p w14:paraId="3E1A5DC4" w14:textId="48ADF80B" w:rsidR="00F57732" w:rsidRDefault="00F57732" w:rsidP="00D42C5A">
      <w:pPr>
        <w:pStyle w:val="Heading3"/>
      </w:pPr>
      <w:bookmarkStart w:id="216" w:name="SettingsTab"/>
      <w:bookmarkStart w:id="217" w:name="_Toc135416736"/>
      <w:bookmarkStart w:id="218" w:name="_Toc146183344"/>
      <w:r>
        <w:lastRenderedPageBreak/>
        <w:t xml:space="preserve">Clinic Information </w:t>
      </w:r>
      <w:r w:rsidR="000426D9">
        <w:t>–</w:t>
      </w:r>
      <w:r>
        <w:t xml:space="preserve"> </w:t>
      </w:r>
      <w:r w:rsidR="000426D9">
        <w:t xml:space="preserve">Organization </w:t>
      </w:r>
      <w:r w:rsidR="009473AD" w:rsidRPr="71EB9571">
        <w:t>Settings Tab</w:t>
      </w:r>
      <w:bookmarkEnd w:id="216"/>
      <w:bookmarkEnd w:id="217"/>
      <w:bookmarkEnd w:id="218"/>
    </w:p>
    <w:p w14:paraId="70FF97E8" w14:textId="72D9B71B" w:rsidR="009473AD" w:rsidRDefault="000426D9" w:rsidP="000D7FFC">
      <w:pPr>
        <w:pStyle w:val="BodyText"/>
        <w:keepNext/>
        <w:keepLines/>
      </w:pPr>
      <w:r w:rsidRPr="000426D9">
        <w:t xml:space="preserve">On the </w:t>
      </w:r>
      <w:r>
        <w:rPr>
          <w:b/>
          <w:bCs/>
        </w:rPr>
        <w:t>Organization S</w:t>
      </w:r>
      <w:r w:rsidRPr="000426D9">
        <w:rPr>
          <w:b/>
          <w:bCs/>
        </w:rPr>
        <w:t>ettings</w:t>
      </w:r>
      <w:r w:rsidRPr="000426D9">
        <w:t xml:space="preserve"> tab of the </w:t>
      </w:r>
      <w:r w:rsidRPr="000426D9">
        <w:rPr>
          <w:b/>
          <w:bCs/>
        </w:rPr>
        <w:t>Clinic Information</w:t>
      </w:r>
      <w:r w:rsidRPr="000426D9">
        <w:t xml:space="preserve"> dialog box, you enter </w:t>
      </w:r>
      <w:r>
        <w:t>organization</w:t>
      </w:r>
      <w:r w:rsidRPr="000426D9">
        <w:t>-specific information</w:t>
      </w:r>
      <w:r>
        <w:t xml:space="preserve"> (t</w:t>
      </w:r>
      <w:r w:rsidR="009473AD" w:rsidRPr="71EB9571">
        <w:t>he settings affect all clinics</w:t>
      </w:r>
      <w:r>
        <w:t>)</w:t>
      </w:r>
      <w:r w:rsidR="001D7AFC">
        <w:t xml:space="preserve"> if you are logged in to the Central clinic</w:t>
      </w:r>
      <w:r w:rsidR="009473AD" w:rsidRPr="71EB9571">
        <w:t>.</w:t>
      </w:r>
    </w:p>
    <w:p w14:paraId="25526EBC" w14:textId="5931EE3F" w:rsidR="00843A61" w:rsidRPr="00843A61" w:rsidRDefault="00843A61" w:rsidP="000D7FFC">
      <w:pPr>
        <w:pStyle w:val="BodyText"/>
        <w:keepNext/>
        <w:keepLines/>
        <w:rPr>
          <w:i/>
          <w:iCs/>
        </w:rPr>
      </w:pPr>
      <w:r w:rsidRPr="00843A61">
        <w:rPr>
          <w:b/>
          <w:bCs/>
          <w:i/>
          <w:iCs/>
        </w:rPr>
        <w:t>Operations Insight</w:t>
      </w:r>
      <w:r w:rsidRPr="00843A61">
        <w:rPr>
          <w:i/>
          <w:iCs/>
        </w:rPr>
        <w:t>: These settings are available only if you are logged in to the Central clinic, and these setting apply to all clinics.</w:t>
      </w:r>
    </w:p>
    <w:p w14:paraId="73249A7C" w14:textId="43CC6245" w:rsidR="001D7AFC" w:rsidRDefault="001D7AFC" w:rsidP="000D7FFC">
      <w:pPr>
        <w:pStyle w:val="BodyText"/>
        <w:keepNext/>
        <w:keepLines/>
        <w:numPr>
          <w:ilvl w:val="0"/>
          <w:numId w:val="81"/>
        </w:numPr>
        <w:ind w:left="540"/>
        <w:rPr>
          <w:b/>
          <w:bCs/>
        </w:rPr>
      </w:pPr>
      <w:r w:rsidRPr="71EB9571">
        <w:rPr>
          <w:b/>
          <w:bCs/>
        </w:rPr>
        <w:t xml:space="preserve">Enable Patient Access Logging </w:t>
      </w:r>
      <w:r w:rsidRPr="71EB9571">
        <w:t xml:space="preserve">– </w:t>
      </w:r>
      <w:r>
        <w:rPr>
          <w:rFonts w:eastAsiaTheme="minorEastAsia"/>
        </w:rPr>
        <w:t>To enable the tracking of</w:t>
      </w:r>
      <w:r w:rsidRPr="71EB9571">
        <w:rPr>
          <w:rFonts w:eastAsiaTheme="minorEastAsia"/>
          <w:color w:val="FF0000"/>
        </w:rPr>
        <w:t xml:space="preserve"> </w:t>
      </w:r>
      <w:r w:rsidRPr="71EB9571">
        <w:rPr>
          <w:rFonts w:eastAsiaTheme="minorEastAsia"/>
        </w:rPr>
        <w:t>access to patient information</w:t>
      </w:r>
      <w:r w:rsidR="003F444C">
        <w:rPr>
          <w:rFonts w:eastAsiaTheme="minorEastAsia"/>
        </w:rPr>
        <w:t>,</w:t>
      </w:r>
      <w:r w:rsidRPr="71EB9571">
        <w:rPr>
          <w:rFonts w:eastAsiaTheme="minorEastAsia"/>
        </w:rPr>
        <w:t xml:space="preserve"> select the checkbox. When </w:t>
      </w:r>
      <w:r w:rsidR="003F444C">
        <w:rPr>
          <w:rFonts w:eastAsiaTheme="minorEastAsia"/>
        </w:rPr>
        <w:t xml:space="preserve">you are </w:t>
      </w:r>
      <w:r w:rsidRPr="71EB9571">
        <w:rPr>
          <w:rFonts w:eastAsiaTheme="minorEastAsia"/>
        </w:rPr>
        <w:t xml:space="preserve">accessing a patient record multiple times the same way (in the same module, at the same clinic, on the same date, and by the same user) within the number of minutes specified in the </w:t>
      </w:r>
      <w:r w:rsidRPr="003F444C">
        <w:rPr>
          <w:rFonts w:eastAsiaTheme="minorEastAsia"/>
          <w:b/>
          <w:bCs/>
        </w:rPr>
        <w:t>Minutes between identical records</w:t>
      </w:r>
      <w:r w:rsidRPr="71EB9571">
        <w:rPr>
          <w:rFonts w:eastAsiaTheme="minorEastAsia"/>
        </w:rPr>
        <w:t xml:space="preserve"> </w:t>
      </w:r>
      <w:r w:rsidR="003F444C">
        <w:rPr>
          <w:rFonts w:eastAsiaTheme="minorEastAsia"/>
        </w:rPr>
        <w:t>box</w:t>
      </w:r>
      <w:r w:rsidRPr="71EB9571">
        <w:rPr>
          <w:rFonts w:eastAsiaTheme="minorEastAsia"/>
        </w:rPr>
        <w:t xml:space="preserve">, Dentrix Enterprise will create only one entry for the Patient Information Accessed Report. </w:t>
      </w:r>
    </w:p>
    <w:p w14:paraId="5E476B4D" w14:textId="5094D7B6" w:rsidR="001D7AFC" w:rsidRPr="003F444C" w:rsidRDefault="001D7AFC" w:rsidP="001D7AFC">
      <w:pPr>
        <w:pStyle w:val="BodyText"/>
        <w:ind w:left="540"/>
        <w:rPr>
          <w:i/>
          <w:iCs/>
          <w:color w:val="FF0000"/>
        </w:rPr>
      </w:pPr>
      <w:r w:rsidRPr="003F444C">
        <w:rPr>
          <w:b/>
          <w:bCs/>
          <w:i/>
          <w:iCs/>
        </w:rPr>
        <w:t>Operations Insight</w:t>
      </w:r>
      <w:r w:rsidRPr="003F444C">
        <w:rPr>
          <w:i/>
          <w:iCs/>
        </w:rPr>
        <w:t>: The number of minutes between identical records can be a value from 5 to 1440</w:t>
      </w:r>
      <w:r w:rsidR="003F444C">
        <w:rPr>
          <w:i/>
          <w:iCs/>
        </w:rPr>
        <w:t>.</w:t>
      </w:r>
    </w:p>
    <w:p w14:paraId="74EC444F" w14:textId="71753BB7" w:rsidR="001D7AFC" w:rsidRDefault="001D7AFC" w:rsidP="001D7AFC">
      <w:pPr>
        <w:pStyle w:val="BodyText"/>
        <w:numPr>
          <w:ilvl w:val="0"/>
          <w:numId w:val="81"/>
        </w:numPr>
        <w:ind w:left="540"/>
        <w:rPr>
          <w:b/>
          <w:bCs/>
        </w:rPr>
      </w:pPr>
      <w:r w:rsidRPr="71EB9571">
        <w:rPr>
          <w:rFonts w:eastAsiaTheme="minorEastAsia"/>
          <w:b/>
          <w:bCs/>
        </w:rPr>
        <w:t>Enable Patient Print Logging</w:t>
      </w:r>
      <w:r w:rsidRPr="71EB9571">
        <w:rPr>
          <w:rFonts w:eastAsiaTheme="minorEastAsia"/>
        </w:rPr>
        <w:t xml:space="preserve"> </w:t>
      </w:r>
      <w:r>
        <w:rPr>
          <w:rFonts w:eastAsiaTheme="minorEastAsia"/>
        </w:rPr>
        <w:t>–</w:t>
      </w:r>
      <w:r w:rsidRPr="71EB9571">
        <w:rPr>
          <w:rFonts w:eastAsiaTheme="minorEastAsia"/>
        </w:rPr>
        <w:t xml:space="preserve"> </w:t>
      </w:r>
      <w:r w:rsidR="003F444C">
        <w:rPr>
          <w:rFonts w:eastAsiaTheme="minorEastAsia"/>
        </w:rPr>
        <w:t>S</w:t>
      </w:r>
      <w:r w:rsidR="003F444C" w:rsidRPr="71EB9571">
        <w:rPr>
          <w:rFonts w:eastAsiaTheme="minorEastAsia"/>
        </w:rPr>
        <w:t>elect this check box</w:t>
      </w:r>
      <w:r w:rsidR="003F444C">
        <w:rPr>
          <w:rFonts w:eastAsiaTheme="minorEastAsia"/>
        </w:rPr>
        <w:t xml:space="preserve"> t</w:t>
      </w:r>
      <w:r w:rsidRPr="71EB9571">
        <w:rPr>
          <w:rFonts w:eastAsiaTheme="minorEastAsia"/>
        </w:rPr>
        <w:t xml:space="preserve">o enable the tracking of the following: </w:t>
      </w:r>
      <w:r w:rsidR="003F444C">
        <w:rPr>
          <w:rFonts w:eastAsiaTheme="minorEastAsia"/>
        </w:rPr>
        <w:t>w</w:t>
      </w:r>
      <w:r w:rsidRPr="71EB9571">
        <w:rPr>
          <w:rFonts w:eastAsiaTheme="minorEastAsia"/>
        </w:rPr>
        <w:t xml:space="preserve">hen reports that contain patient information are generated (including the printing of </w:t>
      </w:r>
      <w:r w:rsidR="003F444C">
        <w:rPr>
          <w:rFonts w:eastAsiaTheme="minorEastAsia"/>
        </w:rPr>
        <w:t xml:space="preserve">the </w:t>
      </w:r>
      <w:r w:rsidRPr="71EB9571">
        <w:rPr>
          <w:rFonts w:eastAsiaTheme="minorEastAsia"/>
        </w:rPr>
        <w:t>chart and the like)</w:t>
      </w:r>
      <w:r w:rsidR="003F444C">
        <w:rPr>
          <w:rFonts w:eastAsiaTheme="minorEastAsia"/>
        </w:rPr>
        <w:t>; w</w:t>
      </w:r>
      <w:r w:rsidRPr="71EB9571">
        <w:rPr>
          <w:rFonts w:eastAsiaTheme="minorEastAsia"/>
        </w:rPr>
        <w:t>hen patient records are accessed; additions, deletions, and modifications of patient information</w:t>
      </w:r>
      <w:r w:rsidR="003F444C">
        <w:rPr>
          <w:rFonts w:eastAsiaTheme="minorEastAsia"/>
        </w:rPr>
        <w:t>; and w</w:t>
      </w:r>
      <w:r w:rsidRPr="71EB9571">
        <w:rPr>
          <w:rFonts w:eastAsiaTheme="minorEastAsia"/>
        </w:rPr>
        <w:t>hen</w:t>
      </w:r>
      <w:r>
        <w:rPr>
          <w:rFonts w:eastAsiaTheme="minorEastAsia"/>
        </w:rPr>
        <w:t xml:space="preserve"> patient health information is </w:t>
      </w:r>
      <w:r w:rsidRPr="71EB9571">
        <w:rPr>
          <w:rFonts w:eastAsiaTheme="minorEastAsia"/>
        </w:rPr>
        <w:t>exported to a patient's portal</w:t>
      </w:r>
      <w:r>
        <w:rPr>
          <w:rFonts w:eastAsiaTheme="minorEastAsia"/>
        </w:rPr>
        <w:t>.</w:t>
      </w:r>
      <w:r w:rsidRPr="71EB9571">
        <w:rPr>
          <w:rFonts w:eastAsiaTheme="minorEastAsia"/>
        </w:rPr>
        <w:t xml:space="preserve">  This audit information appears </w:t>
      </w:r>
      <w:proofErr w:type="gramStart"/>
      <w:r w:rsidRPr="71EB9571">
        <w:rPr>
          <w:rFonts w:eastAsiaTheme="minorEastAsia"/>
        </w:rPr>
        <w:t>on</w:t>
      </w:r>
      <w:proofErr w:type="gramEnd"/>
      <w:r w:rsidRPr="71EB9571">
        <w:rPr>
          <w:rFonts w:eastAsiaTheme="minorEastAsia"/>
        </w:rPr>
        <w:t xml:space="preserve"> the Audit - Combined Report. If you change this setting, the change is logged in the Audit - Audit Log Status Report.</w:t>
      </w:r>
    </w:p>
    <w:p w14:paraId="270574A6" w14:textId="77777777" w:rsidR="001D7AFC" w:rsidRPr="005944F1" w:rsidRDefault="001D7AFC" w:rsidP="001D7AFC">
      <w:pPr>
        <w:pStyle w:val="BodyText"/>
        <w:ind w:left="540"/>
      </w:pPr>
      <w:r w:rsidRPr="00454D84">
        <w:rPr>
          <w:color w:val="00B050"/>
        </w:rPr>
        <w:t>&lt;&lt;Insert Security Setting Options SOP/guideline here&gt;&gt;</w:t>
      </w:r>
    </w:p>
    <w:p w14:paraId="30B0366C" w14:textId="0049DBE2" w:rsidR="001D7AFC" w:rsidRDefault="001D7AFC" w:rsidP="001D7AFC">
      <w:pPr>
        <w:pStyle w:val="BodyText"/>
        <w:numPr>
          <w:ilvl w:val="0"/>
          <w:numId w:val="81"/>
        </w:numPr>
        <w:ind w:left="540"/>
        <w:rPr>
          <w:b/>
          <w:bCs/>
        </w:rPr>
      </w:pPr>
      <w:r w:rsidRPr="71EB9571">
        <w:rPr>
          <w:b/>
          <w:bCs/>
        </w:rPr>
        <w:t xml:space="preserve">Patient Birthdate/Age on Title Bar </w:t>
      </w:r>
      <w:r w:rsidRPr="71EB9571">
        <w:t xml:space="preserve">– </w:t>
      </w:r>
      <w:r w:rsidR="003F444C">
        <w:t>Select this checkbox to have a patient’s</w:t>
      </w:r>
      <w:r w:rsidRPr="71EB9571">
        <w:t xml:space="preserve"> birth</w:t>
      </w:r>
      <w:r w:rsidR="003F444C">
        <w:t xml:space="preserve"> date</w:t>
      </w:r>
      <w:r w:rsidRPr="71EB9571">
        <w:t xml:space="preserve"> and age </w:t>
      </w:r>
      <w:r w:rsidR="003F444C">
        <w:t xml:space="preserve">appear </w:t>
      </w:r>
      <w:r w:rsidRPr="71EB9571">
        <w:t xml:space="preserve">on the title bar </w:t>
      </w:r>
      <w:r w:rsidR="003F444C">
        <w:t>of windows in Dentrix Enterprise when a patient is selected</w:t>
      </w:r>
      <w:r w:rsidRPr="71EB9571">
        <w:t xml:space="preserve">. This assists with confirmation of patient </w:t>
      </w:r>
      <w:r w:rsidR="003F444C">
        <w:t>identification</w:t>
      </w:r>
      <w:r w:rsidRPr="71EB9571">
        <w:t>, especially in areas of scheduling and treatment.</w:t>
      </w:r>
    </w:p>
    <w:p w14:paraId="082BD0E3" w14:textId="022C1D77" w:rsidR="000426D9" w:rsidRPr="00320B15" w:rsidRDefault="000426D9" w:rsidP="000426D9">
      <w:pPr>
        <w:pStyle w:val="BodyText"/>
        <w:numPr>
          <w:ilvl w:val="0"/>
          <w:numId w:val="81"/>
        </w:numPr>
        <w:ind w:left="540"/>
        <w:rPr>
          <w:b/>
          <w:bCs/>
        </w:rPr>
      </w:pPr>
      <w:r w:rsidRPr="71EB9571">
        <w:rPr>
          <w:b/>
          <w:bCs/>
        </w:rPr>
        <w:t xml:space="preserve">Automatic Log Off </w:t>
      </w:r>
      <w:r w:rsidRPr="71EB9571">
        <w:t xml:space="preserve">– These settings control the amount of </w:t>
      </w:r>
      <w:r w:rsidR="00843A61">
        <w:t>“</w:t>
      </w:r>
      <w:r w:rsidRPr="71EB9571">
        <w:t>inactive</w:t>
      </w:r>
      <w:r w:rsidR="00843A61">
        <w:t>”</w:t>
      </w:r>
      <w:r w:rsidRPr="71EB9571">
        <w:t xml:space="preserve"> time </w:t>
      </w:r>
      <w:r w:rsidR="00843A61">
        <w:t xml:space="preserve">that is </w:t>
      </w:r>
      <w:r w:rsidRPr="71EB9571">
        <w:t xml:space="preserve">allowed before a user is logged out of Dentrix Enterprise with the overall goal of securing patient data if a user is not actively engaged in the program. By default, the </w:t>
      </w:r>
      <w:r w:rsidR="00843A61">
        <w:t>Dentrix Enterprise</w:t>
      </w:r>
      <w:r w:rsidRPr="71EB9571">
        <w:t xml:space="preserve"> is set to automatically log off all users after 60 minutes of idle time. The warning message will </w:t>
      </w:r>
      <w:r w:rsidR="00843A61">
        <w:t>appear</w:t>
      </w:r>
      <w:r w:rsidRPr="71EB9571">
        <w:t xml:space="preserve"> 60 seconds prior </w:t>
      </w:r>
      <w:r w:rsidR="00843A61">
        <w:t xml:space="preserve">to </w:t>
      </w:r>
      <w:r w:rsidRPr="71EB9571">
        <w:t xml:space="preserve">the user </w:t>
      </w:r>
      <w:r w:rsidR="00843A61">
        <w:t xml:space="preserve">being logged </w:t>
      </w:r>
      <w:r w:rsidRPr="71EB9571">
        <w:t xml:space="preserve">out. </w:t>
      </w:r>
    </w:p>
    <w:p w14:paraId="13F94300" w14:textId="07A5BE9B" w:rsidR="000426D9" w:rsidRPr="00843A61" w:rsidRDefault="000426D9" w:rsidP="000426D9">
      <w:pPr>
        <w:pStyle w:val="BodyText"/>
        <w:ind w:left="540"/>
        <w:rPr>
          <w:b/>
          <w:bCs/>
          <w:i/>
          <w:iCs/>
        </w:rPr>
      </w:pPr>
      <w:r w:rsidRPr="00843A61">
        <w:rPr>
          <w:b/>
          <w:bCs/>
          <w:i/>
          <w:iCs/>
        </w:rPr>
        <w:t>Operations Insight</w:t>
      </w:r>
      <w:r w:rsidRPr="00843A61">
        <w:rPr>
          <w:i/>
          <w:iCs/>
        </w:rPr>
        <w:t xml:space="preserve">: This setting is recommended to enhance the security of your system and </w:t>
      </w:r>
      <w:r w:rsidR="00843A61" w:rsidRPr="00843A61">
        <w:rPr>
          <w:i/>
          <w:iCs/>
        </w:rPr>
        <w:t xml:space="preserve">the </w:t>
      </w:r>
      <w:r w:rsidRPr="00843A61">
        <w:rPr>
          <w:i/>
          <w:iCs/>
        </w:rPr>
        <w:t xml:space="preserve">integrity of the audit reporting by reducing the potential for someone to leave a </w:t>
      </w:r>
      <w:r w:rsidR="00843A61" w:rsidRPr="00843A61">
        <w:rPr>
          <w:i/>
          <w:iCs/>
        </w:rPr>
        <w:t>computer</w:t>
      </w:r>
      <w:r w:rsidRPr="00843A61">
        <w:rPr>
          <w:i/>
          <w:iCs/>
        </w:rPr>
        <w:t xml:space="preserve"> </w:t>
      </w:r>
      <w:proofErr w:type="gramStart"/>
      <w:r w:rsidRPr="00843A61">
        <w:rPr>
          <w:i/>
          <w:iCs/>
        </w:rPr>
        <w:t>unsecured</w:t>
      </w:r>
      <w:proofErr w:type="gramEnd"/>
      <w:r w:rsidRPr="00843A61">
        <w:rPr>
          <w:i/>
          <w:iCs/>
        </w:rPr>
        <w:t>.</w:t>
      </w:r>
    </w:p>
    <w:p w14:paraId="439D64AB" w14:textId="0252A951" w:rsidR="000426D9" w:rsidRPr="000426D9" w:rsidRDefault="000426D9" w:rsidP="000426D9">
      <w:pPr>
        <w:pStyle w:val="BodyText"/>
        <w:ind w:left="540"/>
        <w:rPr>
          <w:color w:val="00B050"/>
        </w:rPr>
      </w:pPr>
      <w:r w:rsidRPr="00454D84">
        <w:rPr>
          <w:color w:val="00B050"/>
        </w:rPr>
        <w:t>&lt;&lt; Insert Automatic Log Off security decision support/SOP/guideline here&gt;&gt;</w:t>
      </w:r>
    </w:p>
    <w:p w14:paraId="743D79A8" w14:textId="3A06CE8E" w:rsidR="009473AD" w:rsidRDefault="009473AD">
      <w:pPr>
        <w:pStyle w:val="BodyText"/>
        <w:numPr>
          <w:ilvl w:val="0"/>
          <w:numId w:val="79"/>
        </w:numPr>
        <w:ind w:left="540"/>
      </w:pPr>
      <w:r w:rsidRPr="59EE75BD">
        <w:rPr>
          <w:b/>
          <w:bCs/>
        </w:rPr>
        <w:t xml:space="preserve">Clinical Note Naming </w:t>
      </w:r>
      <w:r w:rsidRPr="59EE75BD">
        <w:t xml:space="preserve">– Clinical notes are organized by date in a “tree” format. </w:t>
      </w:r>
      <w:r w:rsidR="00843A61">
        <w:t>Using</w:t>
      </w:r>
      <w:r w:rsidRPr="59EE75BD">
        <w:t xml:space="preserve"> </w:t>
      </w:r>
      <w:r w:rsidR="00843A61">
        <w:t>c</w:t>
      </w:r>
      <w:r w:rsidRPr="59EE75BD">
        <w:t xml:space="preserve">linical </w:t>
      </w:r>
      <w:r w:rsidR="00843A61">
        <w:t>n</w:t>
      </w:r>
      <w:r w:rsidRPr="59EE75BD">
        <w:t xml:space="preserve">ote </w:t>
      </w:r>
      <w:r w:rsidR="00843A61">
        <w:t>n</w:t>
      </w:r>
      <w:r w:rsidRPr="59EE75BD">
        <w:t xml:space="preserve">aming allows for easy identification of a note origin by placing the template category and clinical note template names next to the note stamp in the tree. </w:t>
      </w:r>
    </w:p>
    <w:p w14:paraId="06197E0D" w14:textId="6AC92382" w:rsidR="009473AD" w:rsidRPr="00024B83" w:rsidRDefault="009473AD" w:rsidP="00024B83">
      <w:pPr>
        <w:pStyle w:val="BodyText"/>
        <w:ind w:left="540"/>
      </w:pPr>
      <w:r w:rsidRPr="000426D9">
        <w:rPr>
          <w:b/>
          <w:bCs/>
        </w:rPr>
        <w:t>Workflow Insight</w:t>
      </w:r>
      <w:r w:rsidR="000426D9">
        <w:t>:</w:t>
      </w:r>
      <w:r w:rsidRPr="00024B83">
        <w:t xml:space="preserve"> The </w:t>
      </w:r>
      <w:r w:rsidR="00843A61">
        <w:t>c</w:t>
      </w:r>
      <w:r w:rsidRPr="00024B83">
        <w:t xml:space="preserve">linical </w:t>
      </w:r>
      <w:r w:rsidR="00843A61">
        <w:t>n</w:t>
      </w:r>
      <w:r w:rsidRPr="00024B83">
        <w:t xml:space="preserve">ote </w:t>
      </w:r>
      <w:r w:rsidR="00843A61">
        <w:t>n</w:t>
      </w:r>
      <w:r w:rsidRPr="00024B83">
        <w:t>aming occur</w:t>
      </w:r>
      <w:r w:rsidR="00843A61">
        <w:t>s only</w:t>
      </w:r>
      <w:r w:rsidRPr="00024B83">
        <w:t xml:space="preserve"> when </w:t>
      </w:r>
      <w:r w:rsidR="00843A61">
        <w:t xml:space="preserve">a </w:t>
      </w:r>
      <w:r w:rsidRPr="00024B83">
        <w:t xml:space="preserve">clinical note </w:t>
      </w:r>
      <w:r w:rsidR="00843A61">
        <w:t>is created</w:t>
      </w:r>
      <w:r w:rsidRPr="00024B83">
        <w:t xml:space="preserve"> from a template and only appl</w:t>
      </w:r>
      <w:r w:rsidR="00843A61">
        <w:t>ies to</w:t>
      </w:r>
      <w:r w:rsidRPr="00024B83">
        <w:t xml:space="preserve"> the first template name. If </w:t>
      </w:r>
      <w:r w:rsidR="00843A61">
        <w:t xml:space="preserve">you start a </w:t>
      </w:r>
      <w:r w:rsidRPr="00024B83">
        <w:t xml:space="preserve">clinical note from </w:t>
      </w:r>
      <w:r w:rsidR="00843A61">
        <w:t xml:space="preserve">the </w:t>
      </w:r>
      <w:r w:rsidRPr="00843A61">
        <w:rPr>
          <w:b/>
          <w:bCs/>
        </w:rPr>
        <w:t xml:space="preserve">Medical History </w:t>
      </w:r>
      <w:r w:rsidR="00843A61" w:rsidRPr="00843A61">
        <w:rPr>
          <w:b/>
          <w:bCs/>
        </w:rPr>
        <w:t>R</w:t>
      </w:r>
      <w:r w:rsidRPr="00843A61">
        <w:rPr>
          <w:b/>
          <w:bCs/>
        </w:rPr>
        <w:t>eview</w:t>
      </w:r>
      <w:r w:rsidR="00843A61">
        <w:t xml:space="preserve"> dialog box</w:t>
      </w:r>
      <w:r w:rsidRPr="00024B83">
        <w:t xml:space="preserve"> or </w:t>
      </w:r>
      <w:r w:rsidR="00843A61">
        <w:t xml:space="preserve">by clicking the </w:t>
      </w:r>
      <w:r w:rsidRPr="00843A61">
        <w:rPr>
          <w:b/>
          <w:bCs/>
        </w:rPr>
        <w:t>New Clinical Note</w:t>
      </w:r>
      <w:r w:rsidR="00843A61">
        <w:t xml:space="preserve"> button</w:t>
      </w:r>
      <w:r w:rsidRPr="00024B83">
        <w:t xml:space="preserve">, the </w:t>
      </w:r>
      <w:r w:rsidR="00843A61">
        <w:t>c</w:t>
      </w:r>
      <w:r w:rsidRPr="00024B83">
        <w:t xml:space="preserve">linical </w:t>
      </w:r>
      <w:r w:rsidR="00843A61">
        <w:t>n</w:t>
      </w:r>
      <w:r w:rsidRPr="00024B83">
        <w:t xml:space="preserve">ote </w:t>
      </w:r>
      <w:r w:rsidR="00843A61">
        <w:t>n</w:t>
      </w:r>
      <w:r w:rsidRPr="00024B83">
        <w:t xml:space="preserve">aming </w:t>
      </w:r>
      <w:r w:rsidR="00843A61">
        <w:t>does</w:t>
      </w:r>
      <w:r w:rsidRPr="00024B83">
        <w:t xml:space="preserve"> not apply to that note.</w:t>
      </w:r>
    </w:p>
    <w:p w14:paraId="45D61FDE" w14:textId="1376A342" w:rsidR="001D7AFC" w:rsidRPr="0020718F" w:rsidRDefault="001D7AFC" w:rsidP="000D7FFC">
      <w:pPr>
        <w:pStyle w:val="BodyText"/>
        <w:keepNext/>
        <w:keepLines/>
        <w:numPr>
          <w:ilvl w:val="0"/>
          <w:numId w:val="81"/>
        </w:numPr>
        <w:ind w:left="540"/>
        <w:rPr>
          <w:b/>
          <w:bCs/>
        </w:rPr>
      </w:pPr>
      <w:r w:rsidRPr="59EE75BD">
        <w:rPr>
          <w:b/>
          <w:bCs/>
        </w:rPr>
        <w:lastRenderedPageBreak/>
        <w:t xml:space="preserve">Copy to Clinical Notes </w:t>
      </w:r>
      <w:r w:rsidRPr="59EE75BD">
        <w:t xml:space="preserve">– These options determine the information that will automatically </w:t>
      </w:r>
      <w:r w:rsidR="00843A61">
        <w:t xml:space="preserve">be </w:t>
      </w:r>
      <w:r w:rsidRPr="59EE75BD">
        <w:t>cop</w:t>
      </w:r>
      <w:r w:rsidR="00843A61">
        <w:t>ied</w:t>
      </w:r>
      <w:r w:rsidRPr="59EE75BD">
        <w:t xml:space="preserve"> to </w:t>
      </w:r>
      <w:r w:rsidR="00843A61">
        <w:t>a</w:t>
      </w:r>
      <w:r w:rsidRPr="59EE75BD">
        <w:t xml:space="preserve"> clinical note. </w:t>
      </w:r>
    </w:p>
    <w:p w14:paraId="4291659C" w14:textId="61C7DD62" w:rsidR="001D7AFC" w:rsidRPr="00941C5B" w:rsidRDefault="001D7AFC" w:rsidP="000D7FFC">
      <w:pPr>
        <w:pStyle w:val="BodyText"/>
        <w:keepNext/>
        <w:keepLines/>
        <w:numPr>
          <w:ilvl w:val="1"/>
          <w:numId w:val="82"/>
        </w:numPr>
        <w:ind w:left="1080"/>
      </w:pPr>
      <w:r w:rsidRPr="71EB9571">
        <w:rPr>
          <w:b/>
          <w:bCs/>
        </w:rPr>
        <w:t xml:space="preserve">Patient Health Assessment (Vitals) </w:t>
      </w:r>
      <w:r>
        <w:rPr>
          <w:b/>
          <w:bCs/>
        </w:rPr>
        <w:t>–</w:t>
      </w:r>
      <w:r w:rsidRPr="71EB9571">
        <w:rPr>
          <w:b/>
          <w:bCs/>
        </w:rPr>
        <w:t xml:space="preserve"> </w:t>
      </w:r>
      <w:r w:rsidRPr="71EB9571">
        <w:t xml:space="preserve">The summary of </w:t>
      </w:r>
      <w:r w:rsidR="00843A61">
        <w:t>a</w:t>
      </w:r>
      <w:r w:rsidRPr="71EB9571">
        <w:t xml:space="preserve"> </w:t>
      </w:r>
      <w:r w:rsidR="00843A61">
        <w:t>h</w:t>
      </w:r>
      <w:r w:rsidRPr="71EB9571">
        <w:t xml:space="preserve">ealth </w:t>
      </w:r>
      <w:r w:rsidR="00843A61">
        <w:t>a</w:t>
      </w:r>
      <w:r w:rsidRPr="71EB9571">
        <w:t>ssessment</w:t>
      </w:r>
      <w:r>
        <w:t xml:space="preserve">. </w:t>
      </w:r>
      <w:r w:rsidRPr="71EB9571">
        <w:t xml:space="preserve">The full assessment data is outlined even if some of the information is not entered.  </w:t>
      </w:r>
    </w:p>
    <w:p w14:paraId="5EF3E2F8" w14:textId="52A5BF35" w:rsidR="001D7AFC" w:rsidRPr="00941C5B" w:rsidRDefault="001D7AFC" w:rsidP="001D7AFC">
      <w:pPr>
        <w:pStyle w:val="BodyText"/>
        <w:numPr>
          <w:ilvl w:val="1"/>
          <w:numId w:val="82"/>
        </w:numPr>
        <w:ind w:left="1080"/>
      </w:pPr>
      <w:r w:rsidRPr="71EB9571">
        <w:rPr>
          <w:b/>
          <w:bCs/>
        </w:rPr>
        <w:t xml:space="preserve">Prescriptions – </w:t>
      </w:r>
      <w:r w:rsidR="00843A61">
        <w:t>The d</w:t>
      </w:r>
      <w:r w:rsidRPr="71EB9571">
        <w:t>etails (name, dosage, dispense, refill count, provider, clinic, sig</w:t>
      </w:r>
      <w:r w:rsidR="00843A61">
        <w:t>,</w:t>
      </w:r>
      <w:r w:rsidRPr="71EB9571">
        <w:t xml:space="preserve"> and notes) </w:t>
      </w:r>
      <w:r w:rsidR="00843A61">
        <w:t>of a</w:t>
      </w:r>
      <w:r w:rsidRPr="71EB9571">
        <w:t xml:space="preserve"> prescription.</w:t>
      </w:r>
    </w:p>
    <w:p w14:paraId="4D572101" w14:textId="76E8A81D" w:rsidR="001D7AFC" w:rsidRPr="0020718F" w:rsidRDefault="001D7AFC" w:rsidP="001D7AFC">
      <w:pPr>
        <w:pStyle w:val="BodyText"/>
        <w:numPr>
          <w:ilvl w:val="1"/>
          <w:numId w:val="82"/>
        </w:numPr>
        <w:ind w:left="1080"/>
      </w:pPr>
      <w:r w:rsidRPr="71EB9571">
        <w:rPr>
          <w:b/>
          <w:bCs/>
        </w:rPr>
        <w:t xml:space="preserve">Medical Alerts – </w:t>
      </w:r>
      <w:r w:rsidRPr="71EB9571">
        <w:t>Any changes made to a patient’s medical alerts</w:t>
      </w:r>
      <w:r w:rsidR="00843A61">
        <w:t>,</w:t>
      </w:r>
      <w:r w:rsidRPr="71EB9571">
        <w:t xml:space="preserve"> includ</w:t>
      </w:r>
      <w:r w:rsidR="00843A61">
        <w:t>ing</w:t>
      </w:r>
      <w:r w:rsidRPr="71EB9571">
        <w:t xml:space="preserve"> the alert, type of change, origi</w:t>
      </w:r>
      <w:r w:rsidR="00843A61">
        <w:t>n</w:t>
      </w:r>
      <w:r w:rsidRPr="71EB9571">
        <w:t xml:space="preserve"> date, and notes.  </w:t>
      </w:r>
    </w:p>
    <w:p w14:paraId="229A0632" w14:textId="691FAA7B" w:rsidR="001D7AFC" w:rsidRPr="003046E4" w:rsidRDefault="001D7AFC" w:rsidP="001D7AFC">
      <w:pPr>
        <w:pStyle w:val="BodyText"/>
        <w:ind w:left="1080"/>
        <w:rPr>
          <w:i/>
          <w:iCs/>
        </w:rPr>
      </w:pPr>
      <w:r w:rsidRPr="003046E4">
        <w:rPr>
          <w:b/>
          <w:bCs/>
          <w:i/>
          <w:iCs/>
        </w:rPr>
        <w:t>Workflow Insight</w:t>
      </w:r>
      <w:r w:rsidRPr="003046E4">
        <w:rPr>
          <w:i/>
          <w:iCs/>
        </w:rPr>
        <w:t xml:space="preserve">: </w:t>
      </w:r>
      <w:r w:rsidR="003046E4" w:rsidRPr="003046E4">
        <w:rPr>
          <w:i/>
          <w:iCs/>
        </w:rPr>
        <w:t xml:space="preserve">The summary of a </w:t>
      </w:r>
      <w:r w:rsidRPr="003046E4">
        <w:rPr>
          <w:i/>
          <w:iCs/>
        </w:rPr>
        <w:t xml:space="preserve">medical history review is automatically copied to </w:t>
      </w:r>
      <w:r w:rsidR="003046E4" w:rsidRPr="003046E4">
        <w:rPr>
          <w:i/>
          <w:iCs/>
        </w:rPr>
        <w:t>a</w:t>
      </w:r>
      <w:r w:rsidRPr="003046E4">
        <w:rPr>
          <w:i/>
          <w:iCs/>
        </w:rPr>
        <w:t xml:space="preserve"> clinical note</w:t>
      </w:r>
      <w:r w:rsidR="003046E4" w:rsidRPr="003046E4">
        <w:rPr>
          <w:i/>
          <w:iCs/>
        </w:rPr>
        <w:t xml:space="preserve"> and</w:t>
      </w:r>
      <w:r w:rsidRPr="003046E4">
        <w:rPr>
          <w:i/>
          <w:iCs/>
        </w:rPr>
        <w:t xml:space="preserve"> </w:t>
      </w:r>
      <w:r w:rsidR="003046E4" w:rsidRPr="003046E4">
        <w:rPr>
          <w:i/>
          <w:iCs/>
        </w:rPr>
        <w:t>includes</w:t>
      </w:r>
      <w:r w:rsidRPr="003046E4">
        <w:rPr>
          <w:i/>
          <w:iCs/>
        </w:rPr>
        <w:t xml:space="preserve"> the full list of active medical alerts </w:t>
      </w:r>
      <w:r w:rsidR="00843A61" w:rsidRPr="003046E4">
        <w:rPr>
          <w:i/>
          <w:iCs/>
        </w:rPr>
        <w:t xml:space="preserve">that are </w:t>
      </w:r>
      <w:r w:rsidRPr="003046E4">
        <w:rPr>
          <w:i/>
          <w:iCs/>
        </w:rPr>
        <w:t xml:space="preserve">recorded for a patient and a summary </w:t>
      </w:r>
      <w:r w:rsidR="003046E4" w:rsidRPr="003046E4">
        <w:rPr>
          <w:i/>
          <w:iCs/>
        </w:rPr>
        <w:t>of</w:t>
      </w:r>
      <w:r w:rsidRPr="003046E4">
        <w:rPr>
          <w:i/>
          <w:iCs/>
        </w:rPr>
        <w:t xml:space="preserve"> any changes </w:t>
      </w:r>
      <w:r w:rsidR="003046E4" w:rsidRPr="003046E4">
        <w:rPr>
          <w:i/>
          <w:iCs/>
        </w:rPr>
        <w:t xml:space="preserve">that were </w:t>
      </w:r>
      <w:r w:rsidRPr="003046E4">
        <w:rPr>
          <w:i/>
          <w:iCs/>
        </w:rPr>
        <w:t>made to medications, alerts, and/or allergies during the review.</w:t>
      </w:r>
    </w:p>
    <w:p w14:paraId="74FA1D52" w14:textId="243913E6" w:rsidR="001D7AFC" w:rsidRPr="001D7AFC" w:rsidRDefault="001D7AFC" w:rsidP="001D7AFC">
      <w:pPr>
        <w:pStyle w:val="BodyText"/>
        <w:ind w:left="720"/>
      </w:pPr>
      <w:r w:rsidRPr="00454D84">
        <w:rPr>
          <w:color w:val="00B050"/>
        </w:rPr>
        <w:t>&lt;&lt;Insert copy to clinical notes SOP/guideline here&gt;&gt;</w:t>
      </w:r>
    </w:p>
    <w:p w14:paraId="1B056B3A" w14:textId="7EDC2F62" w:rsidR="009473AD" w:rsidRPr="001F38E5" w:rsidRDefault="009473AD">
      <w:pPr>
        <w:pStyle w:val="BodyText"/>
        <w:numPr>
          <w:ilvl w:val="0"/>
          <w:numId w:val="79"/>
        </w:numPr>
        <w:ind w:left="540"/>
        <w:rPr>
          <w:b/>
          <w:bCs/>
        </w:rPr>
      </w:pPr>
      <w:r w:rsidRPr="59EE75BD">
        <w:rPr>
          <w:b/>
          <w:bCs/>
        </w:rPr>
        <w:t xml:space="preserve">Close Claim – </w:t>
      </w:r>
      <w:r w:rsidRPr="59EE75BD">
        <w:t>The Close Claim feature allows a claim with impending insurance payments to remain open for tracking and additional payments.</w:t>
      </w:r>
    </w:p>
    <w:p w14:paraId="39EF53E2" w14:textId="35294061" w:rsidR="009473AD" w:rsidRDefault="009473AD">
      <w:pPr>
        <w:pStyle w:val="BodyText"/>
        <w:numPr>
          <w:ilvl w:val="1"/>
          <w:numId w:val="79"/>
        </w:numPr>
        <w:ind w:left="1080"/>
      </w:pPr>
      <w:r w:rsidRPr="59EE75BD">
        <w:rPr>
          <w:b/>
          <w:bCs/>
        </w:rPr>
        <w:t>Claim Must Be Zero to Close</w:t>
      </w:r>
      <w:r w:rsidR="003046E4" w:rsidRPr="003046E4">
        <w:rPr>
          <w:b/>
          <w:bCs/>
        </w:rPr>
        <w:t xml:space="preserve"> </w:t>
      </w:r>
      <w:r w:rsidR="003046E4">
        <w:rPr>
          <w:b/>
          <w:bCs/>
        </w:rPr>
        <w:t>–</w:t>
      </w:r>
      <w:r w:rsidRPr="003046E4">
        <w:rPr>
          <w:b/>
          <w:bCs/>
        </w:rPr>
        <w:t xml:space="preserve"> </w:t>
      </w:r>
      <w:r w:rsidR="003046E4">
        <w:t>I</w:t>
      </w:r>
      <w:r w:rsidRPr="59EE75BD">
        <w:t xml:space="preserve">f you enter an insurance payment that is more or less than what was expected from insurance, and you do not enter an adjustment to offset the difference, Dentrix Enterprise does not automatically mark the corresponding claim as being closed (although the claim's status still changes to Received). In this case, you would have to manually mark the claim as being closed by using the </w:t>
      </w:r>
      <w:r w:rsidRPr="003046E4">
        <w:rPr>
          <w:b/>
          <w:bCs/>
        </w:rPr>
        <w:t>Close Claim</w:t>
      </w:r>
      <w:r w:rsidRPr="59EE75BD">
        <w:t xml:space="preserve"> menu option and choosing whether to credit or debit the patient's balance. Conversely, if the insurance payment is not the same as what was expected from insurance, once you enter an offsetting adjustment, Dentrix Enterprise does automatically mark the corresponding claim as being closed.</w:t>
      </w:r>
    </w:p>
    <w:p w14:paraId="2D71C757" w14:textId="47793A0B" w:rsidR="009473AD" w:rsidRDefault="009473AD">
      <w:pPr>
        <w:pStyle w:val="BodyText"/>
        <w:numPr>
          <w:ilvl w:val="1"/>
          <w:numId w:val="79"/>
        </w:numPr>
        <w:ind w:left="1080"/>
        <w:rPr>
          <w:b/>
          <w:bCs/>
        </w:rPr>
      </w:pPr>
      <w:r w:rsidRPr="59EE75BD">
        <w:rPr>
          <w:b/>
          <w:bCs/>
        </w:rPr>
        <w:t>Re-calculate Insurance Estimate</w:t>
      </w:r>
      <w:r w:rsidRPr="003046E4">
        <w:t xml:space="preserve"> </w:t>
      </w:r>
      <w:r w:rsidR="003046E4">
        <w:t xml:space="preserve">– </w:t>
      </w:r>
      <w:r w:rsidRPr="59EE75BD">
        <w:t>Dentrix Enterprise will recalculate an insurance estimate if changes are made to the corresponding insurance plan's coverage table or payment table.</w:t>
      </w:r>
    </w:p>
    <w:p w14:paraId="00F91DF7" w14:textId="6727EBBF" w:rsidR="009473AD" w:rsidRDefault="009473AD">
      <w:pPr>
        <w:pStyle w:val="BodyText"/>
        <w:numPr>
          <w:ilvl w:val="1"/>
          <w:numId w:val="79"/>
        </w:numPr>
        <w:ind w:left="1080"/>
      </w:pPr>
      <w:r w:rsidRPr="59EE75BD">
        <w:rPr>
          <w:b/>
          <w:bCs/>
        </w:rPr>
        <w:t xml:space="preserve">Always Calculate Insurance Override </w:t>
      </w:r>
      <w:r w:rsidR="003046E4">
        <w:rPr>
          <w:b/>
          <w:bCs/>
        </w:rPr>
        <w:t>–</w:t>
      </w:r>
      <w:r w:rsidRPr="59EE75BD">
        <w:rPr>
          <w:b/>
          <w:bCs/>
        </w:rPr>
        <w:t xml:space="preserve"> </w:t>
      </w:r>
      <w:r w:rsidRPr="59EE75BD">
        <w:t xml:space="preserve">With this check box selected, when you post a completed procedure, in the </w:t>
      </w:r>
      <w:r w:rsidRPr="003046E4">
        <w:rPr>
          <w:b/>
          <w:bCs/>
        </w:rPr>
        <w:t>Enter Procedure(s)</w:t>
      </w:r>
      <w:r w:rsidRPr="59EE75BD">
        <w:t xml:space="preserve"> dialog box, Dentrix Enterprise does the following:</w:t>
      </w:r>
    </w:p>
    <w:p w14:paraId="6FFF3989" w14:textId="2A4F5897" w:rsidR="009473AD" w:rsidRDefault="009473AD">
      <w:pPr>
        <w:pStyle w:val="BodyText"/>
        <w:numPr>
          <w:ilvl w:val="2"/>
          <w:numId w:val="80"/>
        </w:numPr>
        <w:ind w:left="1620"/>
      </w:pPr>
      <w:r w:rsidRPr="3113E3E3">
        <w:t xml:space="preserve">Displays the </w:t>
      </w:r>
      <w:r w:rsidRPr="003046E4">
        <w:rPr>
          <w:b/>
          <w:bCs/>
        </w:rPr>
        <w:t>Override Ins. Estimate</w:t>
      </w:r>
      <w:r w:rsidRPr="3113E3E3">
        <w:t xml:space="preserve"> options.</w:t>
      </w:r>
    </w:p>
    <w:p w14:paraId="2D4F2E70" w14:textId="018BF2D4" w:rsidR="009473AD" w:rsidRDefault="009473AD">
      <w:pPr>
        <w:pStyle w:val="BodyText"/>
        <w:numPr>
          <w:ilvl w:val="2"/>
          <w:numId w:val="80"/>
        </w:numPr>
        <w:ind w:left="1620"/>
      </w:pPr>
      <w:r w:rsidRPr="3113E3E3">
        <w:t>Automatically selects the checkboxes to override the primary insurance estimate and the secondary insurance estimate according to the patient's insurance coverage.</w:t>
      </w:r>
    </w:p>
    <w:p w14:paraId="51B552D5" w14:textId="53116131" w:rsidR="009473AD" w:rsidRDefault="009473AD">
      <w:pPr>
        <w:pStyle w:val="BodyText"/>
        <w:numPr>
          <w:ilvl w:val="2"/>
          <w:numId w:val="80"/>
        </w:numPr>
        <w:ind w:left="1620"/>
        <w:rPr>
          <w:i/>
          <w:iCs/>
          <w:sz w:val="18"/>
          <w:szCs w:val="18"/>
        </w:rPr>
      </w:pPr>
      <w:r w:rsidRPr="3113E3E3">
        <w:t>Inserts the estimated insurance portion in</w:t>
      </w:r>
      <w:r w:rsidR="003046E4">
        <w:t>to</w:t>
      </w:r>
      <w:r w:rsidRPr="3113E3E3">
        <w:t xml:space="preserve"> the </w:t>
      </w:r>
      <w:r w:rsidR="003046E4">
        <w:t>applicable</w:t>
      </w:r>
      <w:r w:rsidRPr="3113E3E3">
        <w:t xml:space="preserve"> boxes.</w:t>
      </w:r>
    </w:p>
    <w:p w14:paraId="6E51CE4A" w14:textId="2A48BE45" w:rsidR="009473AD" w:rsidRPr="003046E4" w:rsidRDefault="009473AD" w:rsidP="001D7AFC">
      <w:pPr>
        <w:pStyle w:val="BodyText"/>
        <w:ind w:left="1260"/>
        <w:rPr>
          <w:i/>
          <w:iCs/>
        </w:rPr>
      </w:pPr>
      <w:r w:rsidRPr="003046E4">
        <w:rPr>
          <w:b/>
          <w:bCs/>
          <w:i/>
          <w:iCs/>
        </w:rPr>
        <w:t xml:space="preserve">Operations </w:t>
      </w:r>
      <w:r w:rsidR="003046E4" w:rsidRPr="003046E4">
        <w:rPr>
          <w:b/>
          <w:bCs/>
          <w:i/>
          <w:iCs/>
        </w:rPr>
        <w:t>I</w:t>
      </w:r>
      <w:r w:rsidRPr="003046E4">
        <w:rPr>
          <w:b/>
          <w:bCs/>
          <w:i/>
          <w:iCs/>
        </w:rPr>
        <w:t>nsight</w:t>
      </w:r>
      <w:r w:rsidR="003046E4" w:rsidRPr="003046E4">
        <w:rPr>
          <w:i/>
          <w:iCs/>
        </w:rPr>
        <w:t>:</w:t>
      </w:r>
      <w:r w:rsidRPr="003046E4">
        <w:rPr>
          <w:i/>
          <w:iCs/>
        </w:rPr>
        <w:t xml:space="preserve"> Review insurance setup </w:t>
      </w:r>
      <w:r w:rsidR="003046E4" w:rsidRPr="003046E4">
        <w:rPr>
          <w:i/>
          <w:iCs/>
        </w:rPr>
        <w:t>as part of</w:t>
      </w:r>
      <w:r w:rsidRPr="003046E4">
        <w:rPr>
          <w:i/>
          <w:iCs/>
        </w:rPr>
        <w:t xml:space="preserve"> revenue cycle management to determine the full process for insurance estimates and plan settings.</w:t>
      </w:r>
    </w:p>
    <w:p w14:paraId="41717EB3" w14:textId="28BCEB1D" w:rsidR="009473AD" w:rsidRDefault="009473AD">
      <w:pPr>
        <w:pStyle w:val="BodyText"/>
        <w:numPr>
          <w:ilvl w:val="0"/>
          <w:numId w:val="81"/>
        </w:numPr>
        <w:ind w:left="540"/>
        <w:rPr>
          <w:b/>
          <w:bCs/>
        </w:rPr>
      </w:pPr>
      <w:r w:rsidRPr="71EB9571">
        <w:rPr>
          <w:b/>
          <w:bCs/>
        </w:rPr>
        <w:t>Family File Settings</w:t>
      </w:r>
      <w:r w:rsidR="005944F1">
        <w:t>:</w:t>
      </w:r>
      <w:r w:rsidRPr="71EB9571">
        <w:t xml:space="preserve"> </w:t>
      </w:r>
    </w:p>
    <w:p w14:paraId="3A1663CE" w14:textId="40EEB587" w:rsidR="009473AD" w:rsidRDefault="009473AD">
      <w:pPr>
        <w:pStyle w:val="BodyText"/>
        <w:numPr>
          <w:ilvl w:val="1"/>
          <w:numId w:val="83"/>
        </w:numPr>
        <w:ind w:left="1080"/>
        <w:rPr>
          <w:rFonts w:eastAsiaTheme="minorEastAsia"/>
        </w:rPr>
      </w:pPr>
      <w:r w:rsidRPr="003046E4">
        <w:rPr>
          <w:b/>
          <w:bCs/>
        </w:rPr>
        <w:t>Require Patient Email Address</w:t>
      </w:r>
      <w:r w:rsidRPr="2A71C1FC">
        <w:t xml:space="preserve"> </w:t>
      </w:r>
      <w:r w:rsidR="003046E4">
        <w:t>–</w:t>
      </w:r>
      <w:r w:rsidRPr="2A71C1FC">
        <w:t xml:space="preserve"> Select this checkbox to require that an email address be entered </w:t>
      </w:r>
      <w:r w:rsidRPr="2A71C1FC">
        <w:rPr>
          <w:rFonts w:eastAsiaTheme="minorEastAsia"/>
        </w:rPr>
        <w:t xml:space="preserve">for each patient in Family File. If a patient declines to provide an email address, that can be specified instead of entering an email address.  </w:t>
      </w:r>
    </w:p>
    <w:p w14:paraId="789B7F27" w14:textId="0C70C632" w:rsidR="009473AD" w:rsidRDefault="009473AD">
      <w:pPr>
        <w:pStyle w:val="BodyText"/>
        <w:numPr>
          <w:ilvl w:val="1"/>
          <w:numId w:val="83"/>
        </w:numPr>
        <w:ind w:left="1080"/>
        <w:rPr>
          <w:rFonts w:eastAsiaTheme="minorEastAsia"/>
        </w:rPr>
      </w:pPr>
      <w:r w:rsidRPr="003046E4">
        <w:rPr>
          <w:rFonts w:eastAsiaTheme="minorEastAsia"/>
          <w:b/>
          <w:bCs/>
        </w:rPr>
        <w:t>Require Referral for New Patients</w:t>
      </w:r>
      <w:r w:rsidRPr="59EE75BD">
        <w:rPr>
          <w:rFonts w:eastAsiaTheme="minorEastAsia"/>
        </w:rPr>
        <w:t xml:space="preserve"> </w:t>
      </w:r>
      <w:r w:rsidR="003046E4">
        <w:rPr>
          <w:rFonts w:eastAsiaTheme="minorEastAsia"/>
        </w:rPr>
        <w:t>–</w:t>
      </w:r>
      <w:r w:rsidRPr="59EE75BD">
        <w:rPr>
          <w:rFonts w:eastAsiaTheme="minorEastAsia"/>
        </w:rPr>
        <w:t xml:space="preserve"> Select this checkbox to require that a referral source be selected when a new patient record is created in Family File.</w:t>
      </w:r>
    </w:p>
    <w:p w14:paraId="1BC35EDD" w14:textId="67D5E59D" w:rsidR="003046E4" w:rsidRDefault="001D7AFC" w:rsidP="000D7FFC">
      <w:pPr>
        <w:pStyle w:val="BodyText"/>
        <w:keepNext/>
        <w:keepLines/>
        <w:numPr>
          <w:ilvl w:val="0"/>
          <w:numId w:val="83"/>
        </w:numPr>
        <w:ind w:left="547"/>
      </w:pPr>
      <w:r w:rsidRPr="71EB9571">
        <w:rPr>
          <w:b/>
          <w:bCs/>
        </w:rPr>
        <w:lastRenderedPageBreak/>
        <w:t>Patient Education</w:t>
      </w:r>
      <w:r w:rsidR="003046E4">
        <w:t>:</w:t>
      </w:r>
    </w:p>
    <w:p w14:paraId="32CD19FE" w14:textId="22DDD993" w:rsidR="001D7AFC" w:rsidRDefault="003046E4" w:rsidP="006D44DB">
      <w:pPr>
        <w:pStyle w:val="BodyText"/>
        <w:numPr>
          <w:ilvl w:val="1"/>
          <w:numId w:val="83"/>
        </w:numPr>
        <w:ind w:left="1080"/>
      </w:pPr>
      <w:r w:rsidRPr="003046E4">
        <w:rPr>
          <w:b/>
          <w:bCs/>
        </w:rPr>
        <w:t>Use Spanish patient education if patient’s preferred language is Spanish</w:t>
      </w:r>
      <w:r>
        <w:t xml:space="preserve"> – With this checkbox selected, i</w:t>
      </w:r>
      <w:r w:rsidR="001D7AFC" w:rsidRPr="71EB9571">
        <w:t xml:space="preserve">f </w:t>
      </w:r>
      <w:r w:rsidR="001D7AFC" w:rsidRPr="71EB9571">
        <w:rPr>
          <w:rFonts w:eastAsiaTheme="minorEastAsia"/>
        </w:rPr>
        <w:t xml:space="preserve">a patient's language preference is Spanish (in the </w:t>
      </w:r>
      <w:r w:rsidR="001D7AFC" w:rsidRPr="003046E4">
        <w:rPr>
          <w:rFonts w:eastAsiaTheme="minorEastAsia"/>
          <w:b/>
          <w:bCs/>
        </w:rPr>
        <w:t>Patient Information</w:t>
      </w:r>
      <w:r>
        <w:rPr>
          <w:rFonts w:eastAsiaTheme="minorEastAsia"/>
        </w:rPr>
        <w:t xml:space="preserve"> dialog box</w:t>
      </w:r>
      <w:r w:rsidR="001D7AFC" w:rsidRPr="71EB9571">
        <w:rPr>
          <w:rFonts w:eastAsiaTheme="minorEastAsia"/>
        </w:rPr>
        <w:t xml:space="preserve">, under </w:t>
      </w:r>
      <w:r w:rsidR="001D7AFC" w:rsidRPr="003046E4">
        <w:rPr>
          <w:rFonts w:eastAsiaTheme="minorEastAsia"/>
          <w:b/>
          <w:bCs/>
        </w:rPr>
        <w:t>Demographics</w:t>
      </w:r>
      <w:r w:rsidR="001D7AFC" w:rsidRPr="71EB9571">
        <w:rPr>
          <w:rFonts w:eastAsiaTheme="minorEastAsia"/>
        </w:rPr>
        <w:t xml:space="preserve">, </w:t>
      </w:r>
      <w:r w:rsidR="001D7AFC" w:rsidRPr="003046E4">
        <w:rPr>
          <w:rFonts w:eastAsiaTheme="minorEastAsia"/>
          <w:b/>
          <w:bCs/>
        </w:rPr>
        <w:t>Spanish</w:t>
      </w:r>
      <w:r w:rsidR="001D7AFC" w:rsidRPr="71EB9571">
        <w:rPr>
          <w:rFonts w:eastAsiaTheme="minorEastAsia"/>
        </w:rPr>
        <w:t xml:space="preserve"> is selected as the </w:t>
      </w:r>
      <w:r w:rsidR="001D7AFC" w:rsidRPr="003046E4">
        <w:rPr>
          <w:rFonts w:eastAsiaTheme="minorEastAsia"/>
          <w:b/>
          <w:bCs/>
        </w:rPr>
        <w:t>Language</w:t>
      </w:r>
      <w:r w:rsidR="001D7AFC" w:rsidRPr="71EB9571">
        <w:rPr>
          <w:rFonts w:eastAsiaTheme="minorEastAsia"/>
        </w:rPr>
        <w:t xml:space="preserve">), when the </w:t>
      </w:r>
      <w:r w:rsidR="001D7AFC" w:rsidRPr="003046E4">
        <w:rPr>
          <w:rFonts w:eastAsiaTheme="minorEastAsia"/>
          <w:b/>
          <w:bCs/>
        </w:rPr>
        <w:t>Patient Education</w:t>
      </w:r>
      <w:r w:rsidR="001D7AFC" w:rsidRPr="71EB9571">
        <w:rPr>
          <w:rFonts w:eastAsiaTheme="minorEastAsia"/>
        </w:rPr>
        <w:t xml:space="preserve"> dialog box appears for that patient, the </w:t>
      </w:r>
      <w:r w:rsidR="001D7AFC" w:rsidRPr="003046E4">
        <w:rPr>
          <w:rFonts w:eastAsiaTheme="minorEastAsia"/>
          <w:b/>
          <w:bCs/>
        </w:rPr>
        <w:t>Spanish</w:t>
      </w:r>
      <w:r w:rsidR="001D7AFC" w:rsidRPr="71EB9571">
        <w:rPr>
          <w:rFonts w:eastAsiaTheme="minorEastAsia"/>
        </w:rPr>
        <w:t xml:space="preserve"> option is selected; otherwise, </w:t>
      </w:r>
      <w:r w:rsidR="001D7AFC" w:rsidRPr="003046E4">
        <w:rPr>
          <w:rFonts w:eastAsiaTheme="minorEastAsia"/>
          <w:b/>
          <w:bCs/>
        </w:rPr>
        <w:t>English</w:t>
      </w:r>
      <w:r w:rsidR="001D7AFC" w:rsidRPr="71EB9571">
        <w:rPr>
          <w:rFonts w:eastAsiaTheme="minorEastAsia"/>
        </w:rPr>
        <w:t xml:space="preserve"> is the default selection.</w:t>
      </w:r>
    </w:p>
    <w:p w14:paraId="3DFD204E" w14:textId="0D48693E" w:rsidR="001D7AFC" w:rsidRPr="005944F1" w:rsidRDefault="003046E4" w:rsidP="006D44DB">
      <w:pPr>
        <w:pStyle w:val="BodyText"/>
        <w:numPr>
          <w:ilvl w:val="1"/>
          <w:numId w:val="83"/>
        </w:numPr>
        <w:ind w:left="1080"/>
        <w:rPr>
          <w:rFonts w:eastAsiaTheme="minorEastAsia"/>
        </w:rPr>
      </w:pPr>
      <w:r w:rsidRPr="006D44DB">
        <w:rPr>
          <w:rFonts w:eastAsiaTheme="minorEastAsia"/>
          <w:b/>
          <w:bCs/>
        </w:rPr>
        <w:t>Use description for finding patient education</w:t>
      </w:r>
      <w:r>
        <w:rPr>
          <w:rFonts w:eastAsiaTheme="minorEastAsia"/>
        </w:rPr>
        <w:t xml:space="preserve"> – With this check box selected, you can enter a</w:t>
      </w:r>
      <w:r w:rsidR="001D7AFC" w:rsidRPr="71EB9571">
        <w:rPr>
          <w:rFonts w:eastAsiaTheme="minorEastAsia"/>
        </w:rPr>
        <w:t xml:space="preserve"> description instead of </w:t>
      </w:r>
      <w:r>
        <w:rPr>
          <w:rFonts w:eastAsiaTheme="minorEastAsia"/>
        </w:rPr>
        <w:t>a</w:t>
      </w:r>
      <w:r w:rsidR="001D7AFC" w:rsidRPr="71EB9571">
        <w:rPr>
          <w:rFonts w:eastAsiaTheme="minorEastAsia"/>
        </w:rPr>
        <w:t xml:space="preserve"> code (SNOMED, NDC, or LOINC) when you search for patient education resources online with MedlinePlus.</w:t>
      </w:r>
    </w:p>
    <w:p w14:paraId="0069F12F" w14:textId="1BD849F1" w:rsidR="009473AD" w:rsidRPr="00941C5B" w:rsidRDefault="009473AD">
      <w:pPr>
        <w:pStyle w:val="BodyText"/>
        <w:numPr>
          <w:ilvl w:val="0"/>
          <w:numId w:val="81"/>
        </w:numPr>
        <w:ind w:left="540"/>
      </w:pPr>
      <w:r w:rsidRPr="71EB9571">
        <w:rPr>
          <w:b/>
          <w:bCs/>
        </w:rPr>
        <w:t xml:space="preserve">Reject Old Treatment Plans </w:t>
      </w:r>
      <w:r w:rsidRPr="71EB9571">
        <w:t xml:space="preserve">– You can have treatment-planned procedures archived automatically so they no longer </w:t>
      </w:r>
      <w:r w:rsidR="006D44DB">
        <w:t>appear</w:t>
      </w:r>
      <w:r w:rsidRPr="71EB9571">
        <w:t xml:space="preserve"> as active treatment in </w:t>
      </w:r>
      <w:r w:rsidR="006D44DB">
        <w:t>C</w:t>
      </w:r>
      <w:r w:rsidRPr="71EB9571">
        <w:t xml:space="preserve">hart or </w:t>
      </w:r>
      <w:r w:rsidR="006D44DB">
        <w:t>T</w:t>
      </w:r>
      <w:r w:rsidRPr="71EB9571">
        <w:t xml:space="preserve">reatment </w:t>
      </w:r>
      <w:r w:rsidR="006D44DB">
        <w:t>P</w:t>
      </w:r>
      <w:r w:rsidRPr="71EB9571">
        <w:t xml:space="preserve">lanner. Customize this feature by selecting the number of days a treatment plan case remains valid. When a treatment plan case is no longer valid, Dentrix Enterprise automatically rejects it and adds a note, stating why and when the case was rejected. </w:t>
      </w:r>
    </w:p>
    <w:p w14:paraId="391BAC35" w14:textId="50E40430" w:rsidR="009473AD" w:rsidRPr="006D44DB" w:rsidRDefault="009473AD" w:rsidP="005944F1">
      <w:pPr>
        <w:pStyle w:val="BodyText"/>
        <w:ind w:left="540"/>
        <w:rPr>
          <w:i/>
          <w:iCs/>
        </w:rPr>
      </w:pPr>
      <w:r w:rsidRPr="006D44DB">
        <w:rPr>
          <w:b/>
          <w:bCs/>
          <w:i/>
          <w:iCs/>
        </w:rPr>
        <w:t xml:space="preserve">Operations </w:t>
      </w:r>
      <w:r w:rsidR="006D44DB" w:rsidRPr="006D44DB">
        <w:rPr>
          <w:b/>
          <w:bCs/>
          <w:i/>
          <w:iCs/>
        </w:rPr>
        <w:t>I</w:t>
      </w:r>
      <w:r w:rsidRPr="006D44DB">
        <w:rPr>
          <w:b/>
          <w:bCs/>
          <w:i/>
          <w:iCs/>
        </w:rPr>
        <w:t>nsight</w:t>
      </w:r>
      <w:r w:rsidR="006D44DB" w:rsidRPr="006D44DB">
        <w:rPr>
          <w:i/>
          <w:iCs/>
        </w:rPr>
        <w:t xml:space="preserve">: </w:t>
      </w:r>
      <w:r w:rsidRPr="006D44DB">
        <w:rPr>
          <w:i/>
          <w:iCs/>
        </w:rPr>
        <w:t>Rejected treatment is retained in the patient’s record</w:t>
      </w:r>
      <w:r w:rsidR="006D44DB" w:rsidRPr="006D44DB">
        <w:rPr>
          <w:i/>
          <w:iCs/>
        </w:rPr>
        <w:t xml:space="preserve">, and you can easily change </w:t>
      </w:r>
      <w:r w:rsidRPr="006D44DB">
        <w:rPr>
          <w:i/>
          <w:iCs/>
        </w:rPr>
        <w:t xml:space="preserve">the visibility and status of </w:t>
      </w:r>
      <w:r w:rsidR="006D44DB" w:rsidRPr="006D44DB">
        <w:rPr>
          <w:i/>
          <w:iCs/>
        </w:rPr>
        <w:t>a</w:t>
      </w:r>
      <w:r w:rsidRPr="006D44DB">
        <w:rPr>
          <w:i/>
          <w:iCs/>
        </w:rPr>
        <w:t xml:space="preserve"> case</w:t>
      </w:r>
      <w:r w:rsidR="006D44DB" w:rsidRPr="006D44DB">
        <w:rPr>
          <w:i/>
          <w:iCs/>
        </w:rPr>
        <w:t xml:space="preserve"> as needed</w:t>
      </w:r>
      <w:r w:rsidRPr="006D44DB">
        <w:rPr>
          <w:i/>
          <w:iCs/>
        </w:rPr>
        <w:t>.</w:t>
      </w:r>
    </w:p>
    <w:p w14:paraId="37D486FF" w14:textId="35721621" w:rsidR="00F57732" w:rsidRDefault="00F57732" w:rsidP="00D42C5A">
      <w:pPr>
        <w:pStyle w:val="Heading3"/>
      </w:pPr>
      <w:bookmarkStart w:id="219" w:name="SubscriptionsTab"/>
      <w:bookmarkStart w:id="220" w:name="_Toc135416738"/>
      <w:bookmarkStart w:id="221" w:name="_Toc146183345"/>
      <w:r>
        <w:t xml:space="preserve">Clinic Information - </w:t>
      </w:r>
      <w:r w:rsidR="009473AD" w:rsidRPr="71EB9571">
        <w:t>Subscriptions Tab</w:t>
      </w:r>
      <w:bookmarkEnd w:id="219"/>
      <w:bookmarkEnd w:id="220"/>
      <w:bookmarkEnd w:id="221"/>
    </w:p>
    <w:p w14:paraId="1E5F8D73" w14:textId="6934896F" w:rsidR="009473AD" w:rsidRPr="00941C5B" w:rsidRDefault="006D44DB" w:rsidP="006D44DB">
      <w:pPr>
        <w:pStyle w:val="BodyText"/>
      </w:pPr>
      <w:r>
        <w:t xml:space="preserve">On the </w:t>
      </w:r>
      <w:r w:rsidRPr="006D44DB">
        <w:rPr>
          <w:b/>
          <w:bCs/>
        </w:rPr>
        <w:t>Subscriptions</w:t>
      </w:r>
      <w:r>
        <w:t xml:space="preserve"> tab of the </w:t>
      </w:r>
      <w:r w:rsidRPr="006D44DB">
        <w:rPr>
          <w:b/>
          <w:bCs/>
        </w:rPr>
        <w:t>Clinic Information</w:t>
      </w:r>
      <w:r>
        <w:t xml:space="preserve"> dialog box, you set up s</w:t>
      </w:r>
      <w:r w:rsidR="009473AD" w:rsidRPr="71EB9571">
        <w:t>ubscription-based features that require the purchase of licenses.</w:t>
      </w:r>
      <w:r>
        <w:t xml:space="preserve"> </w:t>
      </w:r>
      <w:r w:rsidR="009473AD" w:rsidRPr="71EB9571">
        <w:t xml:space="preserve">A </w:t>
      </w:r>
      <w:r>
        <w:t>S</w:t>
      </w:r>
      <w:r w:rsidR="009473AD" w:rsidRPr="71EB9571">
        <w:t xml:space="preserve">upport representative must activate the subscriptions and enter the license keys necessary to activate the features.  </w:t>
      </w:r>
    </w:p>
    <w:p w14:paraId="63633762" w14:textId="0BB72E4C" w:rsidR="006D44DB" w:rsidRDefault="009473AD">
      <w:pPr>
        <w:pStyle w:val="BodyText"/>
        <w:numPr>
          <w:ilvl w:val="0"/>
          <w:numId w:val="81"/>
        </w:numPr>
        <w:ind w:left="540"/>
      </w:pPr>
      <w:proofErr w:type="spellStart"/>
      <w:r w:rsidRPr="71EB9571">
        <w:rPr>
          <w:b/>
          <w:bCs/>
        </w:rPr>
        <w:t>ePrescribe</w:t>
      </w:r>
      <w:proofErr w:type="spellEnd"/>
      <w:r w:rsidRPr="71EB9571">
        <w:rPr>
          <w:b/>
          <w:bCs/>
        </w:rPr>
        <w:t xml:space="preserve"> </w:t>
      </w:r>
      <w:r w:rsidRPr="71EB9571">
        <w:t xml:space="preserve">– Allscripts is the third-party provider </w:t>
      </w:r>
      <w:proofErr w:type="spellStart"/>
      <w:r w:rsidR="006D44DB">
        <w:t>ePrescribe</w:t>
      </w:r>
      <w:proofErr w:type="spellEnd"/>
      <w:r w:rsidR="006D44DB">
        <w:t xml:space="preserve"> service</w:t>
      </w:r>
      <w:r w:rsidRPr="71EB9571">
        <w:t>. Prescribing electronically provides access to real</w:t>
      </w:r>
      <w:r w:rsidR="006D44DB">
        <w:t>-</w:t>
      </w:r>
      <w:r w:rsidRPr="71EB9571">
        <w:t>time patient clinical decision support information.</w:t>
      </w:r>
    </w:p>
    <w:p w14:paraId="52C2270E" w14:textId="1F895C37" w:rsidR="009473AD" w:rsidRPr="004031F1" w:rsidRDefault="006D44DB">
      <w:pPr>
        <w:pStyle w:val="BodyText"/>
        <w:numPr>
          <w:ilvl w:val="0"/>
          <w:numId w:val="81"/>
        </w:numPr>
        <w:ind w:left="540"/>
      </w:pPr>
      <w:r w:rsidRPr="71EB9571">
        <w:rPr>
          <w:b/>
          <w:bCs/>
        </w:rPr>
        <w:t>Outcome</w:t>
      </w:r>
      <w:r>
        <w:t xml:space="preserve"> –</w:t>
      </w:r>
      <w:r w:rsidRPr="006D44DB">
        <w:t xml:space="preserve"> </w:t>
      </w:r>
      <w:r w:rsidRPr="71EB9571">
        <w:t xml:space="preserve">Quintiles is the third-party provider of the Outcome service. </w:t>
      </w:r>
      <w:r>
        <w:t>Outcome</w:t>
      </w:r>
      <w:r w:rsidRPr="71EB9571">
        <w:t xml:space="preserve"> provides a caries risk assessment and reporting functionality</w:t>
      </w:r>
      <w:r>
        <w:t>, which you can</w:t>
      </w:r>
      <w:r w:rsidRPr="71EB9571">
        <w:t xml:space="preserve"> access from </w:t>
      </w:r>
      <w:r>
        <w:t>C</w:t>
      </w:r>
      <w:r w:rsidRPr="71EB9571">
        <w:t>hart.</w:t>
      </w:r>
    </w:p>
    <w:p w14:paraId="7D61195A" w14:textId="016076A4" w:rsidR="009473AD" w:rsidRPr="003E7D3A" w:rsidRDefault="009473AD">
      <w:pPr>
        <w:pStyle w:val="BodyText"/>
        <w:numPr>
          <w:ilvl w:val="0"/>
          <w:numId w:val="81"/>
        </w:numPr>
        <w:ind w:left="540"/>
        <w:rPr>
          <w:b/>
          <w:bCs/>
        </w:rPr>
      </w:pPr>
      <w:proofErr w:type="spellStart"/>
      <w:r w:rsidRPr="71EB9571">
        <w:rPr>
          <w:b/>
          <w:bCs/>
        </w:rPr>
        <w:t>Updox</w:t>
      </w:r>
      <w:proofErr w:type="spellEnd"/>
      <w:r w:rsidR="006D44DB">
        <w:t xml:space="preserve"> –</w:t>
      </w:r>
      <w:r w:rsidRPr="006D44DB">
        <w:t xml:space="preserve"> </w:t>
      </w:r>
      <w:proofErr w:type="spellStart"/>
      <w:r w:rsidRPr="71EB9571">
        <w:t>Updox</w:t>
      </w:r>
      <w:proofErr w:type="spellEnd"/>
      <w:r w:rsidRPr="71EB9571">
        <w:t xml:space="preserve"> is the third-party provider of the Patient Portal service. </w:t>
      </w:r>
      <w:r w:rsidR="006D44DB">
        <w:t>You can use t</w:t>
      </w:r>
      <w:r w:rsidRPr="71EB9571">
        <w:t xml:space="preserve">he patient portal </w:t>
      </w:r>
      <w:r w:rsidR="006D44DB">
        <w:t>to send</w:t>
      </w:r>
      <w:r w:rsidRPr="71EB9571">
        <w:t xml:space="preserve"> secure messages to patients or referral sources and </w:t>
      </w:r>
      <w:r w:rsidR="006D44DB">
        <w:t>to transmit</w:t>
      </w:r>
      <w:r w:rsidRPr="71EB9571">
        <w:t xml:space="preserve"> C-CDA files.  </w:t>
      </w:r>
    </w:p>
    <w:p w14:paraId="2838C9B4" w14:textId="65CA01D2" w:rsidR="009473AD" w:rsidRPr="00FF6EC3" w:rsidRDefault="009473AD">
      <w:pPr>
        <w:pStyle w:val="BodyText"/>
        <w:numPr>
          <w:ilvl w:val="0"/>
          <w:numId w:val="81"/>
        </w:numPr>
        <w:ind w:left="540"/>
        <w:rPr>
          <w:b/>
          <w:bCs/>
        </w:rPr>
      </w:pPr>
      <w:r w:rsidRPr="59EE75BD">
        <w:rPr>
          <w:b/>
          <w:bCs/>
        </w:rPr>
        <w:t xml:space="preserve">Meaningful Use </w:t>
      </w:r>
      <w:r w:rsidRPr="59EE75BD">
        <w:t>–</w:t>
      </w:r>
      <w:r w:rsidR="006D44DB">
        <w:t xml:space="preserve"> The M</w:t>
      </w:r>
      <w:r w:rsidR="006D44DB" w:rsidRPr="59EE75BD">
        <w:t xml:space="preserve">eaningful </w:t>
      </w:r>
      <w:r w:rsidR="006D44DB">
        <w:t>U</w:t>
      </w:r>
      <w:r w:rsidR="006D44DB" w:rsidRPr="59EE75BD">
        <w:t>se</w:t>
      </w:r>
      <w:r w:rsidR="006D44DB">
        <w:t xml:space="preserve"> features allow you to generate reports</w:t>
      </w:r>
      <w:r w:rsidRPr="59EE75BD">
        <w:t xml:space="preserve"> </w:t>
      </w:r>
      <w:r w:rsidR="006D44DB">
        <w:t>with the</w:t>
      </w:r>
      <w:r w:rsidRPr="59EE75BD">
        <w:t xml:space="preserve"> information needed to satisfy the attest</w:t>
      </w:r>
      <w:r w:rsidR="006D44DB">
        <w:t>ation</w:t>
      </w:r>
      <w:r w:rsidRPr="59EE75BD">
        <w:t xml:space="preserve"> requirements</w:t>
      </w:r>
      <w:r w:rsidR="006D44DB">
        <w:t xml:space="preserve"> for M</w:t>
      </w:r>
      <w:r w:rsidR="006D44DB" w:rsidRPr="59EE75BD">
        <w:t xml:space="preserve">eaningful </w:t>
      </w:r>
      <w:r w:rsidR="006D44DB">
        <w:t>U</w:t>
      </w:r>
      <w:r w:rsidR="006D44DB" w:rsidRPr="59EE75BD">
        <w:t>se</w:t>
      </w:r>
      <w:r w:rsidRPr="59EE75BD">
        <w:t xml:space="preserve">. Dentrix Enterprise is a 2015 edition Certified Electronic Health Record Technology (CEHRT). CEHRT gives assurance to purchasers and other users that an EHR system or module offers the necessary technological capability, functionality, and security to help them meet the </w:t>
      </w:r>
      <w:r w:rsidR="006D44DB">
        <w:t>M</w:t>
      </w:r>
      <w:r w:rsidRPr="59EE75BD">
        <w:t xml:space="preserve">eaningful </w:t>
      </w:r>
      <w:r w:rsidR="006D44DB">
        <w:t>U</w:t>
      </w:r>
      <w:r w:rsidRPr="59EE75BD">
        <w:t>se criteria.</w:t>
      </w:r>
    </w:p>
    <w:p w14:paraId="7A558227" w14:textId="5F473A19" w:rsidR="00FF6EC3" w:rsidRDefault="009473AD" w:rsidP="004267C0">
      <w:pPr>
        <w:pStyle w:val="Heading2"/>
      </w:pPr>
      <w:bookmarkStart w:id="222" w:name="ClinicResourceSetup"/>
      <w:bookmarkStart w:id="223" w:name="_Toc135416739"/>
      <w:bookmarkStart w:id="224" w:name="_Toc146183346"/>
      <w:r w:rsidRPr="4F5CD447">
        <w:lastRenderedPageBreak/>
        <w:t>Clinic Resource Setup</w:t>
      </w:r>
      <w:bookmarkEnd w:id="222"/>
      <w:bookmarkEnd w:id="223"/>
      <w:bookmarkEnd w:id="224"/>
    </w:p>
    <w:p w14:paraId="09431454" w14:textId="318ADE6A" w:rsidR="009473AD" w:rsidRPr="00FF6EC3" w:rsidRDefault="009B0FC8" w:rsidP="000D7FFC">
      <w:pPr>
        <w:pStyle w:val="BodyText"/>
        <w:keepNext/>
        <w:keepLines/>
      </w:pPr>
      <w:r>
        <w:t xml:space="preserve">In the </w:t>
      </w:r>
      <w:r w:rsidRPr="009B0FC8">
        <w:rPr>
          <w:b/>
          <w:bCs/>
        </w:rPr>
        <w:t>Clinic Resource Setup</w:t>
      </w:r>
      <w:r>
        <w:t xml:space="preserve"> dialog box, you can a</w:t>
      </w:r>
      <w:r w:rsidR="009473AD" w:rsidRPr="4F5CD447">
        <w:t xml:space="preserve">dd or edit clinic information, </w:t>
      </w:r>
      <w:proofErr w:type="gramStart"/>
      <w:r w:rsidR="009473AD" w:rsidRPr="4F5CD447">
        <w:t>operatory</w:t>
      </w:r>
      <w:proofErr w:type="gramEnd"/>
      <w:r w:rsidR="009473AD" w:rsidRPr="4F5CD447">
        <w:t xml:space="preserve"> IDs, </w:t>
      </w:r>
      <w:r w:rsidR="006D44DB">
        <w:t xml:space="preserve">and </w:t>
      </w:r>
      <w:r w:rsidR="009473AD" w:rsidRPr="4F5CD447">
        <w:t>provider and staff information.</w:t>
      </w:r>
    </w:p>
    <w:p w14:paraId="22284048" w14:textId="43E42196" w:rsidR="00FF6EC3" w:rsidRDefault="009473AD" w:rsidP="00D42C5A">
      <w:pPr>
        <w:pStyle w:val="Heading3"/>
      </w:pPr>
      <w:bookmarkStart w:id="225" w:name="_Toc135416740"/>
      <w:bookmarkStart w:id="226" w:name="_Toc146183347"/>
      <w:r w:rsidRPr="4F5CD447">
        <w:t>Provider Setup</w:t>
      </w:r>
      <w:bookmarkEnd w:id="225"/>
      <w:bookmarkEnd w:id="226"/>
    </w:p>
    <w:p w14:paraId="6D6F9256" w14:textId="23195E56" w:rsidR="009473AD" w:rsidRPr="005944F1" w:rsidRDefault="009473AD" w:rsidP="000D7FFC">
      <w:pPr>
        <w:pStyle w:val="BodyText"/>
        <w:keepNext/>
        <w:keepLines/>
      </w:pPr>
      <w:r w:rsidRPr="005944F1">
        <w:t xml:space="preserve">Each individual </w:t>
      </w:r>
      <w:r w:rsidR="009B0FC8">
        <w:t xml:space="preserve">who </w:t>
      </w:r>
      <w:r w:rsidRPr="005944F1">
        <w:t xml:space="preserve">can have an independent schedule and render a service for tracking or billing is considered a provider in Dentrix Enterprise.  </w:t>
      </w:r>
    </w:p>
    <w:p w14:paraId="00B58CF7" w14:textId="68DC6125" w:rsidR="009473AD" w:rsidRPr="009B0FC8" w:rsidRDefault="009473AD" w:rsidP="000D7FFC">
      <w:pPr>
        <w:pStyle w:val="BodyText"/>
        <w:keepNext/>
        <w:keepLines/>
        <w:rPr>
          <w:i/>
          <w:iCs/>
        </w:rPr>
      </w:pPr>
      <w:r w:rsidRPr="009B0FC8">
        <w:rPr>
          <w:b/>
          <w:bCs/>
          <w:i/>
          <w:iCs/>
        </w:rPr>
        <w:t>Operations Insight</w:t>
      </w:r>
      <w:r w:rsidR="009B0FC8" w:rsidRPr="009B0FC8">
        <w:rPr>
          <w:i/>
          <w:iCs/>
        </w:rPr>
        <w:t>:</w:t>
      </w:r>
      <w:r w:rsidRPr="009B0FC8">
        <w:rPr>
          <w:i/>
          <w:iCs/>
        </w:rPr>
        <w:t xml:space="preserve"> Dentrix Enterprise supports a single instance of each provider, even in organizations where </w:t>
      </w:r>
      <w:r w:rsidR="009B0FC8" w:rsidRPr="009B0FC8">
        <w:rPr>
          <w:i/>
          <w:iCs/>
        </w:rPr>
        <w:t xml:space="preserve">a </w:t>
      </w:r>
      <w:r w:rsidRPr="009B0FC8">
        <w:rPr>
          <w:i/>
          <w:iCs/>
        </w:rPr>
        <w:t>provider</w:t>
      </w:r>
      <w:r w:rsidR="009B0FC8" w:rsidRPr="009B0FC8">
        <w:rPr>
          <w:i/>
          <w:iCs/>
        </w:rPr>
        <w:t xml:space="preserve"> can</w:t>
      </w:r>
      <w:r w:rsidRPr="009B0FC8">
        <w:rPr>
          <w:i/>
          <w:iCs/>
        </w:rPr>
        <w:t xml:space="preserve"> render services in multiple locations.</w:t>
      </w:r>
    </w:p>
    <w:p w14:paraId="6FFE8F14" w14:textId="6506517F" w:rsidR="009473AD" w:rsidRPr="009B0FC8" w:rsidRDefault="009473AD" w:rsidP="005944F1">
      <w:pPr>
        <w:pStyle w:val="BodyText"/>
        <w:rPr>
          <w:i/>
          <w:iCs/>
        </w:rPr>
      </w:pPr>
      <w:r w:rsidRPr="009B0FC8">
        <w:rPr>
          <w:b/>
          <w:bCs/>
          <w:i/>
          <w:iCs/>
        </w:rPr>
        <w:t>Operations Insight</w:t>
      </w:r>
      <w:r w:rsidR="009B0FC8" w:rsidRPr="009B0FC8">
        <w:rPr>
          <w:i/>
          <w:iCs/>
        </w:rPr>
        <w:t>:</w:t>
      </w:r>
      <w:r w:rsidRPr="009B0FC8">
        <w:rPr>
          <w:i/>
          <w:iCs/>
        </w:rPr>
        <w:t xml:space="preserve"> If your clinic is submitting electronic claims </w:t>
      </w:r>
      <w:r w:rsidR="009B0FC8" w:rsidRPr="009B0FC8">
        <w:rPr>
          <w:i/>
          <w:iCs/>
        </w:rPr>
        <w:t>using Henry Schein One’s eClaims</w:t>
      </w:r>
      <w:r w:rsidRPr="009B0FC8">
        <w:rPr>
          <w:i/>
          <w:iCs/>
        </w:rPr>
        <w:t xml:space="preserve">, </w:t>
      </w:r>
      <w:r w:rsidR="009B0FC8" w:rsidRPr="009B0FC8">
        <w:rPr>
          <w:i/>
          <w:iCs/>
        </w:rPr>
        <w:t xml:space="preserve">when you add </w:t>
      </w:r>
      <w:r w:rsidRPr="009B0FC8">
        <w:rPr>
          <w:i/>
          <w:iCs/>
        </w:rPr>
        <w:t>a new billing provider to Dentrix Enterprise</w:t>
      </w:r>
      <w:r w:rsidR="009B0FC8" w:rsidRPr="009B0FC8">
        <w:rPr>
          <w:i/>
          <w:iCs/>
        </w:rPr>
        <w:t xml:space="preserve">, you must submit </w:t>
      </w:r>
      <w:r w:rsidRPr="009B0FC8">
        <w:rPr>
          <w:i/>
          <w:iCs/>
        </w:rPr>
        <w:t xml:space="preserve">an updated Practice Organization List (POL) to the </w:t>
      </w:r>
      <w:proofErr w:type="spellStart"/>
      <w:r w:rsidRPr="009B0FC8">
        <w:rPr>
          <w:i/>
          <w:iCs/>
        </w:rPr>
        <w:t>eServices</w:t>
      </w:r>
      <w:proofErr w:type="spellEnd"/>
      <w:r w:rsidRPr="009B0FC8">
        <w:rPr>
          <w:i/>
          <w:iCs/>
        </w:rPr>
        <w:t xml:space="preserve"> Support team.</w:t>
      </w:r>
    </w:p>
    <w:p w14:paraId="13C3EB6D" w14:textId="59C666F8" w:rsidR="009473AD" w:rsidRPr="005944F1" w:rsidRDefault="009473AD">
      <w:pPr>
        <w:pStyle w:val="BodyText"/>
        <w:numPr>
          <w:ilvl w:val="0"/>
          <w:numId w:val="84"/>
        </w:numPr>
        <w:ind w:left="540"/>
      </w:pPr>
      <w:r w:rsidRPr="005944F1">
        <w:rPr>
          <w:b/>
          <w:bCs/>
        </w:rPr>
        <w:t>Name</w:t>
      </w:r>
      <w:r w:rsidR="009B0FC8">
        <w:rPr>
          <w:b/>
          <w:bCs/>
        </w:rPr>
        <w:t xml:space="preserve"> and</w:t>
      </w:r>
      <w:r w:rsidRPr="005944F1">
        <w:rPr>
          <w:b/>
          <w:bCs/>
        </w:rPr>
        <w:t xml:space="preserve"> ID</w:t>
      </w:r>
      <w:r w:rsidRPr="005944F1">
        <w:t xml:space="preserve"> – </w:t>
      </w:r>
      <w:r w:rsidR="009B0FC8">
        <w:t>The ID can have a m</w:t>
      </w:r>
      <w:r w:rsidRPr="005944F1">
        <w:t>aximum of 10 characters</w:t>
      </w:r>
      <w:r w:rsidR="009B0FC8">
        <w:t>.</w:t>
      </w:r>
    </w:p>
    <w:p w14:paraId="5E2B837F" w14:textId="4CBD297D" w:rsidR="009473AD" w:rsidRPr="009B0FC8" w:rsidRDefault="009473AD" w:rsidP="005944F1">
      <w:pPr>
        <w:pStyle w:val="BodyText"/>
        <w:ind w:left="540"/>
        <w:rPr>
          <w:i/>
          <w:iCs/>
        </w:rPr>
      </w:pPr>
      <w:r w:rsidRPr="009B0FC8">
        <w:rPr>
          <w:b/>
          <w:bCs/>
          <w:i/>
          <w:iCs/>
        </w:rPr>
        <w:t>Operations Insight</w:t>
      </w:r>
      <w:r w:rsidR="009B0FC8" w:rsidRPr="009B0FC8">
        <w:rPr>
          <w:i/>
          <w:iCs/>
        </w:rPr>
        <w:t>:</w:t>
      </w:r>
      <w:r w:rsidRPr="009B0FC8">
        <w:rPr>
          <w:i/>
          <w:iCs/>
        </w:rPr>
        <w:t xml:space="preserve"> Provider IDs </w:t>
      </w:r>
      <w:r w:rsidR="009B0FC8" w:rsidRPr="009B0FC8">
        <w:rPr>
          <w:i/>
          <w:iCs/>
        </w:rPr>
        <w:t xml:space="preserve">are </w:t>
      </w:r>
      <w:r w:rsidRPr="009B0FC8">
        <w:rPr>
          <w:i/>
          <w:iCs/>
        </w:rPr>
        <w:t xml:space="preserve">prevalent in selection lists and reports throughout Dentrix Enterprise. </w:t>
      </w:r>
      <w:r w:rsidR="009B0FC8" w:rsidRPr="009B0FC8">
        <w:rPr>
          <w:i/>
          <w:iCs/>
        </w:rPr>
        <w:t xml:space="preserve">We </w:t>
      </w:r>
      <w:r w:rsidRPr="009B0FC8">
        <w:rPr>
          <w:i/>
          <w:iCs/>
        </w:rPr>
        <w:t>recommend</w:t>
      </w:r>
      <w:r w:rsidR="009B0FC8" w:rsidRPr="009B0FC8">
        <w:rPr>
          <w:i/>
          <w:iCs/>
        </w:rPr>
        <w:t xml:space="preserve"> that you</w:t>
      </w:r>
      <w:r w:rsidRPr="009B0FC8">
        <w:rPr>
          <w:i/>
          <w:iCs/>
        </w:rPr>
        <w:t xml:space="preserve"> develop a naming convention for providers that will </w:t>
      </w:r>
      <w:proofErr w:type="gramStart"/>
      <w:r w:rsidRPr="009B0FC8">
        <w:rPr>
          <w:i/>
          <w:iCs/>
        </w:rPr>
        <w:t>lend</w:t>
      </w:r>
      <w:proofErr w:type="gramEnd"/>
      <w:r w:rsidRPr="009B0FC8">
        <w:rPr>
          <w:i/>
          <w:iCs/>
        </w:rPr>
        <w:t xml:space="preserve"> to easy identification of individual providers.</w:t>
      </w:r>
    </w:p>
    <w:p w14:paraId="4660833E" w14:textId="5117A673" w:rsidR="009473AD" w:rsidRPr="005944F1" w:rsidRDefault="009473AD">
      <w:pPr>
        <w:pStyle w:val="BodyText"/>
        <w:numPr>
          <w:ilvl w:val="0"/>
          <w:numId w:val="84"/>
        </w:numPr>
        <w:ind w:left="540"/>
      </w:pPr>
      <w:r w:rsidRPr="005944F1">
        <w:rPr>
          <w:b/>
          <w:bCs/>
        </w:rPr>
        <w:t>Non-Person</w:t>
      </w:r>
      <w:r w:rsidRPr="005944F1">
        <w:t xml:space="preserve"> – If this provider </w:t>
      </w:r>
      <w:r w:rsidR="009B0FC8">
        <w:t>is</w:t>
      </w:r>
      <w:r w:rsidRPr="005944F1">
        <w:t xml:space="preserve"> a billing entity, such as a corporation or association, select this checkbox. </w:t>
      </w:r>
    </w:p>
    <w:p w14:paraId="7F97AEC5" w14:textId="12057E7C" w:rsidR="009473AD" w:rsidRPr="005944F1" w:rsidRDefault="009473AD">
      <w:pPr>
        <w:pStyle w:val="BodyText"/>
        <w:numPr>
          <w:ilvl w:val="0"/>
          <w:numId w:val="84"/>
        </w:numPr>
        <w:ind w:left="540"/>
      </w:pPr>
      <w:r w:rsidRPr="005944F1">
        <w:rPr>
          <w:b/>
          <w:bCs/>
        </w:rPr>
        <w:t>Address</w:t>
      </w:r>
      <w:r w:rsidRPr="005944F1">
        <w:t xml:space="preserve"> –</w:t>
      </w:r>
      <w:r w:rsidR="009B0FC8">
        <w:t xml:space="preserve"> Use t</w:t>
      </w:r>
      <w:r w:rsidRPr="005944F1">
        <w:t>his address if</w:t>
      </w:r>
      <w:r w:rsidR="009B0FC8">
        <w:t>, for example,</w:t>
      </w:r>
      <w:r w:rsidRPr="005944F1">
        <w:t xml:space="preserve"> settings indicate </w:t>
      </w:r>
      <w:r w:rsidR="009B0FC8">
        <w:t xml:space="preserve">that </w:t>
      </w:r>
      <w:r w:rsidRPr="005944F1">
        <w:t>the provider address should be included on statements, letters, claims</w:t>
      </w:r>
      <w:r w:rsidR="009B0FC8">
        <w:t>, and so forth</w:t>
      </w:r>
      <w:r w:rsidRPr="005944F1">
        <w:t xml:space="preserve">.  </w:t>
      </w:r>
    </w:p>
    <w:p w14:paraId="7918C62E" w14:textId="6F88F2FE" w:rsidR="009473AD" w:rsidRPr="008D426F" w:rsidRDefault="009473AD" w:rsidP="005944F1">
      <w:pPr>
        <w:pStyle w:val="BodyText"/>
        <w:ind w:left="540"/>
        <w:rPr>
          <w:i/>
          <w:iCs/>
        </w:rPr>
      </w:pPr>
      <w:r w:rsidRPr="008D426F">
        <w:rPr>
          <w:b/>
          <w:bCs/>
          <w:i/>
          <w:iCs/>
        </w:rPr>
        <w:t>Operations Insight</w:t>
      </w:r>
      <w:r w:rsidR="009B0FC8" w:rsidRPr="008D426F">
        <w:rPr>
          <w:i/>
          <w:iCs/>
        </w:rPr>
        <w:t>:</w:t>
      </w:r>
      <w:r w:rsidRPr="008D426F">
        <w:rPr>
          <w:i/>
          <w:iCs/>
        </w:rPr>
        <w:t xml:space="preserve"> It is important to enter a single line address into the top line as opposed to </w:t>
      </w:r>
      <w:r w:rsidR="009B0FC8" w:rsidRPr="008D426F">
        <w:rPr>
          <w:i/>
          <w:iCs/>
        </w:rPr>
        <w:t xml:space="preserve">also using </w:t>
      </w:r>
      <w:r w:rsidRPr="008D426F">
        <w:rPr>
          <w:i/>
          <w:iCs/>
        </w:rPr>
        <w:t>the second line</w:t>
      </w:r>
      <w:r w:rsidR="009B0FC8" w:rsidRPr="008D426F">
        <w:rPr>
          <w:i/>
          <w:iCs/>
        </w:rPr>
        <w:t xml:space="preserve"> because using the second line</w:t>
      </w:r>
      <w:r w:rsidRPr="008D426F">
        <w:rPr>
          <w:i/>
          <w:iCs/>
        </w:rPr>
        <w:t xml:space="preserve"> can cause an error when </w:t>
      </w:r>
      <w:r w:rsidR="009B0FC8" w:rsidRPr="008D426F">
        <w:rPr>
          <w:i/>
          <w:iCs/>
        </w:rPr>
        <w:t xml:space="preserve">you attempt to </w:t>
      </w:r>
      <w:r w:rsidRPr="008D426F">
        <w:rPr>
          <w:i/>
          <w:iCs/>
        </w:rPr>
        <w:t>submit claims. This error appl</w:t>
      </w:r>
      <w:r w:rsidR="009B0FC8" w:rsidRPr="008D426F">
        <w:rPr>
          <w:i/>
          <w:iCs/>
        </w:rPr>
        <w:t>ies</w:t>
      </w:r>
      <w:r w:rsidRPr="008D426F">
        <w:rPr>
          <w:i/>
          <w:iCs/>
        </w:rPr>
        <w:t xml:space="preserve"> to all billing, pay</w:t>
      </w:r>
      <w:r w:rsidR="009B0FC8" w:rsidRPr="008D426F">
        <w:rPr>
          <w:i/>
          <w:iCs/>
        </w:rPr>
        <w:t>-</w:t>
      </w:r>
      <w:r w:rsidRPr="008D426F">
        <w:rPr>
          <w:i/>
          <w:iCs/>
        </w:rPr>
        <w:t>to, and rendering providers</w:t>
      </w:r>
      <w:r w:rsidR="009B0FC8" w:rsidRPr="008D426F">
        <w:rPr>
          <w:i/>
          <w:iCs/>
        </w:rPr>
        <w:t xml:space="preserve"> for</w:t>
      </w:r>
      <w:r w:rsidRPr="008D426F">
        <w:rPr>
          <w:i/>
          <w:iCs/>
        </w:rPr>
        <w:t xml:space="preserve"> a claim.</w:t>
      </w:r>
    </w:p>
    <w:p w14:paraId="4677D469" w14:textId="60513862" w:rsidR="009473AD" w:rsidRPr="005944F1" w:rsidRDefault="009473AD">
      <w:pPr>
        <w:pStyle w:val="BodyText"/>
        <w:numPr>
          <w:ilvl w:val="0"/>
          <w:numId w:val="84"/>
        </w:numPr>
        <w:ind w:left="540"/>
      </w:pPr>
      <w:r w:rsidRPr="005944F1">
        <w:rPr>
          <w:b/>
          <w:bCs/>
        </w:rPr>
        <w:t>Specialty</w:t>
      </w:r>
      <w:r w:rsidRPr="005944F1">
        <w:t xml:space="preserve"> </w:t>
      </w:r>
      <w:r w:rsidR="009B0FC8">
        <w:t>–</w:t>
      </w:r>
      <w:r w:rsidR="005944F1">
        <w:t xml:space="preserve"> </w:t>
      </w:r>
      <w:r w:rsidR="009B0FC8">
        <w:t>This i</w:t>
      </w:r>
      <w:r w:rsidRPr="005944F1">
        <w:t xml:space="preserve">s linked to a Taxonomy number (in </w:t>
      </w:r>
      <w:r w:rsidR="009B0FC8">
        <w:t xml:space="preserve">the Practice </w:t>
      </w:r>
      <w:r w:rsidRPr="005944F1">
        <w:t>Definitions)</w:t>
      </w:r>
      <w:r w:rsidR="009B0FC8">
        <w:t>.</w:t>
      </w:r>
    </w:p>
    <w:p w14:paraId="7E1CAA2A" w14:textId="372CD838" w:rsidR="009473AD" w:rsidRPr="005944F1" w:rsidRDefault="009473AD" w:rsidP="005944F1">
      <w:pPr>
        <w:pStyle w:val="BodyText"/>
        <w:ind w:left="540"/>
      </w:pPr>
      <w:r w:rsidRPr="009B0FC8">
        <w:rPr>
          <w:b/>
          <w:bCs/>
        </w:rPr>
        <w:t>What is it?</w:t>
      </w:r>
      <w:r w:rsidRPr="005944F1">
        <w:t xml:space="preserve"> </w:t>
      </w:r>
      <w:proofErr w:type="gramStart"/>
      <w:r w:rsidRPr="005944F1">
        <w:t>The Specialty</w:t>
      </w:r>
      <w:proofErr w:type="gramEnd"/>
      <w:r w:rsidRPr="005944F1">
        <w:t xml:space="preserve"> Taxonomy is a unique 10-character number that describes your provider type, classification, or specialization. You need this to apply for an NPI.</w:t>
      </w:r>
    </w:p>
    <w:p w14:paraId="2CB90E49" w14:textId="69CDAF7F" w:rsidR="009473AD" w:rsidRPr="005944F1" w:rsidRDefault="009473AD" w:rsidP="005944F1">
      <w:pPr>
        <w:pStyle w:val="BodyText"/>
        <w:ind w:left="540"/>
      </w:pPr>
      <w:r w:rsidRPr="009B0FC8">
        <w:rPr>
          <w:b/>
          <w:bCs/>
        </w:rPr>
        <w:t>Why is it important?</w:t>
      </w:r>
      <w:r w:rsidRPr="005944F1">
        <w:t xml:space="preserve"> Taxonomy codes serve as a secondary identifier to ensure that a provider is accurately recognized.</w:t>
      </w:r>
    </w:p>
    <w:p w14:paraId="5265D844" w14:textId="7EC06D44" w:rsidR="009473AD" w:rsidRPr="005944F1" w:rsidRDefault="009473AD" w:rsidP="005944F1">
      <w:pPr>
        <w:pStyle w:val="BodyText"/>
        <w:ind w:left="540"/>
      </w:pPr>
      <w:r w:rsidRPr="009B0FC8">
        <w:rPr>
          <w:b/>
          <w:bCs/>
        </w:rPr>
        <w:t xml:space="preserve">Why is it different from </w:t>
      </w:r>
      <w:r w:rsidR="009B0FC8">
        <w:rPr>
          <w:b/>
          <w:bCs/>
        </w:rPr>
        <w:t xml:space="preserve">an </w:t>
      </w:r>
      <w:r w:rsidRPr="009B0FC8">
        <w:rPr>
          <w:b/>
          <w:bCs/>
        </w:rPr>
        <w:t>NPI?</w:t>
      </w:r>
      <w:r w:rsidRPr="005944F1">
        <w:t xml:space="preserve"> An NPI identifies the provider to receive payment. Though both are unique codes, taxonomy codes are identifiers that describe the specialty field the provider is working and submitting claims for.</w:t>
      </w:r>
    </w:p>
    <w:p w14:paraId="28268910" w14:textId="2779E987" w:rsidR="009473AD" w:rsidRPr="008D426F" w:rsidRDefault="009473AD" w:rsidP="005944F1">
      <w:pPr>
        <w:pStyle w:val="BodyText"/>
        <w:ind w:left="540"/>
        <w:rPr>
          <w:i/>
          <w:iCs/>
        </w:rPr>
      </w:pPr>
      <w:r w:rsidRPr="008D426F">
        <w:rPr>
          <w:b/>
          <w:bCs/>
          <w:i/>
          <w:iCs/>
        </w:rPr>
        <w:t>Organizational Insight</w:t>
      </w:r>
      <w:r w:rsidRPr="008D426F">
        <w:rPr>
          <w:i/>
          <w:iCs/>
        </w:rPr>
        <w:t>: Taxonomy codes are not applied for by providers</w:t>
      </w:r>
      <w:r w:rsidR="008D426F" w:rsidRPr="008D426F">
        <w:rPr>
          <w:i/>
          <w:iCs/>
        </w:rPr>
        <w:t>;</w:t>
      </w:r>
      <w:r w:rsidRPr="008D426F">
        <w:rPr>
          <w:i/>
          <w:iCs/>
        </w:rPr>
        <w:t xml:space="preserve"> rather</w:t>
      </w:r>
      <w:r w:rsidR="008D426F" w:rsidRPr="008D426F">
        <w:rPr>
          <w:i/>
          <w:iCs/>
        </w:rPr>
        <w:t>,</w:t>
      </w:r>
      <w:r w:rsidRPr="008D426F">
        <w:rPr>
          <w:i/>
          <w:iCs/>
        </w:rPr>
        <w:t xml:space="preserve"> they are designated for them depending on their healthcare field. These codes are required when individual providers apply for </w:t>
      </w:r>
      <w:r w:rsidR="008D426F" w:rsidRPr="008D426F">
        <w:rPr>
          <w:i/>
          <w:iCs/>
        </w:rPr>
        <w:t xml:space="preserve">a </w:t>
      </w:r>
      <w:r w:rsidRPr="008D426F">
        <w:rPr>
          <w:i/>
          <w:iCs/>
        </w:rPr>
        <w:t xml:space="preserve">National Provider Identifier (NPI) </w:t>
      </w:r>
      <w:r w:rsidR="008D426F" w:rsidRPr="008D426F">
        <w:rPr>
          <w:i/>
          <w:iCs/>
        </w:rPr>
        <w:t>t</w:t>
      </w:r>
      <w:r w:rsidRPr="008D426F">
        <w:rPr>
          <w:i/>
          <w:iCs/>
        </w:rPr>
        <w:t>o designate provider type or specialty.</w:t>
      </w:r>
    </w:p>
    <w:p w14:paraId="6964F4EA" w14:textId="77777777" w:rsidR="009473AD" w:rsidRPr="005944F1" w:rsidRDefault="009473AD" w:rsidP="000D7FFC">
      <w:pPr>
        <w:pStyle w:val="BodyText"/>
        <w:keepNext/>
        <w:keepLines/>
        <w:numPr>
          <w:ilvl w:val="0"/>
          <w:numId w:val="84"/>
        </w:numPr>
        <w:ind w:left="540"/>
      </w:pPr>
      <w:r w:rsidRPr="005944F1">
        <w:rPr>
          <w:b/>
          <w:bCs/>
        </w:rPr>
        <w:lastRenderedPageBreak/>
        <w:t>Class</w:t>
      </w:r>
      <w:r w:rsidRPr="005944F1">
        <w:t xml:space="preserve"> –This setting will identify the specific class of the provider.  This will determine the ability to select a provider in specific areas of the software including claims, prescriptions, Prov1 in the family file, and administrative contact. </w:t>
      </w:r>
    </w:p>
    <w:p w14:paraId="6114A77F" w14:textId="77777777" w:rsidR="009473AD" w:rsidRPr="005944F1" w:rsidRDefault="009473AD" w:rsidP="000D7FFC">
      <w:pPr>
        <w:pStyle w:val="BodyText"/>
        <w:keepNext/>
        <w:keepLines/>
        <w:numPr>
          <w:ilvl w:val="1"/>
          <w:numId w:val="85"/>
        </w:numPr>
        <w:ind w:left="1080"/>
      </w:pPr>
      <w:r w:rsidRPr="005944F1">
        <w:t xml:space="preserve">Primary, for primary care providers, such as dentists </w:t>
      </w:r>
    </w:p>
    <w:p w14:paraId="706AA1F4" w14:textId="77777777" w:rsidR="009473AD" w:rsidRPr="005944F1" w:rsidRDefault="009473AD" w:rsidP="000D7FFC">
      <w:pPr>
        <w:pStyle w:val="BodyText"/>
        <w:keepNext/>
        <w:keepLines/>
        <w:numPr>
          <w:ilvl w:val="1"/>
          <w:numId w:val="85"/>
        </w:numPr>
        <w:ind w:left="1080"/>
      </w:pPr>
      <w:r w:rsidRPr="005944F1">
        <w:t xml:space="preserve">Secondary, for secondary care providers, such as hygienists or residents.  Secondary providers are not eligible to </w:t>
      </w:r>
      <w:proofErr w:type="gramStart"/>
      <w:r w:rsidRPr="005944F1">
        <w:t>include</w:t>
      </w:r>
      <w:proofErr w:type="gramEnd"/>
      <w:r w:rsidRPr="005944F1">
        <w:t xml:space="preserve"> as a treating provider on Insurance claims.</w:t>
      </w:r>
    </w:p>
    <w:p w14:paraId="45D40048" w14:textId="5F57A1AF" w:rsidR="009473AD" w:rsidRPr="008D426F" w:rsidRDefault="009473AD" w:rsidP="005944F1">
      <w:pPr>
        <w:pStyle w:val="BodyText"/>
        <w:ind w:left="540"/>
        <w:rPr>
          <w:i/>
          <w:iCs/>
        </w:rPr>
      </w:pPr>
      <w:r w:rsidRPr="008D426F">
        <w:rPr>
          <w:b/>
          <w:bCs/>
          <w:i/>
          <w:iCs/>
        </w:rPr>
        <w:t>Operations Insight</w:t>
      </w:r>
      <w:r w:rsidR="008D426F" w:rsidRPr="008D426F">
        <w:rPr>
          <w:i/>
          <w:iCs/>
        </w:rPr>
        <w:t xml:space="preserve">: </w:t>
      </w:r>
      <w:r w:rsidRPr="008D426F">
        <w:rPr>
          <w:i/>
          <w:iCs/>
        </w:rPr>
        <w:t>Refer</w:t>
      </w:r>
      <w:r w:rsidR="008D426F" w:rsidRPr="008D426F">
        <w:rPr>
          <w:i/>
          <w:iCs/>
        </w:rPr>
        <w:t xml:space="preserve"> to the</w:t>
      </w:r>
      <w:r w:rsidRPr="008D426F">
        <w:rPr>
          <w:i/>
          <w:iCs/>
        </w:rPr>
        <w:t xml:space="preserve"> </w:t>
      </w:r>
      <w:r w:rsidR="008D426F" w:rsidRPr="008D426F">
        <w:rPr>
          <w:i/>
          <w:iCs/>
        </w:rPr>
        <w:t>“</w:t>
      </w:r>
      <w:r w:rsidRPr="008D426F">
        <w:rPr>
          <w:i/>
          <w:iCs/>
        </w:rPr>
        <w:t xml:space="preserve">Revenue Cycle </w:t>
      </w:r>
      <w:r w:rsidR="008D426F" w:rsidRPr="008D426F">
        <w:rPr>
          <w:i/>
          <w:iCs/>
        </w:rPr>
        <w:t>M</w:t>
      </w:r>
      <w:r w:rsidRPr="008D426F">
        <w:rPr>
          <w:i/>
          <w:iCs/>
        </w:rPr>
        <w:t>anagement</w:t>
      </w:r>
      <w:r w:rsidR="008D426F" w:rsidRPr="008D426F">
        <w:rPr>
          <w:i/>
          <w:iCs/>
        </w:rPr>
        <w:t xml:space="preserve">” section </w:t>
      </w:r>
      <w:r w:rsidRPr="008D426F">
        <w:rPr>
          <w:i/>
          <w:iCs/>
        </w:rPr>
        <w:t>for more insight into how provider class affects the claim process.</w:t>
      </w:r>
    </w:p>
    <w:p w14:paraId="711BA0B2" w14:textId="74431A06" w:rsidR="009473AD" w:rsidRPr="005944F1" w:rsidRDefault="009473AD">
      <w:pPr>
        <w:pStyle w:val="BodyText"/>
        <w:numPr>
          <w:ilvl w:val="0"/>
          <w:numId w:val="84"/>
        </w:numPr>
        <w:ind w:left="540"/>
      </w:pPr>
      <w:r w:rsidRPr="005944F1">
        <w:rPr>
          <w:b/>
          <w:bCs/>
        </w:rPr>
        <w:t xml:space="preserve">Log </w:t>
      </w:r>
      <w:r w:rsidR="008D426F">
        <w:rPr>
          <w:b/>
          <w:bCs/>
        </w:rPr>
        <w:t>O</w:t>
      </w:r>
      <w:r w:rsidRPr="005944F1">
        <w:rPr>
          <w:b/>
          <w:bCs/>
        </w:rPr>
        <w:t>n User ID</w:t>
      </w:r>
      <w:r w:rsidRPr="005944F1">
        <w:t xml:space="preserve"> –</w:t>
      </w:r>
      <w:r w:rsidR="005944F1">
        <w:t xml:space="preserve"> </w:t>
      </w:r>
      <w:r w:rsidR="008D426F">
        <w:t>This is t</w:t>
      </w:r>
      <w:r w:rsidRPr="005944F1">
        <w:t xml:space="preserve">he ID that this provider will use to access Dentrix Enterprise. It is common </w:t>
      </w:r>
      <w:r w:rsidR="008D426F">
        <w:t xml:space="preserve">for the </w:t>
      </w:r>
      <w:r w:rsidR="008D426F" w:rsidRPr="008D426F">
        <w:rPr>
          <w:b/>
          <w:bCs/>
        </w:rPr>
        <w:t xml:space="preserve">Log On </w:t>
      </w:r>
      <w:r w:rsidRPr="008D426F">
        <w:rPr>
          <w:b/>
          <w:bCs/>
        </w:rPr>
        <w:t>User ID</w:t>
      </w:r>
      <w:r w:rsidRPr="005944F1">
        <w:t xml:space="preserve"> </w:t>
      </w:r>
      <w:r w:rsidR="008D426F">
        <w:t xml:space="preserve">to be the same as the provider’s </w:t>
      </w:r>
      <w:r w:rsidR="008D426F" w:rsidRPr="008D426F">
        <w:rPr>
          <w:b/>
          <w:bCs/>
        </w:rPr>
        <w:t>ID</w:t>
      </w:r>
      <w:r w:rsidRPr="005944F1">
        <w:t>.</w:t>
      </w:r>
    </w:p>
    <w:p w14:paraId="4BF0C500" w14:textId="39C285A8" w:rsidR="009473AD" w:rsidRPr="005944F1" w:rsidRDefault="009473AD">
      <w:pPr>
        <w:pStyle w:val="BodyText"/>
        <w:numPr>
          <w:ilvl w:val="0"/>
          <w:numId w:val="84"/>
        </w:numPr>
        <w:ind w:left="540"/>
      </w:pPr>
      <w:r w:rsidRPr="005944F1">
        <w:rPr>
          <w:b/>
          <w:bCs/>
        </w:rPr>
        <w:t>Password</w:t>
      </w:r>
      <w:r w:rsidRPr="005944F1">
        <w:t xml:space="preserve"> –</w:t>
      </w:r>
      <w:r w:rsidR="008D426F">
        <w:t xml:space="preserve"> </w:t>
      </w:r>
      <w:r w:rsidRPr="005944F1">
        <w:t xml:space="preserve">The password must be 7 to 11 characters </w:t>
      </w:r>
      <w:r w:rsidR="008D426F">
        <w:t>long</w:t>
      </w:r>
      <w:r w:rsidRPr="005944F1">
        <w:t xml:space="preserve"> and meet three of the following four requirements: have at least one uppercase letter, have at least one lowercase letter, have at least one number, and have at least one special character (for example, #, %, or &amp;).</w:t>
      </w:r>
    </w:p>
    <w:p w14:paraId="6EC2600C" w14:textId="647E3D69" w:rsidR="009473AD" w:rsidRPr="005944F1" w:rsidRDefault="009473AD">
      <w:pPr>
        <w:pStyle w:val="BodyText"/>
        <w:numPr>
          <w:ilvl w:val="0"/>
          <w:numId w:val="84"/>
        </w:numPr>
        <w:ind w:left="540"/>
      </w:pPr>
      <w:r w:rsidRPr="005944F1">
        <w:rPr>
          <w:b/>
          <w:bCs/>
        </w:rPr>
        <w:t>Active Directory Single Sign On</w:t>
      </w:r>
      <w:r w:rsidR="005944F1">
        <w:t xml:space="preserve"> </w:t>
      </w:r>
      <w:r w:rsidR="008D426F">
        <w:t>–</w:t>
      </w:r>
      <w:r w:rsidRPr="005944F1">
        <w:t xml:space="preserve"> With the integration of Lightweight Directory Access Protocol (LDAP) with Dentrix Enterprise, after you sign on to </w:t>
      </w:r>
      <w:r w:rsidR="008D426F">
        <w:t>W</w:t>
      </w:r>
      <w:r w:rsidRPr="005944F1">
        <w:t xml:space="preserve">indows, you can log in to Dentrix Enterprise without entering a user name and password.  </w:t>
      </w:r>
    </w:p>
    <w:p w14:paraId="31EB9E67" w14:textId="0CBAE009" w:rsidR="009473AD" w:rsidRPr="008D426F" w:rsidRDefault="009473AD" w:rsidP="005944F1">
      <w:pPr>
        <w:pStyle w:val="BodyText"/>
        <w:ind w:left="540"/>
        <w:rPr>
          <w:i/>
          <w:iCs/>
        </w:rPr>
      </w:pPr>
      <w:r w:rsidRPr="008D426F">
        <w:rPr>
          <w:b/>
          <w:bCs/>
          <w:i/>
          <w:iCs/>
        </w:rPr>
        <w:t>Operations Insight</w:t>
      </w:r>
      <w:r w:rsidR="008D426F" w:rsidRPr="008D426F">
        <w:rPr>
          <w:i/>
          <w:iCs/>
        </w:rPr>
        <w:t>:</w:t>
      </w:r>
      <w:r w:rsidRPr="008D426F">
        <w:rPr>
          <w:i/>
          <w:iCs/>
        </w:rPr>
        <w:t xml:space="preserve"> Once you turn on Single Sign On (SSO) you cannot go back to using Dentrix Enterprise without SSO.</w:t>
      </w:r>
    </w:p>
    <w:p w14:paraId="37289A94" w14:textId="3987D5D8" w:rsidR="009473AD" w:rsidRPr="008D426F" w:rsidRDefault="009473AD" w:rsidP="005944F1">
      <w:pPr>
        <w:pStyle w:val="BodyText"/>
        <w:ind w:left="540"/>
        <w:rPr>
          <w:i/>
          <w:iCs/>
        </w:rPr>
      </w:pPr>
      <w:r w:rsidRPr="008D426F">
        <w:rPr>
          <w:b/>
          <w:bCs/>
          <w:i/>
          <w:iCs/>
        </w:rPr>
        <w:t xml:space="preserve">Workflow </w:t>
      </w:r>
      <w:r w:rsidR="008D426F" w:rsidRPr="008D426F">
        <w:rPr>
          <w:b/>
          <w:bCs/>
          <w:i/>
          <w:iCs/>
        </w:rPr>
        <w:t>I</w:t>
      </w:r>
      <w:r w:rsidRPr="008D426F">
        <w:rPr>
          <w:b/>
          <w:bCs/>
          <w:i/>
          <w:iCs/>
        </w:rPr>
        <w:t>nsight</w:t>
      </w:r>
      <w:r w:rsidR="008D426F" w:rsidRPr="008D426F">
        <w:rPr>
          <w:i/>
          <w:iCs/>
        </w:rPr>
        <w:t>:</w:t>
      </w:r>
      <w:r w:rsidRPr="008D426F">
        <w:rPr>
          <w:i/>
          <w:iCs/>
        </w:rPr>
        <w:t xml:space="preserve"> Even though you will no longer enter credentials to log in to Dentrix Enterprise, you will still be required to enter your AD credentials when signing clinical notes and when entering temporary overrides for users to do tasks that they do not have rights to do normally.</w:t>
      </w:r>
    </w:p>
    <w:p w14:paraId="2BBEEC58" w14:textId="453BEFFA" w:rsidR="009473AD" w:rsidRPr="005944F1" w:rsidRDefault="009473AD">
      <w:pPr>
        <w:pStyle w:val="BodyText"/>
        <w:numPr>
          <w:ilvl w:val="0"/>
          <w:numId w:val="84"/>
        </w:numPr>
        <w:ind w:left="540"/>
      </w:pPr>
      <w:r w:rsidRPr="005944F1">
        <w:rPr>
          <w:b/>
          <w:bCs/>
        </w:rPr>
        <w:t>Fee Schedule</w:t>
      </w:r>
      <w:r w:rsidRPr="005944F1">
        <w:t xml:space="preserve"> – </w:t>
      </w:r>
      <w:r w:rsidR="008D426F">
        <w:t>This is the provider’s default f</w:t>
      </w:r>
      <w:r w:rsidRPr="005944F1">
        <w:t xml:space="preserve">ee schedule.  </w:t>
      </w:r>
    </w:p>
    <w:p w14:paraId="567DB7DF" w14:textId="4CC868BF" w:rsidR="009473AD" w:rsidRPr="008D426F" w:rsidRDefault="009473AD" w:rsidP="005944F1">
      <w:pPr>
        <w:pStyle w:val="BodyText"/>
        <w:ind w:left="540"/>
        <w:rPr>
          <w:i/>
          <w:iCs/>
        </w:rPr>
      </w:pPr>
      <w:r w:rsidRPr="008D426F">
        <w:rPr>
          <w:b/>
          <w:bCs/>
          <w:i/>
          <w:iCs/>
        </w:rPr>
        <w:t xml:space="preserve">Operations </w:t>
      </w:r>
      <w:r w:rsidR="008D426F" w:rsidRPr="008D426F">
        <w:rPr>
          <w:b/>
          <w:bCs/>
          <w:i/>
          <w:iCs/>
        </w:rPr>
        <w:t>I</w:t>
      </w:r>
      <w:r w:rsidRPr="008D426F">
        <w:rPr>
          <w:b/>
          <w:bCs/>
          <w:i/>
          <w:iCs/>
        </w:rPr>
        <w:t>nsight</w:t>
      </w:r>
      <w:r w:rsidR="008D426F" w:rsidRPr="008D426F">
        <w:rPr>
          <w:i/>
          <w:iCs/>
        </w:rPr>
        <w:t>:</w:t>
      </w:r>
      <w:r w:rsidRPr="008D426F">
        <w:rPr>
          <w:i/>
          <w:iCs/>
        </w:rPr>
        <w:t xml:space="preserve"> Fee schedules can be attached to insurance plans, providers, and patients.  Refer</w:t>
      </w:r>
      <w:r w:rsidR="008D426F" w:rsidRPr="008D426F">
        <w:rPr>
          <w:i/>
          <w:iCs/>
        </w:rPr>
        <w:t xml:space="preserve"> to the</w:t>
      </w:r>
      <w:r w:rsidRPr="008D426F">
        <w:rPr>
          <w:i/>
          <w:iCs/>
        </w:rPr>
        <w:t xml:space="preserve"> </w:t>
      </w:r>
      <w:r w:rsidR="008D426F" w:rsidRPr="008D426F">
        <w:rPr>
          <w:i/>
          <w:iCs/>
        </w:rPr>
        <w:t>“</w:t>
      </w:r>
      <w:r w:rsidRPr="008D426F">
        <w:rPr>
          <w:i/>
          <w:iCs/>
        </w:rPr>
        <w:t>Revenue Cycle Management</w:t>
      </w:r>
      <w:r w:rsidR="008D426F" w:rsidRPr="008D426F">
        <w:rPr>
          <w:i/>
          <w:iCs/>
        </w:rPr>
        <w:t>”</w:t>
      </w:r>
      <w:r w:rsidRPr="008D426F">
        <w:rPr>
          <w:i/>
          <w:iCs/>
        </w:rPr>
        <w:t xml:space="preserve"> and </w:t>
      </w:r>
      <w:r w:rsidR="008D426F" w:rsidRPr="008D426F">
        <w:rPr>
          <w:i/>
          <w:iCs/>
        </w:rPr>
        <w:t>“</w:t>
      </w:r>
      <w:r w:rsidRPr="008D426F">
        <w:rPr>
          <w:i/>
          <w:iCs/>
        </w:rPr>
        <w:t>Patient Records Management</w:t>
      </w:r>
      <w:r w:rsidR="008D426F" w:rsidRPr="008D426F">
        <w:rPr>
          <w:i/>
          <w:iCs/>
        </w:rPr>
        <w:t>” sections</w:t>
      </w:r>
      <w:r w:rsidRPr="008D426F">
        <w:rPr>
          <w:i/>
          <w:iCs/>
        </w:rPr>
        <w:t xml:space="preserve"> for more insight into fee schedule hierarchy</w:t>
      </w:r>
      <w:r w:rsidR="008D426F" w:rsidRPr="008D426F">
        <w:rPr>
          <w:i/>
          <w:iCs/>
        </w:rPr>
        <w:t xml:space="preserve"> and usage</w:t>
      </w:r>
      <w:r w:rsidRPr="008D426F">
        <w:rPr>
          <w:i/>
          <w:iCs/>
        </w:rPr>
        <w:t>.</w:t>
      </w:r>
    </w:p>
    <w:p w14:paraId="3003BFED" w14:textId="2A9F5271" w:rsidR="009473AD" w:rsidRPr="005944F1" w:rsidRDefault="009473AD">
      <w:pPr>
        <w:pStyle w:val="BodyText"/>
        <w:numPr>
          <w:ilvl w:val="0"/>
          <w:numId w:val="84"/>
        </w:numPr>
        <w:ind w:left="540"/>
      </w:pPr>
      <w:r w:rsidRPr="005944F1">
        <w:rPr>
          <w:b/>
          <w:bCs/>
        </w:rPr>
        <w:t>Clinic</w:t>
      </w:r>
      <w:r w:rsidRPr="005944F1">
        <w:t xml:space="preserve"> – T</w:t>
      </w:r>
      <w:r w:rsidR="008D426F">
        <w:t>his is t</w:t>
      </w:r>
      <w:r w:rsidRPr="005944F1">
        <w:t xml:space="preserve">he primary clinic where </w:t>
      </w:r>
      <w:r w:rsidR="008D426F">
        <w:t>the</w:t>
      </w:r>
      <w:r w:rsidRPr="005944F1">
        <w:t xml:space="preserve"> provider will work. </w:t>
      </w:r>
      <w:r w:rsidR="008D426F">
        <w:t xml:space="preserve">If you are adding a new provider, </w:t>
      </w:r>
      <w:r w:rsidRPr="005944F1">
        <w:t xml:space="preserve">the </w:t>
      </w:r>
      <w:r w:rsidR="008D426F">
        <w:t>clinic that you are logged in to currently is selected by default</w:t>
      </w:r>
      <w:r w:rsidRPr="005944F1">
        <w:t>. The assigned clinic will not limit the provider’s ability</w:t>
      </w:r>
      <w:r w:rsidR="00DE69BA">
        <w:t xml:space="preserve"> to</w:t>
      </w:r>
      <w:r w:rsidRPr="005944F1">
        <w:t xml:space="preserve"> work in other clinics. Security and other settings determine access to data, scheduling, and which clinics a provider is available for selection</w:t>
      </w:r>
      <w:r w:rsidR="008D426F">
        <w:t xml:space="preserve"> in</w:t>
      </w:r>
      <w:r w:rsidRPr="005944F1">
        <w:t xml:space="preserve">.  </w:t>
      </w:r>
    </w:p>
    <w:p w14:paraId="781C4A20" w14:textId="5DFBACC4" w:rsidR="008D426F" w:rsidRDefault="009473AD" w:rsidP="008D426F">
      <w:pPr>
        <w:pStyle w:val="BodyText"/>
        <w:numPr>
          <w:ilvl w:val="0"/>
          <w:numId w:val="86"/>
        </w:numPr>
        <w:ind w:left="540"/>
      </w:pPr>
      <w:r w:rsidRPr="008D426F">
        <w:rPr>
          <w:b/>
          <w:bCs/>
        </w:rPr>
        <w:t>Identification/credentialing numbers</w:t>
      </w:r>
      <w:r w:rsidRPr="005944F1">
        <w:t xml:space="preserve"> </w:t>
      </w:r>
      <w:r w:rsidR="008D426F">
        <w:t xml:space="preserve">– </w:t>
      </w:r>
      <w:r w:rsidRPr="005944F1">
        <w:t>These numbers identify who the provider is and</w:t>
      </w:r>
      <w:r w:rsidR="00277CEB">
        <w:t xml:space="preserve"> are</w:t>
      </w:r>
      <w:r w:rsidRPr="005944F1">
        <w:t xml:space="preserve"> required for </w:t>
      </w:r>
      <w:r w:rsidR="008D426F">
        <w:t>i</w:t>
      </w:r>
      <w:r w:rsidRPr="005944F1">
        <w:t>nsurance processing, electronic prescriptions</w:t>
      </w:r>
      <w:r w:rsidR="008D426F">
        <w:t>,</w:t>
      </w:r>
      <w:r w:rsidRPr="005944F1">
        <w:t xml:space="preserve"> and other forms as needed.</w:t>
      </w:r>
    </w:p>
    <w:p w14:paraId="21568AEE" w14:textId="4B61DA09" w:rsidR="009473AD" w:rsidRPr="005944F1" w:rsidRDefault="009473AD" w:rsidP="002518EA">
      <w:pPr>
        <w:pStyle w:val="BodyText"/>
        <w:numPr>
          <w:ilvl w:val="1"/>
          <w:numId w:val="86"/>
        </w:numPr>
        <w:ind w:left="1080"/>
      </w:pPr>
      <w:r w:rsidRPr="00277CEB">
        <w:rPr>
          <w:b/>
          <w:bCs/>
        </w:rPr>
        <w:t>TIN</w:t>
      </w:r>
      <w:r w:rsidR="00277CEB" w:rsidRPr="00277CEB">
        <w:rPr>
          <w:b/>
          <w:bCs/>
        </w:rPr>
        <w:t xml:space="preserve"> #</w:t>
      </w:r>
      <w:r w:rsidR="00277CEB">
        <w:t xml:space="preserve"> – Refer to the “Clinic Information – Clinic Settings Tab” section.</w:t>
      </w:r>
    </w:p>
    <w:p w14:paraId="101C9B10" w14:textId="24C9F205" w:rsidR="009473AD" w:rsidRDefault="009473AD">
      <w:pPr>
        <w:pStyle w:val="BodyText"/>
        <w:numPr>
          <w:ilvl w:val="1"/>
          <w:numId w:val="86"/>
        </w:numPr>
        <w:ind w:left="1080"/>
      </w:pPr>
      <w:r w:rsidRPr="00277CEB">
        <w:rPr>
          <w:b/>
          <w:bCs/>
        </w:rPr>
        <w:t xml:space="preserve">State ID #, State, and State </w:t>
      </w:r>
      <w:r w:rsidR="00277CEB" w:rsidRPr="00277CEB">
        <w:rPr>
          <w:b/>
          <w:bCs/>
        </w:rPr>
        <w:t xml:space="preserve">License </w:t>
      </w:r>
      <w:r w:rsidRPr="00277CEB">
        <w:rPr>
          <w:b/>
          <w:bCs/>
        </w:rPr>
        <w:t>Expiration</w:t>
      </w:r>
      <w:r w:rsidR="00277CEB">
        <w:t xml:space="preserve"> – </w:t>
      </w:r>
      <w:r w:rsidRPr="005944F1">
        <w:t xml:space="preserve">License information to practice </w:t>
      </w:r>
      <w:r w:rsidR="00277CEB">
        <w:t>d</w:t>
      </w:r>
      <w:r w:rsidRPr="005944F1">
        <w:t>entistry</w:t>
      </w:r>
      <w:r w:rsidR="00277CEB">
        <w:t>.</w:t>
      </w:r>
    </w:p>
    <w:p w14:paraId="725667C8" w14:textId="2E4FE7FA" w:rsidR="00277CEB" w:rsidRPr="005944F1" w:rsidRDefault="00277CEB" w:rsidP="00277CEB">
      <w:pPr>
        <w:pStyle w:val="BodyText"/>
        <w:numPr>
          <w:ilvl w:val="1"/>
          <w:numId w:val="86"/>
        </w:numPr>
        <w:ind w:left="1080"/>
      </w:pPr>
      <w:r w:rsidRPr="00277CEB">
        <w:rPr>
          <w:b/>
          <w:bCs/>
        </w:rPr>
        <w:t>Medicaid #</w:t>
      </w:r>
      <w:r>
        <w:t>.</w:t>
      </w:r>
    </w:p>
    <w:p w14:paraId="34757D0B" w14:textId="7D9E0BF2" w:rsidR="009473AD" w:rsidRPr="005944F1" w:rsidRDefault="009473AD">
      <w:pPr>
        <w:pStyle w:val="BodyText"/>
        <w:numPr>
          <w:ilvl w:val="1"/>
          <w:numId w:val="86"/>
        </w:numPr>
        <w:ind w:left="1080"/>
      </w:pPr>
      <w:r w:rsidRPr="00277CEB">
        <w:rPr>
          <w:b/>
          <w:bCs/>
        </w:rPr>
        <w:t>DEA #</w:t>
      </w:r>
      <w:r w:rsidR="00277CEB" w:rsidRPr="00277CEB">
        <w:rPr>
          <w:b/>
          <w:bCs/>
        </w:rPr>
        <w:t xml:space="preserve"> and</w:t>
      </w:r>
      <w:r w:rsidRPr="00277CEB">
        <w:rPr>
          <w:b/>
          <w:bCs/>
        </w:rPr>
        <w:t xml:space="preserve"> </w:t>
      </w:r>
      <w:r w:rsidR="00277CEB" w:rsidRPr="00277CEB">
        <w:rPr>
          <w:b/>
          <w:bCs/>
        </w:rPr>
        <w:t xml:space="preserve">DEA </w:t>
      </w:r>
      <w:r w:rsidRPr="00277CEB">
        <w:rPr>
          <w:b/>
          <w:bCs/>
        </w:rPr>
        <w:t>License Expiration</w:t>
      </w:r>
      <w:r w:rsidR="00277CEB">
        <w:t xml:space="preserve"> – These are r</w:t>
      </w:r>
      <w:r w:rsidRPr="005944F1">
        <w:t xml:space="preserve">equired for </w:t>
      </w:r>
      <w:proofErr w:type="spellStart"/>
      <w:r w:rsidRPr="005944F1">
        <w:t>e</w:t>
      </w:r>
      <w:r w:rsidR="00277CEB">
        <w:t>P</w:t>
      </w:r>
      <w:r w:rsidRPr="005944F1">
        <w:t>rescribe</w:t>
      </w:r>
      <w:proofErr w:type="spellEnd"/>
      <w:r w:rsidRPr="005944F1">
        <w:t>. Any dentist who prescribes controlled substances in Schedules II, III, IV, or V must register with the Drug Enforcement Administration (DEA) every three years.</w:t>
      </w:r>
    </w:p>
    <w:p w14:paraId="4768A4B0" w14:textId="3337A2FA" w:rsidR="009473AD" w:rsidRPr="005944F1" w:rsidRDefault="009473AD">
      <w:pPr>
        <w:pStyle w:val="BodyText"/>
        <w:numPr>
          <w:ilvl w:val="1"/>
          <w:numId w:val="86"/>
        </w:numPr>
        <w:ind w:left="1080"/>
      </w:pPr>
      <w:r w:rsidRPr="00277CEB">
        <w:rPr>
          <w:b/>
          <w:bCs/>
        </w:rPr>
        <w:t>NPI</w:t>
      </w:r>
      <w:r w:rsidR="00277CEB">
        <w:t xml:space="preserve"> – A</w:t>
      </w:r>
      <w:r w:rsidRPr="005944F1">
        <w:t>n identifier assigned by the Federal government to all providers considered to be HIPAA</w:t>
      </w:r>
      <w:r w:rsidR="00277CEB">
        <w:t>-</w:t>
      </w:r>
      <w:r w:rsidRPr="005944F1">
        <w:t>covered entities</w:t>
      </w:r>
      <w:r w:rsidR="00277CEB">
        <w:t>. Refer to the “Clinic Information – Clinic Settings Tab” section.</w:t>
      </w:r>
    </w:p>
    <w:p w14:paraId="1482DD37" w14:textId="069A3C34" w:rsidR="009473AD" w:rsidRPr="005944F1" w:rsidRDefault="009473AD">
      <w:pPr>
        <w:pStyle w:val="BodyText"/>
        <w:numPr>
          <w:ilvl w:val="1"/>
          <w:numId w:val="86"/>
        </w:numPr>
        <w:ind w:left="1080"/>
      </w:pPr>
      <w:r w:rsidRPr="00277CEB">
        <w:rPr>
          <w:b/>
          <w:bCs/>
        </w:rPr>
        <w:t>Blue Cross</w:t>
      </w:r>
      <w:r w:rsidR="00277CEB" w:rsidRPr="00277CEB">
        <w:rPr>
          <w:b/>
          <w:bCs/>
        </w:rPr>
        <w:t xml:space="preserve"> ID # or </w:t>
      </w:r>
      <w:r w:rsidRPr="00277CEB">
        <w:rPr>
          <w:b/>
          <w:bCs/>
        </w:rPr>
        <w:t>Blue Shield ID #</w:t>
      </w:r>
      <w:r w:rsidRPr="005944F1">
        <w:t xml:space="preserve"> </w:t>
      </w:r>
      <w:r w:rsidR="00277CEB">
        <w:t xml:space="preserve">– You </w:t>
      </w:r>
      <w:r w:rsidRPr="005944F1">
        <w:t>must select one or the other</w:t>
      </w:r>
      <w:r w:rsidR="00277CEB">
        <w:t>.</w:t>
      </w:r>
    </w:p>
    <w:p w14:paraId="7B6D4252" w14:textId="00205BAA" w:rsidR="009473AD" w:rsidRPr="005944F1" w:rsidRDefault="009473AD">
      <w:pPr>
        <w:pStyle w:val="BodyText"/>
        <w:numPr>
          <w:ilvl w:val="1"/>
          <w:numId w:val="86"/>
        </w:numPr>
        <w:ind w:left="1080"/>
      </w:pPr>
      <w:r w:rsidRPr="00277CEB">
        <w:rPr>
          <w:b/>
          <w:bCs/>
        </w:rPr>
        <w:lastRenderedPageBreak/>
        <w:t>Provider</w:t>
      </w:r>
      <w:r w:rsidR="00277CEB" w:rsidRPr="00277CEB">
        <w:rPr>
          <w:b/>
          <w:bCs/>
        </w:rPr>
        <w:t xml:space="preserve"> #</w:t>
      </w:r>
      <w:r w:rsidRPr="00277CEB">
        <w:rPr>
          <w:b/>
          <w:bCs/>
        </w:rPr>
        <w:t>, Office</w:t>
      </w:r>
      <w:r w:rsidR="00277CEB" w:rsidRPr="00277CEB">
        <w:rPr>
          <w:b/>
          <w:bCs/>
        </w:rPr>
        <w:t xml:space="preserve"> #</w:t>
      </w:r>
      <w:r w:rsidRPr="00277CEB">
        <w:rPr>
          <w:b/>
          <w:bCs/>
        </w:rPr>
        <w:t xml:space="preserve">, </w:t>
      </w:r>
      <w:r w:rsidR="00277CEB" w:rsidRPr="00277CEB">
        <w:rPr>
          <w:b/>
          <w:bCs/>
        </w:rPr>
        <w:t xml:space="preserve">and </w:t>
      </w:r>
      <w:r w:rsidRPr="00277CEB">
        <w:rPr>
          <w:b/>
          <w:bCs/>
        </w:rPr>
        <w:t>Other #</w:t>
      </w:r>
      <w:r w:rsidR="00277CEB">
        <w:t xml:space="preserve"> – </w:t>
      </w:r>
      <w:r w:rsidRPr="005944F1">
        <w:t>Th</w:t>
      </w:r>
      <w:r w:rsidR="00277CEB">
        <w:t>ese are</w:t>
      </w:r>
      <w:r w:rsidRPr="005944F1">
        <w:t xml:space="preserve"> identifier</w:t>
      </w:r>
      <w:r w:rsidR="00277CEB">
        <w:t>s</w:t>
      </w:r>
      <w:r w:rsidRPr="005944F1">
        <w:t xml:space="preserve"> assigned to the billing dentist or dental entity other than a Social Security Number (SSN) or Tax Identification Number (TIN).  The additional identifier is sometimes referred to as a Legacy Identifier (LID). LIDs may not be unique as they are assigned by different entities (</w:t>
      </w:r>
      <w:r w:rsidR="00277CEB">
        <w:t>such as a</w:t>
      </w:r>
      <w:r w:rsidRPr="005944F1">
        <w:t xml:space="preserve"> third-party payer</w:t>
      </w:r>
      <w:r w:rsidR="00277CEB">
        <w:t xml:space="preserve"> or the</w:t>
      </w:r>
      <w:r w:rsidRPr="005944F1">
        <w:t xml:space="preserve"> federal government). Some Legacy IDs have an intrinsic meaning.</w:t>
      </w:r>
    </w:p>
    <w:p w14:paraId="29963E99" w14:textId="26830D7F" w:rsidR="009473AD" w:rsidRPr="005944F1" w:rsidRDefault="009473AD">
      <w:pPr>
        <w:pStyle w:val="BodyText"/>
        <w:numPr>
          <w:ilvl w:val="1"/>
          <w:numId w:val="86"/>
        </w:numPr>
        <w:ind w:left="1080"/>
      </w:pPr>
      <w:r w:rsidRPr="00277CEB">
        <w:rPr>
          <w:b/>
          <w:bCs/>
        </w:rPr>
        <w:t>UPIN#</w:t>
      </w:r>
      <w:r w:rsidR="00277CEB">
        <w:t xml:space="preserve"> – This is a</w:t>
      </w:r>
      <w:r w:rsidRPr="005944F1">
        <w:t xml:space="preserve"> unique physician identification number (UPIN)</w:t>
      </w:r>
      <w:r w:rsidR="00277CEB">
        <w:t>. It is</w:t>
      </w:r>
      <w:r w:rsidRPr="005944F1">
        <w:t xml:space="preserve"> a six-character alphanumeric identifier </w:t>
      </w:r>
      <w:r w:rsidR="00277CEB">
        <w:t xml:space="preserve">that was </w:t>
      </w:r>
      <w:r w:rsidRPr="005944F1">
        <w:t xml:space="preserve">used by Medicare to identify doctors in the United States. </w:t>
      </w:r>
      <w:r w:rsidR="00277CEB">
        <w:t>UPINs</w:t>
      </w:r>
      <w:r w:rsidRPr="005944F1">
        <w:t xml:space="preserve"> were discontinued in June 2007 and replaced by National Provider Identifier</w:t>
      </w:r>
      <w:r w:rsidR="00277CEB">
        <w:t>s</w:t>
      </w:r>
      <w:r w:rsidRPr="005944F1">
        <w:t xml:space="preserve"> </w:t>
      </w:r>
      <w:r w:rsidR="00277CEB">
        <w:t>(</w:t>
      </w:r>
      <w:r w:rsidRPr="005944F1">
        <w:t>NPI</w:t>
      </w:r>
      <w:r w:rsidR="00277CEB">
        <w:t>)</w:t>
      </w:r>
      <w:r w:rsidRPr="005944F1">
        <w:t>.</w:t>
      </w:r>
    </w:p>
    <w:p w14:paraId="19B98D0D" w14:textId="43E95697" w:rsidR="009473AD" w:rsidRPr="00277CEB" w:rsidRDefault="009473AD" w:rsidP="005944F1">
      <w:pPr>
        <w:pStyle w:val="BodyText"/>
        <w:ind w:left="720"/>
        <w:rPr>
          <w:i/>
          <w:iCs/>
          <w:sz w:val="18"/>
          <w:szCs w:val="18"/>
        </w:rPr>
      </w:pPr>
      <w:r w:rsidRPr="00277CEB">
        <w:rPr>
          <w:b/>
          <w:bCs/>
          <w:i/>
          <w:iCs/>
        </w:rPr>
        <w:t xml:space="preserve">Operations </w:t>
      </w:r>
      <w:r w:rsidR="00277CEB" w:rsidRPr="00277CEB">
        <w:rPr>
          <w:b/>
          <w:bCs/>
          <w:i/>
          <w:iCs/>
        </w:rPr>
        <w:t>I</w:t>
      </w:r>
      <w:r w:rsidRPr="00277CEB">
        <w:rPr>
          <w:b/>
          <w:bCs/>
          <w:i/>
          <w:iCs/>
        </w:rPr>
        <w:t>nsight</w:t>
      </w:r>
      <w:r w:rsidR="00277CEB" w:rsidRPr="00277CEB">
        <w:rPr>
          <w:i/>
          <w:iCs/>
        </w:rPr>
        <w:t xml:space="preserve">: </w:t>
      </w:r>
      <w:r w:rsidRPr="00277CEB">
        <w:rPr>
          <w:i/>
          <w:iCs/>
        </w:rPr>
        <w:t>Refer</w:t>
      </w:r>
      <w:r w:rsidR="00277CEB" w:rsidRPr="00277CEB">
        <w:rPr>
          <w:i/>
          <w:iCs/>
        </w:rPr>
        <w:t xml:space="preserve"> to the</w:t>
      </w:r>
      <w:r w:rsidRPr="00277CEB">
        <w:rPr>
          <w:i/>
          <w:iCs/>
        </w:rPr>
        <w:t xml:space="preserve"> </w:t>
      </w:r>
      <w:r w:rsidR="00277CEB" w:rsidRPr="00277CEB">
        <w:rPr>
          <w:i/>
          <w:iCs/>
        </w:rPr>
        <w:t>“</w:t>
      </w:r>
      <w:r w:rsidRPr="00277CEB">
        <w:rPr>
          <w:i/>
          <w:iCs/>
        </w:rPr>
        <w:t>Revenue Cycle Management</w:t>
      </w:r>
      <w:r w:rsidR="00277CEB" w:rsidRPr="00277CEB">
        <w:rPr>
          <w:i/>
          <w:iCs/>
        </w:rPr>
        <w:t>” section</w:t>
      </w:r>
      <w:r w:rsidRPr="00277CEB">
        <w:rPr>
          <w:i/>
          <w:iCs/>
        </w:rPr>
        <w:t xml:space="preserve"> for more insight into specific claim</w:t>
      </w:r>
      <w:r w:rsidR="00277CEB" w:rsidRPr="00277CEB">
        <w:rPr>
          <w:i/>
          <w:iCs/>
        </w:rPr>
        <w:t xml:space="preserve"> and </w:t>
      </w:r>
      <w:r w:rsidRPr="00277CEB">
        <w:rPr>
          <w:i/>
          <w:iCs/>
        </w:rPr>
        <w:t>billing setup needs.</w:t>
      </w:r>
    </w:p>
    <w:p w14:paraId="7678079A" w14:textId="52039DFC" w:rsidR="00FF6EC3" w:rsidRPr="00FF6EC3" w:rsidRDefault="009473AD" w:rsidP="00D42C5A">
      <w:pPr>
        <w:pStyle w:val="Heading3"/>
      </w:pPr>
      <w:bookmarkStart w:id="227" w:name="_Toc135416741"/>
      <w:bookmarkStart w:id="228" w:name="_Toc146183348"/>
      <w:r w:rsidRPr="3BF7DB7F">
        <w:t>Staff Setup</w:t>
      </w:r>
      <w:bookmarkEnd w:id="227"/>
      <w:bookmarkEnd w:id="228"/>
    </w:p>
    <w:p w14:paraId="7E64DAD9" w14:textId="1146B1DE" w:rsidR="009473AD" w:rsidRDefault="009473AD" w:rsidP="00FF6EC3">
      <w:pPr>
        <w:pStyle w:val="BodyText"/>
      </w:pPr>
      <w:r w:rsidRPr="3BF7DB7F">
        <w:t>Staff members are employees who have not been entered as providers and anyone who will need</w:t>
      </w:r>
      <w:r>
        <w:t xml:space="preserve"> access </w:t>
      </w:r>
      <w:r w:rsidR="00277CEB">
        <w:t>to</w:t>
      </w:r>
      <w:r>
        <w:t xml:space="preserve"> Dentrix Enterprise. </w:t>
      </w:r>
      <w:r w:rsidR="00277CEB">
        <w:t>You set up a staff member in</w:t>
      </w:r>
      <w:r w:rsidRPr="3BF7DB7F">
        <w:t xml:space="preserve"> a single clinic no matter how many locations they may work in or need access to.   </w:t>
      </w:r>
    </w:p>
    <w:p w14:paraId="15E97543" w14:textId="055982AD" w:rsidR="009473AD" w:rsidRPr="006F33C6" w:rsidRDefault="009473AD" w:rsidP="00F3166B">
      <w:pPr>
        <w:pStyle w:val="BodyText"/>
        <w:rPr>
          <w:i/>
          <w:iCs/>
          <w:u w:val="single"/>
        </w:rPr>
      </w:pPr>
      <w:r w:rsidRPr="006F33C6">
        <w:rPr>
          <w:b/>
          <w:bCs/>
          <w:i/>
          <w:iCs/>
        </w:rPr>
        <w:t xml:space="preserve">Operations </w:t>
      </w:r>
      <w:r w:rsidR="00277CEB" w:rsidRPr="006F33C6">
        <w:rPr>
          <w:b/>
          <w:bCs/>
          <w:i/>
          <w:iCs/>
        </w:rPr>
        <w:t>I</w:t>
      </w:r>
      <w:r w:rsidRPr="006F33C6">
        <w:rPr>
          <w:b/>
          <w:bCs/>
          <w:i/>
          <w:iCs/>
        </w:rPr>
        <w:t>nsight</w:t>
      </w:r>
      <w:r w:rsidR="00277CEB" w:rsidRPr="006F33C6">
        <w:rPr>
          <w:i/>
          <w:iCs/>
        </w:rPr>
        <w:t>:</w:t>
      </w:r>
      <w:r w:rsidRPr="006F33C6">
        <w:rPr>
          <w:i/>
          <w:iCs/>
        </w:rPr>
        <w:t xml:space="preserve"> </w:t>
      </w:r>
      <w:r w:rsidR="00277CEB" w:rsidRPr="006F33C6">
        <w:rPr>
          <w:i/>
          <w:iCs/>
        </w:rPr>
        <w:t>A</w:t>
      </w:r>
      <w:r w:rsidRPr="006F33C6">
        <w:rPr>
          <w:i/>
          <w:iCs/>
        </w:rPr>
        <w:t>nyone</w:t>
      </w:r>
      <w:r w:rsidR="00277CEB" w:rsidRPr="006F33C6">
        <w:rPr>
          <w:i/>
          <w:iCs/>
        </w:rPr>
        <w:t xml:space="preserve"> (such as third-party venders, trainers, and IT)</w:t>
      </w:r>
      <w:r w:rsidRPr="006F33C6">
        <w:rPr>
          <w:i/>
          <w:iCs/>
        </w:rPr>
        <w:t xml:space="preserve"> who </w:t>
      </w:r>
      <w:r w:rsidR="00277CEB" w:rsidRPr="006F33C6">
        <w:rPr>
          <w:i/>
          <w:iCs/>
        </w:rPr>
        <w:t>needs to access Dentrix Enterprise</w:t>
      </w:r>
      <w:r w:rsidRPr="006F33C6">
        <w:rPr>
          <w:i/>
          <w:iCs/>
        </w:rPr>
        <w:t xml:space="preserve"> should have a user ID and password. </w:t>
      </w:r>
      <w:r w:rsidR="00277CEB" w:rsidRPr="006F33C6">
        <w:rPr>
          <w:i/>
          <w:iCs/>
        </w:rPr>
        <w:t xml:space="preserve">Do not use </w:t>
      </w:r>
      <w:proofErr w:type="gramStart"/>
      <w:r w:rsidR="00277CEB" w:rsidRPr="006F33C6">
        <w:rPr>
          <w:i/>
          <w:iCs/>
        </w:rPr>
        <w:t xml:space="preserve">the </w:t>
      </w:r>
      <w:r w:rsidRPr="006F33C6">
        <w:rPr>
          <w:i/>
          <w:iCs/>
        </w:rPr>
        <w:t>Enterprise</w:t>
      </w:r>
      <w:proofErr w:type="gramEnd"/>
      <w:r w:rsidR="006F33C6" w:rsidRPr="006F33C6">
        <w:rPr>
          <w:i/>
          <w:iCs/>
        </w:rPr>
        <w:t xml:space="preserve"> user</w:t>
      </w:r>
      <w:r w:rsidRPr="006F33C6">
        <w:rPr>
          <w:i/>
          <w:iCs/>
        </w:rPr>
        <w:t xml:space="preserve"> as a “universal” log in for users</w:t>
      </w:r>
      <w:r w:rsidR="006F33C6" w:rsidRPr="006F33C6">
        <w:rPr>
          <w:i/>
          <w:iCs/>
        </w:rPr>
        <w:t>. Also, for security purposes, we recommend that you do not share</w:t>
      </w:r>
      <w:r w:rsidRPr="006F33C6">
        <w:rPr>
          <w:i/>
          <w:iCs/>
        </w:rPr>
        <w:t xml:space="preserve"> user ID and passwords between multiple users.</w:t>
      </w:r>
    </w:p>
    <w:p w14:paraId="47A35338" w14:textId="343B223D" w:rsidR="00FF6EC3" w:rsidRDefault="009473AD" w:rsidP="00D42C5A">
      <w:pPr>
        <w:pStyle w:val="Heading3"/>
      </w:pPr>
      <w:bookmarkStart w:id="229" w:name="_Toc135416742"/>
      <w:bookmarkStart w:id="230" w:name="_Toc146183349"/>
      <w:r w:rsidRPr="3BF7DB7F">
        <w:t>Operatory Setup</w:t>
      </w:r>
      <w:bookmarkEnd w:id="229"/>
      <w:bookmarkEnd w:id="230"/>
    </w:p>
    <w:p w14:paraId="2DEE20CE" w14:textId="32E7982D" w:rsidR="009473AD" w:rsidRPr="00F3166B" w:rsidRDefault="009473AD" w:rsidP="00F3166B">
      <w:pPr>
        <w:pStyle w:val="BodyText"/>
      </w:pPr>
      <w:r w:rsidRPr="3BF7DB7F">
        <w:t xml:space="preserve">Operatories are columns in a schedule that allow for patient scheduling. </w:t>
      </w:r>
      <w:r w:rsidR="006F33C6">
        <w:t>Appointments cannot overlap in a column. Determine</w:t>
      </w:r>
      <w:r w:rsidRPr="3BF7DB7F">
        <w:t xml:space="preserve"> the number of columns </w:t>
      </w:r>
      <w:r w:rsidR="006F33C6">
        <w:t xml:space="preserve">you need </w:t>
      </w:r>
      <w:r w:rsidRPr="3BF7DB7F">
        <w:t xml:space="preserve">based on the number of patients to be seen at any given time. Operatories </w:t>
      </w:r>
      <w:r w:rsidR="006F33C6">
        <w:t>appear</w:t>
      </w:r>
      <w:r w:rsidRPr="3BF7DB7F">
        <w:t xml:space="preserve"> from left to right </w:t>
      </w:r>
      <w:r w:rsidR="006F33C6">
        <w:t>alphabetically in Appointment Book</w:t>
      </w:r>
      <w:r w:rsidRPr="3BF7DB7F">
        <w:t>.</w:t>
      </w:r>
      <w:r w:rsidR="006F33C6">
        <w:t xml:space="preserve"> </w:t>
      </w:r>
      <w:r w:rsidRPr="3BF7DB7F">
        <w:t xml:space="preserve">An </w:t>
      </w:r>
      <w:r w:rsidR="006F33C6">
        <w:t>o</w:t>
      </w:r>
      <w:r w:rsidRPr="3BF7DB7F">
        <w:t>perator</w:t>
      </w:r>
      <w:r w:rsidR="006F33C6">
        <w:t>y</w:t>
      </w:r>
      <w:r w:rsidRPr="3BF7DB7F">
        <w:t xml:space="preserve"> </w:t>
      </w:r>
      <w:r w:rsidR="006F33C6">
        <w:t>ID</w:t>
      </w:r>
      <w:r w:rsidRPr="3BF7DB7F">
        <w:t xml:space="preserve"> cannot be repeated even across other clinics. Consider prefixing </w:t>
      </w:r>
      <w:r w:rsidR="006F33C6">
        <w:t xml:space="preserve">the ID </w:t>
      </w:r>
      <w:r w:rsidRPr="3BF7DB7F">
        <w:t>with the clinic ID.</w:t>
      </w:r>
    </w:p>
    <w:p w14:paraId="46D1B414" w14:textId="0E854316" w:rsidR="00F3166B" w:rsidRDefault="00F3166B" w:rsidP="004267C0">
      <w:pPr>
        <w:pStyle w:val="Heading2"/>
      </w:pPr>
      <w:bookmarkStart w:id="231" w:name="_Toc135416743"/>
      <w:bookmarkStart w:id="232" w:name="_Toc146183350"/>
      <w:bookmarkStart w:id="233" w:name="Definitions"/>
      <w:r w:rsidRPr="004D3D1C">
        <w:t>Dentrix Enterprise Configuration</w:t>
      </w:r>
      <w:bookmarkEnd w:id="231"/>
      <w:bookmarkEnd w:id="232"/>
    </w:p>
    <w:p w14:paraId="444B45AC" w14:textId="77777777" w:rsidR="00F3166B" w:rsidRDefault="00F3166B" w:rsidP="00D42C5A">
      <w:pPr>
        <w:pStyle w:val="Heading3"/>
        <w:rPr>
          <w:rFonts w:asciiTheme="minorHAnsi" w:hAnsiTheme="minorHAnsi"/>
        </w:rPr>
      </w:pPr>
      <w:bookmarkStart w:id="234" w:name="_Toc135416744"/>
      <w:bookmarkStart w:id="235" w:name="_Toc146183351"/>
      <w:r w:rsidRPr="00821A05">
        <w:t>Security Setup</w:t>
      </w:r>
      <w:bookmarkEnd w:id="234"/>
      <w:bookmarkEnd w:id="235"/>
    </w:p>
    <w:p w14:paraId="16BCA197" w14:textId="06B4E791" w:rsidR="00F3166B" w:rsidRDefault="00F3166B" w:rsidP="00F3166B">
      <w:pPr>
        <w:pStyle w:val="BodyText"/>
      </w:pPr>
      <w:r w:rsidRPr="2A71C1FC">
        <w:t>Passwords in Dentrix Enterprise serve many different functions. First, passwords can be used to prevent an unauthorized person from performing certain sensitive tasks, such as changing information, deleting transactions, and accessing financial information. Second, you can have the extra security of flagging certain operations to require additional user verification</w:t>
      </w:r>
      <w:r w:rsidR="006F33C6">
        <w:t xml:space="preserve"> (</w:t>
      </w:r>
      <w:r w:rsidRPr="2A71C1FC">
        <w:t>the password must be re-entered</w:t>
      </w:r>
      <w:r w:rsidR="006F33C6">
        <w:t xml:space="preserve">) </w:t>
      </w:r>
      <w:r w:rsidRPr="2A71C1FC">
        <w:t xml:space="preserve">to perform those operations. </w:t>
      </w:r>
    </w:p>
    <w:p w14:paraId="5D8FE9FB" w14:textId="7E179EE1" w:rsidR="00F3166B" w:rsidRDefault="006F33C6" w:rsidP="00F3166B">
      <w:pPr>
        <w:pStyle w:val="BodyText"/>
      </w:pPr>
      <w:r>
        <w:t>We</w:t>
      </w:r>
      <w:r w:rsidR="00F3166B">
        <w:t xml:space="preserve"> recommended </w:t>
      </w:r>
      <w:r>
        <w:t>that you</w:t>
      </w:r>
      <w:r w:rsidR="00F3166B">
        <w:t xml:space="preserve"> </w:t>
      </w:r>
      <w:r w:rsidR="00F3166B" w:rsidRPr="001412B0">
        <w:t>create user groups to group users by role or some other method that suits your needs. Having users in groups allows you to manage security rights for all users in a given group at the same time instead of having to manage rights per user.</w:t>
      </w:r>
      <w:r w:rsidR="00F3166B">
        <w:t xml:space="preserve"> </w:t>
      </w:r>
    </w:p>
    <w:p w14:paraId="75103100" w14:textId="7248000B" w:rsidR="00F3166B" w:rsidRDefault="00F3166B" w:rsidP="00F3166B">
      <w:pPr>
        <w:pStyle w:val="BodyText"/>
      </w:pPr>
      <w:r w:rsidRPr="001412B0">
        <w:t>In Dentrix Enterprise, each user is assigned "rights" to the tasks they need to complete. Dentrix Enterprise then allows access to each password-protected operation according to the security rights assigned to the logged-</w:t>
      </w:r>
      <w:r w:rsidR="006F33C6">
        <w:t>i</w:t>
      </w:r>
      <w:r w:rsidRPr="001412B0">
        <w:t xml:space="preserve">n user. If a user does not have </w:t>
      </w:r>
      <w:proofErr w:type="gramStart"/>
      <w:r w:rsidRPr="001412B0">
        <w:t>rights</w:t>
      </w:r>
      <w:proofErr w:type="gramEnd"/>
      <w:r w:rsidRPr="001412B0">
        <w:t xml:space="preserve"> to perform a certain function, </w:t>
      </w:r>
      <w:r w:rsidR="006F33C6">
        <w:t>he or she</w:t>
      </w:r>
      <w:r w:rsidRPr="001412B0">
        <w:t xml:space="preserve"> cannot access that particular area of the program or perform that particular task.</w:t>
      </w:r>
      <w:r>
        <w:t xml:space="preserve"> </w:t>
      </w:r>
      <w:r w:rsidRPr="001412B0">
        <w:t xml:space="preserve">Assigned rights are clinic-specific. Each user will need to be given rights for each clinic </w:t>
      </w:r>
      <w:r w:rsidR="006F33C6">
        <w:t>that</w:t>
      </w:r>
      <w:r w:rsidRPr="001412B0">
        <w:t xml:space="preserve"> </w:t>
      </w:r>
      <w:r w:rsidR="006F33C6">
        <w:t>he or she should</w:t>
      </w:r>
      <w:r w:rsidRPr="001412B0">
        <w:t xml:space="preserve"> have access</w:t>
      </w:r>
      <w:r w:rsidR="006F33C6">
        <w:t xml:space="preserve"> to</w:t>
      </w:r>
      <w:r w:rsidRPr="001412B0">
        <w:t>.</w:t>
      </w:r>
    </w:p>
    <w:p w14:paraId="0934BFA5" w14:textId="705F3B17" w:rsidR="00F3166B" w:rsidRPr="006F33C6" w:rsidRDefault="00F3166B" w:rsidP="00F3166B">
      <w:pPr>
        <w:pStyle w:val="BodyText"/>
        <w:rPr>
          <w:i/>
          <w:iCs/>
          <w:szCs w:val="22"/>
        </w:rPr>
      </w:pPr>
      <w:r w:rsidRPr="006F33C6">
        <w:rPr>
          <w:b/>
          <w:bCs/>
          <w:i/>
          <w:iCs/>
        </w:rPr>
        <w:lastRenderedPageBreak/>
        <w:t>Operations Insight</w:t>
      </w:r>
      <w:r w:rsidR="006F33C6" w:rsidRPr="006F33C6">
        <w:rPr>
          <w:i/>
          <w:iCs/>
        </w:rPr>
        <w:t>: We</w:t>
      </w:r>
      <w:r w:rsidRPr="006F33C6">
        <w:rPr>
          <w:i/>
          <w:iCs/>
        </w:rPr>
        <w:t xml:space="preserve"> recommend that the owner, CIO, and/or appointed decision maker for system security </w:t>
      </w:r>
      <w:r w:rsidR="006F33C6" w:rsidRPr="006F33C6">
        <w:rPr>
          <w:i/>
          <w:iCs/>
        </w:rPr>
        <w:t xml:space="preserve">who is </w:t>
      </w:r>
      <w:r w:rsidRPr="006F33C6">
        <w:rPr>
          <w:i/>
          <w:iCs/>
        </w:rPr>
        <w:t>familiar with all the available security settings read this section carefully, and be aware of who is given "Password Administration" rights in the organization.</w:t>
      </w:r>
    </w:p>
    <w:p w14:paraId="47A8CD1F" w14:textId="77777777" w:rsidR="00F3166B" w:rsidRPr="00FF6EC3" w:rsidRDefault="00F3166B" w:rsidP="00F3166B">
      <w:pPr>
        <w:pStyle w:val="BodyText"/>
      </w:pPr>
      <w:r w:rsidRPr="00454D84">
        <w:rPr>
          <w:color w:val="00B050"/>
        </w:rPr>
        <w:t>&lt;&lt;Insert SOP/Guideline for security setup here&gt;&gt;</w:t>
      </w:r>
    </w:p>
    <w:p w14:paraId="31D1F03C" w14:textId="6C19CC6A" w:rsidR="00F3166B" w:rsidRDefault="00F3166B" w:rsidP="00BC6868">
      <w:pPr>
        <w:pStyle w:val="Heading4"/>
      </w:pPr>
      <w:r w:rsidRPr="00941C5B">
        <w:t>System Security Features</w:t>
      </w:r>
    </w:p>
    <w:p w14:paraId="5DF9FCB2" w14:textId="4937BD5A" w:rsidR="00F3166B" w:rsidRDefault="00F3166B">
      <w:pPr>
        <w:pStyle w:val="BodyText"/>
        <w:numPr>
          <w:ilvl w:val="0"/>
          <w:numId w:val="92"/>
        </w:numPr>
        <w:ind w:left="540"/>
      </w:pPr>
      <w:r w:rsidRPr="001412B0">
        <w:rPr>
          <w:b/>
        </w:rPr>
        <w:t>Secure User Password</w:t>
      </w:r>
      <w:r w:rsidRPr="00941C5B">
        <w:t xml:space="preserve"> </w:t>
      </w:r>
      <w:r w:rsidR="006F33C6">
        <w:t>– S</w:t>
      </w:r>
      <w:r w:rsidRPr="00941C5B">
        <w:t>et up a time interval that forces users to change their passwords regularly, as well as requirements that users cannot reuse any of their previous passwords.</w:t>
      </w:r>
    </w:p>
    <w:p w14:paraId="5A601CC4" w14:textId="6986B874" w:rsidR="00F3166B" w:rsidRPr="006F33C6" w:rsidRDefault="00F3166B" w:rsidP="00BC6868">
      <w:pPr>
        <w:pStyle w:val="BodyText"/>
        <w:ind w:left="540"/>
        <w:rPr>
          <w:i/>
          <w:iCs/>
        </w:rPr>
      </w:pPr>
      <w:r w:rsidRPr="006F33C6">
        <w:rPr>
          <w:b/>
          <w:bCs/>
          <w:i/>
          <w:iCs/>
        </w:rPr>
        <w:t>Operations Insight</w:t>
      </w:r>
      <w:r w:rsidR="006F33C6" w:rsidRPr="006F33C6">
        <w:rPr>
          <w:i/>
          <w:iCs/>
        </w:rPr>
        <w:t>:</w:t>
      </w:r>
      <w:r w:rsidRPr="006F33C6">
        <w:rPr>
          <w:i/>
          <w:iCs/>
        </w:rPr>
        <w:t xml:space="preserve"> </w:t>
      </w:r>
      <w:r w:rsidR="006F33C6" w:rsidRPr="006F33C6">
        <w:rPr>
          <w:i/>
          <w:iCs/>
        </w:rPr>
        <w:t>We</w:t>
      </w:r>
      <w:r w:rsidRPr="006F33C6">
        <w:rPr>
          <w:i/>
          <w:iCs/>
        </w:rPr>
        <w:t xml:space="preserve"> recommended </w:t>
      </w:r>
      <w:r w:rsidR="006F33C6" w:rsidRPr="006F33C6">
        <w:rPr>
          <w:i/>
          <w:iCs/>
        </w:rPr>
        <w:t>that you</w:t>
      </w:r>
      <w:r w:rsidRPr="006F33C6">
        <w:rPr>
          <w:i/>
          <w:iCs/>
        </w:rPr>
        <w:t xml:space="preserve"> use the available secure user password settings to promote maintaining individual user account integrity for your organization.</w:t>
      </w:r>
    </w:p>
    <w:p w14:paraId="343C7ED2" w14:textId="3E9CA601" w:rsidR="00F3166B" w:rsidRDefault="00F3166B">
      <w:pPr>
        <w:pStyle w:val="BodyText"/>
        <w:numPr>
          <w:ilvl w:val="0"/>
          <w:numId w:val="92"/>
        </w:numPr>
        <w:ind w:left="540"/>
      </w:pPr>
      <w:r w:rsidRPr="001412B0">
        <w:rPr>
          <w:b/>
        </w:rPr>
        <w:t>Password Expiration</w:t>
      </w:r>
      <w:r w:rsidRPr="00941C5B">
        <w:t xml:space="preserve"> – </w:t>
      </w:r>
      <w:r w:rsidR="006F33C6">
        <w:t xml:space="preserve">You can have </w:t>
      </w:r>
      <w:r w:rsidRPr="00941C5B">
        <w:t xml:space="preserve">passwords expire so that users have to </w:t>
      </w:r>
      <w:r>
        <w:t xml:space="preserve">change </w:t>
      </w:r>
      <w:r w:rsidRPr="00941C5B">
        <w:t xml:space="preserve">their passwords after a </w:t>
      </w:r>
      <w:r w:rsidR="006F33C6">
        <w:t>specified</w:t>
      </w:r>
      <w:r w:rsidRPr="00941C5B">
        <w:t xml:space="preserve"> </w:t>
      </w:r>
      <w:r w:rsidR="006F33C6">
        <w:t xml:space="preserve">number of </w:t>
      </w:r>
      <w:r w:rsidRPr="00941C5B">
        <w:t xml:space="preserve">days. </w:t>
      </w:r>
      <w:r w:rsidR="006F33C6">
        <w:t xml:space="preserve">You can have </w:t>
      </w:r>
      <w:r w:rsidRPr="00941C5B">
        <w:t xml:space="preserve">users be forewarned of a pending password change </w:t>
      </w:r>
      <w:r w:rsidR="00D73216">
        <w:t>a</w:t>
      </w:r>
      <w:r w:rsidRPr="00941C5B">
        <w:t xml:space="preserve"> </w:t>
      </w:r>
      <w:r w:rsidR="00D73216">
        <w:t xml:space="preserve">specified number of days before the </w:t>
      </w:r>
      <w:r w:rsidRPr="00941C5B">
        <w:t xml:space="preserve">expiration date. </w:t>
      </w:r>
      <w:r w:rsidR="00D73216">
        <w:t>Or, you can choose to never have passwords expire</w:t>
      </w:r>
      <w:r w:rsidRPr="00941C5B">
        <w:t>.</w:t>
      </w:r>
      <w:r>
        <w:t xml:space="preserve"> </w:t>
      </w:r>
    </w:p>
    <w:p w14:paraId="0FD9FC2F" w14:textId="434713AF" w:rsidR="00F3166B" w:rsidRPr="001412B0" w:rsidRDefault="00F3166B">
      <w:pPr>
        <w:pStyle w:val="BodyText"/>
        <w:numPr>
          <w:ilvl w:val="0"/>
          <w:numId w:val="92"/>
        </w:numPr>
        <w:ind w:left="540"/>
      </w:pPr>
      <w:r w:rsidRPr="00BC6868">
        <w:rPr>
          <w:b/>
          <w:bCs/>
        </w:rPr>
        <w:t>Set Security Defaults</w:t>
      </w:r>
      <w:r w:rsidR="00BC6868">
        <w:t>:</w:t>
      </w:r>
    </w:p>
    <w:p w14:paraId="38AC4BE6" w14:textId="56B370E8" w:rsidR="00F3166B" w:rsidRDefault="00F3166B">
      <w:pPr>
        <w:pStyle w:val="BodyText"/>
        <w:numPr>
          <w:ilvl w:val="1"/>
          <w:numId w:val="93"/>
        </w:numPr>
        <w:ind w:left="1080"/>
      </w:pPr>
      <w:r w:rsidRPr="00BC6868">
        <w:rPr>
          <w:b/>
          <w:bCs/>
        </w:rPr>
        <w:t>Lock user out for</w:t>
      </w:r>
      <w:r w:rsidRPr="00941C5B">
        <w:t xml:space="preserve"> – </w:t>
      </w:r>
      <w:r w:rsidR="00D73216">
        <w:t>You can</w:t>
      </w:r>
      <w:r w:rsidRPr="00941C5B">
        <w:t xml:space="preserve"> select how many logon attempts a user has before that user is locked out of the system for a specif</w:t>
      </w:r>
      <w:r w:rsidR="00D73216">
        <w:t>ied number of minutes</w:t>
      </w:r>
      <w:r w:rsidRPr="00941C5B">
        <w:t xml:space="preserve">. </w:t>
      </w:r>
    </w:p>
    <w:p w14:paraId="44E89291" w14:textId="39A0A2CA" w:rsidR="00F3166B" w:rsidRPr="00FF6EC3" w:rsidRDefault="00F3166B">
      <w:pPr>
        <w:pStyle w:val="BodyText"/>
        <w:numPr>
          <w:ilvl w:val="1"/>
          <w:numId w:val="93"/>
        </w:numPr>
        <w:ind w:left="1080"/>
        <w:rPr>
          <w:szCs w:val="22"/>
        </w:rPr>
      </w:pPr>
      <w:r w:rsidRPr="00BC6868">
        <w:rPr>
          <w:b/>
          <w:bCs/>
        </w:rPr>
        <w:t>Do not allow use of the past</w:t>
      </w:r>
      <w:r w:rsidRPr="00941C5B">
        <w:t xml:space="preserve"> – </w:t>
      </w:r>
      <w:r w:rsidR="00D73216">
        <w:t xml:space="preserve">You can </w:t>
      </w:r>
      <w:r w:rsidRPr="00941C5B">
        <w:t>prevent users from reusing a specific number of old passwords.</w:t>
      </w:r>
    </w:p>
    <w:p w14:paraId="294BA09D" w14:textId="56201C26" w:rsidR="00F3166B" w:rsidRPr="002E06E7" w:rsidRDefault="00F3166B">
      <w:pPr>
        <w:pStyle w:val="BodyText"/>
        <w:numPr>
          <w:ilvl w:val="0"/>
          <w:numId w:val="92"/>
        </w:numPr>
        <w:ind w:left="540"/>
      </w:pPr>
      <w:r w:rsidRPr="00BC6868">
        <w:rPr>
          <w:b/>
          <w:bCs/>
        </w:rPr>
        <w:t>Verify User Before Access</w:t>
      </w:r>
      <w:r w:rsidR="00D73216">
        <w:t xml:space="preserve"> – C</w:t>
      </w:r>
      <w:r w:rsidRPr="00941C5B">
        <w:t>ertain situations may require additional protection. In these cases, the security options can be flagged</w:t>
      </w:r>
      <w:r w:rsidR="00D73216">
        <w:t xml:space="preserve"> as</w:t>
      </w:r>
      <w:r w:rsidRPr="00941C5B">
        <w:t xml:space="preserve"> “Verify User Before Access.” With this security flag enabled for a task, </w:t>
      </w:r>
      <w:r w:rsidR="00D73216">
        <w:t>Dentrix Enterprise prompts users</w:t>
      </w:r>
      <w:r w:rsidRPr="00941C5B">
        <w:t xml:space="preserve"> to re-enter a user name and password when </w:t>
      </w:r>
      <w:r w:rsidR="00D73216">
        <w:t>they attempt</w:t>
      </w:r>
      <w:r w:rsidRPr="00941C5B">
        <w:t xml:space="preserve"> to perform that task. </w:t>
      </w:r>
    </w:p>
    <w:p w14:paraId="555D7C01" w14:textId="1B54B891" w:rsidR="00F3166B" w:rsidRPr="00941C5B" w:rsidRDefault="00D73216" w:rsidP="00BC6868">
      <w:pPr>
        <w:pStyle w:val="BodyText"/>
        <w:ind w:left="540"/>
      </w:pPr>
      <w:r w:rsidRPr="00D73216">
        <w:rPr>
          <w:b/>
          <w:bCs/>
        </w:rPr>
        <w:t>Note</w:t>
      </w:r>
      <w:r>
        <w:t xml:space="preserve">: </w:t>
      </w:r>
      <w:r w:rsidR="00F3166B" w:rsidRPr="00941C5B">
        <w:t xml:space="preserve">An asterisk (*) appears before a </w:t>
      </w:r>
      <w:r>
        <w:t>task</w:t>
      </w:r>
      <w:r w:rsidR="00F3166B" w:rsidRPr="00941C5B">
        <w:t xml:space="preserve"> that is flagged </w:t>
      </w:r>
      <w:r>
        <w:t xml:space="preserve">for the </w:t>
      </w:r>
      <w:r w:rsidR="00F3166B" w:rsidRPr="00941C5B">
        <w:t xml:space="preserve">re-entry of </w:t>
      </w:r>
      <w:r>
        <w:t>credentials</w:t>
      </w:r>
      <w:r w:rsidR="00F3166B" w:rsidRPr="00941C5B">
        <w:t>.</w:t>
      </w:r>
    </w:p>
    <w:p w14:paraId="7E6B0B73" w14:textId="3FED8D3A" w:rsidR="00F3166B" w:rsidRPr="00D73216" w:rsidRDefault="00F3166B" w:rsidP="00BC6868">
      <w:pPr>
        <w:pStyle w:val="BodyText"/>
        <w:ind w:left="540"/>
        <w:rPr>
          <w:i/>
          <w:iCs/>
        </w:rPr>
      </w:pPr>
      <w:r w:rsidRPr="00D73216">
        <w:rPr>
          <w:b/>
          <w:bCs/>
          <w:i/>
          <w:iCs/>
        </w:rPr>
        <w:t xml:space="preserve">Operations </w:t>
      </w:r>
      <w:r w:rsidR="00D73216" w:rsidRPr="00D73216">
        <w:rPr>
          <w:b/>
          <w:bCs/>
          <w:i/>
          <w:iCs/>
        </w:rPr>
        <w:t>I</w:t>
      </w:r>
      <w:r w:rsidRPr="00D73216">
        <w:rPr>
          <w:b/>
          <w:bCs/>
          <w:i/>
          <w:iCs/>
        </w:rPr>
        <w:t>nsight</w:t>
      </w:r>
      <w:r w:rsidR="00D73216" w:rsidRPr="00D73216">
        <w:rPr>
          <w:i/>
          <w:iCs/>
        </w:rPr>
        <w:t>:</w:t>
      </w:r>
      <w:r w:rsidR="00BC6868" w:rsidRPr="00D73216">
        <w:rPr>
          <w:i/>
          <w:iCs/>
        </w:rPr>
        <w:t xml:space="preserve"> </w:t>
      </w:r>
      <w:r w:rsidRPr="00D73216">
        <w:rPr>
          <w:i/>
          <w:iCs/>
        </w:rPr>
        <w:t xml:space="preserve">This added layer of security is very helpful to confirm that an area of your database is protected. It confirms that the </w:t>
      </w:r>
      <w:r w:rsidR="00D73216" w:rsidRPr="00D73216">
        <w:rPr>
          <w:i/>
          <w:iCs/>
        </w:rPr>
        <w:t>correct</w:t>
      </w:r>
      <w:r w:rsidRPr="00D73216">
        <w:rPr>
          <w:i/>
          <w:iCs/>
        </w:rPr>
        <w:t xml:space="preserve"> user has </w:t>
      </w:r>
      <w:proofErr w:type="gramStart"/>
      <w:r w:rsidRPr="00D73216">
        <w:rPr>
          <w:i/>
          <w:iCs/>
        </w:rPr>
        <w:t>rights</w:t>
      </w:r>
      <w:proofErr w:type="gramEnd"/>
      <w:r w:rsidRPr="00D73216">
        <w:rPr>
          <w:i/>
          <w:iCs/>
        </w:rPr>
        <w:t xml:space="preserve"> to access </w:t>
      </w:r>
      <w:r w:rsidR="00D73216" w:rsidRPr="00D73216">
        <w:rPr>
          <w:i/>
          <w:iCs/>
        </w:rPr>
        <w:t>that</w:t>
      </w:r>
      <w:r w:rsidRPr="00D73216">
        <w:rPr>
          <w:i/>
          <w:iCs/>
        </w:rPr>
        <w:t xml:space="preserve"> area of the software.  This protects identified areas of the software even if someone leaves </w:t>
      </w:r>
      <w:r w:rsidR="00D73216" w:rsidRPr="00D73216">
        <w:rPr>
          <w:i/>
          <w:iCs/>
        </w:rPr>
        <w:t>his or her computer</w:t>
      </w:r>
      <w:r w:rsidRPr="00D73216">
        <w:rPr>
          <w:i/>
          <w:iCs/>
        </w:rPr>
        <w:t xml:space="preserve"> </w:t>
      </w:r>
      <w:proofErr w:type="gramStart"/>
      <w:r w:rsidRPr="00D73216">
        <w:rPr>
          <w:i/>
          <w:iCs/>
        </w:rPr>
        <w:t>unsecured</w:t>
      </w:r>
      <w:proofErr w:type="gramEnd"/>
      <w:r w:rsidRPr="00D73216">
        <w:rPr>
          <w:i/>
          <w:iCs/>
        </w:rPr>
        <w:t>.</w:t>
      </w:r>
    </w:p>
    <w:p w14:paraId="6BA339DA" w14:textId="77777777" w:rsidR="00F3166B" w:rsidRPr="00454D84" w:rsidRDefault="00F3166B" w:rsidP="00BC6868">
      <w:pPr>
        <w:pStyle w:val="BodyText"/>
        <w:ind w:left="540"/>
        <w:rPr>
          <w:color w:val="00B050"/>
        </w:rPr>
      </w:pPr>
      <w:r w:rsidRPr="00454D84">
        <w:rPr>
          <w:color w:val="00B050"/>
        </w:rPr>
        <w:t>&lt;&lt;Insert SOP/Decision support/guideline for verify user before access&gt;&gt;</w:t>
      </w:r>
    </w:p>
    <w:p w14:paraId="6FEF62CB" w14:textId="77777777" w:rsidR="00F3166B" w:rsidRDefault="00F3166B" w:rsidP="00BC6868">
      <w:pPr>
        <w:pStyle w:val="Heading4"/>
      </w:pPr>
      <w:r w:rsidRPr="00941C5B">
        <w:t>Adding User Groups</w:t>
      </w:r>
    </w:p>
    <w:p w14:paraId="4DADF6AA" w14:textId="698E8006" w:rsidR="00F3166B" w:rsidRDefault="00BC6868" w:rsidP="00F3166B">
      <w:pPr>
        <w:pStyle w:val="BodyText"/>
      </w:pPr>
      <w:r>
        <w:t>G</w:t>
      </w:r>
      <w:r w:rsidR="00F3166B" w:rsidRPr="00941C5B">
        <w:t>roup users by role or some other method.</w:t>
      </w:r>
      <w:r w:rsidR="00F3166B">
        <w:t xml:space="preserve"> </w:t>
      </w:r>
    </w:p>
    <w:p w14:paraId="25DCA769" w14:textId="77777777" w:rsidR="00F3166B" w:rsidRPr="00454D84" w:rsidRDefault="00F3166B" w:rsidP="00BC6868">
      <w:pPr>
        <w:pStyle w:val="BodyText"/>
        <w:rPr>
          <w:color w:val="00B050"/>
        </w:rPr>
      </w:pPr>
      <w:r w:rsidRPr="00454D84">
        <w:rPr>
          <w:color w:val="00B050"/>
        </w:rPr>
        <w:t>&lt;&lt;Insert SOP/Guideline for user grouping&gt;&gt;</w:t>
      </w:r>
    </w:p>
    <w:p w14:paraId="1D0F1DD8" w14:textId="77777777" w:rsidR="00F3166B" w:rsidRPr="00941C5B" w:rsidRDefault="00F3166B" w:rsidP="00BC6868">
      <w:pPr>
        <w:pStyle w:val="BodyText"/>
      </w:pPr>
      <w:r w:rsidRPr="00941C5B">
        <w:t>Set up the following options:</w:t>
      </w:r>
    </w:p>
    <w:p w14:paraId="67F8B1DF" w14:textId="67F68C04" w:rsidR="00F3166B" w:rsidRPr="00941C5B" w:rsidRDefault="00F3166B">
      <w:pPr>
        <w:pStyle w:val="BodyText"/>
        <w:numPr>
          <w:ilvl w:val="0"/>
          <w:numId w:val="91"/>
        </w:numPr>
        <w:ind w:left="540"/>
      </w:pPr>
      <w:r w:rsidRPr="00BC6868">
        <w:rPr>
          <w:b/>
          <w:bCs/>
        </w:rPr>
        <w:t>Group Name</w:t>
      </w:r>
      <w:r w:rsidRPr="00941C5B">
        <w:t xml:space="preserve"> – </w:t>
      </w:r>
      <w:r w:rsidR="00D73216">
        <w:t>A</w:t>
      </w:r>
      <w:r w:rsidRPr="00941C5B">
        <w:t xml:space="preserve"> name to identify the group. </w:t>
      </w:r>
    </w:p>
    <w:p w14:paraId="4ACCA003" w14:textId="786662B2" w:rsidR="00F3166B" w:rsidRDefault="00F3166B">
      <w:pPr>
        <w:pStyle w:val="BodyText"/>
        <w:numPr>
          <w:ilvl w:val="0"/>
          <w:numId w:val="91"/>
        </w:numPr>
        <w:ind w:left="540"/>
      </w:pPr>
      <w:r w:rsidRPr="00BC6868">
        <w:rPr>
          <w:b/>
          <w:bCs/>
        </w:rPr>
        <w:t>Rights</w:t>
      </w:r>
      <w:r w:rsidRPr="2A71C1FC">
        <w:t xml:space="preserve"> – Select the checkboxes of the rights (categories and/or individual rights) that users in this security group should have by default.</w:t>
      </w:r>
    </w:p>
    <w:p w14:paraId="2723716D" w14:textId="3CCEF95B" w:rsidR="00F3166B" w:rsidRPr="00D73216" w:rsidRDefault="00F3166B" w:rsidP="00BC6868">
      <w:pPr>
        <w:pStyle w:val="BodyText"/>
        <w:ind w:left="540"/>
        <w:rPr>
          <w:i/>
          <w:iCs/>
        </w:rPr>
      </w:pPr>
      <w:r w:rsidRPr="00D73216">
        <w:rPr>
          <w:b/>
          <w:bCs/>
          <w:i/>
          <w:iCs/>
        </w:rPr>
        <w:t xml:space="preserve">Operations </w:t>
      </w:r>
      <w:r w:rsidR="00D73216" w:rsidRPr="00D73216">
        <w:rPr>
          <w:b/>
          <w:bCs/>
          <w:i/>
          <w:iCs/>
        </w:rPr>
        <w:t>I</w:t>
      </w:r>
      <w:r w:rsidRPr="00D73216">
        <w:rPr>
          <w:b/>
          <w:bCs/>
          <w:i/>
          <w:iCs/>
        </w:rPr>
        <w:t>nsight</w:t>
      </w:r>
      <w:r w:rsidR="00D73216" w:rsidRPr="00D73216">
        <w:rPr>
          <w:i/>
          <w:iCs/>
        </w:rPr>
        <w:t xml:space="preserve">: </w:t>
      </w:r>
      <w:r w:rsidRPr="00D73216">
        <w:rPr>
          <w:i/>
          <w:iCs/>
        </w:rPr>
        <w:t xml:space="preserve">There are </w:t>
      </w:r>
      <w:r w:rsidR="00D73216" w:rsidRPr="00D73216">
        <w:rPr>
          <w:i/>
          <w:iCs/>
        </w:rPr>
        <w:t>four</w:t>
      </w:r>
      <w:r w:rsidRPr="00D73216">
        <w:rPr>
          <w:i/>
          <w:iCs/>
        </w:rPr>
        <w:t xml:space="preserve"> security rights in the </w:t>
      </w:r>
      <w:r w:rsidR="00D73216" w:rsidRPr="00D73216">
        <w:rPr>
          <w:i/>
          <w:iCs/>
        </w:rPr>
        <w:t>“C</w:t>
      </w:r>
      <w:r w:rsidRPr="00D73216">
        <w:rPr>
          <w:i/>
          <w:iCs/>
        </w:rPr>
        <w:t xml:space="preserve">entral </w:t>
      </w:r>
      <w:r w:rsidR="00D73216" w:rsidRPr="00D73216">
        <w:rPr>
          <w:i/>
          <w:iCs/>
        </w:rPr>
        <w:t>C</w:t>
      </w:r>
      <w:r w:rsidRPr="00D73216">
        <w:rPr>
          <w:i/>
          <w:iCs/>
        </w:rPr>
        <w:t xml:space="preserve">linic </w:t>
      </w:r>
      <w:r w:rsidR="00D73216" w:rsidRPr="00D73216">
        <w:rPr>
          <w:i/>
          <w:iCs/>
        </w:rPr>
        <w:t>O</w:t>
      </w:r>
      <w:r w:rsidRPr="00D73216">
        <w:rPr>
          <w:i/>
          <w:iCs/>
        </w:rPr>
        <w:t>nly</w:t>
      </w:r>
      <w:r w:rsidR="00D73216" w:rsidRPr="00D73216">
        <w:rPr>
          <w:i/>
          <w:iCs/>
        </w:rPr>
        <w:t>”</w:t>
      </w:r>
      <w:r w:rsidRPr="00D73216">
        <w:rPr>
          <w:i/>
          <w:iCs/>
        </w:rPr>
        <w:t xml:space="preserve"> </w:t>
      </w:r>
      <w:r w:rsidR="00D73216" w:rsidRPr="00D73216">
        <w:rPr>
          <w:i/>
          <w:iCs/>
        </w:rPr>
        <w:t>category</w:t>
      </w:r>
      <w:r w:rsidRPr="00D73216">
        <w:rPr>
          <w:i/>
          <w:iCs/>
        </w:rPr>
        <w:t xml:space="preserve"> that are important for allowing or restricting access to all patients, providers, clinics, operatories, and appointment lists. When </w:t>
      </w:r>
      <w:r w:rsidR="00D73216" w:rsidRPr="00D73216">
        <w:rPr>
          <w:i/>
          <w:iCs/>
        </w:rPr>
        <w:t xml:space="preserve">you are </w:t>
      </w:r>
      <w:r w:rsidRPr="00D73216">
        <w:rPr>
          <w:i/>
          <w:iCs/>
        </w:rPr>
        <w:t xml:space="preserve">setting up groups or individual user rights, these must be set in the </w:t>
      </w:r>
      <w:r w:rsidR="00D73216" w:rsidRPr="00D73216">
        <w:rPr>
          <w:i/>
          <w:iCs/>
        </w:rPr>
        <w:t>C</w:t>
      </w:r>
      <w:r w:rsidRPr="00D73216">
        <w:rPr>
          <w:i/>
          <w:iCs/>
        </w:rPr>
        <w:t>entral clinic.</w:t>
      </w:r>
    </w:p>
    <w:p w14:paraId="15C33060" w14:textId="24708944" w:rsidR="00F3166B" w:rsidRDefault="00F3166B" w:rsidP="00BC6868">
      <w:pPr>
        <w:pStyle w:val="Heading4"/>
      </w:pPr>
      <w:r w:rsidRPr="559ADB64">
        <w:lastRenderedPageBreak/>
        <w:t>Assigning Users to Groups</w:t>
      </w:r>
    </w:p>
    <w:p w14:paraId="7C239B2D" w14:textId="24C52CD7" w:rsidR="00F3166B" w:rsidRDefault="00D73216" w:rsidP="00F3166B">
      <w:pPr>
        <w:pStyle w:val="BodyText"/>
      </w:pPr>
      <w:r>
        <w:t>You can assign a</w:t>
      </w:r>
      <w:r w:rsidR="00F3166B" w:rsidRPr="559ADB64">
        <w:t xml:space="preserve"> user to multiple groups. Groups allow you to strategically assign user rights to a role </w:t>
      </w:r>
      <w:r>
        <w:t>that you</w:t>
      </w:r>
      <w:r w:rsidR="00F3166B" w:rsidRPr="559ADB64">
        <w:t xml:space="preserve"> assign to users. This allows for standard access in the system as well as simplifying the process for editing and adding user rights.  </w:t>
      </w:r>
    </w:p>
    <w:p w14:paraId="47867924" w14:textId="77777777" w:rsidR="00F3166B" w:rsidRPr="00941C5B" w:rsidRDefault="00F3166B" w:rsidP="00BC6868">
      <w:pPr>
        <w:pStyle w:val="BodyText"/>
      </w:pPr>
      <w:r w:rsidRPr="00941C5B">
        <w:t xml:space="preserve">Set up the following options: </w:t>
      </w:r>
    </w:p>
    <w:p w14:paraId="0CE243CE" w14:textId="2400F7F0" w:rsidR="00F3166B" w:rsidRPr="00941C5B" w:rsidRDefault="00F3166B">
      <w:pPr>
        <w:pStyle w:val="BodyText"/>
        <w:numPr>
          <w:ilvl w:val="0"/>
          <w:numId w:val="90"/>
        </w:numPr>
        <w:ind w:left="540"/>
      </w:pPr>
      <w:r w:rsidRPr="00BC6868">
        <w:rPr>
          <w:b/>
          <w:bCs/>
        </w:rPr>
        <w:t>Groups</w:t>
      </w:r>
      <w:r w:rsidRPr="00941C5B">
        <w:t xml:space="preserve"> – </w:t>
      </w:r>
      <w:r w:rsidR="00D73216">
        <w:t>S</w:t>
      </w:r>
      <w:r w:rsidRPr="00941C5B">
        <w:t>elect the groups that you want to add users to</w:t>
      </w:r>
      <w:r w:rsidR="00D73216">
        <w:t>.</w:t>
      </w:r>
    </w:p>
    <w:p w14:paraId="5F4FF4A0" w14:textId="79BF95D5" w:rsidR="00F3166B" w:rsidRPr="00941C5B" w:rsidRDefault="00F3166B">
      <w:pPr>
        <w:pStyle w:val="BodyText"/>
        <w:numPr>
          <w:ilvl w:val="0"/>
          <w:numId w:val="90"/>
        </w:numPr>
        <w:ind w:left="540"/>
      </w:pPr>
      <w:r w:rsidRPr="00BC6868">
        <w:rPr>
          <w:b/>
          <w:bCs/>
        </w:rPr>
        <w:t>Users</w:t>
      </w:r>
      <w:r w:rsidRPr="00941C5B">
        <w:t xml:space="preserve"> – </w:t>
      </w:r>
      <w:r w:rsidR="00D73216">
        <w:t>S</w:t>
      </w:r>
      <w:r w:rsidRPr="00941C5B">
        <w:t>elect the users that you want to add to the selected groups</w:t>
      </w:r>
      <w:r w:rsidR="00D73216">
        <w:t>.</w:t>
      </w:r>
    </w:p>
    <w:p w14:paraId="19688035" w14:textId="55F20243" w:rsidR="00F3166B" w:rsidRDefault="00F3166B">
      <w:pPr>
        <w:pStyle w:val="BodyText"/>
        <w:numPr>
          <w:ilvl w:val="0"/>
          <w:numId w:val="90"/>
        </w:numPr>
        <w:ind w:left="540"/>
      </w:pPr>
      <w:r w:rsidRPr="00BC6868">
        <w:rPr>
          <w:b/>
          <w:bCs/>
        </w:rPr>
        <w:t>Clinics</w:t>
      </w:r>
      <w:r w:rsidRPr="00941C5B">
        <w:t xml:space="preserve"> – </w:t>
      </w:r>
      <w:r w:rsidR="00D73216">
        <w:t>S</w:t>
      </w:r>
      <w:r w:rsidRPr="00941C5B">
        <w:t>elect the clinics that you want the selected user groups to have rights in</w:t>
      </w:r>
      <w:r w:rsidR="00D73216">
        <w:t>.</w:t>
      </w:r>
    </w:p>
    <w:p w14:paraId="1FF698C8" w14:textId="4F2F8A02" w:rsidR="00F3166B" w:rsidRDefault="00F3166B" w:rsidP="00BC6868">
      <w:pPr>
        <w:pStyle w:val="Heading4"/>
      </w:pPr>
      <w:r w:rsidRPr="559ADB64">
        <w:t>DXOne Reporting Security</w:t>
      </w:r>
    </w:p>
    <w:p w14:paraId="525001BA" w14:textId="633497FD" w:rsidR="00F3166B" w:rsidRDefault="00D73216" w:rsidP="00F3166B">
      <w:pPr>
        <w:pStyle w:val="BodyText"/>
      </w:pPr>
      <w:r>
        <w:t>You can c</w:t>
      </w:r>
      <w:r w:rsidR="00F3166B" w:rsidRPr="559ADB64">
        <w:t xml:space="preserve">ontrol which reports can be generated by which users. </w:t>
      </w:r>
    </w:p>
    <w:p w14:paraId="1A4EC1AF" w14:textId="5A691656" w:rsidR="00D73216" w:rsidRDefault="00D73216">
      <w:pPr>
        <w:pStyle w:val="BodyText"/>
        <w:numPr>
          <w:ilvl w:val="0"/>
          <w:numId w:val="88"/>
        </w:numPr>
        <w:ind w:left="540"/>
      </w:pPr>
      <w:r w:rsidRPr="00D73216">
        <w:t>In DXOne Reporting</w:t>
      </w:r>
      <w:r>
        <w:t xml:space="preserve">, click the </w:t>
      </w:r>
      <w:r w:rsidRPr="00D73216">
        <w:rPr>
          <w:b/>
          <w:bCs/>
        </w:rPr>
        <w:t>Security</w:t>
      </w:r>
      <w:r>
        <w:t xml:space="preserve"> button.</w:t>
      </w:r>
    </w:p>
    <w:p w14:paraId="0C8AD130" w14:textId="38D3BFD7" w:rsidR="00D73216" w:rsidRDefault="00D73216" w:rsidP="00D73216">
      <w:pPr>
        <w:pStyle w:val="BodyText"/>
        <w:ind w:left="540"/>
      </w:pPr>
      <w:r>
        <w:t xml:space="preserve">The </w:t>
      </w:r>
      <w:r w:rsidRPr="00D73216">
        <w:rPr>
          <w:b/>
          <w:bCs/>
        </w:rPr>
        <w:t>Report Security</w:t>
      </w:r>
      <w:r>
        <w:t xml:space="preserve"> dialog box appears.</w:t>
      </w:r>
    </w:p>
    <w:p w14:paraId="77FF2861" w14:textId="27E86A9D" w:rsidR="00F3166B" w:rsidRPr="00941C5B" w:rsidRDefault="00F3166B">
      <w:pPr>
        <w:pStyle w:val="BodyText"/>
        <w:numPr>
          <w:ilvl w:val="0"/>
          <w:numId w:val="88"/>
        </w:numPr>
        <w:ind w:left="540"/>
      </w:pPr>
      <w:r w:rsidRPr="00941C5B">
        <w:t xml:space="preserve">Under </w:t>
      </w:r>
      <w:r w:rsidRPr="00D73216">
        <w:rPr>
          <w:b/>
          <w:bCs/>
        </w:rPr>
        <w:t>User List</w:t>
      </w:r>
      <w:r w:rsidRPr="00941C5B">
        <w:t>, select a user.</w:t>
      </w:r>
    </w:p>
    <w:p w14:paraId="12BD005C" w14:textId="3D4A38B9" w:rsidR="00F3166B" w:rsidRPr="00941C5B" w:rsidRDefault="00D73216">
      <w:pPr>
        <w:pStyle w:val="BodyText"/>
        <w:numPr>
          <w:ilvl w:val="0"/>
          <w:numId w:val="88"/>
        </w:numPr>
        <w:ind w:left="540"/>
      </w:pPr>
      <w:r w:rsidRPr="00D73216">
        <w:t xml:space="preserve">In the </w:t>
      </w:r>
      <w:r w:rsidRPr="00D73216">
        <w:rPr>
          <w:b/>
          <w:bCs/>
        </w:rPr>
        <w:t>Report</w:t>
      </w:r>
      <w:r w:rsidRPr="00D73216">
        <w:t xml:space="preserve"> list, select the report that you want to grant rights for.</w:t>
      </w:r>
    </w:p>
    <w:p w14:paraId="77C38B48" w14:textId="6B0D13A0" w:rsidR="00F3166B" w:rsidRPr="00941C5B" w:rsidRDefault="00D73216">
      <w:pPr>
        <w:pStyle w:val="BodyText"/>
        <w:numPr>
          <w:ilvl w:val="0"/>
          <w:numId w:val="88"/>
        </w:numPr>
        <w:ind w:left="540"/>
      </w:pPr>
      <w:r w:rsidRPr="00D73216">
        <w:t xml:space="preserve">In the </w:t>
      </w:r>
      <w:r w:rsidRPr="00D73216">
        <w:rPr>
          <w:b/>
          <w:bCs/>
        </w:rPr>
        <w:t>Rights</w:t>
      </w:r>
      <w:r w:rsidRPr="00D73216">
        <w:t xml:space="preserve"> list, select the checkbox of each right that you want to grant.</w:t>
      </w:r>
    </w:p>
    <w:p w14:paraId="196642C4" w14:textId="6FB6C886" w:rsidR="00F3166B" w:rsidRDefault="00A045FE" w:rsidP="00A045FE">
      <w:pPr>
        <w:pStyle w:val="BodyText"/>
        <w:numPr>
          <w:ilvl w:val="0"/>
          <w:numId w:val="156"/>
        </w:numPr>
        <w:ind w:left="540"/>
      </w:pPr>
      <w:r w:rsidRPr="00A045FE">
        <w:t xml:space="preserve">In the </w:t>
      </w:r>
      <w:r w:rsidRPr="00A045FE">
        <w:rPr>
          <w:b/>
          <w:bCs/>
        </w:rPr>
        <w:t>Clinics</w:t>
      </w:r>
      <w:r w:rsidRPr="00A045FE">
        <w:t xml:space="preserve"> list, select the checkbox of each clinic that you want to allow the user to generate the report for.</w:t>
      </w:r>
    </w:p>
    <w:p w14:paraId="5237AFFE" w14:textId="08AD9356" w:rsidR="00A045FE" w:rsidRPr="00941C5B" w:rsidRDefault="00A045FE" w:rsidP="00A045FE">
      <w:pPr>
        <w:pStyle w:val="BodyText"/>
        <w:numPr>
          <w:ilvl w:val="0"/>
          <w:numId w:val="156"/>
        </w:numPr>
        <w:ind w:left="540"/>
      </w:pPr>
      <w:r w:rsidRPr="00A045FE">
        <w:t xml:space="preserve">In the </w:t>
      </w:r>
      <w:r w:rsidRPr="00A045FE">
        <w:rPr>
          <w:b/>
          <w:bCs/>
        </w:rPr>
        <w:t>Providers/Staff</w:t>
      </w:r>
      <w:r w:rsidRPr="00A045FE">
        <w:t xml:space="preserve"> list, select the checkbox of each provider or staff member that you want to allow the user to generate the report for.</w:t>
      </w:r>
    </w:p>
    <w:p w14:paraId="6AAE4C60" w14:textId="77777777" w:rsidR="00F3166B" w:rsidRPr="00A045FE" w:rsidRDefault="00F3166B" w:rsidP="00A045FE">
      <w:pPr>
        <w:pStyle w:val="BodyText"/>
        <w:ind w:left="540"/>
        <w:rPr>
          <w:i/>
          <w:iCs/>
        </w:rPr>
      </w:pPr>
      <w:r w:rsidRPr="00A045FE">
        <w:rPr>
          <w:b/>
          <w:bCs/>
          <w:i/>
          <w:iCs/>
        </w:rPr>
        <w:t>Tip</w:t>
      </w:r>
      <w:r w:rsidRPr="00A045FE">
        <w:rPr>
          <w:i/>
          <w:iCs/>
        </w:rPr>
        <w:t xml:space="preserve">: To select the user selected under </w:t>
      </w:r>
      <w:r w:rsidRPr="00A045FE">
        <w:rPr>
          <w:b/>
          <w:bCs/>
          <w:i/>
          <w:iCs/>
        </w:rPr>
        <w:t>User List</w:t>
      </w:r>
      <w:r w:rsidRPr="00A045FE">
        <w:rPr>
          <w:i/>
          <w:iCs/>
        </w:rPr>
        <w:t xml:space="preserve">, click </w:t>
      </w:r>
      <w:r w:rsidRPr="00A045FE">
        <w:rPr>
          <w:b/>
          <w:bCs/>
          <w:i/>
          <w:iCs/>
        </w:rPr>
        <w:t>Highlight Selected User</w:t>
      </w:r>
      <w:r w:rsidRPr="00A045FE">
        <w:rPr>
          <w:i/>
          <w:iCs/>
        </w:rPr>
        <w:t>.</w:t>
      </w:r>
    </w:p>
    <w:p w14:paraId="517D0590" w14:textId="4E4F0DDF" w:rsidR="00F3166B" w:rsidRPr="00A045FE" w:rsidRDefault="00F3166B" w:rsidP="00A045FE">
      <w:pPr>
        <w:pStyle w:val="BodyText"/>
        <w:ind w:left="540"/>
        <w:rPr>
          <w:i/>
          <w:iCs/>
        </w:rPr>
      </w:pPr>
      <w:r w:rsidRPr="00A045FE">
        <w:rPr>
          <w:b/>
          <w:bCs/>
          <w:i/>
          <w:iCs/>
        </w:rPr>
        <w:t xml:space="preserve">Workflow </w:t>
      </w:r>
      <w:r w:rsidR="00A045FE" w:rsidRPr="00A045FE">
        <w:rPr>
          <w:b/>
          <w:bCs/>
          <w:i/>
          <w:iCs/>
        </w:rPr>
        <w:t>I</w:t>
      </w:r>
      <w:r w:rsidRPr="00A045FE">
        <w:rPr>
          <w:b/>
          <w:bCs/>
          <w:i/>
          <w:iCs/>
        </w:rPr>
        <w:t>nsight</w:t>
      </w:r>
      <w:r w:rsidR="00A045FE" w:rsidRPr="00A045FE">
        <w:rPr>
          <w:i/>
          <w:iCs/>
        </w:rPr>
        <w:t>:</w:t>
      </w:r>
      <w:r w:rsidRPr="00A045FE">
        <w:rPr>
          <w:i/>
          <w:iCs/>
        </w:rPr>
        <w:t xml:space="preserve"> Due to DXOne security rights </w:t>
      </w:r>
      <w:r w:rsidR="00A045FE" w:rsidRPr="00A045FE">
        <w:rPr>
          <w:i/>
          <w:iCs/>
        </w:rPr>
        <w:t>being able</w:t>
      </w:r>
      <w:r w:rsidRPr="00A045FE">
        <w:rPr>
          <w:i/>
          <w:iCs/>
        </w:rPr>
        <w:t xml:space="preserve"> to add or remove clinics and providers from an individual’s reporting rights, some report totals may be changed based </w:t>
      </w:r>
      <w:r w:rsidR="00A045FE" w:rsidRPr="00A045FE">
        <w:rPr>
          <w:i/>
          <w:iCs/>
        </w:rPr>
        <w:t>on</w:t>
      </w:r>
      <w:r w:rsidRPr="00A045FE">
        <w:rPr>
          <w:i/>
          <w:iCs/>
        </w:rPr>
        <w:t xml:space="preserve"> the rights assigned to the </w:t>
      </w:r>
      <w:r w:rsidR="00A045FE" w:rsidRPr="00A045FE">
        <w:rPr>
          <w:i/>
          <w:iCs/>
        </w:rPr>
        <w:t>user</w:t>
      </w:r>
      <w:r w:rsidRPr="00A045FE">
        <w:rPr>
          <w:i/>
          <w:iCs/>
        </w:rPr>
        <w:t xml:space="preserve"> running the report. Selecting “all clinics and all providers” gives the user the ability to see all current clinics and providers as well as any added in the future.</w:t>
      </w:r>
    </w:p>
    <w:p w14:paraId="62E6293F" w14:textId="3FA7971D" w:rsidR="00A045FE" w:rsidRDefault="00A045FE" w:rsidP="00A045FE">
      <w:pPr>
        <w:pStyle w:val="BodyText"/>
        <w:numPr>
          <w:ilvl w:val="0"/>
          <w:numId w:val="156"/>
        </w:numPr>
      </w:pPr>
      <w:r>
        <w:t xml:space="preserve">Click </w:t>
      </w:r>
      <w:r w:rsidRPr="00A045FE">
        <w:rPr>
          <w:b/>
          <w:bCs/>
        </w:rPr>
        <w:t>Save</w:t>
      </w:r>
      <w:r>
        <w:t>.</w:t>
      </w:r>
    </w:p>
    <w:p w14:paraId="1B5CFC11" w14:textId="02A4E09F" w:rsidR="00A045FE" w:rsidRPr="00A045FE" w:rsidRDefault="00A045FE" w:rsidP="00A045FE">
      <w:pPr>
        <w:pStyle w:val="BodyText"/>
        <w:rPr>
          <w:i/>
          <w:iCs/>
        </w:rPr>
      </w:pPr>
      <w:r w:rsidRPr="00A045FE">
        <w:rPr>
          <w:b/>
          <w:bCs/>
          <w:i/>
          <w:iCs/>
        </w:rPr>
        <w:t>Tip</w:t>
      </w:r>
      <w:r w:rsidRPr="00A045FE">
        <w:rPr>
          <w:i/>
          <w:iCs/>
        </w:rPr>
        <w:t xml:space="preserve">: If you have multiple employees with the same level of security, click </w:t>
      </w:r>
      <w:r w:rsidRPr="00A045FE">
        <w:rPr>
          <w:b/>
          <w:bCs/>
          <w:i/>
          <w:iCs/>
        </w:rPr>
        <w:t>Copy User Security</w:t>
      </w:r>
      <w:r w:rsidRPr="00A045FE">
        <w:rPr>
          <w:i/>
          <w:iCs/>
        </w:rPr>
        <w:t xml:space="preserve"> to select the user from which you want to copy settings.</w:t>
      </w:r>
    </w:p>
    <w:p w14:paraId="42B37C38" w14:textId="43CE0405" w:rsidR="00FF6EC3" w:rsidRDefault="009473AD" w:rsidP="00D42C5A">
      <w:pPr>
        <w:pStyle w:val="Heading3"/>
      </w:pPr>
      <w:bookmarkStart w:id="236" w:name="_Toc135416745"/>
      <w:bookmarkStart w:id="237" w:name="_Toc146183352"/>
      <w:r w:rsidRPr="3BF7DB7F">
        <w:t>Definitions</w:t>
      </w:r>
      <w:bookmarkEnd w:id="233"/>
      <w:bookmarkEnd w:id="236"/>
      <w:bookmarkEnd w:id="237"/>
    </w:p>
    <w:p w14:paraId="236D4C8A" w14:textId="1372C12D" w:rsidR="009473AD" w:rsidRDefault="009473AD" w:rsidP="00FF6EC3">
      <w:pPr>
        <w:pStyle w:val="BodyText"/>
      </w:pPr>
      <w:r w:rsidRPr="3BF7DB7F">
        <w:t xml:space="preserve">Definitions are user-defined options available throughout the system. There are over 45 pre-defined types </w:t>
      </w:r>
      <w:r w:rsidR="00A045FE">
        <w:t>you can customize</w:t>
      </w:r>
      <w:r w:rsidRPr="3BF7DB7F">
        <w:t xml:space="preserve">. Definitions standardize what is selected and then reported on. </w:t>
      </w:r>
    </w:p>
    <w:p w14:paraId="69753C44" w14:textId="77777777" w:rsidR="00A045FE" w:rsidRDefault="009473AD" w:rsidP="00FF6EC3">
      <w:pPr>
        <w:pStyle w:val="BodyText"/>
      </w:pPr>
      <w:r w:rsidRPr="00A045FE">
        <w:rPr>
          <w:b/>
          <w:bCs/>
        </w:rPr>
        <w:t>Operations Insight</w:t>
      </w:r>
      <w:r w:rsidR="00A045FE">
        <w:t>:</w:t>
      </w:r>
      <w:r w:rsidRPr="4F5CD447">
        <w:rPr>
          <w:i/>
          <w:iCs/>
        </w:rPr>
        <w:t xml:space="preserve"> </w:t>
      </w:r>
      <w:r w:rsidRPr="4F5CD447">
        <w:t>Dentrix Enterprise assigns the definition number to a patient not the customizable description. Before customizing definitions be sure they have not been linked to patients. Modifying the text description of a definition will change that definition for all patients to whom the definition has been assigned. These pre-defined tables standardize what is selected and then reported on.</w:t>
      </w:r>
    </w:p>
    <w:p w14:paraId="331E0B79" w14:textId="2055E110" w:rsidR="009473AD" w:rsidRPr="00A045FE" w:rsidRDefault="00A045FE" w:rsidP="00FF6EC3">
      <w:pPr>
        <w:pStyle w:val="BodyText"/>
        <w:rPr>
          <w:i/>
          <w:iCs/>
        </w:rPr>
      </w:pPr>
      <w:r w:rsidRPr="00A045FE">
        <w:rPr>
          <w:b/>
          <w:bCs/>
          <w:i/>
          <w:iCs/>
        </w:rPr>
        <w:t>Note</w:t>
      </w:r>
      <w:r w:rsidRPr="00A045FE">
        <w:rPr>
          <w:i/>
          <w:iCs/>
        </w:rPr>
        <w:t xml:space="preserve">: </w:t>
      </w:r>
      <w:r w:rsidR="009473AD" w:rsidRPr="00A045FE">
        <w:rPr>
          <w:i/>
          <w:iCs/>
        </w:rPr>
        <w:t>Deleting a definition can cause skips in the definition numbering sequence</w:t>
      </w:r>
      <w:r w:rsidRPr="00A045FE">
        <w:rPr>
          <w:i/>
          <w:iCs/>
        </w:rPr>
        <w:t>,</w:t>
      </w:r>
      <w:r w:rsidR="009473AD" w:rsidRPr="00A045FE">
        <w:rPr>
          <w:i/>
          <w:iCs/>
        </w:rPr>
        <w:t xml:space="preserve"> and these skips can lead to data corruption. Contact Support if you need assistance with changing</w:t>
      </w:r>
      <w:r w:rsidRPr="00A045FE">
        <w:rPr>
          <w:i/>
          <w:iCs/>
        </w:rPr>
        <w:t xml:space="preserve"> or </w:t>
      </w:r>
      <w:r w:rsidR="009473AD" w:rsidRPr="00A045FE">
        <w:rPr>
          <w:i/>
          <w:iCs/>
        </w:rPr>
        <w:t>removing the definitions.</w:t>
      </w:r>
    </w:p>
    <w:p w14:paraId="72F7520D" w14:textId="77777777" w:rsidR="00FF6EC3" w:rsidRPr="00FF6EC3" w:rsidRDefault="009473AD" w:rsidP="00D42C5A">
      <w:pPr>
        <w:pStyle w:val="Heading3"/>
      </w:pPr>
      <w:bookmarkStart w:id="238" w:name="_Toc135416746"/>
      <w:bookmarkStart w:id="239" w:name="_Toc146183353"/>
      <w:r w:rsidRPr="3BF7DB7F">
        <w:lastRenderedPageBreak/>
        <w:t>Procedure Code Setup</w:t>
      </w:r>
      <w:bookmarkEnd w:id="238"/>
      <w:bookmarkEnd w:id="239"/>
    </w:p>
    <w:p w14:paraId="7D9F0528" w14:textId="39205388" w:rsidR="009473AD" w:rsidRPr="00F3166B" w:rsidRDefault="009473AD" w:rsidP="00F3166B">
      <w:pPr>
        <w:pStyle w:val="BodyText"/>
        <w:rPr>
          <w:b/>
          <w:bCs/>
        </w:rPr>
      </w:pPr>
      <w:r w:rsidRPr="3BF7DB7F">
        <w:t xml:space="preserve">Dentrix Enterprise comes with all current ADA-CDT codes. You </w:t>
      </w:r>
      <w:r w:rsidR="00A045FE">
        <w:t>can</w:t>
      </w:r>
      <w:r w:rsidRPr="3BF7DB7F">
        <w:t xml:space="preserve"> customize certain options and add custom procedure codes for products and services to fit the needs of your organization. All codes and their settings are used for all clinics within the organization.  </w:t>
      </w:r>
    </w:p>
    <w:p w14:paraId="5895C252" w14:textId="28315702" w:rsidR="009473AD" w:rsidRDefault="009473AD" w:rsidP="00F3166B">
      <w:pPr>
        <w:pStyle w:val="BodyText"/>
      </w:pPr>
      <w:r w:rsidRPr="00E24945">
        <w:t>Review the following information</w:t>
      </w:r>
      <w:r w:rsidR="00A045FE">
        <w:t>:</w:t>
      </w:r>
    </w:p>
    <w:p w14:paraId="044CA81F" w14:textId="779CAEC0" w:rsidR="009473AD" w:rsidRDefault="009473AD">
      <w:pPr>
        <w:pStyle w:val="BodyText"/>
        <w:numPr>
          <w:ilvl w:val="0"/>
          <w:numId w:val="87"/>
        </w:numPr>
        <w:ind w:left="540"/>
      </w:pPr>
      <w:r w:rsidRPr="00F3166B">
        <w:rPr>
          <w:b/>
          <w:bCs/>
        </w:rPr>
        <w:t>Patient Friendly Description</w:t>
      </w:r>
      <w:r w:rsidRPr="4F5CD447">
        <w:t xml:space="preserve"> – This patient</w:t>
      </w:r>
      <w:r w:rsidR="00A045FE">
        <w:t>-</w:t>
      </w:r>
      <w:r w:rsidRPr="4F5CD447">
        <w:t xml:space="preserve">friendly language will be used in place of the dental terminology on treatment plans if the option </w:t>
      </w:r>
      <w:r w:rsidR="00A045FE">
        <w:t xml:space="preserve">to allow that </w:t>
      </w:r>
      <w:r w:rsidRPr="4F5CD447">
        <w:t>is selected in the treatment plan setup. It can be helpful to customize this information and make it patient friendly to facilitate comprehension for patients.</w:t>
      </w:r>
    </w:p>
    <w:p w14:paraId="0BDA690F" w14:textId="421A9BC9" w:rsidR="009473AD" w:rsidRDefault="009473AD">
      <w:pPr>
        <w:pStyle w:val="BodyText"/>
        <w:numPr>
          <w:ilvl w:val="0"/>
          <w:numId w:val="87"/>
        </w:numPr>
        <w:ind w:left="540"/>
      </w:pPr>
      <w:r w:rsidRPr="00F3166B">
        <w:rPr>
          <w:b/>
          <w:bCs/>
        </w:rPr>
        <w:t>ADA Code</w:t>
      </w:r>
      <w:r w:rsidRPr="00E24945">
        <w:t xml:space="preserve"> </w:t>
      </w:r>
      <w:r w:rsidR="00A045FE">
        <w:t>–</w:t>
      </w:r>
      <w:r w:rsidRPr="00E24945">
        <w:t xml:space="preserve"> The standard ADA code is displayed for the procedure in most of the Dentrix Enterprise modules. It is also used to print some reports by procedure range.</w:t>
      </w:r>
      <w:r w:rsidR="00A045FE">
        <w:t xml:space="preserve"> </w:t>
      </w:r>
      <w:r w:rsidRPr="00E24945">
        <w:t>All ADA codes are included with Dentrix Enterprise when the program is first installed.</w:t>
      </w:r>
    </w:p>
    <w:p w14:paraId="54FD15FA" w14:textId="40DA17FC" w:rsidR="009473AD" w:rsidRDefault="009473AD">
      <w:pPr>
        <w:pStyle w:val="BodyText"/>
        <w:numPr>
          <w:ilvl w:val="0"/>
          <w:numId w:val="87"/>
        </w:numPr>
        <w:ind w:left="540"/>
      </w:pPr>
      <w:r w:rsidRPr="00F3166B">
        <w:rPr>
          <w:b/>
          <w:bCs/>
        </w:rPr>
        <w:t>Abbrev Desc</w:t>
      </w:r>
      <w:r w:rsidRPr="4F5CD447">
        <w:t xml:space="preserve"> </w:t>
      </w:r>
      <w:r w:rsidR="00A045FE">
        <w:t>–</w:t>
      </w:r>
      <w:r w:rsidRPr="4F5CD447">
        <w:t xml:space="preserve"> The abbreviated description is displayed in the Appointment Book as the description when a procedure is scheduled. </w:t>
      </w:r>
    </w:p>
    <w:p w14:paraId="0C40F423" w14:textId="0B46CFD1" w:rsidR="009473AD" w:rsidRDefault="009473AD">
      <w:pPr>
        <w:pStyle w:val="BodyText"/>
        <w:numPr>
          <w:ilvl w:val="0"/>
          <w:numId w:val="87"/>
        </w:numPr>
        <w:ind w:left="540"/>
      </w:pPr>
      <w:r w:rsidRPr="00F3166B">
        <w:rPr>
          <w:b/>
          <w:bCs/>
        </w:rPr>
        <w:t>Treatment Area</w:t>
      </w:r>
      <w:r w:rsidR="00F3166B">
        <w:t xml:space="preserve"> </w:t>
      </w:r>
      <w:r w:rsidR="00A045FE">
        <w:t>–</w:t>
      </w:r>
      <w:r w:rsidRPr="4F5CD447">
        <w:t xml:space="preserve"> This regulates the information </w:t>
      </w:r>
      <w:r w:rsidR="00A045FE">
        <w:t xml:space="preserve">that is </w:t>
      </w:r>
      <w:r w:rsidRPr="4F5CD447">
        <w:t xml:space="preserve">required for a procedure code. For example, if tooth is selected, a tooth number would be required when </w:t>
      </w:r>
      <w:r w:rsidR="00A045FE">
        <w:t xml:space="preserve">you use </w:t>
      </w:r>
      <w:r w:rsidRPr="4F5CD447">
        <w:t xml:space="preserve">the code.  </w:t>
      </w:r>
    </w:p>
    <w:p w14:paraId="32E28DCD" w14:textId="6BDD4507" w:rsidR="009473AD" w:rsidRDefault="009473AD">
      <w:pPr>
        <w:pStyle w:val="BodyText"/>
        <w:numPr>
          <w:ilvl w:val="0"/>
          <w:numId w:val="87"/>
        </w:numPr>
        <w:ind w:left="540"/>
      </w:pPr>
      <w:r w:rsidRPr="00F3166B">
        <w:rPr>
          <w:b/>
          <w:bCs/>
        </w:rPr>
        <w:t>Treatment Flag</w:t>
      </w:r>
      <w:r w:rsidRPr="4F5CD447">
        <w:t xml:space="preserve">s </w:t>
      </w:r>
      <w:r w:rsidR="00A045FE">
        <w:t>–</w:t>
      </w:r>
      <w:r w:rsidRPr="4F5CD447">
        <w:t xml:space="preserve"> Select the </w:t>
      </w:r>
      <w:r w:rsidR="00A045FE">
        <w:t>applicable</w:t>
      </w:r>
      <w:r w:rsidRPr="4F5CD447">
        <w:t xml:space="preserve"> treatment flags for the procedure to indicate how the procedure will be handled in certain situations.  </w:t>
      </w:r>
    </w:p>
    <w:p w14:paraId="3866B5F5" w14:textId="0B4ADFC4" w:rsidR="009473AD" w:rsidRDefault="009473AD">
      <w:pPr>
        <w:pStyle w:val="BodyText"/>
        <w:numPr>
          <w:ilvl w:val="0"/>
          <w:numId w:val="87"/>
        </w:numPr>
        <w:ind w:left="540"/>
      </w:pPr>
      <w:r w:rsidRPr="00F3166B">
        <w:rPr>
          <w:b/>
          <w:bCs/>
        </w:rPr>
        <w:t>Show in Chart</w:t>
      </w:r>
      <w:r w:rsidRPr="4F5CD447">
        <w:t xml:space="preserve"> </w:t>
      </w:r>
      <w:r w:rsidR="00A045FE">
        <w:t>–</w:t>
      </w:r>
      <w:r w:rsidRPr="4F5CD447">
        <w:t xml:space="preserve"> The procedure will be listed for the corresponding procedure code category button in Chart.</w:t>
      </w:r>
    </w:p>
    <w:p w14:paraId="575F5297" w14:textId="2DC33E70" w:rsidR="009473AD" w:rsidRPr="00A045FE" w:rsidRDefault="009473AD" w:rsidP="00F3166B">
      <w:pPr>
        <w:pStyle w:val="BodyText"/>
        <w:ind w:left="540"/>
        <w:rPr>
          <w:i/>
          <w:iCs/>
        </w:rPr>
      </w:pPr>
      <w:r w:rsidRPr="00A045FE">
        <w:rPr>
          <w:b/>
          <w:bCs/>
          <w:i/>
          <w:iCs/>
        </w:rPr>
        <w:t xml:space="preserve">Workflow </w:t>
      </w:r>
      <w:r w:rsidR="00A045FE" w:rsidRPr="00A045FE">
        <w:rPr>
          <w:b/>
          <w:bCs/>
          <w:i/>
          <w:iCs/>
        </w:rPr>
        <w:t>I</w:t>
      </w:r>
      <w:r w:rsidRPr="00A045FE">
        <w:rPr>
          <w:b/>
          <w:bCs/>
          <w:i/>
          <w:iCs/>
        </w:rPr>
        <w:t>nsight</w:t>
      </w:r>
      <w:r w:rsidR="00A045FE" w:rsidRPr="00A045FE">
        <w:rPr>
          <w:i/>
          <w:iCs/>
        </w:rPr>
        <w:t>:</w:t>
      </w:r>
      <w:r w:rsidR="00DA55E0">
        <w:rPr>
          <w:i/>
          <w:iCs/>
        </w:rPr>
        <w:t xml:space="preserve"> The</w:t>
      </w:r>
      <w:r w:rsidRPr="00A045FE">
        <w:rPr>
          <w:i/>
          <w:iCs/>
        </w:rPr>
        <w:t xml:space="preserve"> </w:t>
      </w:r>
      <w:r w:rsidRPr="00A045FE">
        <w:rPr>
          <w:b/>
          <w:bCs/>
          <w:i/>
          <w:iCs/>
        </w:rPr>
        <w:t xml:space="preserve">Show in </w:t>
      </w:r>
      <w:r w:rsidR="00A045FE" w:rsidRPr="00A045FE">
        <w:rPr>
          <w:b/>
          <w:bCs/>
          <w:i/>
          <w:iCs/>
        </w:rPr>
        <w:t>C</w:t>
      </w:r>
      <w:r w:rsidRPr="00A045FE">
        <w:rPr>
          <w:b/>
          <w:bCs/>
          <w:i/>
          <w:iCs/>
        </w:rPr>
        <w:t>hart</w:t>
      </w:r>
      <w:r w:rsidRPr="00A045FE">
        <w:rPr>
          <w:i/>
          <w:iCs/>
        </w:rPr>
        <w:t xml:space="preserve"> </w:t>
      </w:r>
      <w:r w:rsidR="00DA55E0">
        <w:rPr>
          <w:i/>
          <w:iCs/>
        </w:rPr>
        <w:t xml:space="preserve">option </w:t>
      </w:r>
      <w:r w:rsidRPr="00A045FE">
        <w:rPr>
          <w:i/>
          <w:iCs/>
        </w:rPr>
        <w:t xml:space="preserve">supports clinical workflows by sorting the procedure codes that are commonly used in your organization and making them easier to access in </w:t>
      </w:r>
      <w:r w:rsidR="00A045FE" w:rsidRPr="00A045FE">
        <w:rPr>
          <w:i/>
          <w:iCs/>
        </w:rPr>
        <w:t>C</w:t>
      </w:r>
      <w:r w:rsidRPr="00A045FE">
        <w:rPr>
          <w:i/>
          <w:iCs/>
        </w:rPr>
        <w:t>hart.</w:t>
      </w:r>
    </w:p>
    <w:p w14:paraId="7EF05BD8" w14:textId="097DA8C0" w:rsidR="009473AD" w:rsidRPr="00DA55E0" w:rsidRDefault="009473AD" w:rsidP="00F3166B">
      <w:pPr>
        <w:pStyle w:val="BodyText"/>
        <w:ind w:left="540"/>
        <w:rPr>
          <w:i/>
          <w:iCs/>
        </w:rPr>
      </w:pPr>
      <w:r w:rsidRPr="00DA55E0">
        <w:rPr>
          <w:b/>
          <w:bCs/>
          <w:i/>
          <w:iCs/>
        </w:rPr>
        <w:t>Operation Insight</w:t>
      </w:r>
      <w:r w:rsidR="00A045FE" w:rsidRPr="00DA55E0">
        <w:rPr>
          <w:i/>
          <w:iCs/>
        </w:rPr>
        <w:t>:</w:t>
      </w:r>
      <w:r w:rsidRPr="00DA55E0">
        <w:rPr>
          <w:i/>
          <w:iCs/>
        </w:rPr>
        <w:t xml:space="preserve"> Running the </w:t>
      </w:r>
      <w:r w:rsidR="00A045FE" w:rsidRPr="00DA55E0">
        <w:rPr>
          <w:i/>
          <w:iCs/>
        </w:rPr>
        <w:t>P</w:t>
      </w:r>
      <w:r w:rsidRPr="00DA55E0">
        <w:rPr>
          <w:i/>
          <w:iCs/>
        </w:rPr>
        <w:t xml:space="preserve">roduction </w:t>
      </w:r>
      <w:r w:rsidR="00A045FE" w:rsidRPr="00DA55E0">
        <w:rPr>
          <w:i/>
          <w:iCs/>
        </w:rPr>
        <w:t>S</w:t>
      </w:r>
      <w:r w:rsidRPr="00DA55E0">
        <w:rPr>
          <w:i/>
          <w:iCs/>
        </w:rPr>
        <w:t>ummary</w:t>
      </w:r>
      <w:r w:rsidR="00A045FE" w:rsidRPr="00DA55E0">
        <w:rPr>
          <w:i/>
          <w:iCs/>
        </w:rPr>
        <w:t xml:space="preserve"> Re</w:t>
      </w:r>
      <w:r w:rsidRPr="00DA55E0">
        <w:rPr>
          <w:i/>
          <w:iCs/>
        </w:rPr>
        <w:t xml:space="preserve">port for all clinics, by ADA code, </w:t>
      </w:r>
      <w:r w:rsidR="00A045FE" w:rsidRPr="00DA55E0">
        <w:rPr>
          <w:i/>
          <w:iCs/>
        </w:rPr>
        <w:t xml:space="preserve">and </w:t>
      </w:r>
      <w:r w:rsidRPr="00DA55E0">
        <w:rPr>
          <w:i/>
          <w:iCs/>
        </w:rPr>
        <w:t>for the last year or two provides helpful insight into which codes would support workflows across the organization.</w:t>
      </w:r>
    </w:p>
    <w:p w14:paraId="66006A5F" w14:textId="70544540" w:rsidR="009473AD" w:rsidRDefault="009473AD">
      <w:pPr>
        <w:pStyle w:val="BodyText"/>
        <w:numPr>
          <w:ilvl w:val="0"/>
          <w:numId w:val="87"/>
        </w:numPr>
        <w:ind w:left="540"/>
      </w:pPr>
      <w:r w:rsidRPr="00F3166B">
        <w:rPr>
          <w:b/>
          <w:bCs/>
        </w:rPr>
        <w:t>Auto Continuing Car</w:t>
      </w:r>
      <w:r w:rsidRPr="4F5CD447">
        <w:t>e – When a procedure with a continuing care type attached to</w:t>
      </w:r>
      <w:r w:rsidR="00DA55E0">
        <w:t xml:space="preserve"> it</w:t>
      </w:r>
      <w:r w:rsidRPr="4F5CD447">
        <w:t xml:space="preserve"> is completed, Dentrix Enterprise automatically adds the continuing care type to the patient and/or updates that patient’s continuing care due date.  </w:t>
      </w:r>
    </w:p>
    <w:p w14:paraId="38FDB6EC" w14:textId="77777777" w:rsidR="009473AD" w:rsidRDefault="009473AD">
      <w:pPr>
        <w:pStyle w:val="BodyText"/>
        <w:numPr>
          <w:ilvl w:val="0"/>
          <w:numId w:val="87"/>
        </w:numPr>
        <w:ind w:left="540"/>
      </w:pPr>
      <w:r w:rsidRPr="00F3166B">
        <w:rPr>
          <w:b/>
          <w:bCs/>
        </w:rPr>
        <w:t>Procedure Time</w:t>
      </w:r>
      <w:r w:rsidRPr="4F5CD447">
        <w:t xml:space="preserve"> – This allows you to specify how many default units of time are assigned to a procedure code when it is scheduled.  </w:t>
      </w:r>
    </w:p>
    <w:p w14:paraId="785F5199" w14:textId="7FF67CCC" w:rsidR="009473AD" w:rsidRPr="00DA55E0" w:rsidRDefault="009473AD" w:rsidP="00F3166B">
      <w:pPr>
        <w:pStyle w:val="BodyText"/>
        <w:ind w:left="540"/>
        <w:rPr>
          <w:i/>
          <w:iCs/>
        </w:rPr>
      </w:pPr>
      <w:r w:rsidRPr="00DA55E0">
        <w:rPr>
          <w:b/>
          <w:bCs/>
          <w:i/>
          <w:iCs/>
        </w:rPr>
        <w:t xml:space="preserve">Workflow </w:t>
      </w:r>
      <w:r w:rsidR="00DA55E0" w:rsidRPr="00DA55E0">
        <w:rPr>
          <w:b/>
          <w:bCs/>
          <w:i/>
          <w:iCs/>
        </w:rPr>
        <w:t>I</w:t>
      </w:r>
      <w:r w:rsidRPr="00DA55E0">
        <w:rPr>
          <w:b/>
          <w:bCs/>
          <w:i/>
          <w:iCs/>
        </w:rPr>
        <w:t>nsight</w:t>
      </w:r>
      <w:r w:rsidRPr="00DA55E0">
        <w:rPr>
          <w:i/>
          <w:iCs/>
        </w:rPr>
        <w:t xml:space="preserve">: </w:t>
      </w:r>
      <w:r w:rsidR="00DA55E0" w:rsidRPr="00DA55E0">
        <w:rPr>
          <w:i/>
          <w:iCs/>
        </w:rPr>
        <w:t>S</w:t>
      </w:r>
      <w:r w:rsidRPr="00DA55E0">
        <w:rPr>
          <w:i/>
          <w:iCs/>
        </w:rPr>
        <w:t>et up the time pattern for each unit (chair time, assistant’s time, or provider’s time) to help you make use of all operatories when scheduling appointments and maximize your productivity.</w:t>
      </w:r>
    </w:p>
    <w:p w14:paraId="7BCA60ED" w14:textId="5168D4CD" w:rsidR="009473AD" w:rsidRDefault="009473AD">
      <w:pPr>
        <w:pStyle w:val="BodyText"/>
        <w:numPr>
          <w:ilvl w:val="0"/>
          <w:numId w:val="87"/>
        </w:numPr>
        <w:ind w:left="540"/>
      </w:pPr>
      <w:r w:rsidRPr="00F3166B">
        <w:rPr>
          <w:b/>
          <w:bCs/>
        </w:rPr>
        <w:t>Procedure Code Category</w:t>
      </w:r>
      <w:r w:rsidRPr="4F5CD447">
        <w:t xml:space="preserve"> </w:t>
      </w:r>
      <w:r w:rsidR="00DA55E0">
        <w:t>–</w:t>
      </w:r>
      <w:r w:rsidRPr="4F5CD447">
        <w:t xml:space="preserve"> Select the </w:t>
      </w:r>
      <w:r w:rsidR="00DA55E0">
        <w:t>applicable</w:t>
      </w:r>
      <w:r w:rsidRPr="4F5CD447">
        <w:t xml:space="preserve"> category for this procedure code. In Practice Definitions, you can customize the procedure categories to fit your practice</w:t>
      </w:r>
      <w:r w:rsidR="00DA55E0">
        <w:t>’</w:t>
      </w:r>
      <w:r w:rsidRPr="4F5CD447">
        <w:t xml:space="preserve">s needs. </w:t>
      </w:r>
    </w:p>
    <w:p w14:paraId="1DF5582A" w14:textId="30E14EC9" w:rsidR="009473AD" w:rsidRPr="00DA55E0" w:rsidRDefault="009473AD" w:rsidP="00F3166B">
      <w:pPr>
        <w:pStyle w:val="BodyText"/>
        <w:ind w:left="540"/>
        <w:rPr>
          <w:i/>
          <w:iCs/>
        </w:rPr>
      </w:pPr>
      <w:r w:rsidRPr="00DA55E0">
        <w:rPr>
          <w:b/>
          <w:bCs/>
          <w:i/>
          <w:iCs/>
        </w:rPr>
        <w:t>Operation Insight</w:t>
      </w:r>
      <w:r w:rsidR="00DA55E0" w:rsidRPr="00DA55E0">
        <w:rPr>
          <w:i/>
          <w:iCs/>
        </w:rPr>
        <w:t>:</w:t>
      </w:r>
      <w:r w:rsidRPr="00DA55E0">
        <w:rPr>
          <w:i/>
          <w:iCs/>
        </w:rPr>
        <w:t xml:space="preserve"> You cannot delete a procedure code</w:t>
      </w:r>
      <w:r w:rsidR="00DA55E0" w:rsidRPr="00DA55E0">
        <w:rPr>
          <w:i/>
          <w:iCs/>
        </w:rPr>
        <w:t>. I</w:t>
      </w:r>
      <w:r w:rsidRPr="00DA55E0">
        <w:rPr>
          <w:i/>
          <w:iCs/>
        </w:rPr>
        <w:t>f you no longer need or want to use a certain procedure code, you can invalidate</w:t>
      </w:r>
      <w:r w:rsidR="00DA55E0" w:rsidRPr="00DA55E0">
        <w:rPr>
          <w:i/>
          <w:iCs/>
        </w:rPr>
        <w:t xml:space="preserve"> it</w:t>
      </w:r>
      <w:r w:rsidRPr="00DA55E0">
        <w:rPr>
          <w:i/>
          <w:iCs/>
        </w:rPr>
        <w:t xml:space="preserve"> </w:t>
      </w:r>
      <w:r w:rsidR="00DA55E0" w:rsidRPr="00DA55E0">
        <w:rPr>
          <w:i/>
          <w:iCs/>
        </w:rPr>
        <w:t>(this option is available for version 11.0 and later)</w:t>
      </w:r>
      <w:r w:rsidRPr="00DA55E0">
        <w:rPr>
          <w:i/>
          <w:iCs/>
        </w:rPr>
        <w:t>.</w:t>
      </w:r>
    </w:p>
    <w:p w14:paraId="684404AB" w14:textId="42DCCDB1" w:rsidR="009473AD" w:rsidRDefault="009473AD">
      <w:pPr>
        <w:pStyle w:val="BodyText"/>
        <w:numPr>
          <w:ilvl w:val="0"/>
          <w:numId w:val="87"/>
        </w:numPr>
        <w:ind w:left="540"/>
      </w:pPr>
      <w:r w:rsidRPr="00F3166B">
        <w:rPr>
          <w:b/>
          <w:bCs/>
        </w:rPr>
        <w:t>Appointment Type</w:t>
      </w:r>
      <w:r w:rsidRPr="4F5CD447">
        <w:t xml:space="preserve"> – These work closely with </w:t>
      </w:r>
      <w:r w:rsidR="00DA55E0">
        <w:t>t</w:t>
      </w:r>
      <w:r w:rsidRPr="4F5CD447">
        <w:t>ime block scheduling. By giving each procedure a specific appointment type, you can schedule your work to meet daily and weekly goals and keep your office flowing smoothly.</w:t>
      </w:r>
    </w:p>
    <w:p w14:paraId="147403EB" w14:textId="000006CC" w:rsidR="009473AD" w:rsidRPr="00E24945" w:rsidRDefault="009473AD">
      <w:pPr>
        <w:pStyle w:val="BodyText"/>
        <w:numPr>
          <w:ilvl w:val="0"/>
          <w:numId w:val="87"/>
        </w:numPr>
        <w:ind w:left="540"/>
      </w:pPr>
      <w:r w:rsidRPr="00F3166B">
        <w:rPr>
          <w:b/>
          <w:bCs/>
        </w:rPr>
        <w:t>Educational Video</w:t>
      </w:r>
      <w:r w:rsidRPr="4F5CD447">
        <w:t xml:space="preserve"> – </w:t>
      </w:r>
      <w:r w:rsidR="00F3166B">
        <w:t>A</w:t>
      </w:r>
      <w:r w:rsidRPr="4F5CD447">
        <w:t>dd a hyperlink for an educational vi</w:t>
      </w:r>
      <w:r>
        <w:t xml:space="preserve">deo specific to the procedure. </w:t>
      </w:r>
      <w:r w:rsidRPr="4F5CD447">
        <w:t xml:space="preserve">The link will be available when </w:t>
      </w:r>
      <w:r w:rsidR="00DA55E0">
        <w:t>the</w:t>
      </w:r>
      <w:r w:rsidRPr="4F5CD447">
        <w:t xml:space="preserve"> procedure</w:t>
      </w:r>
      <w:r w:rsidR="00DA55E0">
        <w:t xml:space="preserve"> has</w:t>
      </w:r>
      <w:r w:rsidRPr="4F5CD447">
        <w:t xml:space="preserve"> a treatment-planned status.</w:t>
      </w:r>
    </w:p>
    <w:p w14:paraId="351F8D3A" w14:textId="470516CE" w:rsidR="00FF6EC3" w:rsidRDefault="009473AD" w:rsidP="00D42C5A">
      <w:pPr>
        <w:pStyle w:val="Heading3"/>
      </w:pPr>
      <w:bookmarkStart w:id="240" w:name="_Toc135416747"/>
      <w:bookmarkStart w:id="241" w:name="_Toc146183354"/>
      <w:r w:rsidRPr="2A71C1FC">
        <w:lastRenderedPageBreak/>
        <w:t>Continuing Care</w:t>
      </w:r>
      <w:bookmarkEnd w:id="240"/>
      <w:bookmarkEnd w:id="241"/>
    </w:p>
    <w:p w14:paraId="3E72DCD1" w14:textId="445DC0BC" w:rsidR="009473AD" w:rsidRPr="00454D84" w:rsidRDefault="00DA55E0" w:rsidP="00454D84">
      <w:pPr>
        <w:pStyle w:val="BodyText"/>
        <w:rPr>
          <w:b/>
          <w:bCs/>
        </w:rPr>
      </w:pPr>
      <w:r>
        <w:t xml:space="preserve">You can use </w:t>
      </w:r>
      <w:r w:rsidR="009473AD" w:rsidRPr="2A71C1FC">
        <w:t xml:space="preserve">Continuing </w:t>
      </w:r>
      <w:r>
        <w:t>C</w:t>
      </w:r>
      <w:r w:rsidR="009473AD" w:rsidRPr="2A71C1FC">
        <w:t xml:space="preserve">are to track preventive care that is typically carried out in a cycle. </w:t>
      </w:r>
      <w:r>
        <w:t xml:space="preserve">Continuing care </w:t>
      </w:r>
      <w:r w:rsidR="009473AD" w:rsidRPr="2A71C1FC">
        <w:t xml:space="preserve">types are defined with an interval and then linked to a code to trigger the start or recurrence of the cycle. Prophy, Perio Maintenance, and diagnostic images are the most common </w:t>
      </w:r>
      <w:r>
        <w:t>t</w:t>
      </w:r>
      <w:r w:rsidR="009473AD" w:rsidRPr="2A71C1FC">
        <w:t xml:space="preserve">ypes. </w:t>
      </w:r>
      <w:r>
        <w:t>You can run some r</w:t>
      </w:r>
      <w:r w:rsidR="009473AD" w:rsidRPr="2A71C1FC">
        <w:t xml:space="preserve">eports by </w:t>
      </w:r>
      <w:r>
        <w:t xml:space="preserve">continuing care </w:t>
      </w:r>
      <w:r w:rsidR="009473AD" w:rsidRPr="2A71C1FC">
        <w:t>type</w:t>
      </w:r>
      <w:r>
        <w:t>.</w:t>
      </w:r>
    </w:p>
    <w:p w14:paraId="640B1286" w14:textId="6EFE55D3" w:rsidR="009473AD" w:rsidRPr="00FF6EC3" w:rsidRDefault="00DA55E0" w:rsidP="00454D84">
      <w:pPr>
        <w:pStyle w:val="BodyText"/>
      </w:pPr>
      <w:r>
        <w:t>You can c</w:t>
      </w:r>
      <w:r w:rsidR="009473AD" w:rsidRPr="2A71C1FC">
        <w:t xml:space="preserve">ustomize Continuing Care </w:t>
      </w:r>
      <w:r>
        <w:t xml:space="preserve">by setting up </w:t>
      </w:r>
      <w:r w:rsidR="009473AD" w:rsidRPr="2A71C1FC">
        <w:t>Continuing Care views to create many different ways of looking at the continuing care information.</w:t>
      </w:r>
      <w:r>
        <w:t xml:space="preserve"> You can also use </w:t>
      </w:r>
      <w:proofErr w:type="gramStart"/>
      <w:r w:rsidR="009473AD" w:rsidRPr="2A71C1FC">
        <w:t>Scheduling</w:t>
      </w:r>
      <w:proofErr w:type="gramEnd"/>
      <w:r w:rsidR="009473AD" w:rsidRPr="2A71C1FC">
        <w:t xml:space="preserve"> Assistant to manage </w:t>
      </w:r>
      <w:r>
        <w:t>p</w:t>
      </w:r>
      <w:r w:rsidR="009473AD" w:rsidRPr="2A71C1FC">
        <w:t xml:space="preserve">atients on </w:t>
      </w:r>
      <w:r>
        <w:t>c</w:t>
      </w:r>
      <w:r w:rsidR="009473AD" w:rsidRPr="2A71C1FC">
        <w:t xml:space="preserve">ontinuing </w:t>
      </w:r>
      <w:r>
        <w:t>c</w:t>
      </w:r>
      <w:r w:rsidR="009473AD" w:rsidRPr="2A71C1FC">
        <w:t>are</w:t>
      </w:r>
      <w:r>
        <w:t>.</w:t>
      </w:r>
    </w:p>
    <w:p w14:paraId="68D85B0A" w14:textId="5A8DAAA6" w:rsidR="0084256E" w:rsidRPr="00D42C5A" w:rsidRDefault="009473AD" w:rsidP="00D42C5A">
      <w:pPr>
        <w:pStyle w:val="Heading3"/>
      </w:pPr>
      <w:bookmarkStart w:id="242" w:name="_Toc135416599"/>
      <w:bookmarkStart w:id="243" w:name="_Toc135416748"/>
      <w:bookmarkStart w:id="244" w:name="_Toc146183355"/>
      <w:r w:rsidRPr="00D42C5A">
        <w:rPr>
          <w:rStyle w:val="Heading1Char"/>
          <w:rFonts w:eastAsiaTheme="majorEastAsia"/>
          <w:b/>
          <w:bCs w:val="0"/>
          <w:kern w:val="0"/>
          <w:sz w:val="28"/>
          <w:szCs w:val="28"/>
        </w:rPr>
        <w:t>Appointment Book Setup</w:t>
      </w:r>
      <w:bookmarkEnd w:id="242"/>
      <w:bookmarkEnd w:id="243"/>
      <w:bookmarkEnd w:id="244"/>
    </w:p>
    <w:p w14:paraId="259D9919" w14:textId="1A028EFD" w:rsidR="009473AD" w:rsidRDefault="009473AD" w:rsidP="0084256E">
      <w:pPr>
        <w:pStyle w:val="BodyText"/>
      </w:pPr>
      <w:r w:rsidRPr="349A4F20">
        <w:t>Design your schedule to maximize your organization</w:t>
      </w:r>
      <w:r w:rsidR="00DA55E0">
        <w:t>’</w:t>
      </w:r>
      <w:r w:rsidRPr="349A4F20">
        <w:t>s need</w:t>
      </w:r>
      <w:r w:rsidR="00DA55E0">
        <w:t>s</w:t>
      </w:r>
      <w:r w:rsidRPr="349A4F20">
        <w:t xml:space="preserve">. Appointment Book </w:t>
      </w:r>
      <w:r w:rsidR="00DA55E0">
        <w:t>s</w:t>
      </w:r>
      <w:r w:rsidRPr="349A4F20">
        <w:t>etup consist of setting up standard defaults</w:t>
      </w:r>
      <w:r w:rsidR="00DA55E0">
        <w:t>,</w:t>
      </w:r>
      <w:r w:rsidRPr="349A4F20">
        <w:t xml:space="preserve"> such as hours of operation, </w:t>
      </w:r>
      <w:r w:rsidR="00DA55E0">
        <w:t>and</w:t>
      </w:r>
      <w:r w:rsidRPr="349A4F20">
        <w:t xml:space="preserve"> regular maintenance</w:t>
      </w:r>
      <w:r w:rsidR="00DA55E0">
        <w:t>,</w:t>
      </w:r>
      <w:r w:rsidRPr="349A4F20">
        <w:t xml:space="preserve"> such as </w:t>
      </w:r>
      <w:r w:rsidR="00DA55E0">
        <w:t>h</w:t>
      </w:r>
      <w:r w:rsidRPr="349A4F20">
        <w:t xml:space="preserve">olidays and </w:t>
      </w:r>
      <w:r w:rsidR="00DA55E0">
        <w:t>v</w:t>
      </w:r>
      <w:r w:rsidRPr="349A4F20">
        <w:t xml:space="preserve">acation time. Review </w:t>
      </w:r>
      <w:r w:rsidR="00DA55E0">
        <w:t>the “</w:t>
      </w:r>
      <w:r w:rsidRPr="349A4F20">
        <w:t>Schedule Optimization Management</w:t>
      </w:r>
      <w:r w:rsidR="00DA55E0">
        <w:t>” section</w:t>
      </w:r>
      <w:r w:rsidRPr="349A4F20">
        <w:t xml:space="preserve"> for strategic schedule maintenance</w:t>
      </w:r>
      <w:r w:rsidR="00DA55E0">
        <w:t>.</w:t>
      </w:r>
    </w:p>
    <w:p w14:paraId="7070E8CB" w14:textId="68703EC9" w:rsidR="009473AD" w:rsidRPr="0084256E" w:rsidRDefault="009473AD" w:rsidP="00454D84">
      <w:pPr>
        <w:pStyle w:val="BodyText"/>
      </w:pPr>
      <w:r w:rsidRPr="00454D84">
        <w:rPr>
          <w:color w:val="00B050"/>
        </w:rPr>
        <w:t>&lt;&lt;Insert Scheduling SOP/Guideline here&gt;&gt;</w:t>
      </w:r>
    </w:p>
    <w:p w14:paraId="69554E7B" w14:textId="7BF35EE8" w:rsidR="0084256E" w:rsidRDefault="009473AD" w:rsidP="00BC6868">
      <w:pPr>
        <w:pStyle w:val="Heading4"/>
      </w:pPr>
      <w:r w:rsidRPr="349A4F20">
        <w:t>Clinic Setup</w:t>
      </w:r>
    </w:p>
    <w:p w14:paraId="369F9980" w14:textId="1FF240A2" w:rsidR="009473AD" w:rsidRPr="00E24F38" w:rsidRDefault="00DA55E0" w:rsidP="0084256E">
      <w:pPr>
        <w:pStyle w:val="BodyText"/>
      </w:pPr>
      <w:r>
        <w:t xml:space="preserve">You can </w:t>
      </w:r>
      <w:r w:rsidR="009473AD" w:rsidRPr="349A4F20">
        <w:t xml:space="preserve">customize your practice hours, appointment defaults, and the time block size </w:t>
      </w:r>
      <w:r>
        <w:t xml:space="preserve">that is </w:t>
      </w:r>
      <w:r w:rsidR="009473AD" w:rsidRPr="349A4F20">
        <w:t>used throughout the program.</w:t>
      </w:r>
    </w:p>
    <w:p w14:paraId="23D090C1" w14:textId="77777777" w:rsidR="009473AD" w:rsidRPr="00E24F38" w:rsidRDefault="009473AD" w:rsidP="00BC6868">
      <w:pPr>
        <w:pStyle w:val="BodyText"/>
      </w:pPr>
      <w:r w:rsidRPr="349A4F20">
        <w:t>Set up the following options for each clinic:</w:t>
      </w:r>
    </w:p>
    <w:p w14:paraId="134DFA02" w14:textId="413A80C3" w:rsidR="009473AD" w:rsidRPr="00E24F38" w:rsidRDefault="009473AD">
      <w:pPr>
        <w:pStyle w:val="BodyText"/>
        <w:numPr>
          <w:ilvl w:val="0"/>
          <w:numId w:val="95"/>
        </w:numPr>
        <w:ind w:left="540"/>
      </w:pPr>
      <w:r w:rsidRPr="00BC6868">
        <w:rPr>
          <w:b/>
          <w:bCs/>
        </w:rPr>
        <w:t>Default Schedule</w:t>
      </w:r>
      <w:r w:rsidRPr="349A4F20">
        <w:t xml:space="preserve"> – Select the checkbox next to each day of the week </w:t>
      </w:r>
      <w:r w:rsidR="00DA55E0">
        <w:t xml:space="preserve">that </w:t>
      </w:r>
      <w:r w:rsidRPr="349A4F20">
        <w:t>the clinic is normally open. Also, you can break each day into three time ranges. To set the working hours for any day</w:t>
      </w:r>
      <w:r>
        <w:t>, click the day’s search button</w:t>
      </w:r>
      <w:r w:rsidRPr="349A4F20">
        <w:t>, and then enter the start and end times of each range that you want for that day.</w:t>
      </w:r>
    </w:p>
    <w:p w14:paraId="317CD38D" w14:textId="77777777" w:rsidR="009473AD" w:rsidRPr="00E24F38" w:rsidRDefault="009473AD">
      <w:pPr>
        <w:pStyle w:val="BodyText"/>
        <w:numPr>
          <w:ilvl w:val="0"/>
          <w:numId w:val="95"/>
        </w:numPr>
        <w:ind w:left="540"/>
      </w:pPr>
      <w:r w:rsidRPr="00BC6868">
        <w:rPr>
          <w:b/>
          <w:bCs/>
        </w:rPr>
        <w:t>Time Block Size</w:t>
      </w:r>
      <w:r w:rsidRPr="349A4F20">
        <w:t xml:space="preserve"> – You can schedule your appointments in 5-minute, 10-minute, 15-minute, 20-minute, or 30-minute intervals. </w:t>
      </w:r>
    </w:p>
    <w:p w14:paraId="1CCCA43D" w14:textId="3E113888" w:rsidR="009473AD" w:rsidRPr="00DA55E0" w:rsidRDefault="009473AD" w:rsidP="00BC6868">
      <w:pPr>
        <w:pStyle w:val="BodyText"/>
        <w:ind w:left="540"/>
        <w:rPr>
          <w:i/>
          <w:iCs/>
        </w:rPr>
      </w:pPr>
      <w:r w:rsidRPr="00DA55E0">
        <w:rPr>
          <w:b/>
          <w:bCs/>
          <w:i/>
          <w:iCs/>
        </w:rPr>
        <w:t xml:space="preserve">Workflow </w:t>
      </w:r>
      <w:r w:rsidR="00DA55E0" w:rsidRPr="00DA55E0">
        <w:rPr>
          <w:b/>
          <w:bCs/>
          <w:i/>
          <w:iCs/>
        </w:rPr>
        <w:t>I</w:t>
      </w:r>
      <w:r w:rsidRPr="00DA55E0">
        <w:rPr>
          <w:b/>
          <w:bCs/>
          <w:i/>
          <w:iCs/>
        </w:rPr>
        <w:t>nsight</w:t>
      </w:r>
      <w:r w:rsidR="00DA55E0" w:rsidRPr="00DA55E0">
        <w:rPr>
          <w:i/>
          <w:iCs/>
        </w:rPr>
        <w:t>:</w:t>
      </w:r>
      <w:r w:rsidRPr="00DA55E0">
        <w:rPr>
          <w:i/>
          <w:iCs/>
        </w:rPr>
        <w:t xml:space="preserve"> Time block size is used when setting up procedure codes to indicate how long a procedure will take to complete. Refer to </w:t>
      </w:r>
      <w:r w:rsidR="00DA55E0" w:rsidRPr="00DA55E0">
        <w:rPr>
          <w:i/>
          <w:iCs/>
        </w:rPr>
        <w:t>the “</w:t>
      </w:r>
      <w:r w:rsidRPr="00DA55E0">
        <w:rPr>
          <w:i/>
          <w:iCs/>
        </w:rPr>
        <w:t>Schedule Optimization</w:t>
      </w:r>
      <w:r w:rsidR="00DA55E0" w:rsidRPr="00DA55E0">
        <w:rPr>
          <w:i/>
          <w:iCs/>
        </w:rPr>
        <w:t>” section</w:t>
      </w:r>
      <w:r w:rsidRPr="00DA55E0">
        <w:rPr>
          <w:i/>
          <w:iCs/>
        </w:rPr>
        <w:t xml:space="preserve"> when determining the best strategy for time block sizes </w:t>
      </w:r>
      <w:r w:rsidR="00DA55E0" w:rsidRPr="00DA55E0">
        <w:rPr>
          <w:i/>
          <w:iCs/>
        </w:rPr>
        <w:t>to use</w:t>
      </w:r>
      <w:r w:rsidRPr="00DA55E0">
        <w:rPr>
          <w:i/>
          <w:iCs/>
        </w:rPr>
        <w:t xml:space="preserve"> for each clinic.</w:t>
      </w:r>
    </w:p>
    <w:p w14:paraId="71C56DBB" w14:textId="35B28888" w:rsidR="009473AD" w:rsidRPr="00E24F38" w:rsidRDefault="009473AD">
      <w:pPr>
        <w:pStyle w:val="BodyText"/>
        <w:numPr>
          <w:ilvl w:val="0"/>
          <w:numId w:val="95"/>
        </w:numPr>
        <w:ind w:left="540"/>
      </w:pPr>
      <w:r w:rsidRPr="00BC6868">
        <w:rPr>
          <w:b/>
          <w:bCs/>
        </w:rPr>
        <w:t>View Time at Right</w:t>
      </w:r>
      <w:r w:rsidRPr="349A4F20">
        <w:t xml:space="preserve"> – To have the time column appear on the right side of the window in addition to the left side, select this checkbox.</w:t>
      </w:r>
    </w:p>
    <w:p w14:paraId="3E0F9A44" w14:textId="5A832AB5" w:rsidR="009473AD" w:rsidRPr="00E24F38" w:rsidRDefault="009473AD">
      <w:pPr>
        <w:pStyle w:val="BodyText"/>
        <w:numPr>
          <w:ilvl w:val="0"/>
          <w:numId w:val="95"/>
        </w:numPr>
        <w:ind w:left="540"/>
      </w:pPr>
      <w:r w:rsidRPr="00BC6868">
        <w:rPr>
          <w:b/>
          <w:bCs/>
        </w:rPr>
        <w:t>Default Appt. Settings</w:t>
      </w:r>
      <w:r w:rsidR="00DA55E0" w:rsidRPr="349A4F20">
        <w:t xml:space="preserve"> – </w:t>
      </w:r>
      <w:r w:rsidR="00DA55E0">
        <w:t>S</w:t>
      </w:r>
      <w:r w:rsidRPr="349A4F20">
        <w:t xml:space="preserve">elect the defaults for each new appointment: </w:t>
      </w:r>
    </w:p>
    <w:p w14:paraId="779DFBF1" w14:textId="2CE11CBE" w:rsidR="009473AD" w:rsidRPr="00E24F38" w:rsidRDefault="009473AD">
      <w:pPr>
        <w:pStyle w:val="BodyText"/>
        <w:numPr>
          <w:ilvl w:val="1"/>
          <w:numId w:val="96"/>
        </w:numPr>
        <w:ind w:left="1080"/>
      </w:pPr>
      <w:r w:rsidRPr="00BC6868">
        <w:rPr>
          <w:b/>
          <w:bCs/>
        </w:rPr>
        <w:t>Status</w:t>
      </w:r>
      <w:r w:rsidRPr="349A4F20">
        <w:t xml:space="preserve"> </w:t>
      </w:r>
      <w:r w:rsidR="00DA55E0" w:rsidRPr="349A4F20">
        <w:t xml:space="preserve">– </w:t>
      </w:r>
      <w:r w:rsidR="00DA55E0">
        <w:t xml:space="preserve">You can assign a status to </w:t>
      </w:r>
      <w:r w:rsidR="00151005">
        <w:t>an</w:t>
      </w:r>
      <w:r w:rsidRPr="349A4F20">
        <w:t xml:space="preserve"> appointment</w:t>
      </w:r>
      <w:r w:rsidR="00151005">
        <w:t xml:space="preserve">. </w:t>
      </w:r>
      <w:r w:rsidRPr="349A4F20">
        <w:t xml:space="preserve">Each status can </w:t>
      </w:r>
      <w:r w:rsidR="00151005">
        <w:t xml:space="preserve">have </w:t>
      </w:r>
      <w:r w:rsidRPr="349A4F20">
        <w:t xml:space="preserve">a unique color </w:t>
      </w:r>
      <w:r w:rsidR="00151005">
        <w:t xml:space="preserve">for easy identification in </w:t>
      </w:r>
      <w:proofErr w:type="gramStart"/>
      <w:r w:rsidRPr="349A4F20">
        <w:t>Appointment</w:t>
      </w:r>
      <w:proofErr w:type="gramEnd"/>
      <w:r w:rsidRPr="349A4F20">
        <w:t xml:space="preserve"> Book. </w:t>
      </w:r>
      <w:r w:rsidR="00151005">
        <w:t>You can define up to</w:t>
      </w:r>
      <w:r w:rsidRPr="349A4F20">
        <w:t xml:space="preserve"> 20 appointment statuses in </w:t>
      </w:r>
      <w:r w:rsidR="00151005">
        <w:t xml:space="preserve">the Practice </w:t>
      </w:r>
      <w:r w:rsidRPr="349A4F20">
        <w:t>Definitions.</w:t>
      </w:r>
    </w:p>
    <w:p w14:paraId="02D73335" w14:textId="34CA410F" w:rsidR="009473AD" w:rsidRPr="00E24F38" w:rsidRDefault="009473AD">
      <w:pPr>
        <w:pStyle w:val="BodyText"/>
        <w:numPr>
          <w:ilvl w:val="1"/>
          <w:numId w:val="96"/>
        </w:numPr>
        <w:ind w:left="1080"/>
      </w:pPr>
      <w:r w:rsidRPr="00BC6868">
        <w:rPr>
          <w:b/>
          <w:bCs/>
        </w:rPr>
        <w:t>Schedule</w:t>
      </w:r>
      <w:r w:rsidR="00151005" w:rsidRPr="349A4F20">
        <w:t xml:space="preserve"> – </w:t>
      </w:r>
      <w:r w:rsidR="00151005">
        <w:t xml:space="preserve">You can flag an appointment as </w:t>
      </w:r>
      <w:r w:rsidRPr="349A4F20">
        <w:t>Fixed, Open, or ASAP</w:t>
      </w:r>
      <w:r w:rsidR="00151005">
        <w:t>.</w:t>
      </w:r>
    </w:p>
    <w:p w14:paraId="29C40070" w14:textId="3687CF01" w:rsidR="009473AD" w:rsidRPr="0084256E" w:rsidRDefault="009473AD">
      <w:pPr>
        <w:pStyle w:val="BodyText"/>
        <w:numPr>
          <w:ilvl w:val="1"/>
          <w:numId w:val="96"/>
        </w:numPr>
        <w:ind w:left="1080"/>
      </w:pPr>
      <w:r w:rsidRPr="00BC6868">
        <w:rPr>
          <w:b/>
          <w:bCs/>
        </w:rPr>
        <w:t>Type</w:t>
      </w:r>
      <w:r w:rsidRPr="349A4F20">
        <w:t xml:space="preserve"> </w:t>
      </w:r>
      <w:r w:rsidR="00151005" w:rsidRPr="349A4F20">
        <w:t xml:space="preserve">– </w:t>
      </w:r>
      <w:r w:rsidR="00151005">
        <w:t>You can c</w:t>
      </w:r>
      <w:r w:rsidRPr="349A4F20">
        <w:t xml:space="preserve">lassify an appointment for block scheduling. </w:t>
      </w:r>
      <w:r w:rsidR="00151005">
        <w:t>You can define up to</w:t>
      </w:r>
      <w:r w:rsidRPr="349A4F20">
        <w:t xml:space="preserve"> 99 appointment types </w:t>
      </w:r>
      <w:r w:rsidR="00151005">
        <w:t xml:space="preserve">in the Practice </w:t>
      </w:r>
      <w:r w:rsidRPr="349A4F20">
        <w:t>Definitions.</w:t>
      </w:r>
    </w:p>
    <w:p w14:paraId="17E8A010" w14:textId="19426C43" w:rsidR="0084256E" w:rsidRDefault="009473AD" w:rsidP="00BC6868">
      <w:pPr>
        <w:pStyle w:val="Heading4"/>
      </w:pPr>
      <w:r w:rsidRPr="349A4F20">
        <w:lastRenderedPageBreak/>
        <w:t>Clinic Schedule</w:t>
      </w:r>
    </w:p>
    <w:p w14:paraId="5867D723" w14:textId="40628494" w:rsidR="009473AD" w:rsidRPr="00BC6868" w:rsidRDefault="009473AD" w:rsidP="00BC6868">
      <w:pPr>
        <w:pStyle w:val="BodyText"/>
      </w:pPr>
      <w:r w:rsidRPr="349A4F20">
        <w:t xml:space="preserve">Dentrix Enterprise allows you to change your working hours for a single day or to close the office completely on a single day. Changing the hours of operation for a day or closing the office on a day does not make changes to any previously scheduled appointments.  </w:t>
      </w:r>
    </w:p>
    <w:p w14:paraId="22B54BC2" w14:textId="4BBA63DC" w:rsidR="009473AD" w:rsidRPr="00E24F38" w:rsidRDefault="009473AD">
      <w:pPr>
        <w:pStyle w:val="BodyText"/>
        <w:numPr>
          <w:ilvl w:val="0"/>
          <w:numId w:val="97"/>
        </w:numPr>
        <w:ind w:left="540"/>
      </w:pPr>
      <w:r w:rsidRPr="00BC6868">
        <w:rPr>
          <w:b/>
          <w:bCs/>
        </w:rPr>
        <w:t>Close Office on selected date</w:t>
      </w:r>
      <w:r w:rsidRPr="00E24F38">
        <w:t xml:space="preserve"> – </w:t>
      </w:r>
      <w:r w:rsidR="00151005">
        <w:t>Clo</w:t>
      </w:r>
      <w:r w:rsidR="00151005" w:rsidRPr="00A30FFA">
        <w:t>se</w:t>
      </w:r>
      <w:r w:rsidR="00151005">
        <w:t>s</w:t>
      </w:r>
      <w:r w:rsidR="00151005" w:rsidRPr="00A46FB0">
        <w:t xml:space="preserve"> </w:t>
      </w:r>
      <w:r w:rsidR="00151005">
        <w:t>the o</w:t>
      </w:r>
      <w:r w:rsidR="00151005" w:rsidRPr="00A46FB0">
        <w:t xml:space="preserve">ffice </w:t>
      </w:r>
      <w:r w:rsidR="00151005">
        <w:t>for</w:t>
      </w:r>
      <w:r w:rsidR="00151005" w:rsidRPr="00A46FB0">
        <w:t xml:space="preserve"> </w:t>
      </w:r>
      <w:r w:rsidR="00151005">
        <w:t xml:space="preserve">the selected day. </w:t>
      </w:r>
      <w:r w:rsidR="00151005" w:rsidRPr="005E5DBF">
        <w:t>You can use this option to close the office for a yearly holiday that does not occur on the same day of the month every year (for example, Thanksgiving).</w:t>
      </w:r>
    </w:p>
    <w:p w14:paraId="2028167D" w14:textId="067EA11B" w:rsidR="009473AD" w:rsidRPr="00E24F38" w:rsidRDefault="009473AD">
      <w:pPr>
        <w:pStyle w:val="BodyText"/>
        <w:numPr>
          <w:ilvl w:val="0"/>
          <w:numId w:val="97"/>
        </w:numPr>
        <w:ind w:left="540"/>
      </w:pPr>
      <w:r w:rsidRPr="00BC6868">
        <w:rPr>
          <w:b/>
          <w:bCs/>
        </w:rPr>
        <w:t>Open Office</w:t>
      </w:r>
      <w:r w:rsidRPr="00E24F38">
        <w:t xml:space="preserve"> – Opens the office </w:t>
      </w:r>
      <w:r w:rsidR="00151005">
        <w:t>for</w:t>
      </w:r>
      <w:r w:rsidRPr="00E24F38">
        <w:t xml:space="preserve"> the selected day if it was previously closed.</w:t>
      </w:r>
    </w:p>
    <w:p w14:paraId="3CF3780D" w14:textId="2AFD22DC" w:rsidR="009473AD" w:rsidRPr="00E24F38" w:rsidRDefault="009473AD">
      <w:pPr>
        <w:pStyle w:val="BodyText"/>
        <w:numPr>
          <w:ilvl w:val="0"/>
          <w:numId w:val="97"/>
        </w:numPr>
        <w:ind w:left="540"/>
      </w:pPr>
      <w:r w:rsidRPr="00BC6868">
        <w:rPr>
          <w:b/>
          <w:bCs/>
        </w:rPr>
        <w:t>Set Yearly Holiday on selected day</w:t>
      </w:r>
      <w:r w:rsidRPr="349A4F20">
        <w:t xml:space="preserve"> – </w:t>
      </w:r>
      <w:r w:rsidR="00151005">
        <w:t xml:space="preserve">Closes the office for a yearly holiday on the selected day. </w:t>
      </w:r>
      <w:r w:rsidR="00151005" w:rsidRPr="005E5DBF">
        <w:t>You can use this option to close the office for a yearly holiday that falls on the same day of the month every year (for example, Christmas is always on December 25).</w:t>
      </w:r>
    </w:p>
    <w:p w14:paraId="5831C5C2" w14:textId="77777777" w:rsidR="006D7ECD" w:rsidRDefault="009473AD" w:rsidP="006D7ECD">
      <w:pPr>
        <w:pStyle w:val="BodyText"/>
        <w:numPr>
          <w:ilvl w:val="0"/>
          <w:numId w:val="97"/>
        </w:numPr>
        <w:ind w:left="540"/>
      </w:pPr>
      <w:r w:rsidRPr="00BC6868">
        <w:rPr>
          <w:b/>
          <w:bCs/>
        </w:rPr>
        <w:t>Delete Holiday</w:t>
      </w:r>
      <w:r w:rsidRPr="00E24F38">
        <w:t xml:space="preserve"> – Opens the office </w:t>
      </w:r>
      <w:r w:rsidR="00151005">
        <w:t>for</w:t>
      </w:r>
      <w:r w:rsidRPr="00E24F38">
        <w:t xml:space="preserve"> the selected day if it was previously closed for a yearly holiday.</w:t>
      </w:r>
    </w:p>
    <w:p w14:paraId="08738D61" w14:textId="7B1B240B" w:rsidR="00151005" w:rsidRPr="0084256E" w:rsidRDefault="00151005" w:rsidP="006D7ECD">
      <w:pPr>
        <w:pStyle w:val="BodyText"/>
        <w:numPr>
          <w:ilvl w:val="0"/>
          <w:numId w:val="97"/>
        </w:numPr>
        <w:ind w:left="540"/>
      </w:pPr>
      <w:r w:rsidRPr="006D7ECD">
        <w:rPr>
          <w:b/>
          <w:bCs/>
        </w:rPr>
        <w:t xml:space="preserve">Change </w:t>
      </w:r>
      <w:r w:rsidR="006D7ECD">
        <w:rPr>
          <w:b/>
          <w:bCs/>
        </w:rPr>
        <w:t>w</w:t>
      </w:r>
      <w:r w:rsidRPr="006D7ECD">
        <w:rPr>
          <w:b/>
          <w:bCs/>
        </w:rPr>
        <w:t xml:space="preserve">orking </w:t>
      </w:r>
      <w:r w:rsidR="006D7ECD">
        <w:rPr>
          <w:b/>
          <w:bCs/>
        </w:rPr>
        <w:t>h</w:t>
      </w:r>
      <w:r w:rsidRPr="006D7ECD">
        <w:rPr>
          <w:b/>
          <w:bCs/>
        </w:rPr>
        <w:t>ours</w:t>
      </w:r>
      <w:r>
        <w:t xml:space="preserve"> – You can update</w:t>
      </w:r>
      <w:r w:rsidRPr="00A46FB0">
        <w:t xml:space="preserve"> </w:t>
      </w:r>
      <w:r>
        <w:t>the office’s working hours for a specific date</w:t>
      </w:r>
      <w:r w:rsidR="006D7ECD">
        <w:t>. A day can be separated into three time periods.</w:t>
      </w:r>
    </w:p>
    <w:p w14:paraId="3BD0DE7E" w14:textId="39BDBE89" w:rsidR="0084256E" w:rsidRDefault="009473AD" w:rsidP="00BC6868">
      <w:pPr>
        <w:pStyle w:val="Heading4"/>
      </w:pPr>
      <w:r w:rsidRPr="349A4F20">
        <w:t>Provider Setup</w:t>
      </w:r>
    </w:p>
    <w:p w14:paraId="02836240" w14:textId="42455D75" w:rsidR="009473AD" w:rsidRDefault="006D7ECD" w:rsidP="0084256E">
      <w:pPr>
        <w:pStyle w:val="BodyText"/>
      </w:pPr>
      <w:r>
        <w:t>You can c</w:t>
      </w:r>
      <w:r w:rsidR="009473AD" w:rsidRPr="349A4F20">
        <w:t>ustomize work days, hours</w:t>
      </w:r>
      <w:r>
        <w:t>,</w:t>
      </w:r>
      <w:r w:rsidR="009473AD" w:rsidRPr="349A4F20">
        <w:t xml:space="preserve"> and colors for all clinics the provider is available for scheduling</w:t>
      </w:r>
      <w:r>
        <w:t xml:space="preserve"> in</w:t>
      </w:r>
      <w:r w:rsidR="009473AD" w:rsidRPr="349A4F20">
        <w:t xml:space="preserve">. </w:t>
      </w:r>
    </w:p>
    <w:p w14:paraId="055CE302" w14:textId="157F832B" w:rsidR="009473AD" w:rsidRPr="006D7ECD" w:rsidRDefault="009473AD" w:rsidP="00BC6868">
      <w:pPr>
        <w:pStyle w:val="BodyText"/>
        <w:rPr>
          <w:i/>
          <w:iCs/>
        </w:rPr>
      </w:pPr>
      <w:r w:rsidRPr="006D7ECD">
        <w:rPr>
          <w:b/>
          <w:bCs/>
          <w:i/>
          <w:iCs/>
        </w:rPr>
        <w:t xml:space="preserve">Operations </w:t>
      </w:r>
      <w:r w:rsidR="006D7ECD" w:rsidRPr="006D7ECD">
        <w:rPr>
          <w:b/>
          <w:bCs/>
          <w:i/>
          <w:iCs/>
        </w:rPr>
        <w:t>I</w:t>
      </w:r>
      <w:r w:rsidRPr="006D7ECD">
        <w:rPr>
          <w:b/>
          <w:bCs/>
          <w:i/>
          <w:iCs/>
        </w:rPr>
        <w:t>nsight</w:t>
      </w:r>
      <w:r w:rsidR="006D7ECD" w:rsidRPr="006D7ECD">
        <w:rPr>
          <w:i/>
          <w:iCs/>
        </w:rPr>
        <w:t>:</w:t>
      </w:r>
      <w:r w:rsidRPr="006D7ECD">
        <w:rPr>
          <w:i/>
          <w:iCs/>
        </w:rPr>
        <w:t xml:space="preserve"> You can set up providers in more than one clinic. The provider’s available time can only include one clinic at a time.</w:t>
      </w:r>
    </w:p>
    <w:p w14:paraId="0114086D" w14:textId="3E5DE15D" w:rsidR="009473AD" w:rsidRPr="00BC6868" w:rsidRDefault="009473AD" w:rsidP="00BC6868">
      <w:pPr>
        <w:pStyle w:val="BodyText"/>
      </w:pPr>
      <w:r w:rsidRPr="349A4F20">
        <w:t>When</w:t>
      </w:r>
      <w:r w:rsidR="006D7ECD">
        <w:t xml:space="preserve"> you are</w:t>
      </w:r>
      <w:r w:rsidRPr="349A4F20">
        <w:t xml:space="preserve"> setting up the provider’s default schedule, Dentrix Enterprise will warn you if the scheduled hours overlap in other clinics.</w:t>
      </w:r>
    </w:p>
    <w:p w14:paraId="7893EADA" w14:textId="77777777" w:rsidR="009473AD" w:rsidRPr="00E24F38" w:rsidRDefault="009473AD" w:rsidP="00BC6868">
      <w:pPr>
        <w:pStyle w:val="BodyText"/>
      </w:pPr>
      <w:r w:rsidRPr="349A4F20">
        <w:t>Set up the following options for each provider:</w:t>
      </w:r>
    </w:p>
    <w:p w14:paraId="5DA5A24F" w14:textId="581329F5" w:rsidR="009473AD" w:rsidRPr="00E24F38" w:rsidRDefault="009473AD">
      <w:pPr>
        <w:pStyle w:val="BodyText"/>
        <w:numPr>
          <w:ilvl w:val="0"/>
          <w:numId w:val="98"/>
        </w:numPr>
        <w:ind w:left="540"/>
      </w:pPr>
      <w:r w:rsidRPr="003638EB">
        <w:rPr>
          <w:b/>
          <w:bCs/>
        </w:rPr>
        <w:t>Default Schedule</w:t>
      </w:r>
      <w:r w:rsidRPr="2A71C1FC">
        <w:t xml:space="preserve"> – Select each day of the week that the provider normally works. </w:t>
      </w:r>
      <w:r w:rsidR="006D7ECD">
        <w:t>Y</w:t>
      </w:r>
      <w:r w:rsidRPr="2A71C1FC">
        <w:t xml:space="preserve">ou can </w:t>
      </w:r>
      <w:r w:rsidR="006D7ECD">
        <w:t>separate</w:t>
      </w:r>
      <w:r w:rsidRPr="2A71C1FC">
        <w:t xml:space="preserve"> each day into three time </w:t>
      </w:r>
      <w:r w:rsidR="006D7ECD">
        <w:t>periods</w:t>
      </w:r>
      <w:r w:rsidRPr="2A71C1FC">
        <w:t>. To set the working hours for any day, enter the start and end times of each range that you want for that day.</w:t>
      </w:r>
    </w:p>
    <w:p w14:paraId="57196D55" w14:textId="77777777" w:rsidR="006D7ECD" w:rsidRDefault="009473AD">
      <w:pPr>
        <w:pStyle w:val="BodyText"/>
        <w:numPr>
          <w:ilvl w:val="0"/>
          <w:numId w:val="98"/>
        </w:numPr>
        <w:ind w:left="540"/>
      </w:pPr>
      <w:r w:rsidRPr="003638EB">
        <w:rPr>
          <w:b/>
          <w:bCs/>
        </w:rPr>
        <w:t>Provider Color</w:t>
      </w:r>
      <w:r w:rsidRPr="2A71C1FC">
        <w:t xml:space="preserve"> – All appointments </w:t>
      </w:r>
      <w:r w:rsidR="006D7ECD">
        <w:t xml:space="preserve">that are </w:t>
      </w:r>
      <w:r w:rsidRPr="2A71C1FC">
        <w:t xml:space="preserve">scheduled with that provider will use the designated color for the appointment </w:t>
      </w:r>
      <w:r w:rsidR="006D7ECD">
        <w:t>tile</w:t>
      </w:r>
      <w:r w:rsidRPr="2A71C1FC">
        <w:t xml:space="preserve">. </w:t>
      </w:r>
      <w:r w:rsidR="006D7ECD">
        <w:t xml:space="preserve">Each user should be </w:t>
      </w:r>
      <w:r w:rsidRPr="2A71C1FC">
        <w:t>assign</w:t>
      </w:r>
      <w:r w:rsidR="006D7ECD">
        <w:t>ed</w:t>
      </w:r>
      <w:r w:rsidRPr="2A71C1FC">
        <w:t xml:space="preserve"> a unique color.</w:t>
      </w:r>
    </w:p>
    <w:p w14:paraId="3650927B" w14:textId="63B5D618" w:rsidR="009473AD" w:rsidRPr="006D7ECD" w:rsidRDefault="009473AD" w:rsidP="006D7ECD">
      <w:pPr>
        <w:pStyle w:val="BodyText"/>
        <w:ind w:left="540"/>
        <w:rPr>
          <w:i/>
          <w:iCs/>
        </w:rPr>
      </w:pPr>
      <w:r w:rsidRPr="006D7ECD">
        <w:rPr>
          <w:b/>
          <w:bCs/>
          <w:i/>
          <w:iCs/>
        </w:rPr>
        <w:t>Tip</w:t>
      </w:r>
      <w:r w:rsidRPr="006D7ECD">
        <w:rPr>
          <w:i/>
          <w:iCs/>
        </w:rPr>
        <w:t>: Appointment information text is displayed in black, so choose a light color</w:t>
      </w:r>
      <w:r w:rsidR="006D7ECD" w:rsidRPr="006D7ECD">
        <w:rPr>
          <w:i/>
          <w:iCs/>
        </w:rPr>
        <w:t xml:space="preserve"> that contrasts with the black text</w:t>
      </w:r>
      <w:r w:rsidRPr="006D7ECD">
        <w:rPr>
          <w:i/>
          <w:iCs/>
        </w:rPr>
        <w:t xml:space="preserve"> for the provider’s color.</w:t>
      </w:r>
    </w:p>
    <w:p w14:paraId="29770DA3" w14:textId="51E3496F" w:rsidR="009473AD" w:rsidRPr="006D7ECD" w:rsidRDefault="006D7ECD" w:rsidP="006D7ECD">
      <w:pPr>
        <w:pStyle w:val="BodyText"/>
        <w:rPr>
          <w:i/>
          <w:iCs/>
        </w:rPr>
      </w:pPr>
      <w:r w:rsidRPr="006D7ECD">
        <w:rPr>
          <w:b/>
          <w:bCs/>
          <w:i/>
          <w:iCs/>
        </w:rPr>
        <w:t>Note</w:t>
      </w:r>
      <w:r w:rsidRPr="006D7ECD">
        <w:rPr>
          <w:i/>
          <w:iCs/>
        </w:rPr>
        <w:t>: For information about t</w:t>
      </w:r>
      <w:r w:rsidR="009473AD" w:rsidRPr="006D7ECD">
        <w:rPr>
          <w:i/>
          <w:iCs/>
        </w:rPr>
        <w:t xml:space="preserve">ime </w:t>
      </w:r>
      <w:r w:rsidRPr="006D7ECD">
        <w:rPr>
          <w:i/>
          <w:iCs/>
        </w:rPr>
        <w:t>b</w:t>
      </w:r>
      <w:r w:rsidR="009473AD" w:rsidRPr="006D7ECD">
        <w:rPr>
          <w:i/>
          <w:iCs/>
        </w:rPr>
        <w:t>locks</w:t>
      </w:r>
      <w:r w:rsidRPr="006D7ECD">
        <w:rPr>
          <w:i/>
          <w:iCs/>
        </w:rPr>
        <w:t>, refer to the “</w:t>
      </w:r>
      <w:r w:rsidR="009473AD" w:rsidRPr="006D7ECD">
        <w:rPr>
          <w:i/>
          <w:iCs/>
        </w:rPr>
        <w:t>Schedule Optimization</w:t>
      </w:r>
      <w:r w:rsidRPr="006D7ECD">
        <w:rPr>
          <w:i/>
          <w:iCs/>
        </w:rPr>
        <w:t>” section</w:t>
      </w:r>
      <w:r w:rsidR="009473AD" w:rsidRPr="006D7ECD">
        <w:rPr>
          <w:i/>
          <w:iCs/>
        </w:rPr>
        <w:t>.</w:t>
      </w:r>
    </w:p>
    <w:p w14:paraId="3E566CD5" w14:textId="1BAE3985" w:rsidR="0084256E" w:rsidRDefault="009473AD" w:rsidP="00BC6868">
      <w:pPr>
        <w:pStyle w:val="Heading4"/>
      </w:pPr>
      <w:r w:rsidRPr="349A4F20">
        <w:t>Provider Schedule</w:t>
      </w:r>
    </w:p>
    <w:p w14:paraId="5752F5CA" w14:textId="79D67625" w:rsidR="009473AD" w:rsidRDefault="006D7ECD" w:rsidP="0084256E">
      <w:pPr>
        <w:pStyle w:val="BodyText"/>
      </w:pPr>
      <w:r>
        <w:t>For a provider in A</w:t>
      </w:r>
      <w:r w:rsidRPr="00A46FB0">
        <w:t xml:space="preserve">ppointment </w:t>
      </w:r>
      <w:r>
        <w:t>B</w:t>
      </w:r>
      <w:r w:rsidRPr="00A46FB0">
        <w:t>ook</w:t>
      </w:r>
      <w:r>
        <w:t xml:space="preserve">, </w:t>
      </w:r>
      <w:r w:rsidRPr="00A46FB0">
        <w:t xml:space="preserve">you can </w:t>
      </w:r>
      <w:r>
        <w:t xml:space="preserve">change the working </w:t>
      </w:r>
      <w:r w:rsidRPr="00A46FB0">
        <w:t xml:space="preserve">hours for a single day or set </w:t>
      </w:r>
      <w:r>
        <w:t>a v</w:t>
      </w:r>
      <w:r w:rsidRPr="00A46FB0">
        <w:t>acation day.</w:t>
      </w:r>
      <w:r>
        <w:t xml:space="preserve"> </w:t>
      </w:r>
      <w:r w:rsidR="009473AD" w:rsidRPr="349A4F20">
        <w:t xml:space="preserve">Refer to </w:t>
      </w:r>
      <w:r>
        <w:t>the “</w:t>
      </w:r>
      <w:r w:rsidR="009473AD" w:rsidRPr="349A4F20">
        <w:t>Schedule Optimization</w:t>
      </w:r>
      <w:r>
        <w:t xml:space="preserve">” section </w:t>
      </w:r>
      <w:r w:rsidR="009473AD" w:rsidRPr="349A4F20">
        <w:t xml:space="preserve">for </w:t>
      </w:r>
      <w:r>
        <w:t xml:space="preserve">information about </w:t>
      </w:r>
      <w:r w:rsidR="009473AD" w:rsidRPr="349A4F20">
        <w:t xml:space="preserve">managing temporary changes to provider schedules.  </w:t>
      </w:r>
    </w:p>
    <w:p w14:paraId="24AC1C7A" w14:textId="77777777" w:rsidR="009473AD" w:rsidRPr="00454D84" w:rsidRDefault="009473AD" w:rsidP="003638EB">
      <w:pPr>
        <w:pStyle w:val="BodyText"/>
        <w:rPr>
          <w:color w:val="00B050"/>
        </w:rPr>
      </w:pPr>
      <w:r w:rsidRPr="00454D84">
        <w:rPr>
          <w:color w:val="00B050"/>
        </w:rPr>
        <w:t>&lt;&lt;Insert provider schedule decision support/SOP/Guideline here&gt;&gt;</w:t>
      </w:r>
    </w:p>
    <w:p w14:paraId="528A4018" w14:textId="6CDD90BC" w:rsidR="009473AD" w:rsidRPr="00E24F38" w:rsidRDefault="009473AD">
      <w:pPr>
        <w:pStyle w:val="BodyText"/>
        <w:numPr>
          <w:ilvl w:val="0"/>
          <w:numId w:val="99"/>
        </w:numPr>
        <w:ind w:left="540"/>
      </w:pPr>
      <w:r w:rsidRPr="003638EB">
        <w:rPr>
          <w:b/>
          <w:bCs/>
        </w:rPr>
        <w:t>Set Vacation on selected date</w:t>
      </w:r>
      <w:r w:rsidRPr="349A4F20">
        <w:t xml:space="preserve"> – Makes the provider not available </w:t>
      </w:r>
      <w:r w:rsidR="006D7ECD">
        <w:t>for</w:t>
      </w:r>
      <w:r w:rsidRPr="349A4F20">
        <w:t xml:space="preserve"> the selected day. Th</w:t>
      </w:r>
      <w:r w:rsidR="006D7ECD">
        <w:t>at</w:t>
      </w:r>
      <w:r w:rsidRPr="349A4F20">
        <w:t xml:space="preserve"> </w:t>
      </w:r>
      <w:r w:rsidR="006D7ECD">
        <w:t>box on the calendar turns</w:t>
      </w:r>
      <w:r w:rsidRPr="349A4F20">
        <w:t xml:space="preserve"> purple.</w:t>
      </w:r>
    </w:p>
    <w:p w14:paraId="1CC9BAA7" w14:textId="77777777" w:rsidR="009473AD" w:rsidRPr="00E24F38" w:rsidRDefault="009473AD">
      <w:pPr>
        <w:pStyle w:val="BodyText"/>
        <w:numPr>
          <w:ilvl w:val="0"/>
          <w:numId w:val="99"/>
        </w:numPr>
        <w:ind w:left="540"/>
      </w:pPr>
      <w:r w:rsidRPr="003638EB">
        <w:rPr>
          <w:b/>
          <w:bCs/>
        </w:rPr>
        <w:t>Delete Vacation day</w:t>
      </w:r>
      <w:r w:rsidRPr="349A4F20">
        <w:t xml:space="preserve"> – Removes the provider’s vacation day for the selected day if it was previously set.</w:t>
      </w:r>
    </w:p>
    <w:p w14:paraId="626AFE57" w14:textId="1A3BA8AC" w:rsidR="009473AD" w:rsidRDefault="009473AD">
      <w:pPr>
        <w:pStyle w:val="BodyText"/>
        <w:numPr>
          <w:ilvl w:val="0"/>
          <w:numId w:val="99"/>
        </w:numPr>
        <w:ind w:left="540"/>
      </w:pPr>
      <w:r w:rsidRPr="003638EB">
        <w:rPr>
          <w:b/>
          <w:bCs/>
        </w:rPr>
        <w:lastRenderedPageBreak/>
        <w:t>Reset Hours to default on selected date</w:t>
      </w:r>
      <w:r>
        <w:t xml:space="preserve"> – </w:t>
      </w:r>
      <w:r w:rsidRPr="349A4F20">
        <w:t>Returns the selected day to the provider’s default work day for that day of the week.</w:t>
      </w:r>
    </w:p>
    <w:p w14:paraId="2BC852DD" w14:textId="2570027C" w:rsidR="006D7ECD" w:rsidRPr="0084256E" w:rsidRDefault="006D7ECD" w:rsidP="006D7ECD">
      <w:pPr>
        <w:pStyle w:val="BodyText"/>
        <w:numPr>
          <w:ilvl w:val="0"/>
          <w:numId w:val="99"/>
        </w:numPr>
        <w:ind w:left="540"/>
      </w:pPr>
      <w:r w:rsidRPr="006D7ECD">
        <w:rPr>
          <w:b/>
          <w:bCs/>
        </w:rPr>
        <w:t xml:space="preserve">Change </w:t>
      </w:r>
      <w:r>
        <w:rPr>
          <w:b/>
          <w:bCs/>
        </w:rPr>
        <w:t>w</w:t>
      </w:r>
      <w:r w:rsidRPr="006D7ECD">
        <w:rPr>
          <w:b/>
          <w:bCs/>
        </w:rPr>
        <w:t xml:space="preserve">orking </w:t>
      </w:r>
      <w:r>
        <w:rPr>
          <w:b/>
          <w:bCs/>
        </w:rPr>
        <w:t>h</w:t>
      </w:r>
      <w:r w:rsidRPr="006D7ECD">
        <w:rPr>
          <w:b/>
          <w:bCs/>
        </w:rPr>
        <w:t>ours</w:t>
      </w:r>
      <w:r>
        <w:t xml:space="preserve"> – You can update</w:t>
      </w:r>
      <w:r w:rsidRPr="00A46FB0">
        <w:t xml:space="preserve"> </w:t>
      </w:r>
      <w:r>
        <w:t>the provider’s working hours for a specific date. A day can be separated into three time periods.</w:t>
      </w:r>
    </w:p>
    <w:p w14:paraId="15D9E5BF" w14:textId="58D4C590" w:rsidR="0084256E" w:rsidRDefault="009473AD" w:rsidP="00BC6868">
      <w:pPr>
        <w:pStyle w:val="Heading4"/>
      </w:pPr>
      <w:r w:rsidRPr="349A4F20">
        <w:t xml:space="preserve">Operatory Setup </w:t>
      </w:r>
    </w:p>
    <w:p w14:paraId="3DAC464B" w14:textId="3C9C66DD" w:rsidR="009473AD" w:rsidRPr="00E24F38" w:rsidRDefault="006D7ECD" w:rsidP="0084256E">
      <w:pPr>
        <w:pStyle w:val="BodyText"/>
      </w:pPr>
      <w:r>
        <w:t>You can c</w:t>
      </w:r>
      <w:r w:rsidR="009473AD" w:rsidRPr="349A4F20">
        <w:t xml:space="preserve">ustomize available hours for each operatory. </w:t>
      </w:r>
    </w:p>
    <w:p w14:paraId="1511914D" w14:textId="6C6E39A8" w:rsidR="009473AD" w:rsidRPr="00C9549C" w:rsidRDefault="009473AD" w:rsidP="003638EB">
      <w:pPr>
        <w:pStyle w:val="BodyText"/>
        <w:rPr>
          <w:i/>
          <w:iCs/>
        </w:rPr>
      </w:pPr>
      <w:r w:rsidRPr="00C9549C">
        <w:rPr>
          <w:b/>
          <w:bCs/>
          <w:i/>
          <w:iCs/>
        </w:rPr>
        <w:t xml:space="preserve">Workflow </w:t>
      </w:r>
      <w:r w:rsidR="006D7ECD" w:rsidRPr="00C9549C">
        <w:rPr>
          <w:b/>
          <w:bCs/>
          <w:i/>
          <w:iCs/>
        </w:rPr>
        <w:t>Insight</w:t>
      </w:r>
      <w:r w:rsidR="006D7ECD" w:rsidRPr="00C9549C">
        <w:rPr>
          <w:i/>
          <w:iCs/>
        </w:rPr>
        <w:t>: Y</w:t>
      </w:r>
      <w:r w:rsidRPr="00C9549C">
        <w:rPr>
          <w:i/>
          <w:iCs/>
        </w:rPr>
        <w:t xml:space="preserve">ou can </w:t>
      </w:r>
      <w:r w:rsidR="006D7ECD" w:rsidRPr="00C9549C">
        <w:rPr>
          <w:i/>
          <w:iCs/>
        </w:rPr>
        <w:t>separate</w:t>
      </w:r>
      <w:r w:rsidRPr="00C9549C">
        <w:rPr>
          <w:i/>
          <w:iCs/>
        </w:rPr>
        <w:t xml:space="preserve"> each day into three time </w:t>
      </w:r>
      <w:r w:rsidR="006D7ECD" w:rsidRPr="00C9549C">
        <w:rPr>
          <w:i/>
          <w:iCs/>
        </w:rPr>
        <w:t>period</w:t>
      </w:r>
      <w:r w:rsidRPr="00C9549C">
        <w:rPr>
          <w:i/>
          <w:iCs/>
        </w:rPr>
        <w:t>. This allows for adding lunch breaks, after hour open times</w:t>
      </w:r>
      <w:r w:rsidR="006D7ECD" w:rsidRPr="00C9549C">
        <w:rPr>
          <w:i/>
          <w:iCs/>
        </w:rPr>
        <w:t>, and so forth (f</w:t>
      </w:r>
      <w:r w:rsidRPr="00C9549C">
        <w:rPr>
          <w:i/>
          <w:iCs/>
        </w:rPr>
        <w:t>or example</w:t>
      </w:r>
      <w:r w:rsidR="006D7ECD" w:rsidRPr="00C9549C">
        <w:rPr>
          <w:i/>
          <w:iCs/>
        </w:rPr>
        <w:t>,</w:t>
      </w:r>
      <w:r w:rsidRPr="00C9549C">
        <w:rPr>
          <w:i/>
          <w:iCs/>
        </w:rPr>
        <w:t xml:space="preserve"> 8</w:t>
      </w:r>
      <w:r w:rsidR="006D7ECD" w:rsidRPr="00C9549C">
        <w:rPr>
          <w:i/>
          <w:iCs/>
        </w:rPr>
        <w:t>–</w:t>
      </w:r>
      <w:r w:rsidRPr="00C9549C">
        <w:rPr>
          <w:i/>
          <w:iCs/>
        </w:rPr>
        <w:t>12, 1</w:t>
      </w:r>
      <w:r w:rsidR="006D7ECD" w:rsidRPr="00C9549C">
        <w:rPr>
          <w:i/>
          <w:iCs/>
        </w:rPr>
        <w:t>–</w:t>
      </w:r>
      <w:r w:rsidRPr="00C9549C">
        <w:rPr>
          <w:i/>
          <w:iCs/>
        </w:rPr>
        <w:t>5,</w:t>
      </w:r>
      <w:r w:rsidR="006D7ECD" w:rsidRPr="00C9549C">
        <w:rPr>
          <w:i/>
          <w:iCs/>
        </w:rPr>
        <w:t xml:space="preserve"> and</w:t>
      </w:r>
      <w:r w:rsidRPr="00C9549C">
        <w:rPr>
          <w:i/>
          <w:iCs/>
        </w:rPr>
        <w:t xml:space="preserve"> 7</w:t>
      </w:r>
      <w:r w:rsidR="006D7ECD" w:rsidRPr="00C9549C">
        <w:rPr>
          <w:i/>
          <w:iCs/>
        </w:rPr>
        <w:t>–</w:t>
      </w:r>
      <w:r w:rsidRPr="00C9549C">
        <w:rPr>
          <w:i/>
          <w:iCs/>
        </w:rPr>
        <w:t>9</w:t>
      </w:r>
      <w:r w:rsidR="006D7ECD" w:rsidRPr="00C9549C">
        <w:rPr>
          <w:i/>
          <w:iCs/>
        </w:rPr>
        <w:t>)</w:t>
      </w:r>
      <w:r w:rsidRPr="00C9549C">
        <w:rPr>
          <w:i/>
          <w:iCs/>
        </w:rPr>
        <w:t>.</w:t>
      </w:r>
    </w:p>
    <w:p w14:paraId="4016B553" w14:textId="45335CCD" w:rsidR="009473AD" w:rsidRPr="00C9549C" w:rsidRDefault="009473AD" w:rsidP="003638EB">
      <w:pPr>
        <w:pStyle w:val="BodyText"/>
        <w:rPr>
          <w:i/>
          <w:iCs/>
        </w:rPr>
      </w:pPr>
      <w:r w:rsidRPr="00C9549C">
        <w:rPr>
          <w:b/>
          <w:bCs/>
          <w:i/>
          <w:iCs/>
        </w:rPr>
        <w:t xml:space="preserve">Operations </w:t>
      </w:r>
      <w:r w:rsidR="00C9549C" w:rsidRPr="00C9549C">
        <w:rPr>
          <w:b/>
          <w:bCs/>
          <w:i/>
          <w:iCs/>
        </w:rPr>
        <w:t>I</w:t>
      </w:r>
      <w:r w:rsidRPr="00C9549C">
        <w:rPr>
          <w:b/>
          <w:bCs/>
          <w:i/>
          <w:iCs/>
        </w:rPr>
        <w:t>nsight</w:t>
      </w:r>
      <w:r w:rsidR="00C9549C" w:rsidRPr="00C9549C">
        <w:rPr>
          <w:i/>
          <w:iCs/>
        </w:rPr>
        <w:t>:</w:t>
      </w:r>
      <w:r w:rsidRPr="00C9549C">
        <w:rPr>
          <w:i/>
          <w:iCs/>
        </w:rPr>
        <w:t xml:space="preserve"> </w:t>
      </w:r>
      <w:r w:rsidR="00C9549C" w:rsidRPr="00C9549C">
        <w:rPr>
          <w:i/>
          <w:iCs/>
        </w:rPr>
        <w:t>A</w:t>
      </w:r>
      <w:r w:rsidRPr="00C9549C">
        <w:rPr>
          <w:i/>
          <w:iCs/>
        </w:rPr>
        <w:t xml:space="preserve">ppointment </w:t>
      </w:r>
      <w:r w:rsidR="00C9549C" w:rsidRPr="00C9549C">
        <w:rPr>
          <w:i/>
          <w:iCs/>
        </w:rPr>
        <w:t>B</w:t>
      </w:r>
      <w:r w:rsidRPr="00C9549C">
        <w:rPr>
          <w:i/>
          <w:iCs/>
        </w:rPr>
        <w:t xml:space="preserve">ook </w:t>
      </w:r>
      <w:r w:rsidR="00C9549C" w:rsidRPr="00C9549C">
        <w:rPr>
          <w:i/>
          <w:iCs/>
        </w:rPr>
        <w:t>displays</w:t>
      </w:r>
      <w:r w:rsidRPr="00C9549C">
        <w:rPr>
          <w:i/>
          <w:iCs/>
        </w:rPr>
        <w:t xml:space="preserve"> the default open and closed times</w:t>
      </w:r>
      <w:r w:rsidR="00C9549C" w:rsidRPr="00C9549C">
        <w:rPr>
          <w:i/>
          <w:iCs/>
        </w:rPr>
        <w:t xml:space="preserve"> for a clinic</w:t>
      </w:r>
      <w:r w:rsidRPr="00C9549C">
        <w:rPr>
          <w:i/>
          <w:iCs/>
        </w:rPr>
        <w:t>. The operatory settings can identify a specific operator</w:t>
      </w:r>
      <w:r w:rsidR="00C9549C" w:rsidRPr="00C9549C">
        <w:rPr>
          <w:i/>
          <w:iCs/>
        </w:rPr>
        <w:t>y’s</w:t>
      </w:r>
      <w:r w:rsidRPr="00C9549C">
        <w:rPr>
          <w:i/>
          <w:iCs/>
        </w:rPr>
        <w:t xml:space="preserve"> available times if they are different from the clinic’s hours</w:t>
      </w:r>
      <w:r w:rsidR="00C9549C" w:rsidRPr="00C9549C">
        <w:rPr>
          <w:i/>
          <w:iCs/>
        </w:rPr>
        <w:t xml:space="preserve"> (such as when a</w:t>
      </w:r>
      <w:r w:rsidRPr="00C9549C">
        <w:rPr>
          <w:i/>
          <w:iCs/>
        </w:rPr>
        <w:t xml:space="preserve"> provider only works in </w:t>
      </w:r>
      <w:r w:rsidR="00C9549C" w:rsidRPr="00C9549C">
        <w:rPr>
          <w:i/>
          <w:iCs/>
        </w:rPr>
        <w:t xml:space="preserve">operatory </w:t>
      </w:r>
      <w:r w:rsidRPr="00C9549C">
        <w:rPr>
          <w:i/>
          <w:iCs/>
        </w:rPr>
        <w:t>3 on Fridays</w:t>
      </w:r>
      <w:r w:rsidR="00C9549C" w:rsidRPr="00C9549C">
        <w:rPr>
          <w:i/>
          <w:iCs/>
        </w:rPr>
        <w:t>)</w:t>
      </w:r>
      <w:r w:rsidRPr="00C9549C">
        <w:rPr>
          <w:i/>
          <w:iCs/>
        </w:rPr>
        <w:t>.</w:t>
      </w:r>
    </w:p>
    <w:p w14:paraId="6D293F52" w14:textId="5E3A9CBA" w:rsidR="0084256E" w:rsidRDefault="009473AD" w:rsidP="00BC6868">
      <w:pPr>
        <w:pStyle w:val="Heading4"/>
      </w:pPr>
      <w:r w:rsidRPr="349A4F20">
        <w:t>View Setup</w:t>
      </w:r>
    </w:p>
    <w:p w14:paraId="42371615" w14:textId="11F63907" w:rsidR="009473AD" w:rsidRPr="00E24F38" w:rsidRDefault="009473AD" w:rsidP="0084256E">
      <w:pPr>
        <w:pStyle w:val="BodyText"/>
      </w:pPr>
      <w:proofErr w:type="gramStart"/>
      <w:r w:rsidRPr="349A4F20">
        <w:t>A view</w:t>
      </w:r>
      <w:proofErr w:type="gramEnd"/>
      <w:r w:rsidRPr="349A4F20">
        <w:t xml:space="preserve"> is the visual schedule</w:t>
      </w:r>
      <w:r w:rsidR="00C9549C">
        <w:t>. The view is determined by the specified p</w:t>
      </w:r>
      <w:r w:rsidRPr="349A4F20">
        <w:t>roviders</w:t>
      </w:r>
      <w:r w:rsidR="00C9549C">
        <w:t>, o</w:t>
      </w:r>
      <w:r w:rsidRPr="349A4F20">
        <w:t>peratories</w:t>
      </w:r>
      <w:r w:rsidR="00C9549C">
        <w:t>,</w:t>
      </w:r>
      <w:r w:rsidRPr="349A4F20">
        <w:t xml:space="preserve"> and patient information. </w:t>
      </w:r>
      <w:r w:rsidR="00C9549C">
        <w:t>A clinic can have m</w:t>
      </w:r>
      <w:r w:rsidRPr="349A4F20">
        <w:t>ultiple views. By managing the views</w:t>
      </w:r>
      <w:r w:rsidR="00C9549C">
        <w:t>,</w:t>
      </w:r>
      <w:r w:rsidRPr="349A4F20">
        <w:t xml:space="preserve"> you </w:t>
      </w:r>
      <w:r w:rsidR="00C9549C">
        <w:t>can</w:t>
      </w:r>
      <w:r w:rsidRPr="349A4F20">
        <w:t xml:space="preserve"> control user access. This is separate from system security and is strictly </w:t>
      </w:r>
      <w:r w:rsidR="00C9549C">
        <w:t>used to</w:t>
      </w:r>
      <w:r w:rsidRPr="349A4F20">
        <w:t xml:space="preserve"> control </w:t>
      </w:r>
      <w:r w:rsidR="00C9549C">
        <w:t>access to</w:t>
      </w:r>
      <w:r w:rsidRPr="349A4F20">
        <w:t xml:space="preserve"> specific clinic schedules. </w:t>
      </w:r>
    </w:p>
    <w:p w14:paraId="5656F0CE" w14:textId="705B8090" w:rsidR="009473AD" w:rsidRPr="00C9549C" w:rsidRDefault="009473AD" w:rsidP="003638EB">
      <w:pPr>
        <w:pStyle w:val="BodyText"/>
        <w:rPr>
          <w:i/>
          <w:iCs/>
        </w:rPr>
      </w:pPr>
      <w:r w:rsidRPr="00C9549C">
        <w:rPr>
          <w:b/>
          <w:bCs/>
          <w:i/>
          <w:iCs/>
        </w:rPr>
        <w:t xml:space="preserve">Operations </w:t>
      </w:r>
      <w:r w:rsidR="00C9549C" w:rsidRPr="00C9549C">
        <w:rPr>
          <w:b/>
          <w:bCs/>
          <w:i/>
          <w:iCs/>
        </w:rPr>
        <w:t>I</w:t>
      </w:r>
      <w:r w:rsidRPr="00C9549C">
        <w:rPr>
          <w:b/>
          <w:bCs/>
          <w:i/>
          <w:iCs/>
        </w:rPr>
        <w:t>nsight</w:t>
      </w:r>
      <w:r w:rsidR="00C9549C" w:rsidRPr="00C9549C">
        <w:rPr>
          <w:i/>
          <w:iCs/>
        </w:rPr>
        <w:t>: Y</w:t>
      </w:r>
      <w:r w:rsidRPr="00C9549C">
        <w:rPr>
          <w:i/>
          <w:iCs/>
        </w:rPr>
        <w:t xml:space="preserve">ou can have one view for when you are in the operatory and a different one for when you are at the front desk. For each view, you specify which providers, operatories, hours, and patient details </w:t>
      </w:r>
      <w:r w:rsidR="00C9549C" w:rsidRPr="00C9549C">
        <w:rPr>
          <w:i/>
          <w:iCs/>
        </w:rPr>
        <w:t>appear</w:t>
      </w:r>
      <w:r w:rsidRPr="00C9549C">
        <w:rPr>
          <w:i/>
          <w:iCs/>
        </w:rPr>
        <w:t xml:space="preserve"> in </w:t>
      </w:r>
      <w:proofErr w:type="gramStart"/>
      <w:r w:rsidRPr="00C9549C">
        <w:rPr>
          <w:i/>
          <w:iCs/>
        </w:rPr>
        <w:t>Appointment</w:t>
      </w:r>
      <w:proofErr w:type="gramEnd"/>
      <w:r w:rsidRPr="00C9549C">
        <w:rPr>
          <w:i/>
          <w:iCs/>
        </w:rPr>
        <w:t xml:space="preserve"> Book.</w:t>
      </w:r>
    </w:p>
    <w:p w14:paraId="6060EC1F" w14:textId="77777777" w:rsidR="009473AD" w:rsidRPr="00454D84" w:rsidRDefault="009473AD" w:rsidP="003638EB">
      <w:pPr>
        <w:pStyle w:val="BodyText"/>
        <w:rPr>
          <w:color w:val="00B050"/>
        </w:rPr>
      </w:pPr>
      <w:r w:rsidRPr="00454D84">
        <w:rPr>
          <w:color w:val="00B050"/>
        </w:rPr>
        <w:t>&lt;&lt;Insert SOP/guidelines here for appointment book views&gt;&gt;</w:t>
      </w:r>
    </w:p>
    <w:p w14:paraId="586CFCAD" w14:textId="459BE3EB" w:rsidR="009473AD" w:rsidRPr="003638EB" w:rsidRDefault="009473AD" w:rsidP="003638EB">
      <w:pPr>
        <w:pStyle w:val="BodyText"/>
      </w:pPr>
      <w:r w:rsidRPr="349A4F20">
        <w:t>Set up the following options:</w:t>
      </w:r>
    </w:p>
    <w:p w14:paraId="6826584E" w14:textId="77777777" w:rsidR="009473AD" w:rsidRPr="00E24F38" w:rsidRDefault="009473AD">
      <w:pPr>
        <w:pStyle w:val="BodyText"/>
        <w:numPr>
          <w:ilvl w:val="0"/>
          <w:numId w:val="100"/>
        </w:numPr>
        <w:ind w:left="540"/>
      </w:pPr>
      <w:r w:rsidRPr="003638EB">
        <w:rPr>
          <w:b/>
          <w:bCs/>
        </w:rPr>
        <w:t>Appt. View Name</w:t>
      </w:r>
      <w:r w:rsidRPr="349A4F20">
        <w:t xml:space="preserve"> – Type a name for the view.</w:t>
      </w:r>
    </w:p>
    <w:p w14:paraId="22169D60" w14:textId="77777777" w:rsidR="009473AD" w:rsidRPr="00E24F38" w:rsidRDefault="009473AD">
      <w:pPr>
        <w:pStyle w:val="BodyText"/>
        <w:numPr>
          <w:ilvl w:val="0"/>
          <w:numId w:val="100"/>
        </w:numPr>
        <w:ind w:left="540"/>
      </w:pPr>
      <w:r w:rsidRPr="003638EB">
        <w:rPr>
          <w:b/>
          <w:bCs/>
        </w:rPr>
        <w:t>Short-cut key to view</w:t>
      </w:r>
      <w:r w:rsidRPr="349A4F20">
        <w:t xml:space="preserve"> – Select the shortcut key that you want to use to access the view.</w:t>
      </w:r>
    </w:p>
    <w:p w14:paraId="58A03B13" w14:textId="77777777" w:rsidR="009473AD" w:rsidRPr="00E24F38" w:rsidRDefault="009473AD">
      <w:pPr>
        <w:pStyle w:val="BodyText"/>
        <w:numPr>
          <w:ilvl w:val="0"/>
          <w:numId w:val="100"/>
        </w:numPr>
        <w:ind w:left="540"/>
      </w:pPr>
      <w:r w:rsidRPr="003638EB">
        <w:rPr>
          <w:b/>
          <w:bCs/>
        </w:rPr>
        <w:t>Clinic</w:t>
      </w:r>
      <w:r w:rsidRPr="349A4F20">
        <w:t xml:space="preserve"> – Select the clinic that you want to </w:t>
      </w:r>
      <w:proofErr w:type="gramStart"/>
      <w:r w:rsidRPr="349A4F20">
        <w:t>view</w:t>
      </w:r>
      <w:proofErr w:type="gramEnd"/>
      <w:r w:rsidRPr="349A4F20">
        <w:t>.</w:t>
      </w:r>
    </w:p>
    <w:p w14:paraId="16072185" w14:textId="77777777" w:rsidR="009473AD" w:rsidRPr="00E24F38" w:rsidRDefault="009473AD">
      <w:pPr>
        <w:pStyle w:val="BodyText"/>
        <w:numPr>
          <w:ilvl w:val="0"/>
          <w:numId w:val="100"/>
        </w:numPr>
        <w:ind w:left="540"/>
      </w:pPr>
      <w:r w:rsidRPr="003638EB">
        <w:rPr>
          <w:b/>
          <w:bCs/>
        </w:rPr>
        <w:t>Selected Providers</w:t>
      </w:r>
      <w:r w:rsidRPr="349A4F20">
        <w:t xml:space="preserve"> – Click </w:t>
      </w:r>
      <w:r w:rsidRPr="00C9549C">
        <w:rPr>
          <w:b/>
          <w:bCs/>
        </w:rPr>
        <w:t>Modify List</w:t>
      </w:r>
      <w:r w:rsidRPr="349A4F20">
        <w:t xml:space="preserve"> to select the providers for the view.</w:t>
      </w:r>
    </w:p>
    <w:p w14:paraId="2A9DA816" w14:textId="77777777" w:rsidR="009473AD" w:rsidRPr="00E24F38" w:rsidRDefault="009473AD">
      <w:pPr>
        <w:pStyle w:val="BodyText"/>
        <w:numPr>
          <w:ilvl w:val="0"/>
          <w:numId w:val="100"/>
        </w:numPr>
        <w:ind w:left="540"/>
      </w:pPr>
      <w:r w:rsidRPr="003638EB">
        <w:rPr>
          <w:b/>
          <w:bCs/>
        </w:rPr>
        <w:t>Selected Operatories</w:t>
      </w:r>
      <w:r w:rsidRPr="349A4F20">
        <w:t xml:space="preserve"> – Click </w:t>
      </w:r>
      <w:r w:rsidRPr="00C9549C">
        <w:rPr>
          <w:b/>
          <w:bCs/>
        </w:rPr>
        <w:t>Modify List</w:t>
      </w:r>
      <w:r w:rsidRPr="349A4F20">
        <w:t xml:space="preserve"> to select the operatories for the view.</w:t>
      </w:r>
    </w:p>
    <w:p w14:paraId="7D461361" w14:textId="0AA48E9C" w:rsidR="009473AD" w:rsidRPr="00E24F38" w:rsidRDefault="009473AD">
      <w:pPr>
        <w:pStyle w:val="BodyText"/>
        <w:numPr>
          <w:ilvl w:val="0"/>
          <w:numId w:val="100"/>
        </w:numPr>
        <w:ind w:left="540"/>
      </w:pPr>
      <w:r w:rsidRPr="003638EB">
        <w:rPr>
          <w:b/>
          <w:bCs/>
        </w:rPr>
        <w:t>View Options</w:t>
      </w:r>
      <w:r w:rsidRPr="349A4F20">
        <w:t xml:space="preserve"> – Select any of the following</w:t>
      </w:r>
      <w:r w:rsidR="00C9549C">
        <w:t xml:space="preserve"> options</w:t>
      </w:r>
      <w:r w:rsidRPr="349A4F20">
        <w:t>:</w:t>
      </w:r>
    </w:p>
    <w:p w14:paraId="046263B5" w14:textId="77777777" w:rsidR="009473AD" w:rsidRPr="00E24F38" w:rsidRDefault="009473AD">
      <w:pPr>
        <w:pStyle w:val="BodyText"/>
        <w:numPr>
          <w:ilvl w:val="1"/>
          <w:numId w:val="101"/>
        </w:numPr>
        <w:ind w:left="1080"/>
      </w:pPr>
      <w:r w:rsidRPr="003638EB">
        <w:rPr>
          <w:b/>
          <w:bCs/>
        </w:rPr>
        <w:t>View Amount</w:t>
      </w:r>
      <w:r w:rsidRPr="349A4F20">
        <w:t xml:space="preserve"> – To have the scheduled production amount for the day, week, or month appear.</w:t>
      </w:r>
    </w:p>
    <w:p w14:paraId="4D97C6C8" w14:textId="77777777" w:rsidR="009473AD" w:rsidRPr="00E24F38" w:rsidRDefault="009473AD">
      <w:pPr>
        <w:pStyle w:val="BodyText"/>
        <w:numPr>
          <w:ilvl w:val="1"/>
          <w:numId w:val="101"/>
        </w:numPr>
        <w:ind w:left="1080"/>
      </w:pPr>
      <w:r w:rsidRPr="003638EB">
        <w:rPr>
          <w:b/>
          <w:bCs/>
        </w:rPr>
        <w:t>View Appointment Notes</w:t>
      </w:r>
      <w:r w:rsidRPr="349A4F20">
        <w:t xml:space="preserve"> – To view a note symbol on any appointment with a note.</w:t>
      </w:r>
    </w:p>
    <w:p w14:paraId="52B1D10E" w14:textId="77777777" w:rsidR="009473AD" w:rsidRPr="00E24F38" w:rsidRDefault="009473AD">
      <w:pPr>
        <w:pStyle w:val="BodyText"/>
        <w:numPr>
          <w:ilvl w:val="1"/>
          <w:numId w:val="101"/>
        </w:numPr>
        <w:ind w:left="1080"/>
      </w:pPr>
      <w:r w:rsidRPr="003638EB">
        <w:rPr>
          <w:b/>
          <w:bCs/>
        </w:rPr>
        <w:t>View Alerts</w:t>
      </w:r>
      <w:r w:rsidRPr="349A4F20">
        <w:t xml:space="preserve"> – To view a red plus sign on any appointment for a patient with medical alerts.</w:t>
      </w:r>
    </w:p>
    <w:p w14:paraId="0AADDD3B" w14:textId="77777777" w:rsidR="009473AD" w:rsidRPr="00E24F38" w:rsidRDefault="009473AD">
      <w:pPr>
        <w:pStyle w:val="BodyText"/>
        <w:numPr>
          <w:ilvl w:val="1"/>
          <w:numId w:val="101"/>
        </w:numPr>
        <w:ind w:left="1080"/>
      </w:pPr>
      <w:r w:rsidRPr="003638EB">
        <w:rPr>
          <w:b/>
          <w:bCs/>
        </w:rPr>
        <w:t>View Provider Columns</w:t>
      </w:r>
      <w:r w:rsidRPr="349A4F20">
        <w:t xml:space="preserve"> – To view the colored provider bar.</w:t>
      </w:r>
    </w:p>
    <w:p w14:paraId="4B0CDD6D" w14:textId="77777777" w:rsidR="009473AD" w:rsidRPr="00E24F38" w:rsidRDefault="009473AD">
      <w:pPr>
        <w:pStyle w:val="BodyText"/>
        <w:numPr>
          <w:ilvl w:val="1"/>
          <w:numId w:val="101"/>
        </w:numPr>
        <w:ind w:left="1080"/>
      </w:pPr>
      <w:r w:rsidRPr="003638EB">
        <w:rPr>
          <w:b/>
          <w:bCs/>
        </w:rPr>
        <w:t>View Ins Eligibility</w:t>
      </w:r>
      <w:r w:rsidRPr="349A4F20">
        <w:t xml:space="preserve"> – Select to see an insurance eligibility icon on any appointment for a patient with an insurance plan attached to his or her record. </w:t>
      </w:r>
    </w:p>
    <w:p w14:paraId="479772E4" w14:textId="77777777" w:rsidR="009473AD" w:rsidRPr="00E24F38" w:rsidRDefault="009473AD">
      <w:pPr>
        <w:pStyle w:val="BodyText"/>
        <w:numPr>
          <w:ilvl w:val="0"/>
          <w:numId w:val="100"/>
        </w:numPr>
        <w:ind w:left="540"/>
      </w:pPr>
      <w:r w:rsidRPr="003638EB">
        <w:rPr>
          <w:b/>
          <w:bCs/>
        </w:rPr>
        <w:t>Select Days</w:t>
      </w:r>
      <w:r w:rsidRPr="349A4F20">
        <w:t xml:space="preserve"> – Select the days of the week that the office is normally open. The week and month views will show only the selected days.</w:t>
      </w:r>
    </w:p>
    <w:p w14:paraId="181F7BEF" w14:textId="466ADC86" w:rsidR="009473AD" w:rsidRPr="00E24F38" w:rsidRDefault="009473AD">
      <w:pPr>
        <w:pStyle w:val="BodyText"/>
        <w:numPr>
          <w:ilvl w:val="0"/>
          <w:numId w:val="100"/>
        </w:numPr>
        <w:ind w:left="540"/>
      </w:pPr>
      <w:r w:rsidRPr="003638EB">
        <w:rPr>
          <w:b/>
          <w:bCs/>
        </w:rPr>
        <w:lastRenderedPageBreak/>
        <w:t>Month Time View</w:t>
      </w:r>
      <w:r w:rsidRPr="349A4F20">
        <w:t xml:space="preserve"> – For the month view, Dentrix Enterprise requires that a start and end time be entered. Type the earliest hour that you will see patients in the </w:t>
      </w:r>
      <w:r w:rsidRPr="00C9549C">
        <w:rPr>
          <w:b/>
          <w:bCs/>
        </w:rPr>
        <w:t xml:space="preserve">Start </w:t>
      </w:r>
      <w:proofErr w:type="spellStart"/>
      <w:r w:rsidRPr="00C9549C">
        <w:rPr>
          <w:b/>
          <w:bCs/>
        </w:rPr>
        <w:t>Hr</w:t>
      </w:r>
      <w:proofErr w:type="spellEnd"/>
      <w:r w:rsidRPr="349A4F20">
        <w:t xml:space="preserve"> </w:t>
      </w:r>
      <w:r w:rsidR="00C9549C">
        <w:t>box</w:t>
      </w:r>
      <w:r w:rsidRPr="349A4F20">
        <w:t xml:space="preserve">. Type the latest hour that appointments will last in the </w:t>
      </w:r>
      <w:r w:rsidRPr="00C9549C">
        <w:rPr>
          <w:b/>
          <w:bCs/>
        </w:rPr>
        <w:t xml:space="preserve">End </w:t>
      </w:r>
      <w:proofErr w:type="spellStart"/>
      <w:r w:rsidRPr="00C9549C">
        <w:rPr>
          <w:b/>
          <w:bCs/>
        </w:rPr>
        <w:t>Hr</w:t>
      </w:r>
      <w:proofErr w:type="spellEnd"/>
      <w:r w:rsidRPr="349A4F20">
        <w:t xml:space="preserve"> </w:t>
      </w:r>
      <w:r w:rsidR="00C9549C">
        <w:t>box</w:t>
      </w:r>
      <w:r w:rsidRPr="349A4F20">
        <w:t xml:space="preserve">. Click </w:t>
      </w:r>
      <w:r w:rsidRPr="00C9549C">
        <w:rPr>
          <w:b/>
          <w:bCs/>
        </w:rPr>
        <w:t>am</w:t>
      </w:r>
      <w:r w:rsidRPr="349A4F20">
        <w:t xml:space="preserve"> or </w:t>
      </w:r>
      <w:r w:rsidRPr="00C9549C">
        <w:rPr>
          <w:b/>
          <w:bCs/>
        </w:rPr>
        <w:t>pm</w:t>
      </w:r>
      <w:r w:rsidRPr="349A4F20">
        <w:t xml:space="preserve"> for both fields.</w:t>
      </w:r>
    </w:p>
    <w:p w14:paraId="5B31D786" w14:textId="77777777" w:rsidR="00C9549C" w:rsidRDefault="009473AD">
      <w:pPr>
        <w:pStyle w:val="BodyText"/>
        <w:numPr>
          <w:ilvl w:val="0"/>
          <w:numId w:val="100"/>
        </w:numPr>
        <w:ind w:left="540"/>
      </w:pPr>
      <w:r w:rsidRPr="003638EB">
        <w:rPr>
          <w:b/>
          <w:bCs/>
        </w:rPr>
        <w:t>Appointment Display Info</w:t>
      </w:r>
      <w:r w:rsidRPr="349A4F20">
        <w:t xml:space="preserve"> – Depending on the length of an appointment, up to nine lines of information can </w:t>
      </w:r>
      <w:r w:rsidR="00C9549C">
        <w:t>appear</w:t>
      </w:r>
      <w:r w:rsidRPr="349A4F20">
        <w:t xml:space="preserve"> on the face of an appointment</w:t>
      </w:r>
      <w:r w:rsidR="00C9549C">
        <w:t xml:space="preserve"> tile</w:t>
      </w:r>
      <w:r w:rsidRPr="349A4F20">
        <w:t xml:space="preserve">. For each </w:t>
      </w:r>
      <w:r w:rsidRPr="00C9549C">
        <w:rPr>
          <w:b/>
          <w:bCs/>
        </w:rPr>
        <w:t>Line</w:t>
      </w:r>
      <w:r w:rsidRPr="349A4F20">
        <w:t xml:space="preserve">, select the information you want to have displayed on that line, or select </w:t>
      </w:r>
      <w:r w:rsidRPr="00C9549C">
        <w:rPr>
          <w:b/>
          <w:bCs/>
        </w:rPr>
        <w:t>[None]</w:t>
      </w:r>
      <w:r w:rsidRPr="349A4F20">
        <w:t xml:space="preserve"> to leave that line blank.</w:t>
      </w:r>
    </w:p>
    <w:p w14:paraId="0AE230E8" w14:textId="2CB49209" w:rsidR="009473AD" w:rsidRPr="00C9549C" w:rsidRDefault="009473AD" w:rsidP="00C9549C">
      <w:pPr>
        <w:pStyle w:val="BodyText"/>
        <w:ind w:left="540"/>
        <w:rPr>
          <w:i/>
          <w:iCs/>
        </w:rPr>
      </w:pPr>
      <w:r w:rsidRPr="00C9549C">
        <w:rPr>
          <w:b/>
          <w:bCs/>
          <w:i/>
          <w:iCs/>
        </w:rPr>
        <w:t>Tip</w:t>
      </w:r>
      <w:r w:rsidRPr="00C9549C">
        <w:rPr>
          <w:i/>
          <w:iCs/>
        </w:rPr>
        <w:t>: On average, appointments will probably display 2–4 lines, so assign the most important items to the first lines.</w:t>
      </w:r>
    </w:p>
    <w:p w14:paraId="5FF470D4" w14:textId="26533039" w:rsidR="009473AD" w:rsidRPr="0084256E" w:rsidRDefault="009473AD">
      <w:pPr>
        <w:pStyle w:val="BodyText"/>
        <w:numPr>
          <w:ilvl w:val="0"/>
          <w:numId w:val="100"/>
        </w:numPr>
        <w:ind w:left="540"/>
      </w:pPr>
      <w:r w:rsidRPr="003638EB">
        <w:rPr>
          <w:b/>
          <w:bCs/>
        </w:rPr>
        <w:t>Default View</w:t>
      </w:r>
      <w:r w:rsidRPr="349A4F20">
        <w:t xml:space="preserve"> – Select this checkbox to have this view be your default for the current clinic.</w:t>
      </w:r>
    </w:p>
    <w:p w14:paraId="553ED98B" w14:textId="322D269D" w:rsidR="0084256E" w:rsidRDefault="009473AD" w:rsidP="00BC6868">
      <w:pPr>
        <w:pStyle w:val="Heading4"/>
      </w:pPr>
      <w:r w:rsidRPr="349A4F20">
        <w:t>Flip tab setup</w:t>
      </w:r>
    </w:p>
    <w:p w14:paraId="3F995D9E" w14:textId="43F23A02" w:rsidR="009473AD" w:rsidRPr="00E24F38" w:rsidRDefault="00C9549C" w:rsidP="0084256E">
      <w:pPr>
        <w:pStyle w:val="BodyText"/>
      </w:pPr>
      <w:r w:rsidRPr="00C9549C">
        <w:t xml:space="preserve">A flip tab acts like a bookmark. It allows you to jump forward or backward several days, weeks, or months in </w:t>
      </w:r>
      <w:proofErr w:type="gramStart"/>
      <w:r w:rsidRPr="00C9549C">
        <w:t>Appointment</w:t>
      </w:r>
      <w:proofErr w:type="gramEnd"/>
      <w:r w:rsidRPr="00C9549C">
        <w:t xml:space="preserve"> Book, according to a specified length of time, such as seven days, two weeks, or six months. Flip tabs are workstation specific.</w:t>
      </w:r>
      <w:r w:rsidR="009473AD" w:rsidRPr="349A4F20">
        <w:t xml:space="preserve"> You can </w:t>
      </w:r>
      <w:r>
        <w:t>add</w:t>
      </w:r>
      <w:r w:rsidR="009473AD" w:rsidRPr="349A4F20">
        <w:t xml:space="preserve"> up to four flip tabs per daily, weekly, and monthly view on a computer.</w:t>
      </w:r>
    </w:p>
    <w:p w14:paraId="260195F9" w14:textId="75A6FCF7" w:rsidR="009473AD" w:rsidRPr="00C9549C" w:rsidRDefault="009473AD" w:rsidP="00BC6868">
      <w:pPr>
        <w:pStyle w:val="BodyText"/>
        <w:rPr>
          <w:i/>
          <w:iCs/>
        </w:rPr>
      </w:pPr>
      <w:r w:rsidRPr="00C9549C">
        <w:rPr>
          <w:b/>
          <w:bCs/>
          <w:i/>
          <w:iCs/>
        </w:rPr>
        <w:t xml:space="preserve">Operations </w:t>
      </w:r>
      <w:r w:rsidR="00C9549C" w:rsidRPr="00C9549C">
        <w:rPr>
          <w:b/>
          <w:bCs/>
          <w:i/>
          <w:iCs/>
        </w:rPr>
        <w:t>I</w:t>
      </w:r>
      <w:r w:rsidRPr="00C9549C">
        <w:rPr>
          <w:b/>
          <w:bCs/>
          <w:i/>
          <w:iCs/>
        </w:rPr>
        <w:t>nsight</w:t>
      </w:r>
      <w:r w:rsidR="00C9549C" w:rsidRPr="00C9549C">
        <w:rPr>
          <w:i/>
          <w:iCs/>
        </w:rPr>
        <w:t xml:space="preserve">: </w:t>
      </w:r>
      <w:r w:rsidR="00C9549C">
        <w:rPr>
          <w:i/>
          <w:iCs/>
        </w:rPr>
        <w:t>Refer to</w:t>
      </w:r>
      <w:r w:rsidRPr="00C9549C">
        <w:rPr>
          <w:i/>
          <w:iCs/>
        </w:rPr>
        <w:t xml:space="preserve"> the appendix that identifies all workstation</w:t>
      </w:r>
      <w:r w:rsidR="00C9549C" w:rsidRPr="00C9549C">
        <w:rPr>
          <w:i/>
          <w:iCs/>
        </w:rPr>
        <w:t>-</w:t>
      </w:r>
      <w:r w:rsidRPr="00C9549C">
        <w:rPr>
          <w:i/>
          <w:iCs/>
        </w:rPr>
        <w:t>specific settings. Your IT may choose to use your operating system’s settings to distribute workstation</w:t>
      </w:r>
      <w:r w:rsidR="00C9549C" w:rsidRPr="00C9549C">
        <w:rPr>
          <w:i/>
          <w:iCs/>
        </w:rPr>
        <w:t>-</w:t>
      </w:r>
      <w:r w:rsidRPr="00C9549C">
        <w:rPr>
          <w:i/>
          <w:iCs/>
        </w:rPr>
        <w:t xml:space="preserve">specific settings to other workstations.  </w:t>
      </w:r>
    </w:p>
    <w:p w14:paraId="27920BFE" w14:textId="2138D030" w:rsidR="0084256E" w:rsidRDefault="009473AD" w:rsidP="00BC6868">
      <w:pPr>
        <w:pStyle w:val="Heading4"/>
      </w:pPr>
      <w:r w:rsidRPr="349A4F20">
        <w:t>Events</w:t>
      </w:r>
    </w:p>
    <w:p w14:paraId="25E34800" w14:textId="6614DA49" w:rsidR="009473AD" w:rsidRDefault="00C9549C" w:rsidP="0084256E">
      <w:pPr>
        <w:pStyle w:val="BodyText"/>
      </w:pPr>
      <w:r>
        <w:t>A</w:t>
      </w:r>
      <w:r w:rsidR="009473AD" w:rsidRPr="349A4F20">
        <w:t xml:space="preserve">n event blocks out time for one or all operatories in Appointment Book so you have a visual reminder that you cannot schedule </w:t>
      </w:r>
      <w:r>
        <w:t xml:space="preserve">appointments </w:t>
      </w:r>
      <w:r w:rsidR="009473AD" w:rsidRPr="349A4F20">
        <w:t>during that time. An event can be for a single day or be a recurring event for up to one year.</w:t>
      </w:r>
    </w:p>
    <w:p w14:paraId="1B4DF9F9" w14:textId="77777777" w:rsidR="009473AD" w:rsidRPr="0084256E" w:rsidRDefault="009473AD" w:rsidP="00BC6868">
      <w:pPr>
        <w:pStyle w:val="BodyText"/>
        <w:rPr>
          <w:sz w:val="16"/>
          <w:szCs w:val="16"/>
        </w:rPr>
      </w:pPr>
      <w:r w:rsidRPr="00454D84">
        <w:rPr>
          <w:color w:val="00B050"/>
        </w:rPr>
        <w:t>&lt;&lt;Insert SOP/Guideline on blocks/events here&gt;&gt;</w:t>
      </w:r>
    </w:p>
    <w:p w14:paraId="197B945C" w14:textId="3668D5A2" w:rsidR="009473AD" w:rsidRPr="00B536C6" w:rsidRDefault="009473AD" w:rsidP="00BC6868">
      <w:pPr>
        <w:pStyle w:val="BodyText"/>
        <w:rPr>
          <w:i/>
          <w:iCs/>
        </w:rPr>
      </w:pPr>
      <w:r w:rsidRPr="00B536C6">
        <w:rPr>
          <w:b/>
          <w:bCs/>
          <w:i/>
          <w:iCs/>
        </w:rPr>
        <w:t xml:space="preserve">Operations </w:t>
      </w:r>
      <w:r w:rsidR="00C9549C" w:rsidRPr="00B536C6">
        <w:rPr>
          <w:b/>
          <w:bCs/>
          <w:i/>
          <w:iCs/>
        </w:rPr>
        <w:t>I</w:t>
      </w:r>
      <w:r w:rsidRPr="00B536C6">
        <w:rPr>
          <w:b/>
          <w:bCs/>
          <w:i/>
          <w:iCs/>
        </w:rPr>
        <w:t>nsigh</w:t>
      </w:r>
      <w:r w:rsidR="00C9549C" w:rsidRPr="00B536C6">
        <w:rPr>
          <w:b/>
          <w:bCs/>
          <w:i/>
          <w:iCs/>
        </w:rPr>
        <w:t>ts</w:t>
      </w:r>
      <w:r w:rsidR="00BC6868" w:rsidRPr="00B536C6">
        <w:rPr>
          <w:i/>
          <w:iCs/>
        </w:rPr>
        <w:t>:</w:t>
      </w:r>
    </w:p>
    <w:p w14:paraId="34F74B2A" w14:textId="64B830B7" w:rsidR="009473AD" w:rsidRPr="00B536C6" w:rsidRDefault="009473AD">
      <w:pPr>
        <w:pStyle w:val="BodyText"/>
        <w:numPr>
          <w:ilvl w:val="0"/>
          <w:numId w:val="94"/>
        </w:numPr>
        <w:ind w:left="540"/>
        <w:rPr>
          <w:i/>
          <w:iCs/>
        </w:rPr>
      </w:pPr>
      <w:r w:rsidRPr="00B536C6">
        <w:rPr>
          <w:i/>
          <w:iCs/>
        </w:rPr>
        <w:t>If you create a repeating event, be aware that</w:t>
      </w:r>
      <w:r w:rsidR="00B536C6" w:rsidRPr="00B536C6">
        <w:rPr>
          <w:i/>
          <w:iCs/>
        </w:rPr>
        <w:t>,</w:t>
      </w:r>
      <w:r w:rsidRPr="00B536C6">
        <w:rPr>
          <w:i/>
          <w:iCs/>
        </w:rPr>
        <w:t xml:space="preserve"> if you want to delete the whole series, you must delete each event in that series one at a time.</w:t>
      </w:r>
    </w:p>
    <w:p w14:paraId="0E0B5783" w14:textId="77777777" w:rsidR="009473AD" w:rsidRPr="00B536C6" w:rsidRDefault="009473AD">
      <w:pPr>
        <w:pStyle w:val="BodyText"/>
        <w:numPr>
          <w:ilvl w:val="0"/>
          <w:numId w:val="94"/>
        </w:numPr>
        <w:ind w:left="540"/>
        <w:rPr>
          <w:i/>
          <w:iCs/>
        </w:rPr>
      </w:pPr>
      <w:r w:rsidRPr="00B536C6">
        <w:rPr>
          <w:i/>
          <w:iCs/>
        </w:rPr>
        <w:t>If you attempt to schedule a single event that overlaps with an existing appointment or event, a message appears and states that the operatory is already scheduled at the requested time.</w:t>
      </w:r>
    </w:p>
    <w:p w14:paraId="131E1BE0" w14:textId="5CA7F26D" w:rsidR="009473AD" w:rsidRPr="00B536C6" w:rsidRDefault="009473AD">
      <w:pPr>
        <w:pStyle w:val="BodyText"/>
        <w:numPr>
          <w:ilvl w:val="0"/>
          <w:numId w:val="94"/>
        </w:numPr>
        <w:ind w:left="540"/>
        <w:rPr>
          <w:i/>
          <w:iCs/>
        </w:rPr>
      </w:pPr>
      <w:r w:rsidRPr="00B536C6">
        <w:rPr>
          <w:i/>
          <w:iCs/>
        </w:rPr>
        <w:t xml:space="preserve">If Dentrix </w:t>
      </w:r>
      <w:r w:rsidR="00B536C6" w:rsidRPr="00B536C6">
        <w:rPr>
          <w:i/>
          <w:iCs/>
        </w:rPr>
        <w:t>Enterprise cannot</w:t>
      </w:r>
      <w:r w:rsidRPr="00B536C6">
        <w:rPr>
          <w:i/>
          <w:iCs/>
        </w:rPr>
        <w:t xml:space="preserve"> create an event that is part of a series because that event overlaps with an existing appointment or event, a log file appears for your reference. You can correct the conflicts and then schedule events to match those in the series you created previously.</w:t>
      </w:r>
    </w:p>
    <w:p w14:paraId="79BA2467" w14:textId="4F7713F9" w:rsidR="0084256E" w:rsidRDefault="009473AD" w:rsidP="00BC6868">
      <w:pPr>
        <w:pStyle w:val="Heading4"/>
      </w:pPr>
      <w:r w:rsidRPr="349A4F20">
        <w:lastRenderedPageBreak/>
        <w:t xml:space="preserve">Perfect </w:t>
      </w:r>
      <w:r w:rsidR="003638EB">
        <w:t>D</w:t>
      </w:r>
      <w:r w:rsidRPr="349A4F20">
        <w:t xml:space="preserve">ay </w:t>
      </w:r>
      <w:r w:rsidR="003638EB">
        <w:t>S</w:t>
      </w:r>
      <w:r w:rsidRPr="349A4F20">
        <w:t>cheduling</w:t>
      </w:r>
    </w:p>
    <w:p w14:paraId="05201607" w14:textId="38074369" w:rsidR="009473AD" w:rsidRDefault="003638EB" w:rsidP="000D7FFC">
      <w:pPr>
        <w:pStyle w:val="BodyText"/>
        <w:keepNext/>
        <w:keepLines/>
      </w:pPr>
      <w:r>
        <w:t>A</w:t>
      </w:r>
      <w:r w:rsidR="009473AD" w:rsidRPr="349A4F20">
        <w:t xml:space="preserve">chieve a perfect balance of specific procedure types (for example, </w:t>
      </w:r>
      <w:r w:rsidR="00B536C6">
        <w:t>h</w:t>
      </w:r>
      <w:r w:rsidR="009473AD" w:rsidRPr="349A4F20">
        <w:t xml:space="preserve">igh </w:t>
      </w:r>
      <w:r w:rsidR="00B536C6">
        <w:t>p</w:t>
      </w:r>
      <w:r w:rsidR="009473AD" w:rsidRPr="349A4F20">
        <w:t>roduction</w:t>
      </w:r>
      <w:r w:rsidR="00B536C6">
        <w:t xml:space="preserve"> c</w:t>
      </w:r>
      <w:r w:rsidR="009473AD" w:rsidRPr="349A4F20">
        <w:t>rown</w:t>
      </w:r>
      <w:r w:rsidR="00B536C6">
        <w:t xml:space="preserve"> procedure</w:t>
      </w:r>
      <w:r w:rsidR="009473AD" w:rsidRPr="349A4F20">
        <w:t>s</w:t>
      </w:r>
      <w:r w:rsidR="00B536C6">
        <w:t xml:space="preserve"> and low production exams</w:t>
      </w:r>
      <w:r w:rsidR="009473AD" w:rsidRPr="349A4F20">
        <w:t>)</w:t>
      </w:r>
      <w:r w:rsidR="00B536C6">
        <w:t>.</w:t>
      </w:r>
      <w:r w:rsidR="009473AD" w:rsidRPr="349A4F20">
        <w:t xml:space="preserve"> Time </w:t>
      </w:r>
      <w:r w:rsidR="00B536C6">
        <w:t>b</w:t>
      </w:r>
      <w:r w:rsidR="009473AD" w:rsidRPr="349A4F20">
        <w:t xml:space="preserve">locks allow you to reserve certain times during the day to create your </w:t>
      </w:r>
      <w:r w:rsidR="00B536C6">
        <w:t>p</w:t>
      </w:r>
      <w:r w:rsidR="009473AD" w:rsidRPr="349A4F20">
        <w:t xml:space="preserve">erfect </w:t>
      </w:r>
      <w:r w:rsidR="00B536C6">
        <w:t>d</w:t>
      </w:r>
      <w:r w:rsidR="009473AD" w:rsidRPr="349A4F20">
        <w:t xml:space="preserve">ay.  </w:t>
      </w:r>
    </w:p>
    <w:p w14:paraId="3AF9C01E" w14:textId="6F357203" w:rsidR="009473AD" w:rsidRPr="00941C5B" w:rsidRDefault="003638EB" w:rsidP="000D7FFC">
      <w:pPr>
        <w:pStyle w:val="BodyText"/>
        <w:keepNext/>
        <w:keepLines/>
      </w:pPr>
      <w:r>
        <w:t>You must activate</w:t>
      </w:r>
      <w:r w:rsidR="009473AD" w:rsidRPr="2A71C1FC">
        <w:t xml:space="preserve"> Perfect Day Scheduling</w:t>
      </w:r>
      <w:r>
        <w:t xml:space="preserve"> to see the defined time blocks and for those who attempt to schedule appointments in the incorrect time blocks to see warnings. </w:t>
      </w:r>
      <w:r w:rsidR="009473AD" w:rsidRPr="2A71C1FC">
        <w:t>If Perfect Day</w:t>
      </w:r>
      <w:r w:rsidR="00B536C6">
        <w:t xml:space="preserve"> Scheduling</w:t>
      </w:r>
      <w:r w:rsidR="009473AD" w:rsidRPr="2A71C1FC">
        <w:t xml:space="preserve"> has not been activated, the defined time blocks do not appear in the Appointment Book, and no warning will appear if anyone tries to schedule appointments during reserved time blocks.</w:t>
      </w:r>
    </w:p>
    <w:p w14:paraId="1A4C13DF" w14:textId="23C09941" w:rsidR="009473AD" w:rsidRPr="00B536C6" w:rsidRDefault="009473AD" w:rsidP="003638EB">
      <w:pPr>
        <w:pStyle w:val="BodyText"/>
        <w:rPr>
          <w:i/>
          <w:iCs/>
        </w:rPr>
      </w:pPr>
      <w:r w:rsidRPr="00B536C6">
        <w:rPr>
          <w:b/>
          <w:bCs/>
          <w:i/>
          <w:iCs/>
        </w:rPr>
        <w:t xml:space="preserve">Workflow </w:t>
      </w:r>
      <w:r w:rsidR="00B536C6" w:rsidRPr="00B536C6">
        <w:rPr>
          <w:b/>
          <w:bCs/>
          <w:i/>
          <w:iCs/>
        </w:rPr>
        <w:t>I</w:t>
      </w:r>
      <w:r w:rsidRPr="00B536C6">
        <w:rPr>
          <w:b/>
          <w:bCs/>
          <w:i/>
          <w:iCs/>
        </w:rPr>
        <w:t>nsight</w:t>
      </w:r>
      <w:r w:rsidR="00B536C6" w:rsidRPr="00B536C6">
        <w:rPr>
          <w:i/>
          <w:iCs/>
        </w:rPr>
        <w:t xml:space="preserve">: </w:t>
      </w:r>
      <w:r w:rsidRPr="00B536C6">
        <w:rPr>
          <w:i/>
          <w:iCs/>
        </w:rPr>
        <w:t xml:space="preserve">This feature is very helpful for identifying pre-defined time in </w:t>
      </w:r>
      <w:r w:rsidR="00B536C6" w:rsidRPr="00B536C6">
        <w:rPr>
          <w:i/>
          <w:iCs/>
        </w:rPr>
        <w:t>A</w:t>
      </w:r>
      <w:r w:rsidRPr="00B536C6">
        <w:rPr>
          <w:i/>
          <w:iCs/>
        </w:rPr>
        <w:t xml:space="preserve">ppointment </w:t>
      </w:r>
      <w:r w:rsidR="00B536C6" w:rsidRPr="00B536C6">
        <w:rPr>
          <w:i/>
          <w:iCs/>
        </w:rPr>
        <w:t>B</w:t>
      </w:r>
      <w:r w:rsidRPr="00B536C6">
        <w:rPr>
          <w:i/>
          <w:iCs/>
        </w:rPr>
        <w:t xml:space="preserve">ook for scheduling that works best for the clinical team. </w:t>
      </w:r>
      <w:r w:rsidR="00B536C6" w:rsidRPr="00B536C6">
        <w:rPr>
          <w:i/>
          <w:iCs/>
        </w:rPr>
        <w:t>This</w:t>
      </w:r>
      <w:r w:rsidRPr="00B536C6">
        <w:rPr>
          <w:i/>
          <w:iCs/>
        </w:rPr>
        <w:t xml:space="preserve"> is very helpful for organizations that have a call center. It allows for the individual site</w:t>
      </w:r>
      <w:r w:rsidR="00B536C6" w:rsidRPr="00B536C6">
        <w:rPr>
          <w:i/>
          <w:iCs/>
        </w:rPr>
        <w:t>s</w:t>
      </w:r>
      <w:r w:rsidRPr="00B536C6">
        <w:rPr>
          <w:i/>
          <w:iCs/>
        </w:rPr>
        <w:t xml:space="preserve"> to control the available times on their schedules.</w:t>
      </w:r>
    </w:p>
    <w:p w14:paraId="73A304BC" w14:textId="139C0EA8" w:rsidR="009473AD" w:rsidRPr="00B536C6" w:rsidRDefault="009473AD" w:rsidP="003638EB">
      <w:pPr>
        <w:pStyle w:val="BodyText"/>
        <w:rPr>
          <w:i/>
          <w:iCs/>
        </w:rPr>
      </w:pPr>
      <w:r w:rsidRPr="00B536C6">
        <w:rPr>
          <w:b/>
          <w:bCs/>
          <w:i/>
          <w:iCs/>
        </w:rPr>
        <w:t xml:space="preserve">Operations </w:t>
      </w:r>
      <w:r w:rsidR="00B536C6" w:rsidRPr="00B536C6">
        <w:rPr>
          <w:b/>
          <w:bCs/>
          <w:i/>
          <w:iCs/>
        </w:rPr>
        <w:t>Insight</w:t>
      </w:r>
      <w:r w:rsidR="00B536C6" w:rsidRPr="00B536C6">
        <w:rPr>
          <w:i/>
          <w:iCs/>
        </w:rPr>
        <w:t>: E</w:t>
      </w:r>
      <w:r w:rsidRPr="00B536C6">
        <w:rPr>
          <w:i/>
          <w:iCs/>
        </w:rPr>
        <w:t xml:space="preserve">ach provider can have up to </w:t>
      </w:r>
      <w:r w:rsidR="00B536C6" w:rsidRPr="00B536C6">
        <w:rPr>
          <w:i/>
          <w:iCs/>
        </w:rPr>
        <w:t>six</w:t>
      </w:r>
      <w:r w:rsidRPr="00B536C6">
        <w:rPr>
          <w:i/>
          <w:iCs/>
        </w:rPr>
        <w:t xml:space="preserve"> time blocks assigned to them</w:t>
      </w:r>
      <w:r w:rsidR="00B536C6" w:rsidRPr="00B536C6">
        <w:rPr>
          <w:i/>
          <w:iCs/>
        </w:rPr>
        <w:t>,</w:t>
      </w:r>
      <w:r w:rsidRPr="00B536C6">
        <w:rPr>
          <w:i/>
          <w:iCs/>
        </w:rPr>
        <w:t xml:space="preserve"> and each view can show up to 20 individual time blocks at a time. Additional time blocks past the allowed 20 established for the view will not be visible.</w:t>
      </w:r>
    </w:p>
    <w:p w14:paraId="105438D9" w14:textId="0408B046" w:rsidR="0084256E" w:rsidRPr="0084256E" w:rsidRDefault="009473AD" w:rsidP="00D42C5A">
      <w:pPr>
        <w:pStyle w:val="Heading3"/>
        <w:rPr>
          <w:bCs/>
        </w:rPr>
      </w:pPr>
      <w:bookmarkStart w:id="245" w:name="_Toc135416749"/>
      <w:bookmarkStart w:id="246" w:name="_Toc146183356"/>
      <w:r w:rsidRPr="0084256E">
        <w:t>Clinical Setup</w:t>
      </w:r>
      <w:bookmarkEnd w:id="245"/>
      <w:bookmarkEnd w:id="246"/>
    </w:p>
    <w:p w14:paraId="4FF99F60" w14:textId="3B55F13F" w:rsidR="009473AD" w:rsidRDefault="009473AD" w:rsidP="0084256E">
      <w:pPr>
        <w:pStyle w:val="BodyText"/>
      </w:pPr>
      <w:r w:rsidRPr="559ADB64">
        <w:t xml:space="preserve">The design elements </w:t>
      </w:r>
      <w:r w:rsidR="00B536C6">
        <w:t>discussed in</w:t>
      </w:r>
      <w:r w:rsidRPr="559ADB64">
        <w:t xml:space="preserve"> this section will drive customization of your clinical modules to enhance your </w:t>
      </w:r>
      <w:r w:rsidR="00B536C6">
        <w:t>c</w:t>
      </w:r>
      <w:r w:rsidRPr="559ADB64">
        <w:t xml:space="preserve">linical </w:t>
      </w:r>
      <w:r w:rsidR="00B536C6">
        <w:t>r</w:t>
      </w:r>
      <w:r w:rsidRPr="559ADB64">
        <w:t xml:space="preserve">ecords </w:t>
      </w:r>
      <w:r w:rsidR="00B536C6">
        <w:t>m</w:t>
      </w:r>
      <w:r w:rsidRPr="559ADB64">
        <w:t>anagement workflows. Re</w:t>
      </w:r>
      <w:r w:rsidR="00B536C6">
        <w:t>fer to the “</w:t>
      </w:r>
      <w:r w:rsidRPr="559ADB64">
        <w:t>Clinical Records Management</w:t>
      </w:r>
      <w:r w:rsidR="00B536C6">
        <w:t xml:space="preserve">” section </w:t>
      </w:r>
      <w:r w:rsidRPr="559ADB64">
        <w:t xml:space="preserve">for </w:t>
      </w:r>
      <w:r w:rsidR="00B536C6">
        <w:t xml:space="preserve">information about </w:t>
      </w:r>
      <w:r w:rsidRPr="559ADB64">
        <w:t xml:space="preserve">managing and maintaining all clinical records.  </w:t>
      </w:r>
    </w:p>
    <w:p w14:paraId="35B1DD04" w14:textId="62937D09" w:rsidR="009473AD" w:rsidRPr="0084256E" w:rsidRDefault="009473AD" w:rsidP="003638EB">
      <w:pPr>
        <w:pStyle w:val="BodyText"/>
      </w:pPr>
      <w:r w:rsidRPr="00454D84">
        <w:rPr>
          <w:color w:val="00B050"/>
        </w:rPr>
        <w:t>&lt;&lt;Insert Clinical SOP/Guideline here&gt;&gt;</w:t>
      </w:r>
    </w:p>
    <w:p w14:paraId="0378AB10" w14:textId="7A461320" w:rsidR="009473AD" w:rsidRPr="00E45677" w:rsidRDefault="009473AD" w:rsidP="003638EB">
      <w:pPr>
        <w:pStyle w:val="Heading4"/>
      </w:pPr>
      <w:r w:rsidRPr="00E45677">
        <w:t>Chart</w:t>
      </w:r>
    </w:p>
    <w:p w14:paraId="12559FE9" w14:textId="7EFD4A35" w:rsidR="009473AD" w:rsidRDefault="009473AD">
      <w:pPr>
        <w:pStyle w:val="BodyText"/>
        <w:numPr>
          <w:ilvl w:val="0"/>
          <w:numId w:val="102"/>
        </w:numPr>
        <w:ind w:left="540"/>
      </w:pPr>
      <w:r w:rsidRPr="00F763F6">
        <w:rPr>
          <w:b/>
          <w:bCs/>
        </w:rPr>
        <w:t>Procedure Buttons</w:t>
      </w:r>
      <w:r w:rsidR="003638EB">
        <w:t xml:space="preserve"> </w:t>
      </w:r>
      <w:r w:rsidR="00B536C6">
        <w:t>–</w:t>
      </w:r>
      <w:r w:rsidR="003638EB">
        <w:t xml:space="preserve"> </w:t>
      </w:r>
      <w:r w:rsidR="00B536C6">
        <w:t xml:space="preserve">You can </w:t>
      </w:r>
      <w:r>
        <w:t>assign</w:t>
      </w:r>
      <w:r w:rsidR="00B536C6">
        <w:t xml:space="preserve"> a </w:t>
      </w:r>
      <w:r>
        <w:t xml:space="preserve">procedure code and images </w:t>
      </w:r>
      <w:r w:rsidR="00B536C6">
        <w:t xml:space="preserve">to each of the </w:t>
      </w:r>
      <w:r w:rsidRPr="006D08E2">
        <w:t xml:space="preserve">24 buttons </w:t>
      </w:r>
      <w:r w:rsidR="00B536C6">
        <w:t>to quickly</w:t>
      </w:r>
      <w:r>
        <w:t xml:space="preserve"> </w:t>
      </w:r>
      <w:r w:rsidR="00B536C6">
        <w:t>chart procedures for a</w:t>
      </w:r>
      <w:r>
        <w:t xml:space="preserve"> patient</w:t>
      </w:r>
      <w:r w:rsidRPr="006D08E2">
        <w:t>.</w:t>
      </w:r>
    </w:p>
    <w:p w14:paraId="79E4726D" w14:textId="4C8AF681" w:rsidR="009473AD" w:rsidRPr="00B536C6" w:rsidRDefault="009473AD" w:rsidP="00F763F6">
      <w:pPr>
        <w:pStyle w:val="BodyText"/>
        <w:ind w:left="540"/>
        <w:rPr>
          <w:i/>
          <w:iCs/>
        </w:rPr>
      </w:pPr>
      <w:r w:rsidRPr="00B536C6">
        <w:rPr>
          <w:b/>
          <w:bCs/>
          <w:i/>
          <w:iCs/>
        </w:rPr>
        <w:t>Operations Insight</w:t>
      </w:r>
      <w:r w:rsidR="00B536C6" w:rsidRPr="00B536C6">
        <w:rPr>
          <w:i/>
          <w:iCs/>
        </w:rPr>
        <w:t xml:space="preserve">: </w:t>
      </w:r>
      <w:r w:rsidRPr="00B536C6">
        <w:rPr>
          <w:i/>
          <w:iCs/>
        </w:rPr>
        <w:t xml:space="preserve">Procedure </w:t>
      </w:r>
      <w:r w:rsidR="00B536C6" w:rsidRPr="00B536C6">
        <w:rPr>
          <w:i/>
          <w:iCs/>
        </w:rPr>
        <w:t>b</w:t>
      </w:r>
      <w:r w:rsidRPr="00B536C6">
        <w:rPr>
          <w:i/>
          <w:iCs/>
        </w:rPr>
        <w:t xml:space="preserve">utton </w:t>
      </w:r>
      <w:r w:rsidR="00B536C6" w:rsidRPr="00B536C6">
        <w:rPr>
          <w:i/>
          <w:iCs/>
        </w:rPr>
        <w:t>t</w:t>
      </w:r>
      <w:r w:rsidRPr="00B536C6">
        <w:rPr>
          <w:i/>
          <w:iCs/>
        </w:rPr>
        <w:t xml:space="preserve">emplates </w:t>
      </w:r>
      <w:r w:rsidR="00B536C6" w:rsidRPr="00B536C6">
        <w:rPr>
          <w:i/>
          <w:iCs/>
        </w:rPr>
        <w:t>that you create are</w:t>
      </w:r>
      <w:r w:rsidRPr="00B536C6">
        <w:rPr>
          <w:i/>
          <w:iCs/>
        </w:rPr>
        <w:t xml:space="preserve"> stored </w:t>
      </w:r>
      <w:r w:rsidR="00B536C6" w:rsidRPr="00B536C6">
        <w:rPr>
          <w:i/>
          <w:iCs/>
        </w:rPr>
        <w:t>in</w:t>
      </w:r>
      <w:r w:rsidRPr="00B536C6">
        <w:rPr>
          <w:i/>
          <w:iCs/>
        </w:rPr>
        <w:t xml:space="preserve"> the Dentrix Enterprise database.</w:t>
      </w:r>
    </w:p>
    <w:p w14:paraId="38833E08" w14:textId="35CDFF7F" w:rsidR="009473AD" w:rsidRPr="00B536C6" w:rsidRDefault="009473AD" w:rsidP="00B536C6">
      <w:pPr>
        <w:pStyle w:val="BodyText"/>
        <w:ind w:left="540"/>
        <w:rPr>
          <w:color w:val="00B050"/>
        </w:rPr>
      </w:pPr>
      <w:r w:rsidRPr="00454D84">
        <w:rPr>
          <w:color w:val="00B050"/>
        </w:rPr>
        <w:t>&lt;&lt;Insert Procedure Buttons SOP/guideline here&gt;&gt;</w:t>
      </w:r>
    </w:p>
    <w:p w14:paraId="1DEF97EB" w14:textId="09A5348A" w:rsidR="009473AD" w:rsidRPr="004A4D7F" w:rsidRDefault="009473AD">
      <w:pPr>
        <w:pStyle w:val="BodyText"/>
        <w:numPr>
          <w:ilvl w:val="0"/>
          <w:numId w:val="102"/>
        </w:numPr>
        <w:ind w:left="1080"/>
      </w:pPr>
      <w:r w:rsidRPr="00F763F6">
        <w:rPr>
          <w:b/>
          <w:bCs/>
        </w:rPr>
        <w:t>Select Code</w:t>
      </w:r>
      <w:r>
        <w:t xml:space="preserve"> – </w:t>
      </w:r>
      <w:r w:rsidR="00B536C6">
        <w:t xml:space="preserve">Select </w:t>
      </w:r>
      <w:r w:rsidRPr="00B536C6">
        <w:rPr>
          <w:b/>
          <w:bCs/>
        </w:rPr>
        <w:t>Procedure</w:t>
      </w:r>
      <w:r>
        <w:t xml:space="preserve"> or </w:t>
      </w:r>
      <w:r w:rsidRPr="00B536C6">
        <w:rPr>
          <w:b/>
          <w:bCs/>
        </w:rPr>
        <w:t>Dental Diagnostic</w:t>
      </w:r>
      <w:r w:rsidR="00B536C6">
        <w:t>. Then, s</w:t>
      </w:r>
      <w:r w:rsidRPr="00215157">
        <w:t xml:space="preserve">elect </w:t>
      </w:r>
      <w:r>
        <w:t>the desired procedure (</w:t>
      </w:r>
      <w:r w:rsidRPr="00215157">
        <w:t>ADA, administrative</w:t>
      </w:r>
      <w:r>
        <w:t>, in-house</w:t>
      </w:r>
      <w:r w:rsidR="00B536C6">
        <w:t>)</w:t>
      </w:r>
      <w:r>
        <w:t>, condition</w:t>
      </w:r>
      <w:r w:rsidR="00B536C6">
        <w:t>,</w:t>
      </w:r>
      <w:r w:rsidRPr="00215157">
        <w:t xml:space="preserve"> multi-co</w:t>
      </w:r>
      <w:r>
        <w:t>de</w:t>
      </w:r>
      <w:r w:rsidR="00B536C6">
        <w:t>,</w:t>
      </w:r>
      <w:r>
        <w:t xml:space="preserve"> or dental diagnostic code.</w:t>
      </w:r>
    </w:p>
    <w:p w14:paraId="26C1524C" w14:textId="70B24792" w:rsidR="009473AD" w:rsidRPr="00B536C6" w:rsidRDefault="009473AD" w:rsidP="00F763F6">
      <w:pPr>
        <w:pStyle w:val="BodyText"/>
        <w:ind w:left="1080"/>
        <w:rPr>
          <w:i/>
          <w:iCs/>
        </w:rPr>
      </w:pPr>
      <w:r w:rsidRPr="00B536C6">
        <w:rPr>
          <w:b/>
          <w:bCs/>
          <w:i/>
          <w:iCs/>
        </w:rPr>
        <w:t>Workflow Insight</w:t>
      </w:r>
      <w:r w:rsidR="00B536C6" w:rsidRPr="00B536C6">
        <w:rPr>
          <w:i/>
          <w:iCs/>
        </w:rPr>
        <w:t xml:space="preserve">: </w:t>
      </w:r>
      <w:r w:rsidRPr="00B536C6">
        <w:rPr>
          <w:i/>
          <w:iCs/>
        </w:rPr>
        <w:t>While only a single code may be selected per procedure button, Dentrix Enterprise eliminates the need for unique buttons for like-procedures by automatically applying an alternate procedure code through a “smart-code” feature, called procedure flags.  Procedure flags are assigned in Procedure Code Setup and control the automatic application (change) of a procedure code depending on the number of surfaces, tooth location</w:t>
      </w:r>
      <w:r w:rsidR="00B536C6" w:rsidRPr="00B536C6">
        <w:rPr>
          <w:i/>
          <w:iCs/>
        </w:rPr>
        <w:t>,</w:t>
      </w:r>
      <w:r w:rsidRPr="00B536C6">
        <w:rPr>
          <w:i/>
          <w:iCs/>
        </w:rPr>
        <w:t xml:space="preserve"> or roots present. For example, if you chart a one-surface amalgam (D2140) but select three surfaces, Dentrix Enterprise will automatically post the three-surface amalgam (D2160) procedure code.</w:t>
      </w:r>
    </w:p>
    <w:p w14:paraId="617EEF52" w14:textId="44A028E9" w:rsidR="009473AD" w:rsidRDefault="009473AD" w:rsidP="000D7FFC">
      <w:pPr>
        <w:pStyle w:val="BodyText"/>
        <w:keepNext/>
        <w:keepLines/>
        <w:numPr>
          <w:ilvl w:val="0"/>
          <w:numId w:val="102"/>
        </w:numPr>
        <w:ind w:left="1080"/>
      </w:pPr>
      <w:r w:rsidRPr="00F763F6">
        <w:rPr>
          <w:b/>
          <w:bCs/>
        </w:rPr>
        <w:lastRenderedPageBreak/>
        <w:t>Select Tooltip Text</w:t>
      </w:r>
      <w:r>
        <w:t xml:space="preserve"> – This selection controls the tooltip </w:t>
      </w:r>
      <w:r w:rsidR="00762A6E">
        <w:t>that appears when you position your mouse pointer over the button i</w:t>
      </w:r>
      <w:r>
        <w:t>n Chart.</w:t>
      </w:r>
    </w:p>
    <w:p w14:paraId="5DB00217" w14:textId="5F39A8A8" w:rsidR="009473AD" w:rsidRPr="000D7FFC" w:rsidRDefault="009473AD" w:rsidP="000D7FFC">
      <w:pPr>
        <w:pStyle w:val="BodyText"/>
        <w:keepNext/>
        <w:keepLines/>
        <w:ind w:left="1080"/>
        <w:rPr>
          <w:i/>
          <w:iCs/>
        </w:rPr>
      </w:pPr>
      <w:r w:rsidRPr="000D7FFC">
        <w:rPr>
          <w:b/>
          <w:bCs/>
          <w:i/>
          <w:iCs/>
        </w:rPr>
        <w:t>Workflow Insight</w:t>
      </w:r>
      <w:r w:rsidR="00762A6E" w:rsidRPr="000D7FFC">
        <w:rPr>
          <w:i/>
          <w:iCs/>
        </w:rPr>
        <w:t>:</w:t>
      </w:r>
      <w:r w:rsidRPr="000D7FFC">
        <w:rPr>
          <w:i/>
          <w:iCs/>
        </w:rPr>
        <w:t xml:space="preserve"> The tooltip assigned to a procedure button will have a direct impact on your team’s ability to easily identify which code is assigned to a particular procedure button.  Efficient code selection = efficient clinical data entry.</w:t>
      </w:r>
    </w:p>
    <w:p w14:paraId="5D46578E" w14:textId="1BF926C7" w:rsidR="009473AD" w:rsidRPr="00762A6E" w:rsidRDefault="009473AD" w:rsidP="00F763F6">
      <w:pPr>
        <w:pStyle w:val="BodyText"/>
        <w:ind w:left="1080"/>
        <w:rPr>
          <w:i/>
          <w:iCs/>
        </w:rPr>
      </w:pPr>
      <w:r w:rsidRPr="00762A6E">
        <w:rPr>
          <w:b/>
          <w:bCs/>
          <w:i/>
          <w:iCs/>
        </w:rPr>
        <w:t>Operations Insight</w:t>
      </w:r>
      <w:r w:rsidR="00762A6E" w:rsidRPr="00762A6E">
        <w:rPr>
          <w:i/>
          <w:iCs/>
        </w:rPr>
        <w:t>:</w:t>
      </w:r>
      <w:r w:rsidRPr="00762A6E">
        <w:rPr>
          <w:i/>
          <w:iCs/>
        </w:rPr>
        <w:t xml:space="preserve"> </w:t>
      </w:r>
      <w:r w:rsidR="00762A6E">
        <w:rPr>
          <w:i/>
          <w:iCs/>
        </w:rPr>
        <w:t>You can select</w:t>
      </w:r>
      <w:r w:rsidRPr="00762A6E">
        <w:rPr>
          <w:i/>
          <w:iCs/>
        </w:rPr>
        <w:t xml:space="preserve"> </w:t>
      </w:r>
      <w:r w:rsidRPr="00762A6E">
        <w:rPr>
          <w:b/>
          <w:bCs/>
          <w:i/>
          <w:iCs/>
        </w:rPr>
        <w:t>Procedure Description</w:t>
      </w:r>
      <w:r w:rsidRPr="00762A6E">
        <w:rPr>
          <w:i/>
          <w:iCs/>
        </w:rPr>
        <w:t xml:space="preserve"> or </w:t>
      </w:r>
      <w:r w:rsidRPr="00762A6E">
        <w:rPr>
          <w:b/>
          <w:bCs/>
          <w:i/>
          <w:iCs/>
        </w:rPr>
        <w:t>Custom Text</w:t>
      </w:r>
      <w:r w:rsidRPr="00762A6E">
        <w:rPr>
          <w:i/>
          <w:iCs/>
        </w:rPr>
        <w:t xml:space="preserve">. </w:t>
      </w:r>
      <w:r w:rsidR="00762A6E" w:rsidRPr="00762A6E">
        <w:rPr>
          <w:i/>
          <w:iCs/>
        </w:rPr>
        <w:t xml:space="preserve">The </w:t>
      </w:r>
      <w:r w:rsidRPr="00762A6E">
        <w:rPr>
          <w:b/>
          <w:bCs/>
          <w:i/>
          <w:iCs/>
        </w:rPr>
        <w:t>Procedure Description</w:t>
      </w:r>
      <w:r w:rsidRPr="00762A6E">
        <w:rPr>
          <w:i/>
          <w:iCs/>
        </w:rPr>
        <w:t xml:space="preserve"> display</w:t>
      </w:r>
      <w:r w:rsidR="00762A6E" w:rsidRPr="00762A6E">
        <w:rPr>
          <w:i/>
          <w:iCs/>
        </w:rPr>
        <w:t>s</w:t>
      </w:r>
      <w:r w:rsidRPr="00762A6E">
        <w:rPr>
          <w:i/>
          <w:iCs/>
        </w:rPr>
        <w:t xml:space="preserve"> the code description as assigned within the Procedure Code Setup, </w:t>
      </w:r>
      <w:r w:rsidR="00762A6E" w:rsidRPr="00762A6E">
        <w:rPr>
          <w:i/>
          <w:iCs/>
        </w:rPr>
        <w:t>and</w:t>
      </w:r>
      <w:r w:rsidRPr="00762A6E">
        <w:rPr>
          <w:i/>
          <w:iCs/>
        </w:rPr>
        <w:t xml:space="preserve"> </w:t>
      </w:r>
      <w:r w:rsidRPr="00762A6E">
        <w:rPr>
          <w:b/>
          <w:bCs/>
          <w:i/>
          <w:iCs/>
        </w:rPr>
        <w:t>Custom Text</w:t>
      </w:r>
      <w:r w:rsidRPr="00762A6E">
        <w:rPr>
          <w:i/>
          <w:iCs/>
        </w:rPr>
        <w:t xml:space="preserve"> allows for unique identification based on naming conventions used by your organization.</w:t>
      </w:r>
    </w:p>
    <w:p w14:paraId="6E99C3C4" w14:textId="7592B207" w:rsidR="009473AD" w:rsidRDefault="009473AD">
      <w:pPr>
        <w:pStyle w:val="BodyText"/>
        <w:numPr>
          <w:ilvl w:val="0"/>
          <w:numId w:val="102"/>
        </w:numPr>
        <w:ind w:left="1080"/>
      </w:pPr>
      <w:r w:rsidRPr="00F763F6">
        <w:rPr>
          <w:b/>
          <w:bCs/>
        </w:rPr>
        <w:t>Select Button Face</w:t>
      </w:r>
      <w:r>
        <w:t xml:space="preserve"> – The selection controls the image </w:t>
      </w:r>
      <w:r w:rsidR="00762A6E">
        <w:t xml:space="preserve">that is </w:t>
      </w:r>
      <w:r>
        <w:t>assigned to the button face of the procedure button.</w:t>
      </w:r>
    </w:p>
    <w:p w14:paraId="1BF82699" w14:textId="52036F5C" w:rsidR="009473AD" w:rsidRPr="00762A6E" w:rsidRDefault="009473AD" w:rsidP="00F763F6">
      <w:pPr>
        <w:pStyle w:val="BodyText"/>
        <w:ind w:left="1080"/>
        <w:rPr>
          <w:i/>
          <w:iCs/>
        </w:rPr>
      </w:pPr>
      <w:r w:rsidRPr="00762A6E">
        <w:rPr>
          <w:b/>
          <w:bCs/>
          <w:i/>
          <w:iCs/>
        </w:rPr>
        <w:t>Workflow Insigh</w:t>
      </w:r>
      <w:r w:rsidR="00762A6E" w:rsidRPr="00762A6E">
        <w:rPr>
          <w:b/>
          <w:bCs/>
          <w:i/>
          <w:iCs/>
        </w:rPr>
        <w:t>t</w:t>
      </w:r>
      <w:r w:rsidR="00762A6E" w:rsidRPr="00762A6E">
        <w:rPr>
          <w:i/>
          <w:iCs/>
        </w:rPr>
        <w:t>: Like</w:t>
      </w:r>
      <w:r w:rsidRPr="00762A6E">
        <w:rPr>
          <w:i/>
          <w:iCs/>
        </w:rPr>
        <w:t xml:space="preserve"> the </w:t>
      </w:r>
      <w:r w:rsidR="00762A6E" w:rsidRPr="00762A6E">
        <w:rPr>
          <w:i/>
          <w:iCs/>
        </w:rPr>
        <w:t>t</w:t>
      </w:r>
      <w:r w:rsidRPr="00762A6E">
        <w:rPr>
          <w:i/>
          <w:iCs/>
        </w:rPr>
        <w:t xml:space="preserve">ooltip </w:t>
      </w:r>
      <w:r w:rsidR="00762A6E" w:rsidRPr="00762A6E">
        <w:rPr>
          <w:i/>
          <w:iCs/>
        </w:rPr>
        <w:t>t</w:t>
      </w:r>
      <w:r w:rsidRPr="00762A6E">
        <w:rPr>
          <w:i/>
          <w:iCs/>
        </w:rPr>
        <w:t>ext, the strategic button face assignment to a procedure has an equal if not greater impact on your team’s ability to easily identify which code is assigned to a particular procedure button.</w:t>
      </w:r>
    </w:p>
    <w:p w14:paraId="4770C59A" w14:textId="326E680D" w:rsidR="009473AD" w:rsidRPr="00762A6E" w:rsidRDefault="009473AD" w:rsidP="00F763F6">
      <w:pPr>
        <w:pStyle w:val="BodyText"/>
        <w:ind w:left="1080"/>
        <w:rPr>
          <w:i/>
          <w:iCs/>
        </w:rPr>
      </w:pPr>
      <w:r w:rsidRPr="00762A6E">
        <w:rPr>
          <w:b/>
          <w:bCs/>
          <w:i/>
          <w:iCs/>
        </w:rPr>
        <w:t>Operations Insight</w:t>
      </w:r>
      <w:r w:rsidR="00762A6E" w:rsidRPr="00762A6E">
        <w:rPr>
          <w:i/>
          <w:iCs/>
        </w:rPr>
        <w:t>:</w:t>
      </w:r>
      <w:r w:rsidRPr="00762A6E">
        <w:rPr>
          <w:i/>
          <w:iCs/>
        </w:rPr>
        <w:t xml:space="preserve"> The strategic placement of buttons into procedure groups and </w:t>
      </w:r>
      <w:r w:rsidR="00762A6E" w:rsidRPr="00762A6E">
        <w:rPr>
          <w:i/>
          <w:iCs/>
        </w:rPr>
        <w:t xml:space="preserve">the </w:t>
      </w:r>
      <w:r w:rsidRPr="00762A6E">
        <w:rPr>
          <w:i/>
          <w:iCs/>
        </w:rPr>
        <w:t xml:space="preserve">organization of button images </w:t>
      </w:r>
      <w:r w:rsidR="00762A6E" w:rsidRPr="00762A6E">
        <w:rPr>
          <w:i/>
          <w:iCs/>
        </w:rPr>
        <w:t>to allow</w:t>
      </w:r>
      <w:r w:rsidRPr="00762A6E">
        <w:rPr>
          <w:i/>
          <w:iCs/>
        </w:rPr>
        <w:t xml:space="preserve"> for quick </w:t>
      </w:r>
      <w:r w:rsidR="00762A6E" w:rsidRPr="00762A6E">
        <w:rPr>
          <w:i/>
          <w:iCs/>
        </w:rPr>
        <w:t>identification</w:t>
      </w:r>
      <w:r w:rsidRPr="00762A6E">
        <w:rPr>
          <w:i/>
          <w:iCs/>
        </w:rPr>
        <w:t xml:space="preserve"> of a procedure will speed up data entry. Dentrix Enterprise provides 65 bitmap graphic images or the option to use code text. Code text displays the procedure code instead of an image and is often selected when a relevant image is not present</w:t>
      </w:r>
      <w:r w:rsidR="00762A6E" w:rsidRPr="00762A6E">
        <w:rPr>
          <w:i/>
          <w:iCs/>
        </w:rPr>
        <w:t xml:space="preserve">, </w:t>
      </w:r>
      <w:r w:rsidRPr="00762A6E">
        <w:rPr>
          <w:i/>
          <w:iCs/>
        </w:rPr>
        <w:t>when users are proficient with codes</w:t>
      </w:r>
      <w:r w:rsidR="00762A6E" w:rsidRPr="00762A6E">
        <w:rPr>
          <w:i/>
          <w:iCs/>
        </w:rPr>
        <w:t>,</w:t>
      </w:r>
      <w:r w:rsidRPr="00762A6E">
        <w:rPr>
          <w:i/>
          <w:iCs/>
        </w:rPr>
        <w:t xml:space="preserve"> or to drive faster identification of a code.</w:t>
      </w:r>
    </w:p>
    <w:p w14:paraId="4C5970D9" w14:textId="409A8E93" w:rsidR="009473AD" w:rsidRDefault="009473AD">
      <w:pPr>
        <w:pStyle w:val="BodyText"/>
        <w:numPr>
          <w:ilvl w:val="0"/>
          <w:numId w:val="102"/>
        </w:numPr>
        <w:ind w:left="1080"/>
      </w:pPr>
      <w:r w:rsidRPr="00F763F6">
        <w:rPr>
          <w:b/>
          <w:bCs/>
        </w:rPr>
        <w:t>Assign a Default Procedure Button Template to Users</w:t>
      </w:r>
      <w:r w:rsidR="003638EB">
        <w:t xml:space="preserve"> </w:t>
      </w:r>
      <w:r w:rsidR="00762A6E">
        <w:t>–</w:t>
      </w:r>
      <w:r w:rsidR="003638EB">
        <w:t xml:space="preserve"> </w:t>
      </w:r>
      <w:r>
        <w:t>Dentrix Enterprise allows for the</w:t>
      </w:r>
      <w:r w:rsidRPr="00E24F38">
        <w:t xml:space="preserve"> assign</w:t>
      </w:r>
      <w:r>
        <w:t>ment of</w:t>
      </w:r>
      <w:r w:rsidRPr="00E24F38">
        <w:t xml:space="preserve"> any procedure button template as the default for all users or </w:t>
      </w:r>
      <w:r w:rsidR="00762A6E">
        <w:t>as</w:t>
      </w:r>
      <w:r>
        <w:t xml:space="preserve"> the template </w:t>
      </w:r>
      <w:r w:rsidR="00762A6E">
        <w:t>for</w:t>
      </w:r>
      <w:r>
        <w:t xml:space="preserve"> </w:t>
      </w:r>
      <w:r w:rsidRPr="00E24F38">
        <w:t>specific users</w:t>
      </w:r>
      <w:r>
        <w:t>/user groups.</w:t>
      </w:r>
    </w:p>
    <w:p w14:paraId="453277D0" w14:textId="2FD6F809" w:rsidR="009473AD" w:rsidRPr="00762A6E" w:rsidRDefault="009473AD" w:rsidP="00F763F6">
      <w:pPr>
        <w:pStyle w:val="BodyText"/>
        <w:ind w:left="1080"/>
        <w:rPr>
          <w:i/>
          <w:iCs/>
        </w:rPr>
      </w:pPr>
      <w:r w:rsidRPr="00762A6E">
        <w:rPr>
          <w:b/>
          <w:bCs/>
          <w:i/>
          <w:iCs/>
        </w:rPr>
        <w:t>Operations Insight</w:t>
      </w:r>
      <w:r w:rsidR="00762A6E" w:rsidRPr="00762A6E">
        <w:rPr>
          <w:i/>
          <w:iCs/>
        </w:rPr>
        <w:t>:</w:t>
      </w:r>
      <w:r w:rsidRPr="00762A6E">
        <w:rPr>
          <w:i/>
          <w:iCs/>
        </w:rPr>
        <w:t xml:space="preserve"> The procedure button template may be assigned to a user as a default or selected from Chart by the user when necessary. The customization of procedure button templates is commonly arranged by workstation, user, provider, specialty</w:t>
      </w:r>
      <w:r w:rsidR="00762A6E" w:rsidRPr="00762A6E">
        <w:rPr>
          <w:i/>
          <w:iCs/>
        </w:rPr>
        <w:t>, and</w:t>
      </w:r>
      <w:r w:rsidRPr="00762A6E">
        <w:rPr>
          <w:i/>
          <w:iCs/>
        </w:rPr>
        <w:t xml:space="preserve"> specific needs.</w:t>
      </w:r>
    </w:p>
    <w:p w14:paraId="60A3547D" w14:textId="7E77FA4B" w:rsidR="009473AD" w:rsidRPr="0084256E" w:rsidRDefault="009473AD">
      <w:pPr>
        <w:pStyle w:val="BodyText"/>
        <w:numPr>
          <w:ilvl w:val="0"/>
          <w:numId w:val="102"/>
        </w:numPr>
        <w:ind w:left="540"/>
      </w:pPr>
      <w:r w:rsidRPr="00F763F6">
        <w:rPr>
          <w:b/>
        </w:rPr>
        <w:t>Procedure Categories</w:t>
      </w:r>
      <w:r w:rsidR="003638EB">
        <w:rPr>
          <w:bCs/>
        </w:rPr>
        <w:t xml:space="preserve"> </w:t>
      </w:r>
      <w:r w:rsidR="00762A6E">
        <w:rPr>
          <w:bCs/>
        </w:rPr>
        <w:t>–</w:t>
      </w:r>
      <w:r w:rsidR="003638EB">
        <w:rPr>
          <w:bCs/>
        </w:rPr>
        <w:t xml:space="preserve"> </w:t>
      </w:r>
      <w:r w:rsidRPr="559ADB64">
        <w:t xml:space="preserve">Dentrix Enterprise comes with the ADA categories and codes. </w:t>
      </w:r>
      <w:r w:rsidR="00762A6E">
        <w:t xml:space="preserve">You can define and rename </w:t>
      </w:r>
      <w:r w:rsidRPr="559ADB64">
        <w:t xml:space="preserve">the categories </w:t>
      </w:r>
      <w:r w:rsidR="00762A6E">
        <w:t>in the Practice Definitions, and you reassign procedure codes to different categories in the Procedure Code Setup. Categories allow</w:t>
      </w:r>
      <w:r w:rsidRPr="559ADB64">
        <w:t xml:space="preserve"> maximum efficiency in the clinical chart. You can select treatment to post from the procedure code category buttons.</w:t>
      </w:r>
    </w:p>
    <w:p w14:paraId="74ED1D24" w14:textId="5D85459A" w:rsidR="009473AD" w:rsidRPr="00E24F38" w:rsidRDefault="009473AD">
      <w:pPr>
        <w:pStyle w:val="BodyText"/>
        <w:numPr>
          <w:ilvl w:val="0"/>
          <w:numId w:val="102"/>
        </w:numPr>
        <w:ind w:left="540"/>
      </w:pPr>
      <w:r w:rsidRPr="00F763F6">
        <w:rPr>
          <w:b/>
          <w:bCs/>
        </w:rPr>
        <w:t>Multi Codes</w:t>
      </w:r>
      <w:r w:rsidR="003638EB">
        <w:t xml:space="preserve"> </w:t>
      </w:r>
      <w:r w:rsidR="00762A6E">
        <w:t>–</w:t>
      </w:r>
      <w:r w:rsidR="003638EB">
        <w:t xml:space="preserve"> </w:t>
      </w:r>
      <w:r w:rsidRPr="559ADB64">
        <w:t>Multi-</w:t>
      </w:r>
      <w:r w:rsidR="00762A6E">
        <w:t>c</w:t>
      </w:r>
      <w:r w:rsidRPr="559ADB64">
        <w:t xml:space="preserve">odes are a combination of codes </w:t>
      </w:r>
      <w:r w:rsidR="00762A6E">
        <w:t>that</w:t>
      </w:r>
      <w:r w:rsidRPr="559ADB64">
        <w:t xml:space="preserve"> make charting</w:t>
      </w:r>
      <w:r w:rsidR="00762A6E">
        <w:t xml:space="preserve"> or </w:t>
      </w:r>
      <w:r w:rsidRPr="559ADB64">
        <w:t xml:space="preserve">posting fast and efficient. </w:t>
      </w:r>
      <w:r w:rsidR="00762A6E">
        <w:t>You can use m</w:t>
      </w:r>
      <w:r w:rsidRPr="559ADB64">
        <w:t>ulti</w:t>
      </w:r>
      <w:r w:rsidR="00762A6E">
        <w:t>-</w:t>
      </w:r>
      <w:r w:rsidRPr="559ADB64">
        <w:t xml:space="preserve">codes for services rendered as well as treatment plans. </w:t>
      </w:r>
      <w:r w:rsidR="00D27223">
        <w:t>To add a procedure</w:t>
      </w:r>
      <w:r w:rsidRPr="559ADB64">
        <w:t xml:space="preserve"> code </w:t>
      </w:r>
      <w:r w:rsidR="00D27223">
        <w:t>to a multi-code, the procedure code must already exist in the system.</w:t>
      </w:r>
    </w:p>
    <w:p w14:paraId="2CAF2297" w14:textId="45473C51" w:rsidR="009473AD" w:rsidRPr="00D27223" w:rsidRDefault="009473AD" w:rsidP="00F763F6">
      <w:pPr>
        <w:pStyle w:val="BodyText"/>
        <w:ind w:left="540"/>
        <w:rPr>
          <w:i/>
          <w:iCs/>
        </w:rPr>
      </w:pPr>
      <w:r w:rsidRPr="00D27223">
        <w:rPr>
          <w:b/>
          <w:bCs/>
          <w:i/>
          <w:iCs/>
        </w:rPr>
        <w:t xml:space="preserve">Operations </w:t>
      </w:r>
      <w:r w:rsidR="00D27223" w:rsidRPr="00D27223">
        <w:rPr>
          <w:b/>
          <w:bCs/>
          <w:i/>
          <w:iCs/>
        </w:rPr>
        <w:t>I</w:t>
      </w:r>
      <w:r w:rsidRPr="00D27223">
        <w:rPr>
          <w:b/>
          <w:bCs/>
          <w:i/>
          <w:iCs/>
        </w:rPr>
        <w:t>nsight</w:t>
      </w:r>
      <w:r w:rsidR="00D27223" w:rsidRPr="00D27223">
        <w:rPr>
          <w:i/>
          <w:iCs/>
        </w:rPr>
        <w:t>:</w:t>
      </w:r>
      <w:r w:rsidRPr="00D27223">
        <w:rPr>
          <w:i/>
          <w:iCs/>
        </w:rPr>
        <w:t xml:space="preserve"> A multi-code may consist of one or more procedures that require additional treatment information to be entered, such as a tooth number. Multi-codes that require additional information </w:t>
      </w:r>
      <w:r w:rsidR="00D27223" w:rsidRPr="00D27223">
        <w:rPr>
          <w:i/>
          <w:iCs/>
        </w:rPr>
        <w:t>are</w:t>
      </w:r>
      <w:r w:rsidRPr="00D27223">
        <w:rPr>
          <w:i/>
          <w:iCs/>
        </w:rPr>
        <w:t xml:space="preserve"> flagged with an asterisk (*) in the list. </w:t>
      </w:r>
      <w:proofErr w:type="gramStart"/>
      <w:r w:rsidRPr="00D27223">
        <w:rPr>
          <w:i/>
          <w:iCs/>
        </w:rPr>
        <w:t>The additional</w:t>
      </w:r>
      <w:proofErr w:type="gramEnd"/>
      <w:r w:rsidRPr="00D27223">
        <w:rPr>
          <w:i/>
          <w:iCs/>
        </w:rPr>
        <w:t xml:space="preserve"> information must be supplied when </w:t>
      </w:r>
      <w:r w:rsidR="00D27223" w:rsidRPr="00D27223">
        <w:rPr>
          <w:i/>
          <w:iCs/>
        </w:rPr>
        <w:t>you post</w:t>
      </w:r>
      <w:r w:rsidRPr="00D27223">
        <w:rPr>
          <w:i/>
          <w:iCs/>
        </w:rPr>
        <w:t xml:space="preserve"> the multi-code. A single multi</w:t>
      </w:r>
      <w:r w:rsidR="00D27223" w:rsidRPr="00D27223">
        <w:rPr>
          <w:i/>
          <w:iCs/>
        </w:rPr>
        <w:t>-</w:t>
      </w:r>
      <w:r w:rsidRPr="00D27223">
        <w:rPr>
          <w:i/>
          <w:iCs/>
        </w:rPr>
        <w:t xml:space="preserve">code can have up to </w:t>
      </w:r>
      <w:r w:rsidR="00D27223" w:rsidRPr="00D27223">
        <w:rPr>
          <w:i/>
          <w:iCs/>
        </w:rPr>
        <w:t>eight procedure codes</w:t>
      </w:r>
      <w:r w:rsidRPr="00D27223">
        <w:rPr>
          <w:i/>
          <w:iCs/>
        </w:rPr>
        <w:t xml:space="preserve">, </w:t>
      </w:r>
      <w:r w:rsidR="00D27223" w:rsidRPr="00D27223">
        <w:rPr>
          <w:i/>
          <w:iCs/>
        </w:rPr>
        <w:t xml:space="preserve">and </w:t>
      </w:r>
      <w:r w:rsidRPr="00D27223">
        <w:rPr>
          <w:i/>
          <w:iCs/>
        </w:rPr>
        <w:t xml:space="preserve">you can </w:t>
      </w:r>
      <w:r w:rsidR="00D27223" w:rsidRPr="00D27223">
        <w:rPr>
          <w:i/>
          <w:iCs/>
        </w:rPr>
        <w:t xml:space="preserve">combine </w:t>
      </w:r>
      <w:r w:rsidRPr="00D27223">
        <w:rPr>
          <w:i/>
          <w:iCs/>
        </w:rPr>
        <w:t>multiple multi-codes together.</w:t>
      </w:r>
    </w:p>
    <w:p w14:paraId="67373643" w14:textId="6A8ACFA5" w:rsidR="009473AD" w:rsidRPr="00F763F6" w:rsidRDefault="009473AD" w:rsidP="000D7FFC">
      <w:pPr>
        <w:pStyle w:val="BodyText"/>
        <w:keepNext/>
        <w:keepLines/>
        <w:numPr>
          <w:ilvl w:val="0"/>
          <w:numId w:val="102"/>
        </w:numPr>
        <w:ind w:left="540"/>
      </w:pPr>
      <w:r w:rsidRPr="00F763F6">
        <w:rPr>
          <w:b/>
          <w:bCs/>
        </w:rPr>
        <w:lastRenderedPageBreak/>
        <w:t>Chart colors</w:t>
      </w:r>
      <w:r w:rsidR="003638EB">
        <w:t xml:space="preserve"> </w:t>
      </w:r>
      <w:r w:rsidR="00D27223">
        <w:t>–</w:t>
      </w:r>
      <w:r w:rsidR="003638EB">
        <w:t xml:space="preserve"> </w:t>
      </w:r>
      <w:r w:rsidRPr="559ADB64">
        <w:t>See at a glance what work is existing, completed</w:t>
      </w:r>
      <w:r w:rsidR="00D27223">
        <w:t>,</w:t>
      </w:r>
      <w:r w:rsidRPr="559ADB64">
        <w:t xml:space="preserve"> or </w:t>
      </w:r>
      <w:r w:rsidR="00D27223">
        <w:t>needed</w:t>
      </w:r>
      <w:r w:rsidRPr="559ADB64">
        <w:t xml:space="preserve"> by assigning colors</w:t>
      </w:r>
      <w:r w:rsidR="00D27223">
        <w:t xml:space="preserve"> to statuses</w:t>
      </w:r>
      <w:r w:rsidRPr="559ADB64">
        <w:t>.</w:t>
      </w:r>
      <w:r w:rsidR="0084256E">
        <w:t xml:space="preserve"> </w:t>
      </w:r>
      <w:r w:rsidRPr="00215157">
        <w:t>Set up the following options for the graphical chart and progress notes:</w:t>
      </w:r>
    </w:p>
    <w:p w14:paraId="4C29A578" w14:textId="130A4610" w:rsidR="009473AD" w:rsidRPr="003638EB" w:rsidRDefault="009473AD" w:rsidP="000D7FFC">
      <w:pPr>
        <w:pStyle w:val="BodyText"/>
        <w:keepNext/>
        <w:keepLines/>
        <w:numPr>
          <w:ilvl w:val="1"/>
          <w:numId w:val="103"/>
        </w:numPr>
        <w:ind w:left="1080"/>
      </w:pPr>
      <w:r w:rsidRPr="00F763F6">
        <w:rPr>
          <w:b/>
          <w:bCs/>
        </w:rPr>
        <w:t>Paint Colors</w:t>
      </w:r>
      <w:r w:rsidRPr="003638EB">
        <w:t xml:space="preserve"> - Each treatment status (Treatment Plan, Completed Work, Existing, Existing Other, and Conditions/Diagnoses) can be assigned a unique color. This color will be used to color code charting symbols in the graphical chart. As you select a color, the color change is not immediately visible in Chart; you must click </w:t>
      </w:r>
      <w:r w:rsidRPr="00D27223">
        <w:rPr>
          <w:b/>
          <w:bCs/>
        </w:rPr>
        <w:t>OK</w:t>
      </w:r>
      <w:r w:rsidRPr="003638EB">
        <w:t xml:space="preserve"> to see the change.</w:t>
      </w:r>
    </w:p>
    <w:p w14:paraId="74BDD378" w14:textId="48C9DAAD" w:rsidR="009473AD" w:rsidRPr="00D27223" w:rsidRDefault="009473AD" w:rsidP="00F763F6">
      <w:pPr>
        <w:pStyle w:val="BodyText"/>
        <w:ind w:left="1080"/>
        <w:rPr>
          <w:i/>
          <w:iCs/>
        </w:rPr>
      </w:pPr>
      <w:r w:rsidRPr="00D27223">
        <w:rPr>
          <w:b/>
          <w:bCs/>
          <w:i/>
          <w:iCs/>
        </w:rPr>
        <w:t xml:space="preserve">Operations </w:t>
      </w:r>
      <w:r w:rsidR="00D27223" w:rsidRPr="00D27223">
        <w:rPr>
          <w:b/>
          <w:bCs/>
          <w:i/>
          <w:iCs/>
        </w:rPr>
        <w:t>I</w:t>
      </w:r>
      <w:r w:rsidRPr="00D27223">
        <w:rPr>
          <w:b/>
          <w:bCs/>
          <w:i/>
          <w:iCs/>
        </w:rPr>
        <w:t>nsight</w:t>
      </w:r>
      <w:r w:rsidR="00D27223" w:rsidRPr="00D27223">
        <w:rPr>
          <w:i/>
          <w:iCs/>
        </w:rPr>
        <w:t>:</w:t>
      </w:r>
      <w:r w:rsidRPr="00D27223">
        <w:rPr>
          <w:i/>
          <w:iCs/>
        </w:rPr>
        <w:t xml:space="preserve"> By default, </w:t>
      </w:r>
      <w:proofErr w:type="gramStart"/>
      <w:r w:rsidRPr="00D27223">
        <w:rPr>
          <w:i/>
          <w:iCs/>
        </w:rPr>
        <w:t>Chart</w:t>
      </w:r>
      <w:proofErr w:type="gramEnd"/>
      <w:r w:rsidRPr="00D27223">
        <w:rPr>
          <w:i/>
          <w:iCs/>
        </w:rPr>
        <w:t xml:space="preserve"> displays all progress notes in black. If you want items on the Progress Notes panel to be displayed in the status color, select </w:t>
      </w:r>
      <w:r w:rsidRPr="00D27223">
        <w:rPr>
          <w:b/>
          <w:bCs/>
          <w:i/>
          <w:iCs/>
        </w:rPr>
        <w:t>Use colors for progress notes</w:t>
      </w:r>
      <w:r w:rsidRPr="00D27223">
        <w:rPr>
          <w:i/>
          <w:iCs/>
        </w:rPr>
        <w:t>.</w:t>
      </w:r>
    </w:p>
    <w:p w14:paraId="31668B7F" w14:textId="02D6F4A5" w:rsidR="009473AD" w:rsidRPr="003638EB" w:rsidRDefault="009473AD">
      <w:pPr>
        <w:pStyle w:val="BodyText"/>
        <w:numPr>
          <w:ilvl w:val="1"/>
          <w:numId w:val="103"/>
        </w:numPr>
        <w:ind w:left="1080"/>
      </w:pPr>
      <w:r w:rsidRPr="00F763F6">
        <w:rPr>
          <w:b/>
          <w:bCs/>
        </w:rPr>
        <w:t>Screen Colors</w:t>
      </w:r>
      <w:r w:rsidRPr="003638EB">
        <w:t xml:space="preserve"> </w:t>
      </w:r>
      <w:r w:rsidR="00D27223">
        <w:t>–</w:t>
      </w:r>
      <w:r w:rsidRPr="003638EB">
        <w:t xml:space="preserve"> You can select the colors you want to use for the </w:t>
      </w:r>
      <w:r w:rsidRPr="00D27223">
        <w:rPr>
          <w:b/>
          <w:bCs/>
        </w:rPr>
        <w:t>Screen Background</w:t>
      </w:r>
      <w:r w:rsidRPr="003638EB">
        <w:t xml:space="preserve"> and </w:t>
      </w:r>
      <w:r w:rsidRPr="00D27223">
        <w:rPr>
          <w:b/>
          <w:bCs/>
        </w:rPr>
        <w:t>Screen Gingiva</w:t>
      </w:r>
      <w:r w:rsidRPr="003638EB">
        <w:t xml:space="preserve"> in the graphical chart. As you select a color, the color change is not immediately visible in Chart; you must click </w:t>
      </w:r>
      <w:r w:rsidRPr="00D27223">
        <w:rPr>
          <w:b/>
          <w:bCs/>
        </w:rPr>
        <w:t>OK</w:t>
      </w:r>
      <w:r w:rsidRPr="003638EB">
        <w:t xml:space="preserve"> to see the change.</w:t>
      </w:r>
    </w:p>
    <w:p w14:paraId="6044570C" w14:textId="14A04BF2" w:rsidR="009473AD" w:rsidRPr="00D27223" w:rsidRDefault="009473AD" w:rsidP="00F763F6">
      <w:pPr>
        <w:pStyle w:val="BodyText"/>
        <w:ind w:left="1080"/>
        <w:rPr>
          <w:i/>
          <w:iCs/>
        </w:rPr>
      </w:pPr>
      <w:r w:rsidRPr="00D27223">
        <w:rPr>
          <w:b/>
          <w:bCs/>
          <w:i/>
          <w:iCs/>
        </w:rPr>
        <w:t>Operations</w:t>
      </w:r>
      <w:r w:rsidR="00D27223" w:rsidRPr="00D27223">
        <w:rPr>
          <w:b/>
          <w:bCs/>
          <w:i/>
          <w:iCs/>
        </w:rPr>
        <w:t xml:space="preserve"> In</w:t>
      </w:r>
      <w:r w:rsidRPr="00D27223">
        <w:rPr>
          <w:b/>
          <w:bCs/>
          <w:i/>
          <w:iCs/>
        </w:rPr>
        <w:t>sight</w:t>
      </w:r>
      <w:r w:rsidR="00D27223" w:rsidRPr="00D27223">
        <w:rPr>
          <w:i/>
          <w:iCs/>
        </w:rPr>
        <w:t>:</w:t>
      </w:r>
      <w:r w:rsidRPr="00D27223">
        <w:rPr>
          <w:i/>
          <w:iCs/>
        </w:rPr>
        <w:t xml:space="preserve"> Chart colors are workstation-specific, meaning that different computers on the network can have their own colors. Also, the changes applied to a workstation will remain in effect even after </w:t>
      </w:r>
      <w:proofErr w:type="gramStart"/>
      <w:r w:rsidRPr="00D27223">
        <w:rPr>
          <w:i/>
          <w:iCs/>
        </w:rPr>
        <w:t>Chart</w:t>
      </w:r>
      <w:proofErr w:type="gramEnd"/>
      <w:r w:rsidRPr="00D27223">
        <w:rPr>
          <w:i/>
          <w:iCs/>
        </w:rPr>
        <w:t xml:space="preserve"> is closed and reopened. </w:t>
      </w:r>
      <w:r w:rsidR="00D27223" w:rsidRPr="00D27223">
        <w:rPr>
          <w:i/>
          <w:iCs/>
        </w:rPr>
        <w:t>Refer to the appendix that identifies all workstation-specific settings.</w:t>
      </w:r>
    </w:p>
    <w:p w14:paraId="12B9A77D" w14:textId="53988AC1" w:rsidR="009473AD" w:rsidRPr="003638EB" w:rsidRDefault="009473AD">
      <w:pPr>
        <w:pStyle w:val="BodyText"/>
        <w:numPr>
          <w:ilvl w:val="0"/>
          <w:numId w:val="102"/>
        </w:numPr>
        <w:ind w:left="540"/>
      </w:pPr>
      <w:r w:rsidRPr="00F763F6">
        <w:rPr>
          <w:b/>
          <w:bCs/>
        </w:rPr>
        <w:t>Views</w:t>
      </w:r>
      <w:r w:rsidR="003638EB">
        <w:t xml:space="preserve"> </w:t>
      </w:r>
      <w:r w:rsidR="00D27223">
        <w:t>–</w:t>
      </w:r>
      <w:r w:rsidR="003638EB">
        <w:t xml:space="preserve"> </w:t>
      </w:r>
      <w:r w:rsidRPr="00E24F38">
        <w:t>W</w:t>
      </w:r>
      <w:r w:rsidR="00D27223">
        <w:t xml:space="preserve"> </w:t>
      </w:r>
      <w:r w:rsidRPr="00E24F38">
        <w:t xml:space="preserve">hen a condition or diagnosis is corrected or no longer exists, you can choose to invalidate the condition instead of deleting it to preserve a history of the condition or diagnosis. You can specify if you want invalidated conditions and diagnoses to </w:t>
      </w:r>
      <w:r w:rsidR="00D27223">
        <w:t>appear</w:t>
      </w:r>
      <w:r w:rsidRPr="00E24F38">
        <w:t xml:space="preserve"> in the progress notes.</w:t>
      </w:r>
    </w:p>
    <w:p w14:paraId="775B33F5" w14:textId="77777777" w:rsidR="009473AD" w:rsidRPr="00215157" w:rsidRDefault="009473AD" w:rsidP="00F763F6">
      <w:pPr>
        <w:pStyle w:val="BodyText"/>
        <w:ind w:left="540"/>
      </w:pPr>
      <w:r w:rsidRPr="00215157">
        <w:t>Select one of the following options:</w:t>
      </w:r>
    </w:p>
    <w:p w14:paraId="00E53E23" w14:textId="24BB5664" w:rsidR="009473AD" w:rsidRPr="00215157" w:rsidRDefault="009473AD">
      <w:pPr>
        <w:pStyle w:val="BodyText"/>
        <w:numPr>
          <w:ilvl w:val="1"/>
          <w:numId w:val="104"/>
        </w:numPr>
        <w:ind w:left="1080"/>
      </w:pPr>
      <w:r w:rsidRPr="00F763F6">
        <w:rPr>
          <w:b/>
          <w:bCs/>
        </w:rPr>
        <w:t>View Existing</w:t>
      </w:r>
      <w:r w:rsidRPr="00215157">
        <w:t xml:space="preserve"> </w:t>
      </w:r>
      <w:r w:rsidR="00D27223">
        <w:t>–</w:t>
      </w:r>
      <w:r w:rsidRPr="00215157">
        <w:t xml:space="preserve"> To display invalidated diagnoses when the </w:t>
      </w:r>
      <w:r w:rsidRPr="00D27223">
        <w:rPr>
          <w:b/>
          <w:bCs/>
        </w:rPr>
        <w:t>Existing</w:t>
      </w:r>
      <w:r w:rsidRPr="00215157">
        <w:t xml:space="preserve"> view option is selected.</w:t>
      </w:r>
    </w:p>
    <w:p w14:paraId="758D6934" w14:textId="03E74559" w:rsidR="009473AD" w:rsidRPr="00215157" w:rsidRDefault="009473AD">
      <w:pPr>
        <w:pStyle w:val="BodyText"/>
        <w:numPr>
          <w:ilvl w:val="1"/>
          <w:numId w:val="104"/>
        </w:numPr>
        <w:ind w:left="1080"/>
      </w:pPr>
      <w:r w:rsidRPr="00F763F6">
        <w:rPr>
          <w:b/>
          <w:bCs/>
        </w:rPr>
        <w:t>View Conditions</w:t>
      </w:r>
      <w:r w:rsidRPr="00215157">
        <w:t xml:space="preserve"> </w:t>
      </w:r>
      <w:r w:rsidR="00D27223">
        <w:t>–</w:t>
      </w:r>
      <w:r w:rsidRPr="00215157">
        <w:t xml:space="preserve"> To display invalidated conditions when the </w:t>
      </w:r>
      <w:r w:rsidRPr="00D27223">
        <w:rPr>
          <w:b/>
          <w:bCs/>
        </w:rPr>
        <w:t>Conditions</w:t>
      </w:r>
      <w:r w:rsidRPr="00215157">
        <w:t xml:space="preserve"> view option is selected.</w:t>
      </w:r>
    </w:p>
    <w:p w14:paraId="0E3069C2" w14:textId="4FC2E14F" w:rsidR="009473AD" w:rsidRPr="0084256E" w:rsidRDefault="009473AD">
      <w:pPr>
        <w:pStyle w:val="BodyText"/>
        <w:numPr>
          <w:ilvl w:val="1"/>
          <w:numId w:val="104"/>
        </w:numPr>
        <w:ind w:left="1080"/>
      </w:pPr>
      <w:r w:rsidRPr="00F763F6">
        <w:rPr>
          <w:b/>
          <w:bCs/>
        </w:rPr>
        <w:t>Do not display Invalidated Conditions/Diagnoses</w:t>
      </w:r>
      <w:r w:rsidRPr="00215157">
        <w:t xml:space="preserve"> </w:t>
      </w:r>
      <w:r w:rsidR="00D27223">
        <w:t>–</w:t>
      </w:r>
      <w:r w:rsidRPr="00215157">
        <w:t xml:space="preserve"> To hide invalidated conditions and diagnoses from your view in the progress notes, regardless of the selected view options.</w:t>
      </w:r>
    </w:p>
    <w:p w14:paraId="7CADB383" w14:textId="77777777" w:rsidR="0084256E" w:rsidRDefault="009473AD" w:rsidP="00F763F6">
      <w:pPr>
        <w:pStyle w:val="Heading4"/>
      </w:pPr>
      <w:r w:rsidRPr="00E24F38">
        <w:t>Clinical Notes</w:t>
      </w:r>
    </w:p>
    <w:p w14:paraId="7255E016" w14:textId="09B61D59" w:rsidR="009473AD" w:rsidRDefault="009473AD" w:rsidP="0084256E">
      <w:pPr>
        <w:pStyle w:val="BodyText"/>
      </w:pPr>
      <w:r w:rsidRPr="00E24F38">
        <w:t>Using a clinical note template as a guide, you can quickly and accurately document a patient's visit with minimal typing or editing. Templates are grouped by category. Also, each template can have any number of prompts, which are messages that prompt you to enter responses to user-defined questions.</w:t>
      </w:r>
    </w:p>
    <w:p w14:paraId="2A9096B5" w14:textId="2A2CC2FC" w:rsidR="00756A9E" w:rsidRPr="00E24F38" w:rsidRDefault="00756A9E" w:rsidP="0084256E">
      <w:pPr>
        <w:pStyle w:val="BodyText"/>
      </w:pPr>
      <w:r>
        <w:t>Templates r</w:t>
      </w:r>
      <w:r w:rsidRPr="00F763F6">
        <w:t xml:space="preserve">egulate </w:t>
      </w:r>
      <w:r>
        <w:t>c</w:t>
      </w:r>
      <w:r w:rsidRPr="00F763F6">
        <w:t xml:space="preserve">linical documentation with </w:t>
      </w:r>
      <w:r>
        <w:t xml:space="preserve">a defined </w:t>
      </w:r>
      <w:r w:rsidRPr="00F763F6">
        <w:t>question and answer</w:t>
      </w:r>
      <w:r>
        <w:t xml:space="preserve"> format</w:t>
      </w:r>
      <w:r w:rsidRPr="00F763F6">
        <w:t>. Templates will guide the user and encourages comprehensive documentation of a patients</w:t>
      </w:r>
      <w:r>
        <w:t>’</w:t>
      </w:r>
      <w:r w:rsidRPr="00F763F6">
        <w:t xml:space="preserve"> visit</w:t>
      </w:r>
      <w:r>
        <w:t>s</w:t>
      </w:r>
      <w:r w:rsidRPr="00F763F6">
        <w:t>.</w:t>
      </w:r>
    </w:p>
    <w:p w14:paraId="23EA3062" w14:textId="5CB11032" w:rsidR="009473AD" w:rsidRPr="00F763F6" w:rsidRDefault="009473AD">
      <w:pPr>
        <w:pStyle w:val="BodyText"/>
        <w:numPr>
          <w:ilvl w:val="0"/>
          <w:numId w:val="105"/>
        </w:numPr>
        <w:ind w:left="540"/>
      </w:pPr>
      <w:r w:rsidRPr="00F763F6">
        <w:rPr>
          <w:b/>
          <w:bCs/>
        </w:rPr>
        <w:t xml:space="preserve">Clinical </w:t>
      </w:r>
      <w:r w:rsidR="00D27223">
        <w:rPr>
          <w:b/>
          <w:bCs/>
        </w:rPr>
        <w:t>n</w:t>
      </w:r>
      <w:r w:rsidRPr="00F763F6">
        <w:rPr>
          <w:b/>
          <w:bCs/>
        </w:rPr>
        <w:t xml:space="preserve">ote </w:t>
      </w:r>
      <w:r w:rsidR="00D27223">
        <w:rPr>
          <w:b/>
          <w:bCs/>
        </w:rPr>
        <w:t>c</w:t>
      </w:r>
      <w:r w:rsidRPr="00F763F6">
        <w:rPr>
          <w:b/>
          <w:bCs/>
        </w:rPr>
        <w:t>ategories</w:t>
      </w:r>
      <w:r w:rsidR="00D27223">
        <w:t xml:space="preserve"> – To o</w:t>
      </w:r>
      <w:r w:rsidRPr="00F763F6">
        <w:t xml:space="preserve">rganize </w:t>
      </w:r>
      <w:r w:rsidR="00D27223">
        <w:t>c</w:t>
      </w:r>
      <w:r w:rsidRPr="00F763F6">
        <w:t xml:space="preserve">linical </w:t>
      </w:r>
      <w:r w:rsidR="00D27223">
        <w:t>n</w:t>
      </w:r>
      <w:r w:rsidRPr="00F763F6">
        <w:t xml:space="preserve">ote </w:t>
      </w:r>
      <w:r w:rsidR="00D27223">
        <w:t>t</w:t>
      </w:r>
      <w:r w:rsidRPr="00F763F6">
        <w:t>emplates</w:t>
      </w:r>
      <w:r w:rsidR="00D27223">
        <w:t>, do the following:</w:t>
      </w:r>
    </w:p>
    <w:p w14:paraId="6A4EE4D5" w14:textId="37B9C802" w:rsidR="009473AD" w:rsidRDefault="009473AD">
      <w:pPr>
        <w:pStyle w:val="BodyText"/>
        <w:numPr>
          <w:ilvl w:val="0"/>
          <w:numId w:val="108"/>
        </w:numPr>
      </w:pPr>
      <w:r w:rsidRPr="00F763F6">
        <w:t xml:space="preserve">Click </w:t>
      </w:r>
      <w:r w:rsidRPr="00D27223">
        <w:rPr>
          <w:b/>
          <w:bCs/>
        </w:rPr>
        <w:t>Category Setup</w:t>
      </w:r>
      <w:r w:rsidRPr="00F763F6">
        <w:t>.</w:t>
      </w:r>
    </w:p>
    <w:p w14:paraId="6D3AD681" w14:textId="34312C56" w:rsidR="00F763F6" w:rsidRPr="00F763F6" w:rsidRDefault="00F763F6">
      <w:pPr>
        <w:pStyle w:val="BodyText"/>
        <w:numPr>
          <w:ilvl w:val="0"/>
          <w:numId w:val="108"/>
        </w:numPr>
      </w:pPr>
      <w:r>
        <w:t xml:space="preserve">Do </w:t>
      </w:r>
      <w:r w:rsidRPr="00F763F6">
        <w:t>the following</w:t>
      </w:r>
      <w:r>
        <w:t>:</w:t>
      </w:r>
    </w:p>
    <w:p w14:paraId="6FADB949" w14:textId="5781ED6F" w:rsidR="009473AD" w:rsidRPr="00F763F6" w:rsidRDefault="00D27223">
      <w:pPr>
        <w:pStyle w:val="BodyText"/>
        <w:numPr>
          <w:ilvl w:val="2"/>
          <w:numId w:val="109"/>
        </w:numPr>
        <w:ind w:left="1620"/>
      </w:pPr>
      <w:r>
        <w:t xml:space="preserve">Click </w:t>
      </w:r>
      <w:r w:rsidR="009473AD" w:rsidRPr="00D27223">
        <w:rPr>
          <w:b/>
          <w:bCs/>
        </w:rPr>
        <w:t>New Category</w:t>
      </w:r>
      <w:r>
        <w:t>, and t</w:t>
      </w:r>
      <w:r w:rsidR="009473AD" w:rsidRPr="00F763F6">
        <w:t>ype the category name in the field</w:t>
      </w:r>
      <w:r>
        <w:t>.</w:t>
      </w:r>
    </w:p>
    <w:p w14:paraId="75C13B31" w14:textId="78C6679B" w:rsidR="009473AD" w:rsidRPr="00F763F6" w:rsidRDefault="00D27223">
      <w:pPr>
        <w:pStyle w:val="BodyText"/>
        <w:numPr>
          <w:ilvl w:val="2"/>
          <w:numId w:val="109"/>
        </w:numPr>
        <w:ind w:left="1620"/>
      </w:pPr>
      <w:r>
        <w:t xml:space="preserve">Click </w:t>
      </w:r>
      <w:r w:rsidR="009473AD" w:rsidRPr="00D27223">
        <w:rPr>
          <w:b/>
          <w:bCs/>
        </w:rPr>
        <w:t>Move Up</w:t>
      </w:r>
      <w:r w:rsidR="009473AD" w:rsidRPr="00F763F6">
        <w:t xml:space="preserve"> or </w:t>
      </w:r>
      <w:r w:rsidRPr="00D27223">
        <w:rPr>
          <w:b/>
          <w:bCs/>
        </w:rPr>
        <w:t xml:space="preserve">Move </w:t>
      </w:r>
      <w:r w:rsidR="009473AD" w:rsidRPr="00D27223">
        <w:rPr>
          <w:b/>
          <w:bCs/>
        </w:rPr>
        <w:t>Down</w:t>
      </w:r>
      <w:r w:rsidR="009473AD" w:rsidRPr="00F763F6">
        <w:t xml:space="preserve"> </w:t>
      </w:r>
      <w:r>
        <w:t>t</w:t>
      </w:r>
      <w:r w:rsidR="009473AD" w:rsidRPr="00F763F6">
        <w:t>o change the order of the categories</w:t>
      </w:r>
      <w:r>
        <w:t>.</w:t>
      </w:r>
    </w:p>
    <w:p w14:paraId="1108D04C" w14:textId="67DBEACD" w:rsidR="009473AD" w:rsidRPr="00F763F6" w:rsidRDefault="009473AD" w:rsidP="000D7FFC">
      <w:pPr>
        <w:pStyle w:val="BodyText"/>
        <w:keepNext/>
        <w:keepLines/>
        <w:numPr>
          <w:ilvl w:val="0"/>
          <w:numId w:val="105"/>
        </w:numPr>
        <w:ind w:left="540"/>
      </w:pPr>
      <w:r w:rsidRPr="00F763F6">
        <w:rPr>
          <w:b/>
          <w:bCs/>
        </w:rPr>
        <w:lastRenderedPageBreak/>
        <w:t>Clinical note prompts</w:t>
      </w:r>
      <w:r w:rsidRPr="00F763F6">
        <w:t xml:space="preserve"> </w:t>
      </w:r>
      <w:r w:rsidR="00D27223">
        <w:t>– To customize the q</w:t>
      </w:r>
      <w:r w:rsidRPr="00F763F6">
        <w:t>uestions and answers that aid in building the clinical note</w:t>
      </w:r>
      <w:r w:rsidR="00D27223">
        <w:t>, do the following:</w:t>
      </w:r>
    </w:p>
    <w:p w14:paraId="1A2BB314" w14:textId="7ACB9AC1" w:rsidR="009473AD" w:rsidRPr="00F763F6" w:rsidRDefault="00F763F6" w:rsidP="000D7FFC">
      <w:pPr>
        <w:pStyle w:val="BodyText"/>
        <w:keepNext/>
        <w:keepLines/>
        <w:numPr>
          <w:ilvl w:val="0"/>
          <w:numId w:val="106"/>
        </w:numPr>
      </w:pPr>
      <w:r>
        <w:t xml:space="preserve">Click </w:t>
      </w:r>
      <w:r w:rsidR="009473AD" w:rsidRPr="00D27223">
        <w:rPr>
          <w:b/>
          <w:bCs/>
        </w:rPr>
        <w:t>Template Setup</w:t>
      </w:r>
      <w:r w:rsidR="00D27223">
        <w:t>.</w:t>
      </w:r>
    </w:p>
    <w:p w14:paraId="1981B3F9" w14:textId="77777777" w:rsidR="009473AD" w:rsidRPr="00F763F6" w:rsidRDefault="009473AD" w:rsidP="000D7FFC">
      <w:pPr>
        <w:pStyle w:val="BodyText"/>
        <w:keepNext/>
        <w:keepLines/>
        <w:numPr>
          <w:ilvl w:val="0"/>
          <w:numId w:val="106"/>
        </w:numPr>
      </w:pPr>
      <w:r w:rsidRPr="00F763F6">
        <w:t>Set up the following options:</w:t>
      </w:r>
    </w:p>
    <w:p w14:paraId="1FE229A8" w14:textId="170C6B0D" w:rsidR="009473AD" w:rsidRPr="00F763F6" w:rsidRDefault="009473AD">
      <w:pPr>
        <w:pStyle w:val="BodyText"/>
        <w:numPr>
          <w:ilvl w:val="1"/>
          <w:numId w:val="107"/>
        </w:numPr>
        <w:ind w:left="1620"/>
      </w:pPr>
      <w:r w:rsidRPr="00756A9E">
        <w:rPr>
          <w:b/>
          <w:bCs/>
        </w:rPr>
        <w:t>Prompt Name</w:t>
      </w:r>
      <w:r w:rsidRPr="00F763F6">
        <w:t xml:space="preserve"> </w:t>
      </w:r>
      <w:r w:rsidR="00D27223">
        <w:t>–</w:t>
      </w:r>
      <w:r w:rsidRPr="00F763F6">
        <w:t xml:space="preserve"> Type a name for the prompt. The name is used to identify the prompt in the list and clinical note text</w:t>
      </w:r>
      <w:r w:rsidR="00756A9E">
        <w:t xml:space="preserve">. When you are </w:t>
      </w:r>
      <w:r w:rsidRPr="00F763F6">
        <w:t>setting up the template, the prompt appears in the text where it has been inserted and is set off by a tilde (˜) before and after the name.</w:t>
      </w:r>
    </w:p>
    <w:p w14:paraId="4264CF79" w14:textId="1C9CC3A4" w:rsidR="009473AD" w:rsidRPr="00F763F6" w:rsidRDefault="009473AD">
      <w:pPr>
        <w:pStyle w:val="BodyText"/>
        <w:numPr>
          <w:ilvl w:val="1"/>
          <w:numId w:val="107"/>
        </w:numPr>
        <w:ind w:left="1620"/>
      </w:pPr>
      <w:r w:rsidRPr="00756A9E">
        <w:rPr>
          <w:b/>
          <w:bCs/>
        </w:rPr>
        <w:t>Prompt Text</w:t>
      </w:r>
      <w:r w:rsidRPr="00F763F6">
        <w:t xml:space="preserve"> </w:t>
      </w:r>
      <w:r w:rsidR="00D27223">
        <w:t>–</w:t>
      </w:r>
      <w:r w:rsidRPr="00F763F6">
        <w:t xml:space="preserve"> Type the text to be associated with the prompt. When </w:t>
      </w:r>
      <w:r w:rsidR="00756A9E">
        <w:t xml:space="preserve">you are </w:t>
      </w:r>
      <w:r w:rsidRPr="00F763F6">
        <w:t>adding a clinical note using a template with this prompt, you will see this text, which can be a question or statement, when a message appears and prompts you to enter a response.</w:t>
      </w:r>
    </w:p>
    <w:p w14:paraId="0D579D68" w14:textId="6538DA90" w:rsidR="009473AD" w:rsidRPr="00F763F6" w:rsidRDefault="009473AD">
      <w:pPr>
        <w:pStyle w:val="BodyText"/>
        <w:numPr>
          <w:ilvl w:val="1"/>
          <w:numId w:val="107"/>
        </w:numPr>
        <w:ind w:left="1620"/>
      </w:pPr>
      <w:r w:rsidRPr="00756A9E">
        <w:rPr>
          <w:b/>
          <w:bCs/>
        </w:rPr>
        <w:t xml:space="preserve">Response </w:t>
      </w:r>
      <w:r w:rsidR="00D27223" w:rsidRPr="00756A9E">
        <w:rPr>
          <w:b/>
          <w:bCs/>
        </w:rPr>
        <w:t>T</w:t>
      </w:r>
      <w:r w:rsidRPr="00756A9E">
        <w:rPr>
          <w:b/>
          <w:bCs/>
        </w:rPr>
        <w:t>ype</w:t>
      </w:r>
      <w:r w:rsidR="00D27223">
        <w:t xml:space="preserve"> – The response c</w:t>
      </w:r>
      <w:r w:rsidRPr="00F763F6">
        <w:t xml:space="preserve">an consist of </w:t>
      </w:r>
      <w:r w:rsidR="00D27223">
        <w:t xml:space="preserve">a </w:t>
      </w:r>
      <w:r w:rsidRPr="00F763F6">
        <w:t xml:space="preserve">confirmation only, one response from a list, check box responses, </w:t>
      </w:r>
      <w:r w:rsidR="00D27223">
        <w:t xml:space="preserve">a </w:t>
      </w:r>
      <w:r w:rsidRPr="00F763F6">
        <w:t xml:space="preserve">date, </w:t>
      </w:r>
      <w:r w:rsidR="00D27223">
        <w:t xml:space="preserve">a </w:t>
      </w:r>
      <w:r w:rsidRPr="00F763F6">
        <w:t>number/amount, text, select</w:t>
      </w:r>
      <w:r w:rsidR="00D27223">
        <w:t>ing a</w:t>
      </w:r>
      <w:r w:rsidRPr="00F763F6">
        <w:t xml:space="preserve"> tooth, </w:t>
      </w:r>
      <w:r w:rsidR="00756A9E">
        <w:t xml:space="preserve">selecting </w:t>
      </w:r>
      <w:r w:rsidRPr="00F763F6">
        <w:t xml:space="preserve">surfaces, </w:t>
      </w:r>
      <w:r w:rsidR="00756A9E">
        <w:t xml:space="preserve">selecting a </w:t>
      </w:r>
      <w:r w:rsidRPr="00F763F6">
        <w:t xml:space="preserve">quadrant, or </w:t>
      </w:r>
      <w:r w:rsidR="00756A9E">
        <w:t xml:space="preserve">selecting a </w:t>
      </w:r>
      <w:r w:rsidRPr="00F763F6">
        <w:t xml:space="preserve">sextant.  </w:t>
      </w:r>
    </w:p>
    <w:p w14:paraId="332F08EA" w14:textId="7B44C542" w:rsidR="009473AD" w:rsidRPr="00756A9E" w:rsidRDefault="009473AD" w:rsidP="00F763F6">
      <w:pPr>
        <w:pStyle w:val="BodyText"/>
        <w:ind w:left="540"/>
        <w:rPr>
          <w:i/>
          <w:iCs/>
        </w:rPr>
      </w:pPr>
      <w:r w:rsidRPr="00756A9E">
        <w:rPr>
          <w:b/>
          <w:bCs/>
          <w:i/>
          <w:iCs/>
        </w:rPr>
        <w:t>Workflow</w:t>
      </w:r>
      <w:r w:rsidR="00756A9E" w:rsidRPr="00756A9E">
        <w:rPr>
          <w:b/>
          <w:bCs/>
          <w:i/>
          <w:iCs/>
        </w:rPr>
        <w:t xml:space="preserve"> I</w:t>
      </w:r>
      <w:r w:rsidRPr="00756A9E">
        <w:rPr>
          <w:b/>
          <w:bCs/>
          <w:i/>
          <w:iCs/>
        </w:rPr>
        <w:t>nsight</w:t>
      </w:r>
      <w:r w:rsidR="00756A9E" w:rsidRPr="00756A9E">
        <w:rPr>
          <w:i/>
          <w:iCs/>
        </w:rPr>
        <w:t xml:space="preserve">: </w:t>
      </w:r>
      <w:r w:rsidRPr="00756A9E">
        <w:rPr>
          <w:i/>
          <w:iCs/>
        </w:rPr>
        <w:t xml:space="preserve">Use </w:t>
      </w:r>
      <w:r w:rsidR="00756A9E" w:rsidRPr="00756A9E">
        <w:rPr>
          <w:i/>
          <w:iCs/>
        </w:rPr>
        <w:t xml:space="preserve">an </w:t>
      </w:r>
      <w:r w:rsidRPr="00756A9E">
        <w:rPr>
          <w:i/>
          <w:iCs/>
        </w:rPr>
        <w:t>outline form for a clean</w:t>
      </w:r>
      <w:r w:rsidR="00756A9E" w:rsidRPr="00756A9E">
        <w:rPr>
          <w:i/>
          <w:iCs/>
        </w:rPr>
        <w:t xml:space="preserve">, </w:t>
      </w:r>
      <w:r w:rsidRPr="00756A9E">
        <w:rPr>
          <w:i/>
          <w:iCs/>
        </w:rPr>
        <w:t>easy</w:t>
      </w:r>
      <w:r w:rsidR="00756A9E" w:rsidRPr="00756A9E">
        <w:rPr>
          <w:i/>
          <w:iCs/>
        </w:rPr>
        <w:t>-</w:t>
      </w:r>
      <w:r w:rsidRPr="00756A9E">
        <w:rPr>
          <w:i/>
          <w:iCs/>
        </w:rPr>
        <w:t>to</w:t>
      </w:r>
      <w:r w:rsidR="00756A9E" w:rsidRPr="00756A9E">
        <w:rPr>
          <w:i/>
          <w:iCs/>
        </w:rPr>
        <w:t>-</w:t>
      </w:r>
      <w:r w:rsidRPr="00756A9E">
        <w:rPr>
          <w:i/>
          <w:iCs/>
        </w:rPr>
        <w:t>audit note. Make sure you leave a space before and after the inserted prompt name so that the completed clinical note will be displayed properly.</w:t>
      </w:r>
    </w:p>
    <w:p w14:paraId="3C531D9E" w14:textId="77777777" w:rsidR="00E745C2" w:rsidRDefault="009473AD" w:rsidP="00F763F6">
      <w:pPr>
        <w:pStyle w:val="Heading4"/>
      </w:pPr>
      <w:r w:rsidRPr="00E45677">
        <w:t>Treatment Planner</w:t>
      </w:r>
    </w:p>
    <w:p w14:paraId="2E75C68F" w14:textId="5F0B95B8" w:rsidR="009473AD" w:rsidRDefault="009473AD" w:rsidP="00E745C2">
      <w:pPr>
        <w:pStyle w:val="BodyText"/>
      </w:pPr>
      <w:proofErr w:type="gramStart"/>
      <w:r w:rsidRPr="00E24F38">
        <w:t>Treatment</w:t>
      </w:r>
      <w:proofErr w:type="gramEnd"/>
      <w:r w:rsidRPr="00E24F38">
        <w:t xml:space="preserve"> Planner can help you provide your patients with easy-to-understand treatment options. When you open Treatment Planner for a selected patient, his or her entire treatment plan is used to create a default treatment plan case. You can set up additional cases and visits and view detailed treatment and insurance information. Also, you can group procedures in a treatment plan case by visit or organized by case to provide patients with different treatment options.</w:t>
      </w:r>
    </w:p>
    <w:p w14:paraId="774F35B6" w14:textId="77777777" w:rsidR="009473AD" w:rsidRPr="00E745C2" w:rsidRDefault="009473AD" w:rsidP="00F763F6">
      <w:pPr>
        <w:pStyle w:val="BodyText"/>
      </w:pPr>
      <w:r w:rsidRPr="00454D84">
        <w:rPr>
          <w:color w:val="00B050"/>
        </w:rPr>
        <w:t>&lt;&lt;Insert SOP/Guideline for treatment plans here&gt;&gt;</w:t>
      </w:r>
    </w:p>
    <w:p w14:paraId="56F3A836" w14:textId="6B14E01E" w:rsidR="009473AD" w:rsidRPr="00F763F6" w:rsidRDefault="009473AD" w:rsidP="00F763F6">
      <w:pPr>
        <w:pStyle w:val="BodyText"/>
      </w:pPr>
      <w:r w:rsidRPr="00E24F38">
        <w:t>Before treatment planning a case, set up the case default</w:t>
      </w:r>
      <w:r w:rsidR="00F763F6">
        <w:t xml:space="preserve"> settings</w:t>
      </w:r>
      <w:r w:rsidRPr="00E24F38">
        <w:t>. Changes made to the default case settings affect all other computers on your practice</w:t>
      </w:r>
      <w:r w:rsidR="00756A9E">
        <w:t>’</w:t>
      </w:r>
      <w:r w:rsidRPr="00E24F38">
        <w:t>s network, and the selected settings will be used for every new case that is created</w:t>
      </w:r>
      <w:r w:rsidR="00DE69BA">
        <w:t>.</w:t>
      </w:r>
    </w:p>
    <w:p w14:paraId="23C18030" w14:textId="1C6DA650" w:rsidR="009473AD" w:rsidRPr="00C553C5" w:rsidRDefault="009473AD" w:rsidP="00C553C5">
      <w:pPr>
        <w:pStyle w:val="BodyText"/>
      </w:pPr>
      <w:r w:rsidRPr="00215157">
        <w:t xml:space="preserve">Set up the following </w:t>
      </w:r>
      <w:r w:rsidR="00C553C5">
        <w:t>d</w:t>
      </w:r>
      <w:r w:rsidRPr="00C553C5">
        <w:t xml:space="preserve">efault </w:t>
      </w:r>
      <w:r w:rsidR="00C553C5">
        <w:t>s</w:t>
      </w:r>
      <w:r w:rsidRPr="00C553C5">
        <w:t xml:space="preserve">ettings for </w:t>
      </w:r>
      <w:r w:rsidR="00C553C5">
        <w:t>n</w:t>
      </w:r>
      <w:r w:rsidRPr="00C553C5">
        <w:t xml:space="preserve">ew </w:t>
      </w:r>
      <w:r w:rsidR="00C553C5">
        <w:t>c</w:t>
      </w:r>
      <w:r w:rsidRPr="00C553C5">
        <w:t>ases</w:t>
      </w:r>
      <w:r w:rsidR="00C553C5">
        <w:t>:</w:t>
      </w:r>
    </w:p>
    <w:p w14:paraId="515F82F5" w14:textId="398EEAA6" w:rsidR="009473AD" w:rsidRPr="00C553C5" w:rsidRDefault="009473AD">
      <w:pPr>
        <w:pStyle w:val="BodyText"/>
        <w:numPr>
          <w:ilvl w:val="0"/>
          <w:numId w:val="105"/>
        </w:numPr>
        <w:ind w:left="540"/>
      </w:pPr>
      <w:r w:rsidRPr="00C553C5">
        <w:rPr>
          <w:b/>
          <w:bCs/>
        </w:rPr>
        <w:t>Estimate Expires</w:t>
      </w:r>
      <w:r w:rsidRPr="00C553C5">
        <w:t xml:space="preserve"> </w:t>
      </w:r>
      <w:r w:rsidR="00756A9E">
        <w:t>–</w:t>
      </w:r>
      <w:r w:rsidRPr="00C553C5">
        <w:t xml:space="preserve"> Select the default expiration date for all cases: </w:t>
      </w:r>
      <w:r w:rsidR="00756A9E">
        <w:t>“</w:t>
      </w:r>
      <w:r w:rsidRPr="00C553C5">
        <w:t>1 year from current date,</w:t>
      </w:r>
      <w:r w:rsidR="00756A9E">
        <w:t>” “</w:t>
      </w:r>
      <w:r w:rsidRPr="00C553C5">
        <w:t>3 months from current date,</w:t>
      </w:r>
      <w:r w:rsidR="00756A9E">
        <w:t>” “</w:t>
      </w:r>
      <w:r w:rsidRPr="00C553C5">
        <w:t>1 month from current date,</w:t>
      </w:r>
      <w:r w:rsidR="00756A9E">
        <w:t>” “</w:t>
      </w:r>
      <w:r w:rsidRPr="00C553C5">
        <w:t>Beginning of next calendar year,</w:t>
      </w:r>
      <w:r w:rsidR="00756A9E">
        <w:t>”</w:t>
      </w:r>
      <w:r w:rsidRPr="00C553C5">
        <w:t xml:space="preserve"> </w:t>
      </w:r>
      <w:r w:rsidR="00756A9E">
        <w:t>“</w:t>
      </w:r>
      <w:r w:rsidRPr="00C553C5">
        <w:t>Beginning of next fiscal year,</w:t>
      </w:r>
      <w:r w:rsidR="00756A9E">
        <w:t>” “</w:t>
      </w:r>
      <w:r w:rsidRPr="00C553C5">
        <w:t>Beginning of next month,</w:t>
      </w:r>
      <w:r w:rsidR="00756A9E">
        <w:t>”</w:t>
      </w:r>
      <w:r w:rsidRPr="00C553C5">
        <w:t xml:space="preserve"> or </w:t>
      </w:r>
      <w:r w:rsidR="00756A9E">
        <w:t>“</w:t>
      </w:r>
      <w:r w:rsidRPr="00C553C5">
        <w:t>Prim. Ins. Benefit renewal month.</w:t>
      </w:r>
      <w:r w:rsidR="00756A9E">
        <w:t>”</w:t>
      </w:r>
    </w:p>
    <w:p w14:paraId="582FE2D2" w14:textId="423EB409" w:rsidR="009473AD" w:rsidRPr="00C553C5" w:rsidRDefault="009473AD">
      <w:pPr>
        <w:pStyle w:val="BodyText"/>
        <w:numPr>
          <w:ilvl w:val="0"/>
          <w:numId w:val="105"/>
        </w:numPr>
        <w:ind w:left="540"/>
      </w:pPr>
      <w:r w:rsidRPr="00C553C5">
        <w:rPr>
          <w:b/>
          <w:bCs/>
        </w:rPr>
        <w:t>Default Case Note Template</w:t>
      </w:r>
      <w:r w:rsidRPr="00C553C5">
        <w:t xml:space="preserve"> </w:t>
      </w:r>
      <w:r w:rsidR="00756A9E">
        <w:t>–</w:t>
      </w:r>
      <w:r w:rsidRPr="00C553C5">
        <w:t xml:space="preserve"> Select the default that will be used to create case notes from a template. By default, </w:t>
      </w:r>
      <w:r w:rsidR="00756A9E">
        <w:t>“</w:t>
      </w:r>
      <w:r w:rsidRPr="00C553C5">
        <w:t>[NONE]</w:t>
      </w:r>
      <w:r w:rsidR="00756A9E">
        <w:t>”</w:t>
      </w:r>
      <w:r w:rsidRPr="00C553C5">
        <w:t xml:space="preserve"> is selected; no other options are available until at least one template has been set up.</w:t>
      </w:r>
      <w:r w:rsidR="00756A9E">
        <w:t xml:space="preserve"> Do any of the following:</w:t>
      </w:r>
    </w:p>
    <w:p w14:paraId="401D68C2" w14:textId="3C2518A6" w:rsidR="009473AD" w:rsidRPr="00C553C5" w:rsidRDefault="009473AD">
      <w:pPr>
        <w:pStyle w:val="BodyText"/>
        <w:numPr>
          <w:ilvl w:val="1"/>
          <w:numId w:val="114"/>
        </w:numPr>
        <w:ind w:left="1080"/>
      </w:pPr>
      <w:r w:rsidRPr="00C553C5">
        <w:rPr>
          <w:b/>
          <w:bCs/>
        </w:rPr>
        <w:t>Add</w:t>
      </w:r>
      <w:r w:rsidRPr="00C553C5">
        <w:t xml:space="preserve"> </w:t>
      </w:r>
      <w:r w:rsidR="00756A9E">
        <w:t>–</w:t>
      </w:r>
      <w:r w:rsidRPr="00C553C5">
        <w:t xml:space="preserve"> To add a template, type a </w:t>
      </w:r>
      <w:r w:rsidRPr="00756A9E">
        <w:rPr>
          <w:b/>
          <w:bCs/>
        </w:rPr>
        <w:t>Template Name</w:t>
      </w:r>
      <w:r w:rsidRPr="00C553C5">
        <w:t xml:space="preserve"> and the </w:t>
      </w:r>
      <w:r w:rsidR="00756A9E">
        <w:t>applicable</w:t>
      </w:r>
      <w:r w:rsidRPr="00C553C5">
        <w:t xml:space="preserve"> </w:t>
      </w:r>
      <w:r w:rsidRPr="00756A9E">
        <w:rPr>
          <w:b/>
          <w:bCs/>
        </w:rPr>
        <w:t>Template Text</w:t>
      </w:r>
      <w:r w:rsidR="00756A9E">
        <w:t>.</w:t>
      </w:r>
    </w:p>
    <w:p w14:paraId="4348A57B" w14:textId="7056248D" w:rsidR="009473AD" w:rsidRPr="00C553C5" w:rsidRDefault="009473AD">
      <w:pPr>
        <w:pStyle w:val="BodyText"/>
        <w:numPr>
          <w:ilvl w:val="1"/>
          <w:numId w:val="114"/>
        </w:numPr>
        <w:ind w:left="1080"/>
      </w:pPr>
      <w:r w:rsidRPr="00C553C5">
        <w:rPr>
          <w:b/>
          <w:bCs/>
        </w:rPr>
        <w:t>Modify</w:t>
      </w:r>
      <w:r w:rsidRPr="00C553C5">
        <w:t xml:space="preserve"> </w:t>
      </w:r>
      <w:r w:rsidR="00756A9E">
        <w:t>–</w:t>
      </w:r>
      <w:r w:rsidRPr="00C553C5">
        <w:t xml:space="preserve"> To modify a template, select the template you want to change, make the necessary changes to the </w:t>
      </w:r>
      <w:r w:rsidRPr="00756A9E">
        <w:rPr>
          <w:b/>
          <w:bCs/>
        </w:rPr>
        <w:t>Template Name</w:t>
      </w:r>
      <w:r w:rsidRPr="00C553C5">
        <w:t xml:space="preserve"> or </w:t>
      </w:r>
      <w:r w:rsidRPr="00756A9E">
        <w:rPr>
          <w:b/>
          <w:bCs/>
        </w:rPr>
        <w:t>Template Text</w:t>
      </w:r>
      <w:r w:rsidRPr="00C553C5">
        <w:t xml:space="preserve">, and then click </w:t>
      </w:r>
      <w:r w:rsidRPr="00756A9E">
        <w:rPr>
          <w:b/>
          <w:bCs/>
        </w:rPr>
        <w:t>Modify</w:t>
      </w:r>
      <w:r w:rsidRPr="00C553C5">
        <w:t xml:space="preserve"> to save the changes.</w:t>
      </w:r>
    </w:p>
    <w:p w14:paraId="550132B4" w14:textId="109682B0" w:rsidR="009473AD" w:rsidRPr="00C553C5" w:rsidRDefault="009473AD">
      <w:pPr>
        <w:pStyle w:val="BodyText"/>
        <w:numPr>
          <w:ilvl w:val="1"/>
          <w:numId w:val="114"/>
        </w:numPr>
        <w:ind w:left="1080"/>
      </w:pPr>
      <w:r w:rsidRPr="00C553C5">
        <w:rPr>
          <w:b/>
          <w:bCs/>
        </w:rPr>
        <w:t>Delete</w:t>
      </w:r>
      <w:r w:rsidRPr="00C553C5">
        <w:t xml:space="preserve"> </w:t>
      </w:r>
      <w:r w:rsidR="00756A9E">
        <w:t>–</w:t>
      </w:r>
      <w:r w:rsidRPr="00C553C5">
        <w:t xml:space="preserve"> To delete a template, select the template you want to delete, and then click </w:t>
      </w:r>
      <w:r w:rsidRPr="00756A9E">
        <w:rPr>
          <w:b/>
          <w:bCs/>
        </w:rPr>
        <w:t>Delete</w:t>
      </w:r>
      <w:r w:rsidRPr="00C553C5">
        <w:t>.</w:t>
      </w:r>
    </w:p>
    <w:p w14:paraId="2A03071F" w14:textId="442EB19E" w:rsidR="009473AD" w:rsidRPr="00C553C5" w:rsidRDefault="009473AD" w:rsidP="000D7FFC">
      <w:pPr>
        <w:pStyle w:val="BodyText"/>
        <w:keepNext/>
        <w:keepLines/>
        <w:numPr>
          <w:ilvl w:val="0"/>
          <w:numId w:val="105"/>
        </w:numPr>
        <w:ind w:left="547"/>
      </w:pPr>
      <w:r w:rsidRPr="00C553C5">
        <w:rPr>
          <w:b/>
          <w:bCs/>
        </w:rPr>
        <w:lastRenderedPageBreak/>
        <w:t>Automatic Case Status Updates</w:t>
      </w:r>
      <w:r w:rsidRPr="00C553C5">
        <w:t xml:space="preserve"> </w:t>
      </w:r>
      <w:r w:rsidR="000D7FFC">
        <w:t>–</w:t>
      </w:r>
      <w:r w:rsidRPr="00C553C5">
        <w:t xml:space="preserve"> Select the case statuses that you want to be added automatically to the case status history</w:t>
      </w:r>
      <w:r w:rsidR="00756A9E">
        <w:t>:</w:t>
      </w:r>
    </w:p>
    <w:p w14:paraId="51350109" w14:textId="29C2A714" w:rsidR="009473AD" w:rsidRPr="00C553C5" w:rsidRDefault="009473AD">
      <w:pPr>
        <w:pStyle w:val="BodyText"/>
        <w:numPr>
          <w:ilvl w:val="1"/>
          <w:numId w:val="113"/>
        </w:numPr>
        <w:ind w:left="1080"/>
      </w:pPr>
      <w:r w:rsidRPr="00C553C5">
        <w:rPr>
          <w:b/>
          <w:bCs/>
        </w:rPr>
        <w:t>Printed</w:t>
      </w:r>
      <w:r w:rsidRPr="00C553C5">
        <w:t xml:space="preserve"> </w:t>
      </w:r>
      <w:r w:rsidR="00756A9E">
        <w:t>–</w:t>
      </w:r>
      <w:r w:rsidRPr="00C553C5">
        <w:t xml:space="preserve"> A selected cases will be updated with the </w:t>
      </w:r>
      <w:r w:rsidR="00756A9E">
        <w:t>“Printed”</w:t>
      </w:r>
      <w:r w:rsidRPr="00C553C5">
        <w:t xml:space="preserve"> status when the case is printed.</w:t>
      </w:r>
    </w:p>
    <w:p w14:paraId="797588C3" w14:textId="37227636" w:rsidR="009473AD" w:rsidRPr="00C553C5" w:rsidRDefault="009473AD">
      <w:pPr>
        <w:pStyle w:val="BodyText"/>
        <w:numPr>
          <w:ilvl w:val="1"/>
          <w:numId w:val="113"/>
        </w:numPr>
        <w:ind w:left="1080"/>
      </w:pPr>
      <w:r w:rsidRPr="00C553C5">
        <w:rPr>
          <w:b/>
          <w:bCs/>
        </w:rPr>
        <w:t>Proposed</w:t>
      </w:r>
      <w:r w:rsidRPr="00C553C5">
        <w:t xml:space="preserve"> </w:t>
      </w:r>
      <w:r w:rsidR="00756A9E">
        <w:t>–</w:t>
      </w:r>
      <w:r w:rsidRPr="00C553C5">
        <w:t xml:space="preserve"> A selected case will be updated with the </w:t>
      </w:r>
      <w:r w:rsidR="00756A9E">
        <w:t>“Proposed”</w:t>
      </w:r>
      <w:r w:rsidRPr="00C553C5">
        <w:t xml:space="preserve"> status to present or propose the case to the patient.</w:t>
      </w:r>
    </w:p>
    <w:p w14:paraId="2D0CA085" w14:textId="2ACF0E94" w:rsidR="009473AD" w:rsidRPr="00C553C5" w:rsidRDefault="009473AD">
      <w:pPr>
        <w:pStyle w:val="BodyText"/>
        <w:numPr>
          <w:ilvl w:val="0"/>
          <w:numId w:val="105"/>
        </w:numPr>
        <w:ind w:left="540"/>
      </w:pPr>
      <w:r w:rsidRPr="00C553C5">
        <w:rPr>
          <w:b/>
          <w:bCs/>
        </w:rPr>
        <w:t>Case Financing Setup</w:t>
      </w:r>
      <w:r w:rsidRPr="00C553C5">
        <w:t xml:space="preserve"> </w:t>
      </w:r>
      <w:r w:rsidR="00756A9E">
        <w:t>–</w:t>
      </w:r>
      <w:r w:rsidRPr="00C553C5">
        <w:t xml:space="preserve"> Case financing statuses must be set up before </w:t>
      </w:r>
      <w:r w:rsidR="00756A9E">
        <w:t>you can apply them</w:t>
      </w:r>
      <w:r w:rsidRPr="00C553C5">
        <w:t xml:space="preserve"> to a case. If you want to add, rename, or delete a case financing status, click </w:t>
      </w:r>
      <w:r w:rsidRPr="00756A9E">
        <w:rPr>
          <w:b/>
          <w:bCs/>
        </w:rPr>
        <w:t>Case Financing Setup</w:t>
      </w:r>
      <w:r w:rsidRPr="00C553C5">
        <w:t xml:space="preserve"> to open the </w:t>
      </w:r>
      <w:r w:rsidRPr="00756A9E">
        <w:rPr>
          <w:b/>
          <w:bCs/>
        </w:rPr>
        <w:t>Case Financing Status Setup</w:t>
      </w:r>
      <w:r w:rsidRPr="00C553C5">
        <w:t xml:space="preserve"> dialog box</w:t>
      </w:r>
      <w:r w:rsidR="00756A9E">
        <w:t xml:space="preserve"> and do any of the following:</w:t>
      </w:r>
    </w:p>
    <w:p w14:paraId="5876D592" w14:textId="6EAD2926" w:rsidR="009473AD" w:rsidRPr="00C553C5" w:rsidRDefault="009473AD">
      <w:pPr>
        <w:pStyle w:val="BodyText"/>
        <w:numPr>
          <w:ilvl w:val="1"/>
          <w:numId w:val="112"/>
        </w:numPr>
        <w:ind w:left="1080"/>
      </w:pPr>
      <w:r w:rsidRPr="00C553C5">
        <w:rPr>
          <w:b/>
          <w:bCs/>
        </w:rPr>
        <w:t>Add</w:t>
      </w:r>
      <w:r w:rsidRPr="00C553C5">
        <w:t xml:space="preserve"> </w:t>
      </w:r>
      <w:r w:rsidR="00756A9E">
        <w:t>–</w:t>
      </w:r>
      <w:r w:rsidRPr="00C553C5">
        <w:t xml:space="preserve"> To add a case financing status, type a name in the </w:t>
      </w:r>
      <w:r w:rsidRPr="00756A9E">
        <w:rPr>
          <w:b/>
          <w:bCs/>
        </w:rPr>
        <w:t>Case Financing Status</w:t>
      </w:r>
      <w:r w:rsidRPr="00C553C5">
        <w:t xml:space="preserve"> </w:t>
      </w:r>
      <w:r w:rsidR="00756A9E">
        <w:t>box</w:t>
      </w:r>
      <w:r w:rsidRPr="00C553C5">
        <w:t xml:space="preserve">, and then click </w:t>
      </w:r>
      <w:r w:rsidRPr="00756A9E">
        <w:rPr>
          <w:b/>
          <w:bCs/>
        </w:rPr>
        <w:t>Add</w:t>
      </w:r>
      <w:r w:rsidRPr="00C553C5">
        <w:t>. By default, the following case financing statuses are provided: In Progress, Needed, Not Necessary, and Pending More Information.</w:t>
      </w:r>
    </w:p>
    <w:p w14:paraId="61EC3846" w14:textId="71891C84" w:rsidR="009473AD" w:rsidRPr="00C553C5" w:rsidRDefault="009473AD">
      <w:pPr>
        <w:pStyle w:val="BodyText"/>
        <w:numPr>
          <w:ilvl w:val="1"/>
          <w:numId w:val="112"/>
        </w:numPr>
        <w:ind w:left="1080"/>
      </w:pPr>
      <w:r w:rsidRPr="00C553C5">
        <w:rPr>
          <w:b/>
          <w:bCs/>
        </w:rPr>
        <w:t>Rename</w:t>
      </w:r>
      <w:r w:rsidRPr="00C553C5">
        <w:t xml:space="preserve"> </w:t>
      </w:r>
      <w:r w:rsidR="00756A9E">
        <w:t>–</w:t>
      </w:r>
      <w:r w:rsidRPr="00C553C5">
        <w:t xml:space="preserve"> To rename a case financing status, select the status you want to rename, type the new name for the status, and then click </w:t>
      </w:r>
      <w:r w:rsidRPr="00756A9E">
        <w:rPr>
          <w:b/>
          <w:bCs/>
        </w:rPr>
        <w:t>Rename</w:t>
      </w:r>
      <w:r w:rsidRPr="00C553C5">
        <w:t>.</w:t>
      </w:r>
    </w:p>
    <w:p w14:paraId="3E37C765" w14:textId="65318EBB" w:rsidR="009473AD" w:rsidRPr="00C553C5" w:rsidRDefault="009473AD">
      <w:pPr>
        <w:pStyle w:val="BodyText"/>
        <w:numPr>
          <w:ilvl w:val="1"/>
          <w:numId w:val="112"/>
        </w:numPr>
        <w:ind w:left="1080"/>
      </w:pPr>
      <w:r w:rsidRPr="00C553C5">
        <w:rPr>
          <w:b/>
          <w:bCs/>
        </w:rPr>
        <w:t>Delete</w:t>
      </w:r>
      <w:r w:rsidRPr="00C553C5">
        <w:t xml:space="preserve"> </w:t>
      </w:r>
      <w:r w:rsidR="00756A9E">
        <w:t>–</w:t>
      </w:r>
      <w:r w:rsidRPr="00C553C5">
        <w:t xml:space="preserve"> To delete a case financing status, select the status you want to delete, and then click </w:t>
      </w:r>
      <w:r w:rsidRPr="00756A9E">
        <w:rPr>
          <w:b/>
          <w:bCs/>
        </w:rPr>
        <w:t>Delete</w:t>
      </w:r>
      <w:r w:rsidRPr="00C553C5">
        <w:t>.</w:t>
      </w:r>
    </w:p>
    <w:p w14:paraId="7CE95218" w14:textId="5FB2CD79" w:rsidR="009473AD" w:rsidRPr="00C553C5" w:rsidRDefault="009473AD">
      <w:pPr>
        <w:pStyle w:val="BodyText"/>
        <w:numPr>
          <w:ilvl w:val="0"/>
          <w:numId w:val="105"/>
        </w:numPr>
        <w:ind w:left="540"/>
      </w:pPr>
      <w:r w:rsidRPr="00C553C5">
        <w:rPr>
          <w:b/>
          <w:bCs/>
        </w:rPr>
        <w:t>Patient-Friendly Description</w:t>
      </w:r>
      <w:r w:rsidRPr="00C553C5">
        <w:t xml:space="preserve"> </w:t>
      </w:r>
      <w:r w:rsidR="00756A9E">
        <w:t>–</w:t>
      </w:r>
      <w:r w:rsidRPr="00C553C5">
        <w:t xml:space="preserve"> Patient-friendly descriptions can be entered and saved for any procedure code. When that code is selected, instead of displaying the technical description for the procedure, a less-technical description can be displayed so patients </w:t>
      </w:r>
      <w:proofErr w:type="gramStart"/>
      <w:r w:rsidR="00756A9E">
        <w:t>cab</w:t>
      </w:r>
      <w:proofErr w:type="gramEnd"/>
      <w:r w:rsidRPr="00C553C5">
        <w:t xml:space="preserve"> better understand the procedures in their treatment plans.</w:t>
      </w:r>
    </w:p>
    <w:p w14:paraId="1DFF4BD8" w14:textId="496E8330" w:rsidR="009473AD" w:rsidRPr="00C553C5" w:rsidRDefault="00C553C5" w:rsidP="00756A9E">
      <w:pPr>
        <w:pStyle w:val="BodyText"/>
        <w:numPr>
          <w:ilvl w:val="1"/>
          <w:numId w:val="164"/>
        </w:numPr>
        <w:ind w:left="1080"/>
      </w:pPr>
      <w:r>
        <w:t>S</w:t>
      </w:r>
      <w:r w:rsidR="009473AD" w:rsidRPr="00C553C5">
        <w:t xml:space="preserve">elect a </w:t>
      </w:r>
      <w:r w:rsidR="009473AD" w:rsidRPr="00756A9E">
        <w:rPr>
          <w:b/>
          <w:bCs/>
        </w:rPr>
        <w:t>Procedure</w:t>
      </w:r>
      <w:r w:rsidR="009473AD" w:rsidRPr="00C553C5">
        <w:t xml:space="preserve"> (the default description appears in the </w:t>
      </w:r>
      <w:r w:rsidR="009473AD" w:rsidRPr="00756A9E">
        <w:rPr>
          <w:b/>
          <w:bCs/>
        </w:rPr>
        <w:t>Description</w:t>
      </w:r>
      <w:r w:rsidR="009473AD" w:rsidRPr="00C553C5">
        <w:t xml:space="preserve"> </w:t>
      </w:r>
      <w:r w:rsidR="00756A9E">
        <w:t>box</w:t>
      </w:r>
      <w:r w:rsidR="009473AD" w:rsidRPr="00C553C5">
        <w:t>)</w:t>
      </w:r>
      <w:r w:rsidR="00756A9E">
        <w:t>.</w:t>
      </w:r>
    </w:p>
    <w:p w14:paraId="660D7150" w14:textId="2FABA07B" w:rsidR="009473AD" w:rsidRPr="00C553C5" w:rsidRDefault="00C553C5" w:rsidP="00756A9E">
      <w:pPr>
        <w:pStyle w:val="BodyText"/>
        <w:numPr>
          <w:ilvl w:val="1"/>
          <w:numId w:val="164"/>
        </w:numPr>
        <w:ind w:left="1080"/>
      </w:pPr>
      <w:r>
        <w:t>T</w:t>
      </w:r>
      <w:r w:rsidR="009473AD" w:rsidRPr="00C553C5">
        <w:t xml:space="preserve">ype a </w:t>
      </w:r>
      <w:r w:rsidR="009473AD" w:rsidRPr="00756A9E">
        <w:rPr>
          <w:b/>
          <w:bCs/>
        </w:rPr>
        <w:t>Patient-Friendly Description</w:t>
      </w:r>
      <w:r w:rsidR="009473AD" w:rsidRPr="00C553C5">
        <w:t xml:space="preserve"> (some procedures may already have patient-friendly descriptions, which can be edited</w:t>
      </w:r>
      <w:r w:rsidR="00756A9E">
        <w:t>)</w:t>
      </w:r>
      <w:r w:rsidR="009473AD" w:rsidRPr="00C553C5">
        <w:t>.</w:t>
      </w:r>
    </w:p>
    <w:p w14:paraId="2CC0EDB8" w14:textId="4C5DB591" w:rsidR="009473AD" w:rsidRPr="00756A9E" w:rsidRDefault="009473AD" w:rsidP="00C553C5">
      <w:pPr>
        <w:pStyle w:val="BodyText"/>
        <w:ind w:left="540"/>
        <w:rPr>
          <w:i/>
          <w:iCs/>
        </w:rPr>
      </w:pPr>
      <w:r w:rsidRPr="00756A9E">
        <w:rPr>
          <w:b/>
          <w:bCs/>
          <w:i/>
          <w:iCs/>
        </w:rPr>
        <w:t>Note</w:t>
      </w:r>
      <w:r w:rsidRPr="00756A9E">
        <w:rPr>
          <w:i/>
          <w:iCs/>
        </w:rPr>
        <w:t xml:space="preserve">: </w:t>
      </w:r>
      <w:r w:rsidR="00756A9E" w:rsidRPr="00756A9E">
        <w:rPr>
          <w:i/>
          <w:iCs/>
        </w:rPr>
        <w:t>You can also set up patient-friendly descriptions in the</w:t>
      </w:r>
      <w:r w:rsidRPr="00756A9E">
        <w:rPr>
          <w:i/>
          <w:iCs/>
        </w:rPr>
        <w:t xml:space="preserve"> Procedure Code Setup</w:t>
      </w:r>
      <w:r w:rsidR="00756A9E" w:rsidRPr="00756A9E">
        <w:rPr>
          <w:i/>
          <w:iCs/>
        </w:rPr>
        <w:t>.</w:t>
      </w:r>
    </w:p>
    <w:p w14:paraId="006C75A7" w14:textId="1B4CCAC0" w:rsidR="009473AD" w:rsidRPr="00C553C5" w:rsidRDefault="009473AD">
      <w:pPr>
        <w:pStyle w:val="BodyText"/>
        <w:numPr>
          <w:ilvl w:val="0"/>
          <w:numId w:val="105"/>
        </w:numPr>
        <w:ind w:left="540"/>
      </w:pPr>
      <w:r w:rsidRPr="00C553C5">
        <w:rPr>
          <w:b/>
          <w:bCs/>
        </w:rPr>
        <w:t>Setup Consent Forms</w:t>
      </w:r>
      <w:r w:rsidRPr="00C553C5">
        <w:t xml:space="preserve"> </w:t>
      </w:r>
      <w:r w:rsidR="00756A9E">
        <w:t>–</w:t>
      </w:r>
      <w:r w:rsidRPr="00C553C5">
        <w:t xml:space="preserve"> Any existing consent forms that will be used for new cases are shown in the list box. You can customize the list, choose the procedures that can appear on all forms, and select a signing device</w:t>
      </w:r>
      <w:r w:rsidR="00AD6DEA">
        <w:t>. Do the following:</w:t>
      </w:r>
    </w:p>
    <w:p w14:paraId="5425DF9C" w14:textId="10ED61BC" w:rsidR="00AD6DEA" w:rsidRDefault="00AD6DEA" w:rsidP="00AD6DEA">
      <w:pPr>
        <w:pStyle w:val="BodyText"/>
        <w:numPr>
          <w:ilvl w:val="0"/>
          <w:numId w:val="165"/>
        </w:numPr>
        <w:ind w:left="1080"/>
      </w:pPr>
      <w:r>
        <w:t xml:space="preserve">Either click </w:t>
      </w:r>
      <w:r w:rsidRPr="00AD6DEA">
        <w:rPr>
          <w:b/>
          <w:bCs/>
        </w:rPr>
        <w:t>New</w:t>
      </w:r>
      <w:r>
        <w:t xml:space="preserve"> to add a form, or select a form and then click </w:t>
      </w:r>
      <w:r w:rsidRPr="00AD6DEA">
        <w:rPr>
          <w:b/>
          <w:bCs/>
        </w:rPr>
        <w:t>Edit</w:t>
      </w:r>
      <w:r>
        <w:t xml:space="preserve"> to edit that form.</w:t>
      </w:r>
    </w:p>
    <w:p w14:paraId="268D9C62" w14:textId="4C004A66" w:rsidR="00AD6DEA" w:rsidRDefault="00AD6DEA" w:rsidP="00AD6DEA">
      <w:pPr>
        <w:pStyle w:val="BodyText"/>
        <w:numPr>
          <w:ilvl w:val="0"/>
          <w:numId w:val="165"/>
        </w:numPr>
        <w:ind w:left="1080"/>
      </w:pPr>
      <w:r>
        <w:t>T</w:t>
      </w:r>
      <w:r w:rsidR="009473AD" w:rsidRPr="00C553C5">
        <w:t xml:space="preserve">ype or change the name and/or text of the consent form using the </w:t>
      </w:r>
      <w:r w:rsidR="009473AD" w:rsidRPr="00AD6DEA">
        <w:rPr>
          <w:b/>
          <w:bCs/>
        </w:rPr>
        <w:t>Cut</w:t>
      </w:r>
      <w:r w:rsidR="009473AD" w:rsidRPr="00C553C5">
        <w:t xml:space="preserve"> ,</w:t>
      </w:r>
      <w:r w:rsidR="009473AD" w:rsidRPr="00AD6DEA">
        <w:rPr>
          <w:b/>
          <w:bCs/>
        </w:rPr>
        <w:t>Copy</w:t>
      </w:r>
      <w:r w:rsidR="009473AD" w:rsidRPr="00C553C5">
        <w:t xml:space="preserve">, and </w:t>
      </w:r>
      <w:r w:rsidR="009473AD" w:rsidRPr="00AD6DEA">
        <w:rPr>
          <w:b/>
          <w:bCs/>
        </w:rPr>
        <w:t>Paste</w:t>
      </w:r>
      <w:r w:rsidR="009473AD" w:rsidRPr="00C553C5">
        <w:t xml:space="preserve"> buttons to manipulate text as needed</w:t>
      </w:r>
      <w:r>
        <w:t>. T</w:t>
      </w:r>
      <w:r w:rsidR="009473AD" w:rsidRPr="00C553C5">
        <w:t xml:space="preserve">he form can be up to 5,000 characters </w:t>
      </w:r>
      <w:r>
        <w:t>long.</w:t>
      </w:r>
      <w:r w:rsidR="009473AD" w:rsidRPr="00C553C5">
        <w:t xml:space="preserve"> </w:t>
      </w:r>
    </w:p>
    <w:p w14:paraId="5BEA37EC" w14:textId="42330605" w:rsidR="009473AD" w:rsidRDefault="00AD6DEA" w:rsidP="00AD6DEA">
      <w:pPr>
        <w:pStyle w:val="BodyText"/>
        <w:numPr>
          <w:ilvl w:val="0"/>
          <w:numId w:val="165"/>
        </w:numPr>
        <w:ind w:left="1080"/>
      </w:pPr>
      <w:r>
        <w:t>S</w:t>
      </w:r>
      <w:r w:rsidR="009473AD" w:rsidRPr="00C553C5">
        <w:t xml:space="preserve">elect </w:t>
      </w:r>
      <w:r w:rsidR="009473AD" w:rsidRPr="00AD6DEA">
        <w:rPr>
          <w:b/>
          <w:bCs/>
        </w:rPr>
        <w:t>Do not include Procedure Codes on Consent Form</w:t>
      </w:r>
      <w:r w:rsidR="009473AD" w:rsidRPr="00C553C5">
        <w:t xml:space="preserve"> if you do not want to allow procedure information to show on the consent form (the default selections that indicate what procedure information can be shown on consent forms will be overridden)</w:t>
      </w:r>
      <w:r>
        <w:t>.</w:t>
      </w:r>
    </w:p>
    <w:p w14:paraId="3A7AB4ED" w14:textId="7A66810C" w:rsidR="00AD6DEA" w:rsidRPr="00C553C5" w:rsidRDefault="00AD6DEA" w:rsidP="00AD6DEA">
      <w:pPr>
        <w:pStyle w:val="BodyText"/>
        <w:numPr>
          <w:ilvl w:val="0"/>
          <w:numId w:val="165"/>
        </w:numPr>
        <w:ind w:left="1080"/>
      </w:pPr>
      <w:r>
        <w:t xml:space="preserve">Click </w:t>
      </w:r>
      <w:r w:rsidRPr="00AD6DEA">
        <w:rPr>
          <w:b/>
          <w:bCs/>
        </w:rPr>
        <w:t>Save</w:t>
      </w:r>
      <w:r>
        <w:t>.</w:t>
      </w:r>
    </w:p>
    <w:p w14:paraId="437031AD" w14:textId="3FFA3DBD" w:rsidR="009473AD" w:rsidRPr="00C553C5" w:rsidRDefault="00AD6DEA" w:rsidP="00AD6DEA">
      <w:pPr>
        <w:pStyle w:val="BodyText"/>
        <w:numPr>
          <w:ilvl w:val="0"/>
          <w:numId w:val="165"/>
        </w:numPr>
        <w:ind w:left="1080"/>
      </w:pPr>
      <w:r>
        <w:t xml:space="preserve">From the </w:t>
      </w:r>
      <w:r w:rsidR="009473AD" w:rsidRPr="00C553C5">
        <w:rPr>
          <w:b/>
          <w:bCs/>
        </w:rPr>
        <w:t>Select Electronic Signature Device</w:t>
      </w:r>
      <w:r w:rsidR="009473AD" w:rsidRPr="00C553C5">
        <w:t xml:space="preserve"> </w:t>
      </w:r>
      <w:r>
        <w:t>list, s</w:t>
      </w:r>
      <w:r w:rsidR="009473AD" w:rsidRPr="00C553C5">
        <w:t>elect the device that will be used to sign cases at this computer:</w:t>
      </w:r>
    </w:p>
    <w:p w14:paraId="422E9017" w14:textId="0DCF9E43" w:rsidR="009473AD" w:rsidRPr="00C553C5" w:rsidRDefault="009473AD" w:rsidP="00AD6DEA">
      <w:pPr>
        <w:pStyle w:val="BodyText"/>
        <w:numPr>
          <w:ilvl w:val="2"/>
          <w:numId w:val="166"/>
        </w:numPr>
        <w:ind w:left="1620"/>
      </w:pPr>
      <w:r w:rsidRPr="00C553C5">
        <w:rPr>
          <w:b/>
          <w:bCs/>
        </w:rPr>
        <w:t>Pointing Device</w:t>
      </w:r>
      <w:r w:rsidRPr="00C553C5">
        <w:t xml:space="preserve"> </w:t>
      </w:r>
      <w:r w:rsidR="00AD6DEA">
        <w:t>–</w:t>
      </w:r>
      <w:r w:rsidRPr="00C553C5">
        <w:t xml:space="preserve"> Use for mice, touch screens, and writing tablets.</w:t>
      </w:r>
    </w:p>
    <w:p w14:paraId="228B9750" w14:textId="48B133FD" w:rsidR="009473AD" w:rsidRPr="00C553C5" w:rsidRDefault="009473AD" w:rsidP="00AD6DEA">
      <w:pPr>
        <w:pStyle w:val="BodyText"/>
        <w:numPr>
          <w:ilvl w:val="2"/>
          <w:numId w:val="166"/>
        </w:numPr>
        <w:ind w:left="1620"/>
      </w:pPr>
      <w:r w:rsidRPr="00C553C5">
        <w:rPr>
          <w:b/>
          <w:bCs/>
        </w:rPr>
        <w:t xml:space="preserve">Interlink </w:t>
      </w:r>
      <w:proofErr w:type="spellStart"/>
      <w:r w:rsidRPr="00C553C5">
        <w:rPr>
          <w:b/>
          <w:bCs/>
        </w:rPr>
        <w:t>ePad</w:t>
      </w:r>
      <w:proofErr w:type="spellEnd"/>
      <w:r w:rsidRPr="00C553C5">
        <w:rPr>
          <w:b/>
          <w:bCs/>
        </w:rPr>
        <w:t xml:space="preserve"> or Interlink </w:t>
      </w:r>
      <w:proofErr w:type="spellStart"/>
      <w:r w:rsidRPr="00C553C5">
        <w:rPr>
          <w:b/>
          <w:bCs/>
        </w:rPr>
        <w:t>ePad</w:t>
      </w:r>
      <w:proofErr w:type="spellEnd"/>
      <w:r w:rsidRPr="00C553C5">
        <w:rPr>
          <w:b/>
          <w:bCs/>
        </w:rPr>
        <w:t xml:space="preserve"> II</w:t>
      </w:r>
      <w:r w:rsidRPr="00C553C5">
        <w:t xml:space="preserve"> </w:t>
      </w:r>
      <w:r w:rsidR="00AD6DEA">
        <w:t>–</w:t>
      </w:r>
      <w:r w:rsidRPr="00C553C5">
        <w:t xml:space="preserve"> Use if either of these devices are connected and set up at the computer from which a signature will be acquired.</w:t>
      </w:r>
    </w:p>
    <w:p w14:paraId="4862C709" w14:textId="77777777" w:rsidR="00E745C2" w:rsidRDefault="009473AD" w:rsidP="00F763F6">
      <w:pPr>
        <w:pStyle w:val="Heading4"/>
      </w:pPr>
      <w:r w:rsidRPr="00E45677">
        <w:lastRenderedPageBreak/>
        <w:t>Perio Chart</w:t>
      </w:r>
    </w:p>
    <w:p w14:paraId="6038944E" w14:textId="6A7AA67A" w:rsidR="009473AD" w:rsidRDefault="009473AD" w:rsidP="00E745C2">
      <w:pPr>
        <w:pStyle w:val="BodyText"/>
      </w:pPr>
      <w:r w:rsidRPr="00E24F38">
        <w:t>Because perio exam methods and philosophies differ from provider to provider, in Perio Chart you can set up scripts and paths that represent your preferred examination method.</w:t>
      </w:r>
    </w:p>
    <w:p w14:paraId="5563636F" w14:textId="041D9579" w:rsidR="009473AD" w:rsidRPr="00454D84" w:rsidRDefault="009473AD" w:rsidP="00C553C5">
      <w:pPr>
        <w:pStyle w:val="BodyText"/>
        <w:rPr>
          <w:color w:val="00B050"/>
        </w:rPr>
      </w:pPr>
      <w:r w:rsidRPr="00454D84">
        <w:rPr>
          <w:color w:val="00B050"/>
        </w:rPr>
        <w:t>&lt;&lt;Insert SOP/Guideline here&gt;&gt;</w:t>
      </w:r>
    </w:p>
    <w:p w14:paraId="60EA6D2B" w14:textId="4131B156" w:rsidR="009473AD" w:rsidRPr="00215157" w:rsidRDefault="009473AD" w:rsidP="00C553C5">
      <w:pPr>
        <w:pStyle w:val="BodyText"/>
      </w:pPr>
      <w:r w:rsidRPr="00215157">
        <w:t xml:space="preserve">Set up the following </w:t>
      </w:r>
      <w:r w:rsidR="00AA6AB3">
        <w:t xml:space="preserve">options for </w:t>
      </w:r>
      <w:r w:rsidR="00AA6AB3" w:rsidRPr="00AA6AB3">
        <w:rPr>
          <w:b/>
          <w:bCs/>
        </w:rPr>
        <w:t>Perio Entry Setup</w:t>
      </w:r>
      <w:r w:rsidRPr="00215157">
        <w:t>:</w:t>
      </w:r>
    </w:p>
    <w:p w14:paraId="1C6AEE47" w14:textId="7FA57BBF" w:rsidR="009473AD" w:rsidRPr="00C553C5" w:rsidRDefault="009473AD">
      <w:pPr>
        <w:pStyle w:val="BodyText"/>
        <w:numPr>
          <w:ilvl w:val="0"/>
          <w:numId w:val="115"/>
        </w:numPr>
        <w:ind w:left="540"/>
      </w:pPr>
      <w:r w:rsidRPr="00C553C5">
        <w:rPr>
          <w:b/>
          <w:bCs/>
        </w:rPr>
        <w:t>Auto Settings</w:t>
      </w:r>
      <w:r w:rsidR="00C553C5">
        <w:t>:</w:t>
      </w:r>
    </w:p>
    <w:p w14:paraId="4D43E399" w14:textId="0ED4337F" w:rsidR="009473AD" w:rsidRPr="00C553C5" w:rsidRDefault="009473AD">
      <w:pPr>
        <w:pStyle w:val="BodyText"/>
        <w:numPr>
          <w:ilvl w:val="1"/>
          <w:numId w:val="116"/>
        </w:numPr>
        <w:ind w:left="1080"/>
      </w:pPr>
      <w:r w:rsidRPr="00C553C5">
        <w:rPr>
          <w:b/>
          <w:bCs/>
        </w:rPr>
        <w:t>Path Advance</w:t>
      </w:r>
      <w:r w:rsidRPr="00C553C5">
        <w:t xml:space="preserve"> </w:t>
      </w:r>
      <w:r w:rsidR="00AD6DEA">
        <w:t>–</w:t>
      </w:r>
      <w:r w:rsidRPr="00C553C5">
        <w:t xml:space="preserve"> You can control the order of movement through the probing areas of each tooth. To enable the use of the Path Settings, select this option. If the check box is clear, the automatic path advance will not work, and you must press the E</w:t>
      </w:r>
      <w:r w:rsidR="00AD6DEA">
        <w:t>nter</w:t>
      </w:r>
      <w:r w:rsidRPr="00C553C5">
        <w:t xml:space="preserve"> key each time a measurement has been entered to advance to the next site.</w:t>
      </w:r>
    </w:p>
    <w:p w14:paraId="407F3B33" w14:textId="1E05A92F" w:rsidR="009473AD" w:rsidRPr="00C553C5" w:rsidRDefault="009473AD">
      <w:pPr>
        <w:pStyle w:val="BodyText"/>
        <w:numPr>
          <w:ilvl w:val="1"/>
          <w:numId w:val="116"/>
        </w:numPr>
        <w:ind w:left="1080"/>
      </w:pPr>
      <w:r w:rsidRPr="00C553C5">
        <w:rPr>
          <w:b/>
          <w:bCs/>
        </w:rPr>
        <w:t>Tooth Advance</w:t>
      </w:r>
      <w:r w:rsidRPr="00C553C5">
        <w:t xml:space="preserve"> </w:t>
      </w:r>
      <w:r w:rsidR="00AD6DEA">
        <w:t>–</w:t>
      </w:r>
      <w:r w:rsidRPr="00C553C5">
        <w:t xml:space="preserve"> You can control the order of movement from tooth to tooth. To enable the use of the </w:t>
      </w:r>
      <w:r w:rsidRPr="00AD6DEA">
        <w:rPr>
          <w:b/>
          <w:bCs/>
        </w:rPr>
        <w:t>Script Settings</w:t>
      </w:r>
      <w:r w:rsidRPr="00C553C5">
        <w:t>, select this option. If the check box is clear, the automatic tooth advance will not work, and you must move from tooth to tooth manually.</w:t>
      </w:r>
    </w:p>
    <w:p w14:paraId="6C0EEC77" w14:textId="2DD598B0" w:rsidR="009473AD" w:rsidRPr="00C553C5" w:rsidRDefault="009473AD">
      <w:pPr>
        <w:pStyle w:val="BodyText"/>
        <w:numPr>
          <w:ilvl w:val="0"/>
          <w:numId w:val="115"/>
        </w:numPr>
        <w:ind w:left="540"/>
      </w:pPr>
      <w:r w:rsidRPr="00C553C5">
        <w:rPr>
          <w:b/>
          <w:bCs/>
        </w:rPr>
        <w:t>Calculation Options</w:t>
      </w:r>
      <w:r w:rsidRPr="00C553C5">
        <w:t xml:space="preserve"> </w:t>
      </w:r>
      <w:r w:rsidR="00AD6DEA">
        <w:t>–</w:t>
      </w:r>
      <w:r w:rsidRPr="00C553C5">
        <w:t xml:space="preserve"> When </w:t>
      </w:r>
      <w:r w:rsidR="00AD6DEA">
        <w:t xml:space="preserve">you are </w:t>
      </w:r>
      <w:r w:rsidRPr="00C553C5">
        <w:t>p</w:t>
      </w:r>
      <w:r w:rsidR="00DE69BA">
        <w:t>er</w:t>
      </w:r>
      <w:r w:rsidRPr="00C553C5">
        <w:t xml:space="preserve">forming a periodontal exam, it is important to remember that the pocket depth, gingival margin, and clinical attachment level measurements have a mathematical relationship. That relationship is such that, given any two of the three measurements, you can mathematically calculate the third. With that in mind, you can enter two measurements; and, based on your chosen calculation method, Dentrix Enterprise will automatically calculate and input the third measurement for you. </w:t>
      </w:r>
    </w:p>
    <w:p w14:paraId="13928260" w14:textId="02B7851C" w:rsidR="009473AD" w:rsidRPr="00AD6DEA" w:rsidRDefault="009473AD" w:rsidP="00C553C5">
      <w:pPr>
        <w:pStyle w:val="BodyText"/>
        <w:ind w:left="540"/>
        <w:rPr>
          <w:i/>
          <w:iCs/>
        </w:rPr>
      </w:pPr>
      <w:r w:rsidRPr="00AD6DEA">
        <w:rPr>
          <w:b/>
          <w:bCs/>
          <w:i/>
          <w:iCs/>
        </w:rPr>
        <w:t xml:space="preserve">Workflow </w:t>
      </w:r>
      <w:r w:rsidR="00AD6DEA" w:rsidRPr="00AD6DEA">
        <w:rPr>
          <w:b/>
          <w:bCs/>
          <w:i/>
          <w:iCs/>
        </w:rPr>
        <w:t>Insight</w:t>
      </w:r>
      <w:r w:rsidR="00AD6DEA" w:rsidRPr="00AD6DEA">
        <w:rPr>
          <w:i/>
          <w:iCs/>
        </w:rPr>
        <w:t>:</w:t>
      </w:r>
      <w:r w:rsidRPr="00AD6DEA">
        <w:rPr>
          <w:i/>
          <w:iCs/>
        </w:rPr>
        <w:t xml:space="preserve"> If you select any one of the calculation methods, Perio Chart will make the measurement </w:t>
      </w:r>
      <w:r w:rsidR="00AD6DEA" w:rsidRPr="00AD6DEA">
        <w:rPr>
          <w:i/>
          <w:iCs/>
        </w:rPr>
        <w:t xml:space="preserve">options </w:t>
      </w:r>
      <w:r w:rsidRPr="00AD6DEA">
        <w:rPr>
          <w:i/>
          <w:iCs/>
        </w:rPr>
        <w:t xml:space="preserve">that are automatically calculated unavailable. For example, if you use the CAL calculation method, </w:t>
      </w:r>
      <w:proofErr w:type="gramStart"/>
      <w:r w:rsidRPr="00AD6DEA">
        <w:rPr>
          <w:i/>
          <w:iCs/>
        </w:rPr>
        <w:t>Perio</w:t>
      </w:r>
      <w:proofErr w:type="gramEnd"/>
      <w:r w:rsidRPr="00AD6DEA">
        <w:rPr>
          <w:i/>
          <w:iCs/>
        </w:rPr>
        <w:t xml:space="preserve"> Chart will make the </w:t>
      </w:r>
      <w:r w:rsidRPr="00AD6DEA">
        <w:rPr>
          <w:b/>
          <w:bCs/>
          <w:i/>
          <w:iCs/>
        </w:rPr>
        <w:t>Clinical Att. Level</w:t>
      </w:r>
      <w:r w:rsidRPr="00AD6DEA">
        <w:rPr>
          <w:i/>
          <w:iCs/>
        </w:rPr>
        <w:t xml:space="preserve"> </w:t>
      </w:r>
      <w:r w:rsidR="00AD6DEA" w:rsidRPr="00AD6DEA">
        <w:rPr>
          <w:i/>
          <w:iCs/>
        </w:rPr>
        <w:t>options</w:t>
      </w:r>
      <w:r w:rsidRPr="00AD6DEA">
        <w:rPr>
          <w:i/>
          <w:iCs/>
        </w:rPr>
        <w:t xml:space="preserve"> unavailable. If you choose not to use a calculation, all of the fields will be available.</w:t>
      </w:r>
    </w:p>
    <w:p w14:paraId="76A05B23" w14:textId="7BFADF4B" w:rsidR="009473AD" w:rsidRPr="00C553C5" w:rsidRDefault="009473AD">
      <w:pPr>
        <w:pStyle w:val="BodyText"/>
        <w:numPr>
          <w:ilvl w:val="0"/>
          <w:numId w:val="115"/>
        </w:numPr>
        <w:ind w:left="540"/>
      </w:pPr>
      <w:r w:rsidRPr="00C553C5">
        <w:rPr>
          <w:b/>
          <w:bCs/>
        </w:rPr>
        <w:t>Flag Red Limit</w:t>
      </w:r>
      <w:r w:rsidRPr="00C553C5">
        <w:t xml:space="preserve"> </w:t>
      </w:r>
      <w:r w:rsidR="00AD6DEA">
        <w:t>–</w:t>
      </w:r>
      <w:r w:rsidRPr="00C553C5">
        <w:t xml:space="preserve"> You can choose to have a certain degree of pocket depth and clinical attachment level be displayed in red. As measurements are entered, if the pocket depth or CAL is equal to or greater than the selected red flag limit, the measurement will be displayed in red on the data chart.</w:t>
      </w:r>
    </w:p>
    <w:p w14:paraId="00D54BC0" w14:textId="47BBE7F9" w:rsidR="009473AD" w:rsidRPr="00AA6AB3" w:rsidRDefault="009473AD" w:rsidP="00C553C5">
      <w:pPr>
        <w:pStyle w:val="BodyText"/>
        <w:ind w:left="540"/>
        <w:rPr>
          <w:i/>
          <w:iCs/>
        </w:rPr>
      </w:pPr>
      <w:r w:rsidRPr="00AA6AB3">
        <w:rPr>
          <w:b/>
          <w:bCs/>
          <w:i/>
          <w:iCs/>
        </w:rPr>
        <w:t>Workflow</w:t>
      </w:r>
      <w:r w:rsidR="00AD6DEA" w:rsidRPr="00AA6AB3">
        <w:rPr>
          <w:b/>
          <w:bCs/>
          <w:i/>
          <w:iCs/>
        </w:rPr>
        <w:t xml:space="preserve"> Insight</w:t>
      </w:r>
      <w:r w:rsidR="00AD6DEA" w:rsidRPr="00AA6AB3">
        <w:rPr>
          <w:i/>
          <w:iCs/>
        </w:rPr>
        <w:t>:</w:t>
      </w:r>
      <w:r w:rsidRPr="00AA6AB3">
        <w:rPr>
          <w:i/>
          <w:iCs/>
        </w:rPr>
        <w:t xml:space="preserve"> Measurements can be flagged red in the graphic chart, as well. However, only the area on or above the selected limit is displayed in red. The area below the limit is displayed in green (the default color). If you want to display the area above and below the limit in red, select </w:t>
      </w:r>
      <w:r w:rsidRPr="00AA6AB3">
        <w:rPr>
          <w:b/>
          <w:bCs/>
          <w:i/>
          <w:iCs/>
        </w:rPr>
        <w:t>All Red in Graphic Chart</w:t>
      </w:r>
      <w:r w:rsidRPr="00AA6AB3">
        <w:rPr>
          <w:i/>
          <w:iCs/>
        </w:rPr>
        <w:t xml:space="preserve"> to help you locate problem areas faster.</w:t>
      </w:r>
    </w:p>
    <w:p w14:paraId="11C7A5F2" w14:textId="77AA2796" w:rsidR="009473AD" w:rsidRPr="00C553C5" w:rsidRDefault="009473AD">
      <w:pPr>
        <w:pStyle w:val="BodyText"/>
        <w:numPr>
          <w:ilvl w:val="0"/>
          <w:numId w:val="115"/>
        </w:numPr>
        <w:ind w:left="540"/>
      </w:pPr>
      <w:r w:rsidRPr="00C553C5">
        <w:rPr>
          <w:b/>
          <w:bCs/>
        </w:rPr>
        <w:t>Path Settings</w:t>
      </w:r>
      <w:r w:rsidRPr="00C553C5">
        <w:t xml:space="preserve"> </w:t>
      </w:r>
      <w:r w:rsidR="00AA6AB3">
        <w:t>–</w:t>
      </w:r>
      <w:r w:rsidRPr="00C553C5">
        <w:t xml:space="preserve"> Path settings dictate the sequential order of movement through the probing areas of each individual tooth. Since each care provider will not take the same measurements in the same order, Dentrix Enterprise allows the path settings to be customized.</w:t>
      </w:r>
    </w:p>
    <w:p w14:paraId="3335FA4D" w14:textId="0ABCC61B" w:rsidR="009473AD" w:rsidRPr="00AA6AB3" w:rsidRDefault="009473AD" w:rsidP="00C553C5">
      <w:pPr>
        <w:pStyle w:val="BodyText"/>
        <w:ind w:left="540"/>
        <w:rPr>
          <w:i/>
          <w:iCs/>
        </w:rPr>
      </w:pPr>
      <w:r w:rsidRPr="00AA6AB3">
        <w:rPr>
          <w:b/>
          <w:bCs/>
          <w:i/>
          <w:iCs/>
        </w:rPr>
        <w:t xml:space="preserve">Workflow </w:t>
      </w:r>
      <w:r w:rsidR="00AA6AB3" w:rsidRPr="00AA6AB3">
        <w:rPr>
          <w:b/>
          <w:bCs/>
          <w:i/>
          <w:iCs/>
        </w:rPr>
        <w:t>I</w:t>
      </w:r>
      <w:r w:rsidRPr="00AA6AB3">
        <w:rPr>
          <w:b/>
          <w:bCs/>
          <w:i/>
          <w:iCs/>
        </w:rPr>
        <w:t>nsight</w:t>
      </w:r>
      <w:r w:rsidR="00AA6AB3" w:rsidRPr="00AA6AB3">
        <w:rPr>
          <w:i/>
          <w:iCs/>
        </w:rPr>
        <w:t>:</w:t>
      </w:r>
      <w:r w:rsidRPr="00AA6AB3">
        <w:rPr>
          <w:i/>
          <w:iCs/>
        </w:rPr>
        <w:t xml:space="preserve"> By default, Dentrix Enterprise has two paths: </w:t>
      </w:r>
      <w:r w:rsidRPr="00AA6AB3">
        <w:rPr>
          <w:b/>
          <w:bCs/>
          <w:i/>
          <w:iCs/>
        </w:rPr>
        <w:t>P1</w:t>
      </w:r>
      <w:r w:rsidRPr="00AA6AB3">
        <w:rPr>
          <w:i/>
          <w:iCs/>
        </w:rPr>
        <w:t xml:space="preserve"> and </w:t>
      </w:r>
      <w:r w:rsidRPr="00AA6AB3">
        <w:rPr>
          <w:b/>
          <w:bCs/>
          <w:i/>
          <w:iCs/>
        </w:rPr>
        <w:t>P2</w:t>
      </w:r>
      <w:r w:rsidRPr="00AA6AB3">
        <w:rPr>
          <w:i/>
          <w:iCs/>
        </w:rPr>
        <w:t xml:space="preserve">. Both paths move you through entering pocket depths, bleeding, and suppuration measurements. </w:t>
      </w:r>
      <w:r w:rsidRPr="00AA6AB3">
        <w:rPr>
          <w:b/>
          <w:bCs/>
          <w:i/>
          <w:iCs/>
        </w:rPr>
        <w:t>P1</w:t>
      </w:r>
      <w:r w:rsidRPr="00AA6AB3">
        <w:rPr>
          <w:i/>
          <w:iCs/>
        </w:rPr>
        <w:t xml:space="preserve"> charts from left (the provider's left) to right, and </w:t>
      </w:r>
      <w:r w:rsidRPr="00AA6AB3">
        <w:rPr>
          <w:b/>
          <w:bCs/>
          <w:i/>
          <w:iCs/>
        </w:rPr>
        <w:t>P2</w:t>
      </w:r>
      <w:r w:rsidRPr="00AA6AB3">
        <w:rPr>
          <w:i/>
          <w:iCs/>
        </w:rPr>
        <w:t xml:space="preserve"> charts from right (the provider's right) to left.</w:t>
      </w:r>
    </w:p>
    <w:p w14:paraId="61AC4431" w14:textId="7B787B2E" w:rsidR="009473AD" w:rsidRPr="00C553C5" w:rsidRDefault="009473AD" w:rsidP="00C553C5">
      <w:pPr>
        <w:pStyle w:val="BodyText"/>
        <w:ind w:left="540"/>
      </w:pPr>
      <w:r w:rsidRPr="00C553C5">
        <w:t>You can customize the default paths or create up to two more paths.</w:t>
      </w:r>
      <w:r w:rsidR="00AA6AB3">
        <w:t xml:space="preserve"> </w:t>
      </w:r>
      <w:r w:rsidRPr="00C553C5">
        <w:t xml:space="preserve">For a given path, in the </w:t>
      </w:r>
      <w:r w:rsidRPr="00AA6AB3">
        <w:rPr>
          <w:b/>
          <w:bCs/>
        </w:rPr>
        <w:t>Name</w:t>
      </w:r>
      <w:r w:rsidRPr="00C553C5">
        <w:t xml:space="preserve"> field, type the name of the path to represent the measurements th</w:t>
      </w:r>
      <w:r w:rsidR="00AA6AB3">
        <w:t>at</w:t>
      </w:r>
      <w:r w:rsidRPr="00C553C5">
        <w:t xml:space="preserve"> will be charted (for example, PBSL might indicate Pocket Depth Bleeding Suppuration from Left to Right.) The name can be up to six characters </w:t>
      </w:r>
      <w:r w:rsidR="00AA6AB3">
        <w:t>long</w:t>
      </w:r>
      <w:r w:rsidRPr="00C553C5">
        <w:t>.</w:t>
      </w:r>
    </w:p>
    <w:p w14:paraId="28C0FCB8" w14:textId="55BDA3E5" w:rsidR="009473AD" w:rsidRPr="00C553C5" w:rsidRDefault="009473AD" w:rsidP="000D7FFC">
      <w:pPr>
        <w:pStyle w:val="BodyText"/>
        <w:keepNext/>
        <w:keepLines/>
        <w:numPr>
          <w:ilvl w:val="0"/>
          <w:numId w:val="115"/>
        </w:numPr>
        <w:ind w:left="547"/>
      </w:pPr>
      <w:r w:rsidRPr="00C553C5">
        <w:rPr>
          <w:b/>
          <w:bCs/>
        </w:rPr>
        <w:lastRenderedPageBreak/>
        <w:t>Script Settings</w:t>
      </w:r>
      <w:r w:rsidRPr="00C553C5">
        <w:t xml:space="preserve"> </w:t>
      </w:r>
      <w:r w:rsidR="00AA6AB3">
        <w:t>–</w:t>
      </w:r>
      <w:r w:rsidRPr="00C553C5">
        <w:t xml:space="preserve"> Whereas path settings determine the entry method for the measurements, direction, and processes that will occur on each tooth that is examined, script settings dictate the sequential order of movement from tooth to tooth with the ability to designate the facial and lingual surfaces.  </w:t>
      </w:r>
    </w:p>
    <w:p w14:paraId="0EABEE6C" w14:textId="114B5271" w:rsidR="009473AD" w:rsidRPr="00AA6AB3" w:rsidRDefault="009473AD" w:rsidP="00C553C5">
      <w:pPr>
        <w:pStyle w:val="BodyText"/>
        <w:ind w:left="540"/>
        <w:rPr>
          <w:i/>
          <w:iCs/>
        </w:rPr>
      </w:pPr>
      <w:r w:rsidRPr="00AA6AB3">
        <w:rPr>
          <w:b/>
          <w:bCs/>
          <w:i/>
          <w:iCs/>
        </w:rPr>
        <w:t xml:space="preserve">Workflow </w:t>
      </w:r>
      <w:r w:rsidR="00AA6AB3" w:rsidRPr="00AA6AB3">
        <w:rPr>
          <w:b/>
          <w:bCs/>
          <w:i/>
          <w:iCs/>
        </w:rPr>
        <w:t>I</w:t>
      </w:r>
      <w:r w:rsidRPr="00AA6AB3">
        <w:rPr>
          <w:b/>
          <w:bCs/>
          <w:i/>
          <w:iCs/>
        </w:rPr>
        <w:t>nsight</w:t>
      </w:r>
      <w:r w:rsidR="00AA6AB3" w:rsidRPr="00AA6AB3">
        <w:rPr>
          <w:i/>
          <w:iCs/>
        </w:rPr>
        <w:t>:</w:t>
      </w:r>
      <w:r w:rsidRPr="00AA6AB3">
        <w:rPr>
          <w:i/>
          <w:iCs/>
        </w:rPr>
        <w:t xml:space="preserve"> The default Dentrix Enterprise script starts you on tooth number 1 on the facial side. The script advances from left to right, advancing from tooth 1 until reaching the end of the arch at tooth 16. At the end of the arch, the script reverses direction, advancing from tooth 16 back to tooth 1 on the lingual side. Next, the script drops down to the lower arch and advances from tooth 32 to 17 on the facial side. Finally, the script reverses again and advances from tooth 17 to tooth 32 on the lingual side.</w:t>
      </w:r>
    </w:p>
    <w:p w14:paraId="43565641" w14:textId="2BAFB93A" w:rsidR="009473AD" w:rsidRPr="00C553C5" w:rsidRDefault="009473AD" w:rsidP="00C553C5">
      <w:pPr>
        <w:pStyle w:val="BodyText"/>
        <w:ind w:left="540"/>
      </w:pPr>
      <w:r w:rsidRPr="00C553C5">
        <w:t>You can customize the default script or create up to two more scripts. The selected script will be used during the examination.</w:t>
      </w:r>
    </w:p>
    <w:p w14:paraId="15157D05" w14:textId="0A5198DA" w:rsidR="009473AD" w:rsidRPr="00C553C5" w:rsidRDefault="00AA6AB3" w:rsidP="00AA6AB3">
      <w:pPr>
        <w:pStyle w:val="BodyText"/>
      </w:pPr>
      <w:r>
        <w:t xml:space="preserve">Set up the </w:t>
      </w:r>
      <w:r w:rsidRPr="00AA6AB3">
        <w:rPr>
          <w:b/>
          <w:bCs/>
        </w:rPr>
        <w:t>Display Options</w:t>
      </w:r>
      <w:r w:rsidR="009473AD" w:rsidRPr="00AA6AB3">
        <w:t xml:space="preserve"> </w:t>
      </w:r>
      <w:r>
        <w:t>to c</w:t>
      </w:r>
      <w:r w:rsidR="009473AD" w:rsidRPr="00C553C5">
        <w:t>hoose which data elements to show and customize the color of certain objects on the graphic chart in Perio Chart</w:t>
      </w:r>
      <w:r>
        <w:t>:</w:t>
      </w:r>
    </w:p>
    <w:p w14:paraId="7469E4D5" w14:textId="77777777" w:rsidR="009473AD" w:rsidRPr="00C553C5" w:rsidRDefault="009473AD" w:rsidP="00AA6AB3">
      <w:pPr>
        <w:pStyle w:val="BodyText"/>
        <w:numPr>
          <w:ilvl w:val="0"/>
          <w:numId w:val="117"/>
        </w:numPr>
        <w:ind w:left="540"/>
      </w:pPr>
      <w:r w:rsidRPr="00C553C5">
        <w:t xml:space="preserve">Select or clear the check box of any of the following data elements you want to show or hide: </w:t>
      </w:r>
      <w:r w:rsidRPr="00AA6AB3">
        <w:rPr>
          <w:b/>
          <w:bCs/>
        </w:rPr>
        <w:t>Gingival Margin</w:t>
      </w:r>
      <w:r w:rsidRPr="00C553C5">
        <w:t xml:space="preserve">, </w:t>
      </w:r>
      <w:r w:rsidRPr="00AA6AB3">
        <w:rPr>
          <w:b/>
          <w:bCs/>
        </w:rPr>
        <w:t>CAL</w:t>
      </w:r>
      <w:r w:rsidRPr="00C553C5">
        <w:t xml:space="preserve">, </w:t>
      </w:r>
      <w:r w:rsidRPr="00AA6AB3">
        <w:rPr>
          <w:b/>
          <w:bCs/>
        </w:rPr>
        <w:t>Probing Depth</w:t>
      </w:r>
      <w:r w:rsidRPr="00C553C5">
        <w:t xml:space="preserve">, </w:t>
      </w:r>
      <w:r w:rsidRPr="00AA6AB3">
        <w:rPr>
          <w:b/>
          <w:bCs/>
        </w:rPr>
        <w:t>Bleeding</w:t>
      </w:r>
      <w:r w:rsidRPr="00C553C5">
        <w:t xml:space="preserve">, </w:t>
      </w:r>
      <w:r w:rsidRPr="00AA6AB3">
        <w:rPr>
          <w:b/>
          <w:bCs/>
        </w:rPr>
        <w:t>Suppuration</w:t>
      </w:r>
      <w:r w:rsidRPr="00C553C5">
        <w:t xml:space="preserve">, </w:t>
      </w:r>
      <w:r w:rsidRPr="00AA6AB3">
        <w:rPr>
          <w:b/>
          <w:bCs/>
        </w:rPr>
        <w:t>MGJ</w:t>
      </w:r>
      <w:r w:rsidRPr="00C553C5">
        <w:t xml:space="preserve">, </w:t>
      </w:r>
      <w:r w:rsidRPr="00AA6AB3">
        <w:rPr>
          <w:b/>
          <w:bCs/>
        </w:rPr>
        <w:t>Mobility</w:t>
      </w:r>
      <w:r w:rsidRPr="00C553C5">
        <w:t xml:space="preserve">, and/or </w:t>
      </w:r>
      <w:r w:rsidRPr="00AA6AB3">
        <w:rPr>
          <w:b/>
          <w:bCs/>
        </w:rPr>
        <w:t>Furcation</w:t>
      </w:r>
      <w:r w:rsidRPr="00C553C5">
        <w:t>.</w:t>
      </w:r>
    </w:p>
    <w:p w14:paraId="1D7CAC2D" w14:textId="77777777" w:rsidR="009473AD" w:rsidRPr="00C553C5" w:rsidRDefault="009473AD" w:rsidP="00AA6AB3">
      <w:pPr>
        <w:pStyle w:val="BodyText"/>
        <w:numPr>
          <w:ilvl w:val="0"/>
          <w:numId w:val="117"/>
        </w:numPr>
        <w:ind w:left="540"/>
      </w:pPr>
      <w:r w:rsidRPr="00AA6AB3">
        <w:rPr>
          <w:b/>
          <w:bCs/>
        </w:rPr>
        <w:t>Red Flag Limit</w:t>
      </w:r>
      <w:r w:rsidRPr="00C553C5">
        <w:t xml:space="preserve">, </w:t>
      </w:r>
      <w:r w:rsidRPr="00AA6AB3">
        <w:rPr>
          <w:b/>
          <w:bCs/>
        </w:rPr>
        <w:t>Background</w:t>
      </w:r>
      <w:r w:rsidRPr="00C553C5">
        <w:t xml:space="preserve">, and </w:t>
      </w:r>
      <w:r w:rsidRPr="00AA6AB3">
        <w:rPr>
          <w:b/>
          <w:bCs/>
        </w:rPr>
        <w:t>Tooth Roots</w:t>
      </w:r>
      <w:r w:rsidRPr="00C553C5">
        <w:t xml:space="preserve"> are always shown.</w:t>
      </w:r>
    </w:p>
    <w:p w14:paraId="52E60A4C" w14:textId="77777777" w:rsidR="009473AD" w:rsidRPr="00C553C5" w:rsidRDefault="009473AD" w:rsidP="00AA6AB3">
      <w:pPr>
        <w:pStyle w:val="BodyText"/>
        <w:numPr>
          <w:ilvl w:val="0"/>
          <w:numId w:val="117"/>
        </w:numPr>
        <w:ind w:left="540"/>
      </w:pPr>
      <w:r w:rsidRPr="00C553C5">
        <w:t xml:space="preserve">If you want to change the color for any of the data elements that have a color, click the color swatch next to the corresponding element to open the </w:t>
      </w:r>
      <w:r w:rsidRPr="00AA6AB3">
        <w:rPr>
          <w:b/>
          <w:bCs/>
        </w:rPr>
        <w:t>Colors</w:t>
      </w:r>
      <w:r w:rsidRPr="00C553C5">
        <w:t xml:space="preserve"> dialog box and choose the desired color.</w:t>
      </w:r>
    </w:p>
    <w:p w14:paraId="39856102" w14:textId="77777777" w:rsidR="00C553C5" w:rsidRDefault="009473AD" w:rsidP="00AA6AB3">
      <w:pPr>
        <w:pStyle w:val="BodyText"/>
        <w:numPr>
          <w:ilvl w:val="0"/>
          <w:numId w:val="117"/>
        </w:numPr>
        <w:ind w:left="540"/>
      </w:pPr>
      <w:r w:rsidRPr="00C553C5">
        <w:t>To change the colors used for exam comparisons</w:t>
      </w:r>
      <w:r w:rsidR="00C553C5">
        <w:t>:</w:t>
      </w:r>
    </w:p>
    <w:p w14:paraId="58080B44" w14:textId="77777777" w:rsidR="00C553C5" w:rsidRDefault="00C553C5" w:rsidP="00AA6AB3">
      <w:pPr>
        <w:pStyle w:val="BodyText"/>
        <w:numPr>
          <w:ilvl w:val="1"/>
          <w:numId w:val="117"/>
        </w:numPr>
        <w:ind w:left="1080"/>
      </w:pPr>
      <w:r>
        <w:t>C</w:t>
      </w:r>
      <w:r w:rsidR="009473AD" w:rsidRPr="00C553C5">
        <w:t xml:space="preserve">lick the </w:t>
      </w:r>
      <w:r w:rsidR="009473AD" w:rsidRPr="00AA6AB3">
        <w:rPr>
          <w:b/>
          <w:bCs/>
        </w:rPr>
        <w:t>Comparison Colors</w:t>
      </w:r>
      <w:r w:rsidR="009473AD" w:rsidRPr="00C553C5">
        <w:t xml:space="preserve"> button.</w:t>
      </w:r>
    </w:p>
    <w:p w14:paraId="03BAB523" w14:textId="20F0FC34" w:rsidR="00C553C5" w:rsidRDefault="009473AD" w:rsidP="00AA6AB3">
      <w:pPr>
        <w:pStyle w:val="BodyText"/>
        <w:ind w:left="1080"/>
      </w:pPr>
      <w:r w:rsidRPr="00C553C5">
        <w:t xml:space="preserve">The </w:t>
      </w:r>
      <w:r w:rsidRPr="00AA6AB3">
        <w:rPr>
          <w:b/>
          <w:bCs/>
        </w:rPr>
        <w:t>Comparison Colors</w:t>
      </w:r>
      <w:r w:rsidRPr="00C553C5">
        <w:t xml:space="preserve"> dialog box appears.</w:t>
      </w:r>
    </w:p>
    <w:p w14:paraId="5F0D7F7E" w14:textId="77777777" w:rsidR="00C553C5" w:rsidRDefault="009473AD" w:rsidP="00AA6AB3">
      <w:pPr>
        <w:pStyle w:val="BodyText"/>
        <w:numPr>
          <w:ilvl w:val="1"/>
          <w:numId w:val="117"/>
        </w:numPr>
        <w:ind w:left="1080"/>
      </w:pPr>
      <w:r w:rsidRPr="00C553C5">
        <w:t xml:space="preserve">Click a color swatch to customize the color for that exam. Click </w:t>
      </w:r>
      <w:r w:rsidRPr="00AA6AB3">
        <w:rPr>
          <w:b/>
          <w:bCs/>
        </w:rPr>
        <w:t>Defaults</w:t>
      </w:r>
      <w:r w:rsidRPr="00C553C5">
        <w:t xml:space="preserve"> if you want to return the comparison colors to the default colors when Dentrix Enterprise was originally installed. Click </w:t>
      </w:r>
      <w:r w:rsidRPr="00AA6AB3">
        <w:rPr>
          <w:b/>
          <w:bCs/>
        </w:rPr>
        <w:t>OK</w:t>
      </w:r>
      <w:r w:rsidRPr="00C553C5">
        <w:t xml:space="preserve"> to save the color changes.</w:t>
      </w:r>
    </w:p>
    <w:p w14:paraId="271565CB" w14:textId="302037E8" w:rsidR="009473AD" w:rsidRPr="00C553C5" w:rsidRDefault="009473AD" w:rsidP="006908CF">
      <w:pPr>
        <w:pStyle w:val="BodyText"/>
        <w:numPr>
          <w:ilvl w:val="0"/>
          <w:numId w:val="117"/>
        </w:numPr>
        <w:ind w:left="540"/>
      </w:pPr>
      <w:r w:rsidRPr="00C553C5">
        <w:t xml:space="preserve">If you want to return the color settings for the data elements but not the comparison colors to the default colors when Dentrix Enterprise was originally installed, click </w:t>
      </w:r>
      <w:r w:rsidRPr="00AA6AB3">
        <w:rPr>
          <w:b/>
          <w:bCs/>
        </w:rPr>
        <w:t>Defaults</w:t>
      </w:r>
      <w:r w:rsidRPr="00C553C5">
        <w:t>.</w:t>
      </w:r>
    </w:p>
    <w:p w14:paraId="62CA3966" w14:textId="77777777" w:rsidR="00E745C2" w:rsidRDefault="009473AD" w:rsidP="00D42C5A">
      <w:pPr>
        <w:pStyle w:val="Heading3"/>
      </w:pPr>
      <w:bookmarkStart w:id="247" w:name="_Toc135416750"/>
      <w:bookmarkStart w:id="248" w:name="_Toc146183357"/>
      <w:r w:rsidRPr="00E45677">
        <w:t>Prescriptions</w:t>
      </w:r>
      <w:bookmarkEnd w:id="247"/>
      <w:bookmarkEnd w:id="248"/>
    </w:p>
    <w:p w14:paraId="3AF57B7F" w14:textId="5B1CE16B" w:rsidR="009473AD" w:rsidRPr="00C553C5" w:rsidRDefault="00372A97" w:rsidP="00C553C5">
      <w:pPr>
        <w:pStyle w:val="BodyText"/>
      </w:pPr>
      <w:r>
        <w:t xml:space="preserve">Patient </w:t>
      </w:r>
      <w:r w:rsidR="009473AD" w:rsidRPr="00E24F38">
        <w:t>Prescriptions can help you quickly create and accurately track medicines</w:t>
      </w:r>
      <w:r>
        <w:t xml:space="preserve"> that providers</w:t>
      </w:r>
      <w:r w:rsidR="009473AD" w:rsidRPr="00E24F38">
        <w:t xml:space="preserve"> prescribe to your patients.</w:t>
      </w:r>
    </w:p>
    <w:p w14:paraId="768F794C" w14:textId="331D3D12" w:rsidR="009473AD" w:rsidRDefault="009473AD" w:rsidP="00C553C5">
      <w:pPr>
        <w:pStyle w:val="BodyText"/>
      </w:pPr>
      <w:r w:rsidRPr="00215157">
        <w:t xml:space="preserve">Do </w:t>
      </w:r>
      <w:r w:rsidR="00372A97">
        <w:t>any</w:t>
      </w:r>
      <w:r w:rsidRPr="00215157">
        <w:t xml:space="preserve"> of the following:</w:t>
      </w:r>
    </w:p>
    <w:p w14:paraId="792D415B" w14:textId="77777777" w:rsidR="009473AD" w:rsidRPr="00C553C5" w:rsidRDefault="009473AD">
      <w:pPr>
        <w:pStyle w:val="BodyText"/>
        <w:numPr>
          <w:ilvl w:val="0"/>
          <w:numId w:val="115"/>
        </w:numPr>
        <w:ind w:left="540"/>
      </w:pPr>
      <w:r w:rsidRPr="00C553C5">
        <w:t xml:space="preserve">Click </w:t>
      </w:r>
      <w:r w:rsidRPr="00372A97">
        <w:rPr>
          <w:b/>
          <w:bCs/>
        </w:rPr>
        <w:t>New</w:t>
      </w:r>
      <w:r w:rsidRPr="00C553C5">
        <w:t xml:space="preserve"> to add a prescription. The </w:t>
      </w:r>
      <w:r w:rsidRPr="00372A97">
        <w:rPr>
          <w:b/>
          <w:bCs/>
        </w:rPr>
        <w:t>New Standard Prescription</w:t>
      </w:r>
      <w:r w:rsidRPr="00C553C5">
        <w:t xml:space="preserve"> dialog box appears.</w:t>
      </w:r>
    </w:p>
    <w:p w14:paraId="58313DDD" w14:textId="77777777" w:rsidR="009473AD" w:rsidRPr="00C553C5" w:rsidRDefault="009473AD">
      <w:pPr>
        <w:pStyle w:val="BodyText"/>
        <w:numPr>
          <w:ilvl w:val="0"/>
          <w:numId w:val="115"/>
        </w:numPr>
        <w:ind w:left="540"/>
      </w:pPr>
      <w:r w:rsidRPr="00C553C5">
        <w:t xml:space="preserve">Select an existing prescription, and then click </w:t>
      </w:r>
      <w:r w:rsidRPr="00372A97">
        <w:rPr>
          <w:b/>
          <w:bCs/>
        </w:rPr>
        <w:t>Edit</w:t>
      </w:r>
      <w:r w:rsidRPr="00C553C5">
        <w:t xml:space="preserve"> to edit that prescription. The </w:t>
      </w:r>
      <w:r w:rsidRPr="00372A97">
        <w:rPr>
          <w:b/>
          <w:bCs/>
        </w:rPr>
        <w:t>Edit Standard Prescription</w:t>
      </w:r>
      <w:r w:rsidRPr="00C553C5">
        <w:t xml:space="preserve"> dialog box appears.</w:t>
      </w:r>
    </w:p>
    <w:p w14:paraId="741F2039" w14:textId="764F50A8" w:rsidR="009473AD" w:rsidRPr="00372A97" w:rsidRDefault="009473AD" w:rsidP="00C553C5">
      <w:pPr>
        <w:pStyle w:val="BodyText"/>
        <w:rPr>
          <w:i/>
          <w:iCs/>
        </w:rPr>
      </w:pPr>
      <w:r w:rsidRPr="00372A97">
        <w:rPr>
          <w:b/>
          <w:bCs/>
          <w:i/>
          <w:iCs/>
        </w:rPr>
        <w:t xml:space="preserve">Operations </w:t>
      </w:r>
      <w:r w:rsidR="00372A97" w:rsidRPr="00372A97">
        <w:rPr>
          <w:b/>
          <w:bCs/>
          <w:i/>
          <w:iCs/>
        </w:rPr>
        <w:t>Insight</w:t>
      </w:r>
      <w:r w:rsidR="00372A97" w:rsidRPr="00372A97">
        <w:rPr>
          <w:i/>
          <w:iCs/>
        </w:rPr>
        <w:t>:</w:t>
      </w:r>
      <w:r w:rsidRPr="00372A97">
        <w:rPr>
          <w:i/>
          <w:iCs/>
        </w:rPr>
        <w:t xml:space="preserve"> </w:t>
      </w:r>
      <w:r w:rsidR="00372A97" w:rsidRPr="00372A97">
        <w:rPr>
          <w:i/>
          <w:iCs/>
        </w:rPr>
        <w:t>You can enter prescription</w:t>
      </w:r>
      <w:r w:rsidR="00DE69BA">
        <w:rPr>
          <w:i/>
          <w:iCs/>
        </w:rPr>
        <w:t>s</w:t>
      </w:r>
      <w:r w:rsidR="00372A97" w:rsidRPr="00372A97">
        <w:rPr>
          <w:i/>
          <w:iCs/>
        </w:rPr>
        <w:t xml:space="preserve"> </w:t>
      </w:r>
      <w:r w:rsidRPr="00372A97">
        <w:rPr>
          <w:i/>
          <w:iCs/>
        </w:rPr>
        <w:t>as they are prescribed to patients, or a list can be pre-populated in the database.</w:t>
      </w:r>
    </w:p>
    <w:p w14:paraId="59857DA2" w14:textId="77777777" w:rsidR="00E745C2" w:rsidRPr="00E745C2" w:rsidRDefault="009473AD" w:rsidP="00D42C5A">
      <w:pPr>
        <w:pStyle w:val="Heading3"/>
      </w:pPr>
      <w:bookmarkStart w:id="249" w:name="_Toc135416751"/>
      <w:bookmarkStart w:id="250" w:name="_Toc146183358"/>
      <w:r w:rsidRPr="00E745C2">
        <w:lastRenderedPageBreak/>
        <w:t>Ledger Setup</w:t>
      </w:r>
      <w:bookmarkEnd w:id="249"/>
      <w:bookmarkEnd w:id="250"/>
    </w:p>
    <w:p w14:paraId="69241BD9" w14:textId="53FEB3D2" w:rsidR="009473AD" w:rsidRDefault="00372A97" w:rsidP="00E745C2">
      <w:pPr>
        <w:pStyle w:val="BodyText"/>
      </w:pPr>
      <w:r>
        <w:t>You can s</w:t>
      </w:r>
      <w:r w:rsidR="009473AD" w:rsidRPr="00244671">
        <w:t xml:space="preserve">tandardize the system settings </w:t>
      </w:r>
      <w:r>
        <w:t xml:space="preserve">that are </w:t>
      </w:r>
      <w:r w:rsidR="009473AD" w:rsidRPr="00244671">
        <w:t>used across the organization to support your revenue cycle workflows</w:t>
      </w:r>
      <w:r w:rsidR="009473AD">
        <w:t>.</w:t>
      </w:r>
    </w:p>
    <w:p w14:paraId="127BDE89" w14:textId="0E1F56BD" w:rsidR="009473AD" w:rsidRPr="00454D84" w:rsidRDefault="009473AD" w:rsidP="00C553C5">
      <w:pPr>
        <w:pStyle w:val="BodyText"/>
        <w:rPr>
          <w:color w:val="00B050"/>
        </w:rPr>
      </w:pPr>
      <w:r w:rsidRPr="00454D84">
        <w:rPr>
          <w:color w:val="00B050"/>
        </w:rPr>
        <w:t>&lt;&lt;Insert SOP/Guideline for ledger settings here&gt;&gt;</w:t>
      </w:r>
    </w:p>
    <w:p w14:paraId="1ACC9A18" w14:textId="77777777" w:rsidR="00E745C2" w:rsidRDefault="009473AD" w:rsidP="00F763F6">
      <w:pPr>
        <w:pStyle w:val="Heading4"/>
      </w:pPr>
      <w:r w:rsidRPr="00E45677">
        <w:t>Ledger Colors</w:t>
      </w:r>
    </w:p>
    <w:p w14:paraId="000E9D29" w14:textId="1DE5A02C" w:rsidR="009473AD" w:rsidRPr="00E745C2" w:rsidRDefault="00372A97" w:rsidP="00E745C2">
      <w:pPr>
        <w:pStyle w:val="BodyText"/>
      </w:pPr>
      <w:r>
        <w:t>To q</w:t>
      </w:r>
      <w:r w:rsidR="009473AD" w:rsidRPr="00215157">
        <w:t>uickly identify different financial transaction types, you can assign each transaction type a unique color.</w:t>
      </w:r>
    </w:p>
    <w:p w14:paraId="37C72FC5" w14:textId="1C511480" w:rsidR="009473AD" w:rsidRPr="00454D84" w:rsidRDefault="009473AD">
      <w:pPr>
        <w:pStyle w:val="BodyText"/>
        <w:numPr>
          <w:ilvl w:val="0"/>
          <w:numId w:val="118"/>
        </w:numPr>
        <w:ind w:left="540"/>
      </w:pPr>
      <w:r w:rsidRPr="00244671">
        <w:t xml:space="preserve">From the </w:t>
      </w:r>
      <w:r w:rsidRPr="00372A97">
        <w:rPr>
          <w:b/>
          <w:bCs/>
        </w:rPr>
        <w:t>Color</w:t>
      </w:r>
      <w:r w:rsidRPr="00244671">
        <w:t xml:space="preserve"> dialog box, choose the desired color, click </w:t>
      </w:r>
      <w:r w:rsidRPr="00372A97">
        <w:rPr>
          <w:b/>
          <w:bCs/>
        </w:rPr>
        <w:t>OK</w:t>
      </w:r>
      <w:r w:rsidRPr="00244671">
        <w:t>, and then assign colors to other transaction types, as appropriate.</w:t>
      </w:r>
    </w:p>
    <w:p w14:paraId="2B396DE8" w14:textId="64E031BC" w:rsidR="009473AD" w:rsidRPr="00E745C2" w:rsidRDefault="009473AD">
      <w:pPr>
        <w:pStyle w:val="BodyText"/>
        <w:numPr>
          <w:ilvl w:val="0"/>
          <w:numId w:val="118"/>
        </w:numPr>
        <w:ind w:left="540"/>
      </w:pPr>
      <w:r w:rsidRPr="00244671">
        <w:t>The Ledger view shows you all work completed for the patient. The Ledger-Treatment Plan view shows all recommended work not yet completed. To help you distinguish between the two views, you can assign one background color to the Ledger view and another background color to the Ledger-Treatment Plan view (choose a color that will contrast with the other colors).</w:t>
      </w:r>
    </w:p>
    <w:p w14:paraId="6CED4312" w14:textId="77777777" w:rsidR="00E745C2" w:rsidRDefault="009473AD" w:rsidP="00F763F6">
      <w:pPr>
        <w:pStyle w:val="Heading4"/>
      </w:pPr>
      <w:r w:rsidRPr="00E45677">
        <w:t>Checkout Options</w:t>
      </w:r>
    </w:p>
    <w:p w14:paraId="553A28BC" w14:textId="7B90038C" w:rsidR="009473AD" w:rsidRDefault="009473AD" w:rsidP="00E745C2">
      <w:pPr>
        <w:pStyle w:val="BodyText"/>
      </w:pPr>
      <w:r w:rsidRPr="00215157">
        <w:t xml:space="preserve">In most offices, three tasks are typically completed as a patient checks out after a visit. The </w:t>
      </w:r>
      <w:r w:rsidRPr="00372A97">
        <w:rPr>
          <w:b/>
          <w:bCs/>
        </w:rPr>
        <w:t>Fast Checkout</w:t>
      </w:r>
      <w:r w:rsidRPr="00215157">
        <w:t xml:space="preserve"> button combines these three tasks. With the click of a button</w:t>
      </w:r>
      <w:r w:rsidR="00372A97">
        <w:t>,</w:t>
      </w:r>
      <w:r w:rsidRPr="00215157">
        <w:t xml:space="preserve"> you can collect a payment, generate an insurance claim, and print a receipt. Also, you can have a patient's clinical summary uploaded automatically to his or her patient portal if you have a subscription to use Patient Portal.</w:t>
      </w:r>
    </w:p>
    <w:p w14:paraId="418D4C35" w14:textId="77777777" w:rsidR="009473AD" w:rsidRPr="00244671" w:rsidRDefault="009473AD" w:rsidP="005A5AC4">
      <w:pPr>
        <w:pStyle w:val="BodyText"/>
      </w:pPr>
      <w:r w:rsidRPr="00244671">
        <w:t xml:space="preserve">Select the task options that you want to complete when you click the </w:t>
      </w:r>
      <w:r w:rsidRPr="00372A97">
        <w:rPr>
          <w:b/>
          <w:bCs/>
        </w:rPr>
        <w:t>Fast Checkout</w:t>
      </w:r>
      <w:r w:rsidRPr="00244671">
        <w:t xml:space="preserve"> button:</w:t>
      </w:r>
    </w:p>
    <w:p w14:paraId="64B16046" w14:textId="3F912D8B" w:rsidR="009473AD" w:rsidRDefault="009473AD">
      <w:pPr>
        <w:pStyle w:val="BodyText"/>
        <w:numPr>
          <w:ilvl w:val="0"/>
          <w:numId w:val="119"/>
        </w:numPr>
        <w:ind w:left="540"/>
      </w:pPr>
      <w:r w:rsidRPr="005A5AC4">
        <w:rPr>
          <w:b/>
          <w:bCs/>
        </w:rPr>
        <w:t>Enter Guarantor Payment</w:t>
      </w:r>
      <w:r w:rsidRPr="00244671">
        <w:t xml:space="preserve"> </w:t>
      </w:r>
      <w:r w:rsidR="00372A97">
        <w:t>–</w:t>
      </w:r>
      <w:r w:rsidRPr="00244671">
        <w:t xml:space="preserve"> </w:t>
      </w:r>
      <w:r w:rsidR="00372A97">
        <w:t>T</w:t>
      </w:r>
      <w:r w:rsidRPr="00244671">
        <w:t xml:space="preserve">o post a patient payment to the Ledger. When you click the </w:t>
      </w:r>
      <w:r w:rsidRPr="00372A97">
        <w:rPr>
          <w:b/>
          <w:bCs/>
        </w:rPr>
        <w:t>Fast Checkout</w:t>
      </w:r>
      <w:r w:rsidRPr="00244671">
        <w:t xml:space="preserve"> button, Dentrix Enterprise opens a dialog box that prompts you to enter a payment.</w:t>
      </w:r>
    </w:p>
    <w:p w14:paraId="0E1B92AC" w14:textId="004E15E5" w:rsidR="009473AD" w:rsidRDefault="009473AD">
      <w:pPr>
        <w:pStyle w:val="BodyText"/>
        <w:numPr>
          <w:ilvl w:val="0"/>
          <w:numId w:val="119"/>
        </w:numPr>
        <w:ind w:left="540"/>
      </w:pPr>
      <w:r w:rsidRPr="005A5AC4">
        <w:rPr>
          <w:b/>
          <w:bCs/>
        </w:rPr>
        <w:t>Create Insurance Claim</w:t>
      </w:r>
      <w:r w:rsidRPr="00244671">
        <w:t xml:space="preserve"> </w:t>
      </w:r>
      <w:r w:rsidR="00372A97">
        <w:t>–</w:t>
      </w:r>
      <w:r w:rsidRPr="00244671">
        <w:t xml:space="preserve"> </w:t>
      </w:r>
      <w:r w:rsidR="00372A97">
        <w:t>T</w:t>
      </w:r>
      <w:r w:rsidRPr="00244671">
        <w:t>o generate an insurance claim. Also, select whether you want to send the claim to the Batch Processor in the Office Manager (</w:t>
      </w:r>
      <w:r w:rsidRPr="00372A97">
        <w:rPr>
          <w:b/>
          <w:bCs/>
        </w:rPr>
        <w:t>Batch</w:t>
      </w:r>
      <w:r w:rsidRPr="00244671">
        <w:t>) or print the claim immediately (</w:t>
      </w:r>
      <w:r w:rsidRPr="00372A97">
        <w:rPr>
          <w:b/>
          <w:bCs/>
        </w:rPr>
        <w:t>Print</w:t>
      </w:r>
      <w:r w:rsidRPr="00244671">
        <w:t xml:space="preserve">) when you click the </w:t>
      </w:r>
      <w:r w:rsidRPr="00372A97">
        <w:rPr>
          <w:b/>
          <w:bCs/>
        </w:rPr>
        <w:t>Fast Checkout</w:t>
      </w:r>
      <w:r w:rsidRPr="00244671">
        <w:t xml:space="preserve"> button.</w:t>
      </w:r>
    </w:p>
    <w:p w14:paraId="097792B7" w14:textId="4414F3BC" w:rsidR="009473AD" w:rsidRDefault="009473AD">
      <w:pPr>
        <w:pStyle w:val="BodyText"/>
        <w:numPr>
          <w:ilvl w:val="0"/>
          <w:numId w:val="119"/>
        </w:numPr>
        <w:ind w:left="540"/>
      </w:pPr>
      <w:r w:rsidRPr="005A5AC4">
        <w:rPr>
          <w:b/>
          <w:bCs/>
        </w:rPr>
        <w:t>Walkout</w:t>
      </w:r>
      <w:r w:rsidRPr="00244671">
        <w:t xml:space="preserve"> </w:t>
      </w:r>
      <w:r w:rsidR="00372A97">
        <w:t>–</w:t>
      </w:r>
      <w:r w:rsidRPr="00244671">
        <w:t xml:space="preserve"> </w:t>
      </w:r>
      <w:r w:rsidR="00372A97">
        <w:t>To</w:t>
      </w:r>
      <w:r w:rsidRPr="00244671">
        <w:t xml:space="preserve"> print a receipt for the patient. Also, select whether you want to send the report to the Batch Processor in the Office Manager (</w:t>
      </w:r>
      <w:r w:rsidRPr="00372A97">
        <w:rPr>
          <w:b/>
          <w:bCs/>
        </w:rPr>
        <w:t>Batch</w:t>
      </w:r>
      <w:r w:rsidRPr="00244671">
        <w:t>) or print the report immediately (</w:t>
      </w:r>
      <w:r w:rsidRPr="00372A97">
        <w:rPr>
          <w:b/>
          <w:bCs/>
        </w:rPr>
        <w:t>Print</w:t>
      </w:r>
      <w:r w:rsidRPr="00244671">
        <w:t xml:space="preserve">) when you click the </w:t>
      </w:r>
      <w:r w:rsidRPr="00372A97">
        <w:rPr>
          <w:b/>
          <w:bCs/>
        </w:rPr>
        <w:t>Fast Checkout</w:t>
      </w:r>
      <w:r w:rsidRPr="00244671">
        <w:t xml:space="preserve"> button.</w:t>
      </w:r>
    </w:p>
    <w:p w14:paraId="14014B89" w14:textId="03493AFC" w:rsidR="009473AD" w:rsidRPr="00244671" w:rsidRDefault="009473AD">
      <w:pPr>
        <w:pStyle w:val="BodyText"/>
        <w:numPr>
          <w:ilvl w:val="0"/>
          <w:numId w:val="119"/>
        </w:numPr>
        <w:ind w:left="540"/>
      </w:pPr>
      <w:r w:rsidRPr="005A5AC4">
        <w:rPr>
          <w:b/>
          <w:bCs/>
        </w:rPr>
        <w:t>Send Clinical Summary to Portal</w:t>
      </w:r>
      <w:r w:rsidRPr="00244671">
        <w:t xml:space="preserve"> </w:t>
      </w:r>
      <w:r w:rsidR="00372A97">
        <w:t>–</w:t>
      </w:r>
      <w:r w:rsidRPr="00244671">
        <w:t xml:space="preserve"> </w:t>
      </w:r>
      <w:r w:rsidR="00372A97">
        <w:t>T</w:t>
      </w:r>
      <w:r w:rsidRPr="00244671">
        <w:t>o send a clinical summary for the patient for whom you perform a fast checkout to his or her patient portal.</w:t>
      </w:r>
    </w:p>
    <w:p w14:paraId="10BB9260" w14:textId="77777777" w:rsidR="009473AD" w:rsidRPr="00372A97" w:rsidRDefault="009473AD" w:rsidP="005A5AC4">
      <w:pPr>
        <w:pStyle w:val="BodyText"/>
        <w:ind w:left="540"/>
        <w:rPr>
          <w:i/>
          <w:iCs/>
        </w:rPr>
      </w:pPr>
      <w:r w:rsidRPr="00372A97">
        <w:rPr>
          <w:b/>
          <w:bCs/>
          <w:i/>
          <w:iCs/>
        </w:rPr>
        <w:t>Notes</w:t>
      </w:r>
      <w:r w:rsidRPr="00372A97">
        <w:rPr>
          <w:i/>
          <w:iCs/>
        </w:rPr>
        <w:t>:</w:t>
      </w:r>
    </w:p>
    <w:p w14:paraId="06EB2AEB" w14:textId="16331432" w:rsidR="009473AD" w:rsidRPr="00372A97" w:rsidRDefault="005A5AC4">
      <w:pPr>
        <w:pStyle w:val="BodyText"/>
        <w:numPr>
          <w:ilvl w:val="2"/>
          <w:numId w:val="121"/>
        </w:numPr>
        <w:ind w:left="1080"/>
        <w:rPr>
          <w:i/>
          <w:iCs/>
        </w:rPr>
      </w:pPr>
      <w:r w:rsidRPr="00372A97">
        <w:rPr>
          <w:i/>
          <w:iCs/>
        </w:rPr>
        <w:t>The p</w:t>
      </w:r>
      <w:r w:rsidR="009473AD" w:rsidRPr="00372A97">
        <w:rPr>
          <w:i/>
          <w:iCs/>
        </w:rPr>
        <w:t xml:space="preserve">atient for whom you perform a fast checkout must have an </w:t>
      </w:r>
      <w:proofErr w:type="spellStart"/>
      <w:r w:rsidR="009473AD" w:rsidRPr="00372A97">
        <w:rPr>
          <w:i/>
          <w:iCs/>
        </w:rPr>
        <w:t>Updox</w:t>
      </w:r>
      <w:proofErr w:type="spellEnd"/>
      <w:r w:rsidR="009473AD" w:rsidRPr="00372A97">
        <w:rPr>
          <w:i/>
          <w:iCs/>
        </w:rPr>
        <w:t xml:space="preserve"> patient portal account set up (the account is free of charge to the patient).</w:t>
      </w:r>
    </w:p>
    <w:p w14:paraId="06DA3C23" w14:textId="77777777" w:rsidR="009473AD" w:rsidRPr="00372A97" w:rsidRDefault="009473AD">
      <w:pPr>
        <w:pStyle w:val="BodyText"/>
        <w:numPr>
          <w:ilvl w:val="2"/>
          <w:numId w:val="121"/>
        </w:numPr>
        <w:ind w:left="1080"/>
        <w:rPr>
          <w:i/>
          <w:iCs/>
        </w:rPr>
      </w:pPr>
      <w:r w:rsidRPr="00372A97">
        <w:rPr>
          <w:i/>
          <w:iCs/>
        </w:rPr>
        <w:t xml:space="preserve">The user who is logged in when you click the </w:t>
      </w:r>
      <w:r w:rsidRPr="00372A97">
        <w:rPr>
          <w:b/>
          <w:bCs/>
          <w:i/>
          <w:iCs/>
        </w:rPr>
        <w:t>Fast Checkout</w:t>
      </w:r>
      <w:r w:rsidRPr="00372A97">
        <w:rPr>
          <w:i/>
          <w:iCs/>
        </w:rPr>
        <w:t xml:space="preserve"> button must be licensed and set up to use </w:t>
      </w:r>
      <w:proofErr w:type="spellStart"/>
      <w:r w:rsidRPr="00372A97">
        <w:rPr>
          <w:i/>
          <w:iCs/>
        </w:rPr>
        <w:t>Updox</w:t>
      </w:r>
      <w:proofErr w:type="spellEnd"/>
      <w:r w:rsidRPr="00372A97">
        <w:rPr>
          <w:i/>
          <w:iCs/>
        </w:rPr>
        <w:t xml:space="preserve"> patient portal. The patient portal requires a paid subscription.</w:t>
      </w:r>
    </w:p>
    <w:p w14:paraId="5D4159F2" w14:textId="632CF697" w:rsidR="009473AD" w:rsidRPr="00244671" w:rsidRDefault="009473AD">
      <w:pPr>
        <w:pStyle w:val="BodyText"/>
        <w:numPr>
          <w:ilvl w:val="0"/>
          <w:numId w:val="120"/>
        </w:numPr>
        <w:ind w:left="540"/>
      </w:pPr>
      <w:r w:rsidRPr="005A5AC4">
        <w:rPr>
          <w:b/>
          <w:bCs/>
        </w:rPr>
        <w:t>Always Show Checkout Options</w:t>
      </w:r>
      <w:r w:rsidRPr="00244671">
        <w:t xml:space="preserve"> </w:t>
      </w:r>
      <w:r w:rsidR="00372A97">
        <w:t>–</w:t>
      </w:r>
      <w:r w:rsidRPr="00244671">
        <w:t xml:space="preserve"> Select </w:t>
      </w:r>
      <w:r w:rsidR="00372A97">
        <w:t xml:space="preserve">this </w:t>
      </w:r>
      <w:r w:rsidRPr="00244671">
        <w:t>if the tasks you perform as a patient leaves vary</w:t>
      </w:r>
      <w:r w:rsidR="00372A97">
        <w:t>. With this option selected</w:t>
      </w:r>
      <w:r w:rsidRPr="00244671">
        <w:t xml:space="preserve"> the </w:t>
      </w:r>
      <w:r w:rsidRPr="00372A97">
        <w:rPr>
          <w:b/>
          <w:bCs/>
        </w:rPr>
        <w:t>Checkout Options</w:t>
      </w:r>
      <w:r w:rsidRPr="00244671">
        <w:t xml:space="preserve"> dialog box appears each time you click the </w:t>
      </w:r>
      <w:r w:rsidRPr="00372A97">
        <w:rPr>
          <w:b/>
          <w:bCs/>
        </w:rPr>
        <w:t>Fast Checkout</w:t>
      </w:r>
      <w:r w:rsidRPr="00244671">
        <w:t xml:space="preserve"> button</w:t>
      </w:r>
      <w:r w:rsidR="00372A97">
        <w:t xml:space="preserve"> so you can</w:t>
      </w:r>
      <w:r w:rsidRPr="00244671">
        <w:t xml:space="preserve"> select the options you need for each patient individually.</w:t>
      </w:r>
    </w:p>
    <w:p w14:paraId="4D1BCF16" w14:textId="77777777" w:rsidR="00E745C2" w:rsidRDefault="009473AD" w:rsidP="00F763F6">
      <w:pPr>
        <w:pStyle w:val="Heading4"/>
      </w:pPr>
      <w:r w:rsidRPr="00E45677">
        <w:lastRenderedPageBreak/>
        <w:t>Automatic Credit Allocation Options</w:t>
      </w:r>
    </w:p>
    <w:p w14:paraId="2F248D47" w14:textId="4F8F722C" w:rsidR="009473AD" w:rsidRDefault="009473AD" w:rsidP="00E745C2">
      <w:pPr>
        <w:pStyle w:val="BodyText"/>
      </w:pPr>
      <w:r w:rsidRPr="00215157">
        <w:t>Dentrix Enterprise can automatically apply suspended credits and post automatic adjustments for re-allocating credits according to selections you make. You can also set up options for handling negative payments and electronic EOBs.</w:t>
      </w:r>
    </w:p>
    <w:p w14:paraId="228890B5" w14:textId="77777777" w:rsidR="009473AD" w:rsidRDefault="009473AD" w:rsidP="005A5AC4">
      <w:pPr>
        <w:pStyle w:val="BodyText"/>
      </w:pPr>
      <w:r w:rsidRPr="00244671">
        <w:t>Set up the following options:</w:t>
      </w:r>
    </w:p>
    <w:p w14:paraId="424B75E4" w14:textId="7488B9BC" w:rsidR="009473AD" w:rsidRPr="00244671" w:rsidRDefault="009473AD">
      <w:pPr>
        <w:pStyle w:val="BodyText"/>
        <w:numPr>
          <w:ilvl w:val="0"/>
          <w:numId w:val="120"/>
        </w:numPr>
        <w:ind w:left="540"/>
      </w:pPr>
      <w:r w:rsidRPr="005A5AC4">
        <w:rPr>
          <w:b/>
          <w:bCs/>
        </w:rPr>
        <w:t>Automatic Suspended Credit Allocation Options</w:t>
      </w:r>
      <w:r w:rsidR="005A5AC4">
        <w:t>:</w:t>
      </w:r>
    </w:p>
    <w:p w14:paraId="63F672A2" w14:textId="5FB605EA" w:rsidR="009473AD" w:rsidRPr="00244671" w:rsidRDefault="009473AD">
      <w:pPr>
        <w:pStyle w:val="BodyText"/>
        <w:numPr>
          <w:ilvl w:val="1"/>
          <w:numId w:val="122"/>
        </w:numPr>
        <w:ind w:left="1080"/>
      </w:pPr>
      <w:r w:rsidRPr="005A5AC4">
        <w:rPr>
          <w:b/>
          <w:bCs/>
        </w:rPr>
        <w:t>Automatically Allocate Suspended Credits when Applicable</w:t>
      </w:r>
      <w:r w:rsidRPr="00244671">
        <w:t xml:space="preserve"> </w:t>
      </w:r>
      <w:r w:rsidR="00372A97">
        <w:t>–</w:t>
      </w:r>
      <w:r w:rsidRPr="00244671">
        <w:t xml:space="preserve"> </w:t>
      </w:r>
      <w:r w:rsidR="00372A97">
        <w:t>Select t</w:t>
      </w:r>
      <w:r w:rsidRPr="00244671">
        <w:t xml:space="preserve">o automatically allocate any suspended credits to all charges that have a remaining balance. This </w:t>
      </w:r>
      <w:proofErr w:type="gramStart"/>
      <w:r w:rsidRPr="00244671">
        <w:t>applies</w:t>
      </w:r>
      <w:proofErr w:type="gramEnd"/>
      <w:r w:rsidRPr="00244671">
        <w:t xml:space="preserve"> all applicable suspended credits to all applicable charges, not just the recently posted charges.</w:t>
      </w:r>
    </w:p>
    <w:p w14:paraId="0098A3A5" w14:textId="698FE372" w:rsidR="009473AD" w:rsidRDefault="009473AD">
      <w:pPr>
        <w:pStyle w:val="BodyText"/>
        <w:numPr>
          <w:ilvl w:val="1"/>
          <w:numId w:val="122"/>
        </w:numPr>
        <w:ind w:left="1080"/>
      </w:pPr>
      <w:r w:rsidRPr="005A5AC4">
        <w:rPr>
          <w:b/>
          <w:bCs/>
        </w:rPr>
        <w:t>Do Not Automatically Allocate Suspended Credits</w:t>
      </w:r>
      <w:r w:rsidRPr="00244671">
        <w:t xml:space="preserve"> </w:t>
      </w:r>
      <w:r w:rsidR="00372A97">
        <w:t>–</w:t>
      </w:r>
      <w:r w:rsidRPr="00244671">
        <w:t xml:space="preserve"> </w:t>
      </w:r>
      <w:r w:rsidR="00372A97">
        <w:t>Select t</w:t>
      </w:r>
      <w:r w:rsidRPr="00244671">
        <w:t>o prevent Dentrix Enterprise from automatically allocating any suspended credits.</w:t>
      </w:r>
    </w:p>
    <w:p w14:paraId="7ACAAEE7" w14:textId="77777777" w:rsidR="009473AD" w:rsidRPr="00215157" w:rsidRDefault="009473AD" w:rsidP="005A5AC4">
      <w:pPr>
        <w:pStyle w:val="BodyText"/>
        <w:ind w:left="540"/>
        <w:rPr>
          <w:sz w:val="16"/>
          <w:szCs w:val="16"/>
        </w:rPr>
      </w:pPr>
    </w:p>
    <w:p w14:paraId="4CA4DC70" w14:textId="3C4A501E" w:rsidR="009473AD" w:rsidRPr="00244671" w:rsidRDefault="009473AD">
      <w:pPr>
        <w:pStyle w:val="BodyText"/>
        <w:numPr>
          <w:ilvl w:val="0"/>
          <w:numId w:val="120"/>
        </w:numPr>
        <w:ind w:left="540"/>
      </w:pPr>
      <w:r w:rsidRPr="005A5AC4">
        <w:rPr>
          <w:b/>
          <w:bCs/>
        </w:rPr>
        <w:t>Automatic Insurance Payment Adjustment Options</w:t>
      </w:r>
      <w:r w:rsidR="005A5AC4">
        <w:t>:</w:t>
      </w:r>
    </w:p>
    <w:p w14:paraId="6BA9981D" w14:textId="7248DF01" w:rsidR="009473AD" w:rsidRPr="00244671" w:rsidRDefault="009473AD">
      <w:pPr>
        <w:pStyle w:val="BodyText"/>
        <w:numPr>
          <w:ilvl w:val="1"/>
          <w:numId w:val="123"/>
        </w:numPr>
        <w:ind w:left="1080"/>
      </w:pPr>
      <w:r w:rsidRPr="005A5AC4">
        <w:rPr>
          <w:b/>
          <w:bCs/>
        </w:rPr>
        <w:t>Credit Adjustment Type</w:t>
      </w:r>
      <w:r w:rsidRPr="00244671">
        <w:t xml:space="preserve"> </w:t>
      </w:r>
      <w:r w:rsidR="00372A97">
        <w:t>–</w:t>
      </w:r>
      <w:r w:rsidRPr="00244671">
        <w:t xml:space="preserve"> Click the search button to select the adjustment type that you want to use for the credit adjustment to offset a charge adjustment when a leftover insurance payment amount needs to be automatically allocated.</w:t>
      </w:r>
    </w:p>
    <w:p w14:paraId="643D9229" w14:textId="33507117" w:rsidR="009473AD" w:rsidRPr="00244671" w:rsidRDefault="009473AD">
      <w:pPr>
        <w:pStyle w:val="BodyText"/>
        <w:numPr>
          <w:ilvl w:val="1"/>
          <w:numId w:val="123"/>
        </w:numPr>
        <w:ind w:left="1080"/>
      </w:pPr>
      <w:r w:rsidRPr="005A5AC4">
        <w:rPr>
          <w:b/>
          <w:bCs/>
        </w:rPr>
        <w:t>Automatically Allocate</w:t>
      </w:r>
      <w:r w:rsidRPr="00244671">
        <w:t xml:space="preserve"> </w:t>
      </w:r>
      <w:r w:rsidR="00372A97">
        <w:t>–</w:t>
      </w:r>
      <w:r w:rsidRPr="00244671">
        <w:t xml:space="preserve"> Select </w:t>
      </w:r>
      <w:r w:rsidRPr="00372A97">
        <w:rPr>
          <w:b/>
          <w:bCs/>
        </w:rPr>
        <w:t>Use Automatic Suspended Credit Allocation Options</w:t>
      </w:r>
      <w:r w:rsidRPr="00244671">
        <w:t xml:space="preserve"> to default to the selection made under </w:t>
      </w:r>
      <w:r w:rsidRPr="00372A97">
        <w:rPr>
          <w:b/>
          <w:bCs/>
        </w:rPr>
        <w:t>Automatic Suspended Credit Allocation Options</w:t>
      </w:r>
      <w:r w:rsidRPr="00244671">
        <w:t xml:space="preserve"> for insurance credit adjustments. </w:t>
      </w:r>
      <w:r w:rsidR="00372A97">
        <w:t>Select</w:t>
      </w:r>
      <w:r w:rsidRPr="00244671">
        <w:t xml:space="preserve"> </w:t>
      </w:r>
      <w:r w:rsidRPr="00372A97">
        <w:rPr>
          <w:b/>
          <w:bCs/>
        </w:rPr>
        <w:t>Flag Adjustment "Do not automatically allocate"</w:t>
      </w:r>
      <w:r w:rsidRPr="00244671">
        <w:t xml:space="preserve"> to not have the insurance credit adjustment allocated automatically regardless of selection under </w:t>
      </w:r>
      <w:r w:rsidRPr="00372A97">
        <w:rPr>
          <w:b/>
          <w:bCs/>
        </w:rPr>
        <w:t>Automatic Suspended Credit Allocation Options</w:t>
      </w:r>
      <w:r w:rsidRPr="00244671">
        <w:t>.</w:t>
      </w:r>
    </w:p>
    <w:p w14:paraId="291D1207" w14:textId="7B026031" w:rsidR="009473AD" w:rsidRPr="00244671" w:rsidRDefault="009473AD">
      <w:pPr>
        <w:pStyle w:val="BodyText"/>
        <w:numPr>
          <w:ilvl w:val="1"/>
          <w:numId w:val="123"/>
        </w:numPr>
        <w:ind w:left="1080"/>
      </w:pPr>
      <w:r w:rsidRPr="005A5AC4">
        <w:rPr>
          <w:b/>
          <w:bCs/>
        </w:rPr>
        <w:t>Charge Adjustment Type</w:t>
      </w:r>
      <w:r w:rsidRPr="00244671">
        <w:t xml:space="preserve"> </w:t>
      </w:r>
      <w:r w:rsidR="00372A97">
        <w:t>–</w:t>
      </w:r>
      <w:r w:rsidRPr="00244671">
        <w:t xml:space="preserve"> Click the </w:t>
      </w:r>
      <w:r>
        <w:t>search button</w:t>
      </w:r>
      <w:r w:rsidRPr="00244671">
        <w:t xml:space="preserve"> to select the adjustment type that you want to use for the charge adjustment when a leftover insurance payment amount needs to be automatically allocated.</w:t>
      </w:r>
    </w:p>
    <w:p w14:paraId="27727EED" w14:textId="2864C345" w:rsidR="009473AD" w:rsidRPr="005A5AC4" w:rsidRDefault="009473AD">
      <w:pPr>
        <w:pStyle w:val="BodyText"/>
        <w:numPr>
          <w:ilvl w:val="1"/>
          <w:numId w:val="123"/>
        </w:numPr>
        <w:ind w:left="1080"/>
      </w:pPr>
      <w:r w:rsidRPr="005A5AC4">
        <w:rPr>
          <w:b/>
          <w:bCs/>
        </w:rPr>
        <w:t>Itemize Automatic Adjustments for Billing Statements</w:t>
      </w:r>
      <w:r w:rsidRPr="00244671">
        <w:t xml:space="preserve"> </w:t>
      </w:r>
      <w:r w:rsidR="00372A97">
        <w:t>–</w:t>
      </w:r>
      <w:r w:rsidRPr="00244671">
        <w:t xml:space="preserve"> Select to itemize automatic adjustments on billing statements. We recommend that this option remain clear because automatic adjustments are always offsetting adjustments, so they will not affect an account balance and can be confusing if included </w:t>
      </w:r>
      <w:proofErr w:type="gramStart"/>
      <w:r w:rsidRPr="00244671">
        <w:t>on</w:t>
      </w:r>
      <w:proofErr w:type="gramEnd"/>
      <w:r w:rsidRPr="00244671">
        <w:t xml:space="preserve"> billing statem</w:t>
      </w:r>
      <w:r>
        <w:t>ents.</w:t>
      </w:r>
    </w:p>
    <w:p w14:paraId="6E7C206A" w14:textId="11FB34A6" w:rsidR="009473AD" w:rsidRPr="00244671" w:rsidRDefault="009473AD">
      <w:pPr>
        <w:pStyle w:val="BodyText"/>
        <w:numPr>
          <w:ilvl w:val="0"/>
          <w:numId w:val="120"/>
        </w:numPr>
        <w:ind w:left="540"/>
      </w:pPr>
      <w:r w:rsidRPr="005A5AC4">
        <w:rPr>
          <w:b/>
          <w:bCs/>
        </w:rPr>
        <w:t>Adjustment Type for Negative Payments</w:t>
      </w:r>
      <w:r w:rsidR="005A5AC4">
        <w:t>:</w:t>
      </w:r>
    </w:p>
    <w:p w14:paraId="2AF465F0" w14:textId="117243C2" w:rsidR="009473AD" w:rsidRPr="00244671" w:rsidRDefault="009473AD">
      <w:pPr>
        <w:pStyle w:val="BodyText"/>
        <w:numPr>
          <w:ilvl w:val="1"/>
          <w:numId w:val="124"/>
        </w:numPr>
        <w:ind w:left="1080"/>
      </w:pPr>
      <w:r w:rsidRPr="005A5AC4">
        <w:rPr>
          <w:b/>
          <w:bCs/>
        </w:rPr>
        <w:t>Enable Automatic Adjustments for Insurance Payments</w:t>
      </w:r>
      <w:r w:rsidRPr="00244671">
        <w:t xml:space="preserve"> </w:t>
      </w:r>
      <w:r w:rsidR="00372A97">
        <w:t>–</w:t>
      </w:r>
      <w:r w:rsidRPr="00244671">
        <w:t xml:space="preserve"> Select to post negative insurance payments to claims.</w:t>
      </w:r>
    </w:p>
    <w:p w14:paraId="7CF78386" w14:textId="6357C721" w:rsidR="009473AD" w:rsidRDefault="009473AD">
      <w:pPr>
        <w:pStyle w:val="BodyText"/>
        <w:numPr>
          <w:ilvl w:val="1"/>
          <w:numId w:val="124"/>
        </w:numPr>
        <w:ind w:left="1080"/>
      </w:pPr>
      <w:r w:rsidRPr="005A5AC4">
        <w:rPr>
          <w:b/>
          <w:bCs/>
        </w:rPr>
        <w:t>Auto-post Refund adjustments to replace negative payments</w:t>
      </w:r>
      <w:r w:rsidRPr="00244671">
        <w:t xml:space="preserve"> </w:t>
      </w:r>
      <w:r w:rsidR="00372A97">
        <w:t>–</w:t>
      </w:r>
      <w:r w:rsidRPr="00244671">
        <w:t xml:space="preserve"> Select to automatically post refund adjustments to replace negative insurance payments to claims. A negative payment appears as a charge adjustment on the Ledger. Next, select the </w:t>
      </w:r>
      <w:r w:rsidRPr="00372A97">
        <w:rPr>
          <w:b/>
          <w:bCs/>
        </w:rPr>
        <w:t>Charge Adjustment Type</w:t>
      </w:r>
      <w:r w:rsidRPr="00244671">
        <w:t xml:space="preserve"> you want to use as the charge adjustment that automatically replaces a negative insurance payment.</w:t>
      </w:r>
    </w:p>
    <w:p w14:paraId="72E21555" w14:textId="55FC1A75" w:rsidR="009473AD" w:rsidRPr="00372A97" w:rsidRDefault="009473AD" w:rsidP="005A5AC4">
      <w:pPr>
        <w:pStyle w:val="BodyText"/>
        <w:ind w:left="1080"/>
        <w:rPr>
          <w:i/>
          <w:iCs/>
        </w:rPr>
      </w:pPr>
      <w:r w:rsidRPr="00372A97">
        <w:rPr>
          <w:b/>
          <w:bCs/>
          <w:i/>
          <w:iCs/>
        </w:rPr>
        <w:t>Tip</w:t>
      </w:r>
      <w:r w:rsidRPr="00372A97">
        <w:rPr>
          <w:i/>
          <w:iCs/>
        </w:rPr>
        <w:t>: You may need to add a new adjustment type in the Practice Definitions for this charge adjustment.</w:t>
      </w:r>
    </w:p>
    <w:p w14:paraId="66594188" w14:textId="02EA7ED3" w:rsidR="009473AD" w:rsidRPr="00244671" w:rsidRDefault="009473AD" w:rsidP="000D7FFC">
      <w:pPr>
        <w:pStyle w:val="BodyText"/>
        <w:keepNext/>
        <w:keepLines/>
        <w:numPr>
          <w:ilvl w:val="0"/>
          <w:numId w:val="120"/>
        </w:numPr>
        <w:ind w:left="540"/>
      </w:pPr>
      <w:r w:rsidRPr="005A5AC4">
        <w:rPr>
          <w:b/>
          <w:bCs/>
        </w:rPr>
        <w:lastRenderedPageBreak/>
        <w:t>Electronic EOB Options</w:t>
      </w:r>
      <w:r w:rsidR="005A5AC4">
        <w:t>:</w:t>
      </w:r>
    </w:p>
    <w:p w14:paraId="0933EEBA" w14:textId="77777777" w:rsidR="009473AD" w:rsidRPr="00244671" w:rsidRDefault="009473AD" w:rsidP="000D7FFC">
      <w:pPr>
        <w:pStyle w:val="BodyText"/>
        <w:keepNext/>
        <w:keepLines/>
        <w:numPr>
          <w:ilvl w:val="1"/>
          <w:numId w:val="125"/>
        </w:numPr>
        <w:ind w:left="1080"/>
      </w:pPr>
      <w:r w:rsidRPr="005A5AC4">
        <w:rPr>
          <w:b/>
          <w:bCs/>
        </w:rPr>
        <w:t xml:space="preserve">Default Provider for Non-Itemized </w:t>
      </w:r>
      <w:proofErr w:type="spellStart"/>
      <w:r w:rsidRPr="005A5AC4">
        <w:rPr>
          <w:b/>
          <w:bCs/>
        </w:rPr>
        <w:t>eEOB</w:t>
      </w:r>
      <w:proofErr w:type="spellEnd"/>
      <w:r w:rsidRPr="005A5AC4">
        <w:rPr>
          <w:b/>
          <w:bCs/>
        </w:rPr>
        <w:t xml:space="preserve"> Charges</w:t>
      </w:r>
      <w:r w:rsidRPr="00244671">
        <w:t xml:space="preserve"> - Select which provider to attach to a charge adjustment if an adjustment claim in an </w:t>
      </w:r>
      <w:proofErr w:type="spellStart"/>
      <w:r w:rsidRPr="00244671">
        <w:t>eEOB</w:t>
      </w:r>
      <w:proofErr w:type="spellEnd"/>
      <w:r w:rsidRPr="00244671">
        <w:t xml:space="preserve"> is not itemized. The provider can be the patient’s primary provider (Prov1 from Family File), the pay-to provider on the claim, the rendering provider on the claim, or the billing provider on the claim.</w:t>
      </w:r>
    </w:p>
    <w:p w14:paraId="127CA9AA" w14:textId="3A559E73" w:rsidR="009473AD" w:rsidRPr="005A5AC4" w:rsidRDefault="009473AD">
      <w:pPr>
        <w:pStyle w:val="BodyText"/>
        <w:numPr>
          <w:ilvl w:val="1"/>
          <w:numId w:val="125"/>
        </w:numPr>
        <w:ind w:left="1080"/>
      </w:pPr>
      <w:r w:rsidRPr="005A5AC4">
        <w:rPr>
          <w:b/>
          <w:bCs/>
        </w:rPr>
        <w:t>Copy Electronic EOBs to Document Center</w:t>
      </w:r>
      <w:r w:rsidRPr="00244671">
        <w:t xml:space="preserve"> - Select to copy electronic EOBs imported into Dentrix En</w:t>
      </w:r>
      <w:r>
        <w:t>terprise to the Document Center.</w:t>
      </w:r>
    </w:p>
    <w:p w14:paraId="0569CE1A" w14:textId="77777777" w:rsidR="00E745C2" w:rsidRDefault="009473AD" w:rsidP="00F763F6">
      <w:pPr>
        <w:pStyle w:val="Heading4"/>
      </w:pPr>
      <w:r w:rsidRPr="00E45677">
        <w:t>Direct Print Options</w:t>
      </w:r>
    </w:p>
    <w:p w14:paraId="538595D4" w14:textId="66ED0345" w:rsidR="009473AD" w:rsidRDefault="009473AD" w:rsidP="00E745C2">
      <w:pPr>
        <w:pStyle w:val="BodyText"/>
      </w:pPr>
      <w:r w:rsidRPr="00215157">
        <w:t xml:space="preserve">You can print several reports from the Ledger: insurance claims, walkout statements, billing statements, and a family ledger report. A button for each of these reports is located on the toolbar. With the direct print options, you can indicate whether to print the report immediately or send it to the Batch Processor in the Office Manager to print </w:t>
      </w:r>
      <w:r w:rsidR="00372A97">
        <w:t xml:space="preserve">it </w:t>
      </w:r>
      <w:r w:rsidRPr="00215157">
        <w:t>later.</w:t>
      </w:r>
    </w:p>
    <w:p w14:paraId="7AA284BB" w14:textId="77777777" w:rsidR="009473AD" w:rsidRPr="00244671" w:rsidRDefault="009473AD" w:rsidP="005A5AC4">
      <w:pPr>
        <w:pStyle w:val="BodyText"/>
      </w:pPr>
      <w:r w:rsidRPr="00244671">
        <w:t xml:space="preserve">For each report, select </w:t>
      </w:r>
      <w:r w:rsidRPr="00372A97">
        <w:rPr>
          <w:b/>
          <w:bCs/>
        </w:rPr>
        <w:t>Batch</w:t>
      </w:r>
      <w:r w:rsidRPr="00244671">
        <w:t xml:space="preserve"> or </w:t>
      </w:r>
      <w:r w:rsidRPr="00372A97">
        <w:rPr>
          <w:b/>
          <w:bCs/>
        </w:rPr>
        <w:t>Print</w:t>
      </w:r>
      <w:r w:rsidRPr="00244671">
        <w:t xml:space="preserve"> to indicate whether you want the report to go directly to your printer or to the Batch Processor.</w:t>
      </w:r>
    </w:p>
    <w:p w14:paraId="51DF3765" w14:textId="2DA35731" w:rsidR="009473AD" w:rsidRPr="00372A97" w:rsidRDefault="009473AD" w:rsidP="005A5AC4">
      <w:pPr>
        <w:pStyle w:val="BodyText"/>
        <w:rPr>
          <w:i/>
          <w:iCs/>
        </w:rPr>
      </w:pPr>
      <w:r w:rsidRPr="00372A97">
        <w:rPr>
          <w:b/>
          <w:bCs/>
          <w:i/>
          <w:iCs/>
        </w:rPr>
        <w:t>Tip</w:t>
      </w:r>
      <w:r w:rsidRPr="00372A97">
        <w:rPr>
          <w:i/>
          <w:iCs/>
        </w:rPr>
        <w:t xml:space="preserve">: If your office will be sending claims electronically, click </w:t>
      </w:r>
      <w:r w:rsidRPr="00372A97">
        <w:rPr>
          <w:b/>
          <w:bCs/>
          <w:i/>
          <w:iCs/>
        </w:rPr>
        <w:t>Batch</w:t>
      </w:r>
      <w:r w:rsidRPr="00372A97">
        <w:rPr>
          <w:i/>
          <w:iCs/>
        </w:rPr>
        <w:t xml:space="preserve"> for insurance claims so all insurance claims generated during the day will be sent to the Batch Processor and can be transmitted simultaneously at the end of the day.</w:t>
      </w:r>
    </w:p>
    <w:p w14:paraId="20D40F1A" w14:textId="77777777" w:rsidR="00E745C2" w:rsidRPr="00E745C2" w:rsidRDefault="009473AD" w:rsidP="00D42C5A">
      <w:pPr>
        <w:pStyle w:val="Heading3"/>
      </w:pPr>
      <w:bookmarkStart w:id="251" w:name="_Toc135416752"/>
      <w:bookmarkStart w:id="252" w:name="_Toc146183359"/>
      <w:r w:rsidRPr="00E745C2">
        <w:t>Document Center Setup</w:t>
      </w:r>
      <w:bookmarkEnd w:id="251"/>
      <w:bookmarkEnd w:id="252"/>
    </w:p>
    <w:p w14:paraId="38F61CB6" w14:textId="1CE24D47" w:rsidR="009473AD" w:rsidRDefault="009473AD" w:rsidP="00E745C2">
      <w:pPr>
        <w:pStyle w:val="BodyText"/>
      </w:pPr>
      <w:r w:rsidRPr="00244671">
        <w:t xml:space="preserve">Create </w:t>
      </w:r>
      <w:proofErr w:type="gramStart"/>
      <w:r w:rsidRPr="00244671">
        <w:t>the standards</w:t>
      </w:r>
      <w:proofErr w:type="gramEnd"/>
      <w:r w:rsidRPr="00244671">
        <w:t xml:space="preserve"> for document storage management. Document Center is a place to </w:t>
      </w:r>
      <w:r w:rsidR="004A2A35">
        <w:t xml:space="preserve">store and </w:t>
      </w:r>
      <w:r w:rsidRPr="00244671">
        <w:t xml:space="preserve">organize documents </w:t>
      </w:r>
      <w:r w:rsidR="004A2A35">
        <w:t xml:space="preserve">that have been </w:t>
      </w:r>
      <w:r w:rsidRPr="00244671">
        <w:t>scanned or imported into Dentrix Enterprise. By setting up templates</w:t>
      </w:r>
      <w:r w:rsidR="004A2A35">
        <w:t>,</w:t>
      </w:r>
      <w:r w:rsidRPr="00244671">
        <w:t xml:space="preserve"> Document Center is standardized and limits effort by the team.</w:t>
      </w:r>
    </w:p>
    <w:p w14:paraId="54B85253" w14:textId="77777777" w:rsidR="009473AD" w:rsidRPr="00454D84" w:rsidRDefault="009473AD" w:rsidP="00E745C2">
      <w:pPr>
        <w:pStyle w:val="BodyText"/>
        <w:rPr>
          <w:color w:val="00B050"/>
        </w:rPr>
      </w:pPr>
      <w:r w:rsidRPr="00454D84">
        <w:rPr>
          <w:color w:val="00B050"/>
        </w:rPr>
        <w:t>&lt;&lt;Insert SOP/Guideline here&gt;&gt;</w:t>
      </w:r>
    </w:p>
    <w:p w14:paraId="381AE787" w14:textId="77777777" w:rsidR="00E745C2" w:rsidRDefault="009473AD" w:rsidP="00F763F6">
      <w:pPr>
        <w:pStyle w:val="Heading4"/>
      </w:pPr>
      <w:r w:rsidRPr="559ADB64">
        <w:t>Document Types</w:t>
      </w:r>
    </w:p>
    <w:p w14:paraId="7CC839F1" w14:textId="5BF06234" w:rsidR="009473AD" w:rsidRPr="00244671" w:rsidRDefault="009473AD" w:rsidP="00E745C2">
      <w:pPr>
        <w:pStyle w:val="BodyText"/>
      </w:pPr>
      <w:r w:rsidRPr="559ADB64">
        <w:t xml:space="preserve">You must assign a document type to all documents in Document Center. Document Types are the folders in which the scanned items are stored. This is a method to sort documents for standard storage processes as well as how information will be quickly accessed. With standard document types, all users should have a clear direction on where to store and find any documents stored in the system.  </w:t>
      </w:r>
    </w:p>
    <w:p w14:paraId="29B79384" w14:textId="77777777" w:rsidR="00E745C2" w:rsidRDefault="009473AD" w:rsidP="00F763F6">
      <w:pPr>
        <w:pStyle w:val="Heading4"/>
      </w:pPr>
      <w:r w:rsidRPr="559ADB64">
        <w:t>Document Type Templates</w:t>
      </w:r>
    </w:p>
    <w:p w14:paraId="15E16729" w14:textId="0C136CC0" w:rsidR="009473AD" w:rsidRPr="00244671" w:rsidRDefault="009473AD" w:rsidP="00E745C2">
      <w:pPr>
        <w:pStyle w:val="BodyText"/>
      </w:pPr>
      <w:r w:rsidRPr="559ADB64">
        <w:t>Templates assist with using the document types in a uniform way</w:t>
      </w:r>
      <w:r w:rsidR="004A2A35">
        <w:t xml:space="preserve"> </w:t>
      </w:r>
      <w:r w:rsidRPr="559ADB64">
        <w:t>and help to define the de</w:t>
      </w:r>
      <w:r w:rsidR="004A2A35">
        <w:t>s</w:t>
      </w:r>
      <w:r w:rsidRPr="559ADB64">
        <w:t xml:space="preserve">criptions that should be used when storing documents. The templates allow you to define a document type that will be stored, pre-select the document type, and enter a standard description or guidance for the description to make the process of storing and labeling documents streamlined and standard process. </w:t>
      </w:r>
    </w:p>
    <w:p w14:paraId="033F49BE" w14:textId="5F1C7970" w:rsidR="009473AD" w:rsidRDefault="009473AD" w:rsidP="00E745C2">
      <w:pPr>
        <w:pStyle w:val="BodyText"/>
      </w:pPr>
      <w:r w:rsidRPr="00454D84">
        <w:rPr>
          <w:color w:val="00B050"/>
        </w:rPr>
        <w:t>&lt;&lt;Insert SOP/Guidelines for document storage here&gt;&gt;</w:t>
      </w:r>
      <w:r w:rsidRPr="559ADB64">
        <w:t xml:space="preserve"> </w:t>
      </w:r>
    </w:p>
    <w:p w14:paraId="2565E9C8" w14:textId="77777777" w:rsidR="005A5AC4" w:rsidRDefault="005A5AC4" w:rsidP="00E745C2">
      <w:pPr>
        <w:pStyle w:val="BodyText"/>
        <w:sectPr w:rsidR="005A5AC4" w:rsidSect="007074D3">
          <w:pgSz w:w="12240" w:h="15840"/>
          <w:pgMar w:top="1440" w:right="1440" w:bottom="1440" w:left="1440" w:header="360" w:footer="360" w:gutter="0"/>
          <w:cols w:space="720"/>
          <w:docGrid w:linePitch="299"/>
        </w:sectPr>
      </w:pPr>
    </w:p>
    <w:p w14:paraId="51C65447" w14:textId="77777777" w:rsidR="005A5AC4" w:rsidRPr="005A5AC4" w:rsidRDefault="005A5AC4" w:rsidP="005A5AC4">
      <w:pPr>
        <w:pStyle w:val="Heading1"/>
      </w:pPr>
      <w:bookmarkStart w:id="253" w:name="_Toc135416600"/>
      <w:bookmarkStart w:id="254" w:name="_Toc135416753"/>
      <w:bookmarkStart w:id="255" w:name="_Toc146183360"/>
      <w:r w:rsidRPr="005A5AC4">
        <w:lastRenderedPageBreak/>
        <w:t>Indian Health Manual (IHM)</w:t>
      </w:r>
      <w:bookmarkEnd w:id="253"/>
      <w:bookmarkEnd w:id="254"/>
      <w:bookmarkEnd w:id="255"/>
    </w:p>
    <w:p w14:paraId="3E5BB9FA" w14:textId="77777777" w:rsidR="005A5AC4" w:rsidRDefault="005A5AC4" w:rsidP="005A5AC4">
      <w:pPr>
        <w:pStyle w:val="BodyText"/>
        <w:rPr>
          <w:lang w:val="en"/>
        </w:rPr>
      </w:pPr>
      <w:r>
        <w:rPr>
          <w:lang w:val="en"/>
        </w:rPr>
        <w:t>Sections of IHM covered in this review for Electronic Health Records (EHR) (generically) and Electronic Dental Records (EDR) specifically:</w:t>
      </w:r>
    </w:p>
    <w:p w14:paraId="5FFA89C7" w14:textId="77777777" w:rsidR="005A5AC4" w:rsidRDefault="005A5AC4" w:rsidP="005A5AC4">
      <w:pPr>
        <w:pStyle w:val="BodyText"/>
        <w:rPr>
          <w:lang w:val="en"/>
        </w:rPr>
      </w:pPr>
      <w:r>
        <w:rPr>
          <w:lang w:val="en"/>
        </w:rPr>
        <w:t xml:space="preserve">[Indian Health] Manual Exhibit: 3-3-A </w:t>
      </w:r>
    </w:p>
    <w:p w14:paraId="29848EF5" w14:textId="77777777" w:rsidR="005A5AC4" w:rsidRDefault="005A5AC4" w:rsidP="005A5AC4">
      <w:pPr>
        <w:pStyle w:val="BodyText"/>
        <w:rPr>
          <w:lang w:val="en"/>
        </w:rPr>
      </w:pPr>
      <w:r>
        <w:rPr>
          <w:lang w:val="en"/>
        </w:rPr>
        <w:t xml:space="preserve">Chapter 3 Health Information Management </w:t>
      </w:r>
    </w:p>
    <w:p w14:paraId="5D6D038D" w14:textId="77777777" w:rsidR="005A5AC4" w:rsidRDefault="005A5AC4" w:rsidP="005A5AC4">
      <w:pPr>
        <w:pStyle w:val="BodyText"/>
        <w:rPr>
          <w:lang w:val="en"/>
        </w:rPr>
      </w:pPr>
      <w:r>
        <w:rPr>
          <w:lang w:val="en"/>
        </w:rPr>
        <w:t xml:space="preserve">Part 3 – Professional Services </w:t>
      </w:r>
    </w:p>
    <w:p w14:paraId="3A2E1B0E" w14:textId="77777777" w:rsidR="005A5AC4" w:rsidRDefault="005A5AC4" w:rsidP="005A5AC4">
      <w:pPr>
        <w:pStyle w:val="BodyText"/>
        <w:ind w:left="180"/>
        <w:rPr>
          <w:lang w:val="en"/>
        </w:rPr>
      </w:pPr>
      <w:r>
        <w:rPr>
          <w:lang w:val="en"/>
        </w:rPr>
        <w:t>3-3.1 INTRODUCTION</w:t>
      </w:r>
    </w:p>
    <w:p w14:paraId="15D0B1F8" w14:textId="77777777" w:rsidR="005A5AC4" w:rsidRDefault="005A5AC4" w:rsidP="005A5AC4">
      <w:pPr>
        <w:pStyle w:val="BodyText"/>
        <w:ind w:left="180"/>
        <w:rPr>
          <w:lang w:val="en"/>
        </w:rPr>
      </w:pPr>
      <w:r>
        <w:rPr>
          <w:lang w:val="en"/>
        </w:rPr>
        <w:t>3-3.2 HEALTH RECORD</w:t>
      </w:r>
    </w:p>
    <w:p w14:paraId="2625AE3F" w14:textId="77777777" w:rsidR="005A5AC4" w:rsidRDefault="005A5AC4" w:rsidP="005A5AC4">
      <w:pPr>
        <w:pStyle w:val="BodyText"/>
        <w:ind w:left="180"/>
        <w:rPr>
          <w:lang w:val="en"/>
        </w:rPr>
      </w:pPr>
      <w:r>
        <w:rPr>
          <w:lang w:val="en"/>
        </w:rPr>
        <w:t xml:space="preserve">3-3.4 </w:t>
      </w:r>
      <w:r w:rsidRPr="00B974C4">
        <w:rPr>
          <w:lang w:val="en"/>
        </w:rPr>
        <w:t>RESPONSIBILITIES</w:t>
      </w:r>
    </w:p>
    <w:p w14:paraId="0E9A720C" w14:textId="77777777" w:rsidR="005A5AC4" w:rsidRDefault="005A5AC4" w:rsidP="005A5AC4">
      <w:pPr>
        <w:pStyle w:val="BodyText"/>
        <w:ind w:left="180"/>
        <w:rPr>
          <w:lang w:val="en"/>
        </w:rPr>
      </w:pPr>
      <w:bookmarkStart w:id="256" w:name="3-3.5"/>
      <w:bookmarkEnd w:id="256"/>
      <w:r>
        <w:rPr>
          <w:lang w:val="en"/>
        </w:rPr>
        <w:t>3-3.5 </w:t>
      </w:r>
      <w:r w:rsidRPr="004C49F0">
        <w:rPr>
          <w:lang w:val="en"/>
        </w:rPr>
        <w:t>HEALTH INFORMATION MANAGEMENT DEPARTMENT</w:t>
      </w:r>
    </w:p>
    <w:p w14:paraId="5615E198" w14:textId="77777777" w:rsidR="005A5AC4" w:rsidRPr="004C49F0" w:rsidRDefault="005A5AC4" w:rsidP="005A5AC4">
      <w:pPr>
        <w:pStyle w:val="BodyText"/>
        <w:ind w:left="180"/>
        <w:rPr>
          <w:lang w:val="en"/>
        </w:rPr>
      </w:pPr>
      <w:bookmarkStart w:id="257" w:name="3-3.8"/>
      <w:bookmarkEnd w:id="257"/>
      <w:r>
        <w:rPr>
          <w:lang w:val="en"/>
        </w:rPr>
        <w:t>3-3.8 </w:t>
      </w:r>
      <w:r w:rsidRPr="004C49F0">
        <w:rPr>
          <w:lang w:val="en"/>
        </w:rPr>
        <w:t>HEALTH RECORD DOCUMENTATION</w:t>
      </w:r>
    </w:p>
    <w:p w14:paraId="207C56A4" w14:textId="77777777" w:rsidR="005A5AC4" w:rsidRDefault="005A5AC4" w:rsidP="005A5AC4">
      <w:pPr>
        <w:pStyle w:val="BodyText"/>
        <w:ind w:left="180"/>
        <w:rPr>
          <w:lang w:val="en"/>
        </w:rPr>
      </w:pPr>
      <w:r>
        <w:rPr>
          <w:lang w:val="en"/>
        </w:rPr>
        <w:t xml:space="preserve">3-3.9 </w:t>
      </w:r>
      <w:r w:rsidRPr="00544B2F">
        <w:rPr>
          <w:lang w:val="en"/>
        </w:rPr>
        <w:t>ELECTRONIC HEALTH RECORD PRINCIPLES</w:t>
      </w:r>
    </w:p>
    <w:p w14:paraId="5D14A3EC" w14:textId="77777777" w:rsidR="005A5AC4" w:rsidRDefault="005A5AC4" w:rsidP="005A5AC4">
      <w:pPr>
        <w:pStyle w:val="BodyText"/>
        <w:ind w:left="180"/>
        <w:rPr>
          <w:lang w:val="en"/>
        </w:rPr>
      </w:pPr>
      <w:r>
        <w:rPr>
          <w:lang w:val="en"/>
        </w:rPr>
        <w:t xml:space="preserve">3-3.10 </w:t>
      </w:r>
      <w:r w:rsidRPr="00544B2F">
        <w:rPr>
          <w:lang w:val="en"/>
        </w:rPr>
        <w:t>INTERDEPARTMENTAL RESPONSIBILITIES</w:t>
      </w:r>
    </w:p>
    <w:p w14:paraId="7BE18679" w14:textId="77777777" w:rsidR="005A5AC4" w:rsidRDefault="005A5AC4" w:rsidP="005A5AC4">
      <w:pPr>
        <w:pStyle w:val="BodyText"/>
        <w:ind w:left="180"/>
        <w:rPr>
          <w:lang w:val="en"/>
        </w:rPr>
      </w:pPr>
      <w:r>
        <w:rPr>
          <w:lang w:val="en"/>
        </w:rPr>
        <w:t xml:space="preserve">3-3.11 </w:t>
      </w:r>
      <w:r w:rsidRPr="00B974C4">
        <w:rPr>
          <w:lang w:val="en"/>
        </w:rPr>
        <w:t>QUANTITATIVE ANALYSIS OF THE HEALTH RECORD</w:t>
      </w:r>
    </w:p>
    <w:p w14:paraId="57BD4832" w14:textId="77777777" w:rsidR="00F73002" w:rsidRPr="00F73002" w:rsidRDefault="00F73002" w:rsidP="00F73002">
      <w:pPr>
        <w:pStyle w:val="BodyText"/>
        <w:ind w:left="180"/>
        <w:rPr>
          <w:lang w:val="en"/>
        </w:rPr>
      </w:pPr>
      <w:r w:rsidRPr="00F73002">
        <w:rPr>
          <w:lang w:val="en"/>
        </w:rPr>
        <w:t>3-3.12 MEDICO-LEGAL ASPECTS OF HEALTH RECORDS</w:t>
      </w:r>
    </w:p>
    <w:p w14:paraId="4EAFE3F5" w14:textId="138789E6" w:rsidR="00F73002" w:rsidRDefault="00F73002" w:rsidP="00F73002">
      <w:pPr>
        <w:pStyle w:val="BodyText"/>
        <w:ind w:left="180"/>
        <w:rPr>
          <w:lang w:val="en"/>
        </w:rPr>
      </w:pPr>
      <w:r w:rsidRPr="00F73002">
        <w:rPr>
          <w:lang w:val="en"/>
        </w:rPr>
        <w:t>3-3.13 CONSENTS TO MEDICAL AND SURGICAL PROCEDURES</w:t>
      </w:r>
    </w:p>
    <w:p w14:paraId="4FE6F674" w14:textId="77777777" w:rsidR="005A5AC4" w:rsidRPr="00967003" w:rsidRDefault="005A5AC4" w:rsidP="005A5AC4">
      <w:pPr>
        <w:spacing w:before="100" w:beforeAutospacing="1" w:after="100" w:afterAutospacing="1"/>
        <w:rPr>
          <w:rFonts w:eastAsia="Times New Roman"/>
          <w:b/>
          <w:bCs/>
          <w:color w:val="353535"/>
          <w:sz w:val="20"/>
          <w:szCs w:val="20"/>
          <w:lang w:val="en"/>
        </w:rPr>
      </w:pPr>
      <w:bookmarkStart w:id="258" w:name="3-3.1"/>
      <w:bookmarkEnd w:id="258"/>
      <w:r w:rsidRPr="00967003">
        <w:rPr>
          <w:rFonts w:eastAsia="Times New Roman"/>
          <w:b/>
          <w:bCs/>
          <w:color w:val="353535"/>
          <w:sz w:val="20"/>
          <w:szCs w:val="20"/>
          <w:lang w:val="en"/>
        </w:rPr>
        <w:t>3-3.1 INTRODUCTION</w:t>
      </w:r>
    </w:p>
    <w:p w14:paraId="6A89A43C" w14:textId="77777777" w:rsidR="005A5AC4" w:rsidRPr="005E6202" w:rsidRDefault="005A5AC4">
      <w:pPr>
        <w:numPr>
          <w:ilvl w:val="0"/>
          <w:numId w:val="135"/>
        </w:numPr>
        <w:tabs>
          <w:tab w:val="clear" w:pos="720"/>
        </w:tabs>
        <w:spacing w:before="100" w:beforeAutospacing="1" w:after="100" w:afterAutospacing="1"/>
        <w:ind w:left="540"/>
        <w:rPr>
          <w:rFonts w:eastAsia="Times New Roman"/>
          <w:color w:val="353535"/>
          <w:sz w:val="20"/>
          <w:szCs w:val="20"/>
          <w:lang w:val="en"/>
        </w:rPr>
      </w:pPr>
      <w:bookmarkStart w:id="259" w:name="3-3.1A"/>
      <w:bookmarkEnd w:id="259"/>
      <w:r w:rsidRPr="005E6202">
        <w:rPr>
          <w:rFonts w:eastAsia="Times New Roman"/>
          <w:color w:val="353535"/>
          <w:sz w:val="20"/>
          <w:szCs w:val="20"/>
          <w:u w:val="single"/>
          <w:lang w:val="en"/>
        </w:rPr>
        <w:t>Purpose</w:t>
      </w:r>
      <w:r w:rsidRPr="005E6202">
        <w:rPr>
          <w:rFonts w:eastAsia="Times New Roman"/>
          <w:color w:val="353535"/>
          <w:sz w:val="20"/>
          <w:szCs w:val="20"/>
          <w:lang w:val="en"/>
        </w:rPr>
        <w:t>.  The purpose of the Health Information Management (HIM) chapter is to establish policy, objectives, staff responsibilities, operating relationships, and standards relating to health record services in the Indian Health Service (IHS).</w:t>
      </w:r>
    </w:p>
    <w:p w14:paraId="3D6E7620" w14:textId="77777777" w:rsidR="005A5AC4" w:rsidRPr="005E6202" w:rsidRDefault="005A5AC4">
      <w:pPr>
        <w:numPr>
          <w:ilvl w:val="0"/>
          <w:numId w:val="135"/>
        </w:numPr>
        <w:tabs>
          <w:tab w:val="clear" w:pos="720"/>
        </w:tabs>
        <w:spacing w:before="100" w:beforeAutospacing="1" w:after="100" w:afterAutospacing="1"/>
        <w:ind w:left="540"/>
        <w:rPr>
          <w:rFonts w:eastAsia="Times New Roman"/>
          <w:color w:val="353535"/>
          <w:sz w:val="20"/>
          <w:szCs w:val="20"/>
          <w:lang w:val="en"/>
        </w:rPr>
      </w:pPr>
      <w:bookmarkStart w:id="260" w:name="3-3.1B"/>
      <w:bookmarkEnd w:id="260"/>
      <w:r w:rsidRPr="005E6202">
        <w:rPr>
          <w:rFonts w:eastAsia="Times New Roman"/>
          <w:color w:val="353535"/>
          <w:sz w:val="20"/>
          <w:szCs w:val="20"/>
          <w:u w:val="single"/>
          <w:lang w:val="en"/>
        </w:rPr>
        <w:t>Background</w:t>
      </w:r>
      <w:r w:rsidRPr="005E6202">
        <w:rPr>
          <w:rFonts w:eastAsia="Times New Roman"/>
          <w:color w:val="353535"/>
          <w:sz w:val="20"/>
          <w:szCs w:val="20"/>
          <w:lang w:val="en"/>
        </w:rPr>
        <w:t>.  This chapter integrates current HIM practices with the regulatory requirements of the Health Insurance Portability and Accountability Act (HIPAA), implements an IHS electronic health record (EHR) system, and complies with the Centers for Medicare and Medicaid Services (CMS) regulations and other laws.  The chapter also formally adopts the name change from Medical Records to HIM.</w:t>
      </w:r>
    </w:p>
    <w:p w14:paraId="51B68BC8" w14:textId="77777777" w:rsidR="005A5AC4" w:rsidRPr="005E6202" w:rsidRDefault="005A5AC4">
      <w:pPr>
        <w:numPr>
          <w:ilvl w:val="0"/>
          <w:numId w:val="135"/>
        </w:numPr>
        <w:tabs>
          <w:tab w:val="clear" w:pos="720"/>
        </w:tabs>
        <w:spacing w:before="100" w:beforeAutospacing="1" w:after="100" w:afterAutospacing="1"/>
        <w:ind w:left="540"/>
        <w:rPr>
          <w:rFonts w:eastAsia="Times New Roman"/>
          <w:color w:val="353535"/>
          <w:sz w:val="20"/>
          <w:szCs w:val="20"/>
          <w:lang w:val="en"/>
        </w:rPr>
      </w:pPr>
      <w:bookmarkStart w:id="261" w:name="3-3.1C"/>
      <w:bookmarkEnd w:id="261"/>
      <w:r w:rsidRPr="005E6202">
        <w:rPr>
          <w:rFonts w:eastAsia="Times New Roman"/>
          <w:color w:val="353535"/>
          <w:sz w:val="20"/>
          <w:szCs w:val="20"/>
          <w:u w:val="single"/>
          <w:lang w:val="en"/>
        </w:rPr>
        <w:t>Policy</w:t>
      </w:r>
      <w:r w:rsidRPr="005E6202">
        <w:rPr>
          <w:rFonts w:eastAsia="Times New Roman"/>
          <w:color w:val="353535"/>
          <w:sz w:val="20"/>
          <w:szCs w:val="20"/>
          <w:lang w:val="en"/>
        </w:rPr>
        <w:t>.  It is IHS policy that all health information professionals, health care providers, managers, and staff who are responsible for the creation, maintenance and disposition of health records will maintain and preserve the confidentiality of the patient's health record.</w:t>
      </w:r>
    </w:p>
    <w:p w14:paraId="631D4F8C" w14:textId="77777777" w:rsidR="005A5AC4" w:rsidRPr="005E6202" w:rsidRDefault="005A5AC4">
      <w:pPr>
        <w:numPr>
          <w:ilvl w:val="0"/>
          <w:numId w:val="135"/>
        </w:numPr>
        <w:tabs>
          <w:tab w:val="clear" w:pos="720"/>
        </w:tabs>
        <w:spacing w:before="100" w:beforeAutospacing="1" w:after="100" w:afterAutospacing="1"/>
        <w:ind w:left="540"/>
        <w:rPr>
          <w:rFonts w:eastAsia="Times New Roman"/>
          <w:color w:val="353535"/>
          <w:sz w:val="20"/>
          <w:szCs w:val="20"/>
          <w:lang w:val="en"/>
        </w:rPr>
      </w:pPr>
      <w:bookmarkStart w:id="262" w:name="3-3.1D"/>
      <w:bookmarkEnd w:id="262"/>
      <w:r w:rsidRPr="005E6202">
        <w:rPr>
          <w:rFonts w:eastAsia="Times New Roman"/>
          <w:color w:val="353535"/>
          <w:sz w:val="20"/>
          <w:szCs w:val="20"/>
          <w:u w:val="single"/>
          <w:lang w:val="en"/>
        </w:rPr>
        <w:t>Authorities</w:t>
      </w:r>
      <w:r w:rsidRPr="005E6202">
        <w:rPr>
          <w:rFonts w:eastAsia="Times New Roman"/>
          <w:color w:val="353535"/>
          <w:sz w:val="20"/>
          <w:szCs w:val="20"/>
          <w:lang w:val="en"/>
        </w:rPr>
        <w:t xml:space="preserve">. </w:t>
      </w:r>
    </w:p>
    <w:p w14:paraId="76818A2B"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 xml:space="preserve">Privacy Act of 1974, as amended, 5 United States Code (U.S.C.) § </w:t>
      </w:r>
      <w:proofErr w:type="gramStart"/>
      <w:r w:rsidRPr="005E6202">
        <w:rPr>
          <w:rFonts w:eastAsia="Times New Roman"/>
          <w:color w:val="353535"/>
          <w:sz w:val="20"/>
          <w:szCs w:val="20"/>
          <w:lang w:val="en"/>
        </w:rPr>
        <w:t>552a</w:t>
      </w:r>
      <w:proofErr w:type="gramEnd"/>
    </w:p>
    <w:p w14:paraId="629E8B6E"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General Administrative Requirements, 45 Code of Federal Regulations (CFR) Part 160.</w:t>
      </w:r>
    </w:p>
    <w:p w14:paraId="7757E5E1"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Health Insurance Portability and Accountability Act, Privacy and Security Rule, 45 CFR Part 164</w:t>
      </w:r>
    </w:p>
    <w:p w14:paraId="021AF0AA"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Confidentiality of Alcohol and Drug Abuse Patient Records Regulations, 42 CFR Part 2</w:t>
      </w:r>
    </w:p>
    <w:p w14:paraId="5E8F4A0D"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Freedom of Information Act (FOIA), 45 CFR Part 5</w:t>
      </w:r>
    </w:p>
    <w:p w14:paraId="3A18B994"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Indian Health Service Records Disposition Schedule</w:t>
      </w:r>
    </w:p>
    <w:p w14:paraId="61943FFA"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Federal Information Security Management Act</w:t>
      </w:r>
    </w:p>
    <w:p w14:paraId="0F67322A"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Office of Management and Budget (OMB) Circulars A-123 and A-130</w:t>
      </w:r>
    </w:p>
    <w:p w14:paraId="04FC2EA8"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Indian Health Service Rules of Behavior for appropriate use of information systems and technology resources</w:t>
      </w:r>
    </w:p>
    <w:p w14:paraId="59969BC0"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Entry for negotiation of release or settlement, 42 CFR 35.13</w:t>
      </w:r>
    </w:p>
    <w:p w14:paraId="01E201DA"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 xml:space="preserve">Accrediting or certifying organizations such as the Joint Commission and CMS. </w:t>
      </w:r>
    </w:p>
    <w:p w14:paraId="566DA74A" w14:textId="77777777" w:rsidR="005A5AC4" w:rsidRPr="005E6202" w:rsidRDefault="005A5AC4">
      <w:pPr>
        <w:numPr>
          <w:ilvl w:val="0"/>
          <w:numId w:val="135"/>
        </w:numPr>
        <w:tabs>
          <w:tab w:val="clear" w:pos="720"/>
        </w:tabs>
        <w:spacing w:before="100" w:beforeAutospacing="1" w:after="100" w:afterAutospacing="1"/>
        <w:ind w:left="540"/>
        <w:rPr>
          <w:rFonts w:eastAsia="Times New Roman"/>
          <w:color w:val="353535"/>
          <w:sz w:val="20"/>
          <w:szCs w:val="20"/>
          <w:lang w:val="en"/>
        </w:rPr>
      </w:pPr>
      <w:bookmarkStart w:id="263" w:name="3-3.1E"/>
      <w:bookmarkEnd w:id="263"/>
      <w:r w:rsidRPr="005E6202">
        <w:rPr>
          <w:rFonts w:eastAsia="Times New Roman"/>
          <w:color w:val="353535"/>
          <w:sz w:val="20"/>
          <w:szCs w:val="20"/>
          <w:u w:val="single"/>
          <w:lang w:val="en"/>
        </w:rPr>
        <w:lastRenderedPageBreak/>
        <w:t>Goal</w:t>
      </w:r>
      <w:r w:rsidRPr="005E6202">
        <w:rPr>
          <w:rFonts w:eastAsia="Times New Roman"/>
          <w:color w:val="353535"/>
          <w:sz w:val="20"/>
          <w:szCs w:val="20"/>
          <w:lang w:val="en"/>
        </w:rPr>
        <w:t>.  To support the IHS mission to raise the health status of American Indians and Alaska Natives (AI/AN) by maintaining a progressive HIM system that encompasses all aspects of a comprehensive health program.</w:t>
      </w:r>
    </w:p>
    <w:p w14:paraId="47B7AA56" w14:textId="77777777" w:rsidR="005A5AC4" w:rsidRPr="005E6202" w:rsidRDefault="005A5AC4">
      <w:pPr>
        <w:numPr>
          <w:ilvl w:val="0"/>
          <w:numId w:val="135"/>
        </w:numPr>
        <w:tabs>
          <w:tab w:val="clear" w:pos="720"/>
        </w:tabs>
        <w:spacing w:before="100" w:beforeAutospacing="1" w:after="100" w:afterAutospacing="1"/>
        <w:ind w:left="540"/>
        <w:rPr>
          <w:rFonts w:eastAsia="Times New Roman"/>
          <w:color w:val="353535"/>
          <w:sz w:val="20"/>
          <w:szCs w:val="20"/>
          <w:lang w:val="en"/>
        </w:rPr>
      </w:pPr>
      <w:bookmarkStart w:id="264" w:name="3-3.1F"/>
      <w:bookmarkEnd w:id="264"/>
      <w:r w:rsidRPr="005E6202">
        <w:rPr>
          <w:rFonts w:eastAsia="Times New Roman"/>
          <w:color w:val="353535"/>
          <w:sz w:val="20"/>
          <w:szCs w:val="20"/>
          <w:u w:val="single"/>
          <w:lang w:val="en"/>
        </w:rPr>
        <w:t>Objectives</w:t>
      </w:r>
      <w:r w:rsidRPr="005E6202">
        <w:rPr>
          <w:rFonts w:eastAsia="Times New Roman"/>
          <w:color w:val="353535"/>
          <w:sz w:val="20"/>
          <w:szCs w:val="20"/>
          <w:lang w:val="en"/>
        </w:rPr>
        <w:t xml:space="preserve">.  The IHS will: </w:t>
      </w:r>
    </w:p>
    <w:p w14:paraId="6C0E77A9"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Maintain a readily available, complete, and accurate health record on all individuals evaluated and/or treated in an IHS facility or by IHS staff in a community health setting.</w:t>
      </w:r>
    </w:p>
    <w:p w14:paraId="0211871C"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 xml:space="preserve">Ensure to the maximum extent possible that </w:t>
      </w:r>
      <w:proofErr w:type="spellStart"/>
      <w:r w:rsidRPr="005E6202">
        <w:rPr>
          <w:rFonts w:eastAsia="Times New Roman"/>
          <w:color w:val="353535"/>
          <w:sz w:val="20"/>
          <w:szCs w:val="20"/>
          <w:lang w:val="en"/>
        </w:rPr>
        <w:t>patients rights</w:t>
      </w:r>
      <w:proofErr w:type="spellEnd"/>
      <w:r w:rsidRPr="005E6202">
        <w:rPr>
          <w:rFonts w:eastAsia="Times New Roman"/>
          <w:color w:val="353535"/>
          <w:sz w:val="20"/>
          <w:szCs w:val="20"/>
          <w:lang w:val="en"/>
        </w:rPr>
        <w:t xml:space="preserve"> to privacy are protected by all who use the health record or are aware of its contents in the course of supporting patient care activities or providing patient care.</w:t>
      </w:r>
    </w:p>
    <w:p w14:paraId="7578E242"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Facilitate the exchange of health information among health care providers within IHS facilities, contract facilities, or other facilities providing health care to IHS patients.</w:t>
      </w:r>
    </w:p>
    <w:p w14:paraId="398CFACF"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 xml:space="preserve">Maintain secondary records and indexes (either manual or electronic) in order to provide vital statistics, statistical information, and research information. </w:t>
      </w:r>
    </w:p>
    <w:p w14:paraId="707EB947" w14:textId="04A18E03" w:rsidR="005A5AC4" w:rsidRPr="00967003" w:rsidRDefault="005A5AC4" w:rsidP="005A5AC4">
      <w:pPr>
        <w:spacing w:before="100" w:beforeAutospacing="1" w:after="100" w:afterAutospacing="1"/>
        <w:rPr>
          <w:rFonts w:eastAsia="Times New Roman"/>
          <w:b/>
          <w:bCs/>
          <w:color w:val="353535"/>
          <w:sz w:val="20"/>
          <w:szCs w:val="20"/>
          <w:lang w:val="en"/>
        </w:rPr>
      </w:pPr>
      <w:bookmarkStart w:id="265" w:name="3-3.2"/>
      <w:bookmarkEnd w:id="265"/>
      <w:r w:rsidRPr="00967003">
        <w:rPr>
          <w:rFonts w:eastAsia="Times New Roman"/>
          <w:b/>
          <w:bCs/>
          <w:color w:val="353535"/>
          <w:sz w:val="20"/>
          <w:szCs w:val="20"/>
          <w:lang w:val="en"/>
        </w:rPr>
        <w:t>3-3.2 HEALTH RECORD</w:t>
      </w:r>
    </w:p>
    <w:p w14:paraId="4896D014" w14:textId="77777777" w:rsidR="005A5AC4" w:rsidRPr="005E6202" w:rsidRDefault="005A5AC4">
      <w:pPr>
        <w:numPr>
          <w:ilvl w:val="0"/>
          <w:numId w:val="136"/>
        </w:numPr>
        <w:tabs>
          <w:tab w:val="clear" w:pos="720"/>
        </w:tabs>
        <w:spacing w:before="100" w:beforeAutospacing="1" w:after="100" w:afterAutospacing="1"/>
        <w:ind w:left="540"/>
        <w:rPr>
          <w:rFonts w:eastAsia="Times New Roman"/>
          <w:color w:val="353535"/>
          <w:sz w:val="20"/>
          <w:szCs w:val="20"/>
          <w:lang w:val="en"/>
        </w:rPr>
      </w:pPr>
      <w:bookmarkStart w:id="266" w:name="3-3.2A"/>
      <w:bookmarkEnd w:id="266"/>
      <w:r w:rsidRPr="005E6202">
        <w:rPr>
          <w:rFonts w:eastAsia="Times New Roman"/>
          <w:color w:val="353535"/>
          <w:sz w:val="20"/>
          <w:szCs w:val="20"/>
          <w:u w:val="single"/>
          <w:lang w:val="en"/>
        </w:rPr>
        <w:t>Communication</w:t>
      </w:r>
      <w:r w:rsidRPr="005E6202">
        <w:rPr>
          <w:rFonts w:eastAsia="Times New Roman"/>
          <w:color w:val="353535"/>
          <w:sz w:val="20"/>
          <w:szCs w:val="20"/>
          <w:lang w:val="en"/>
        </w:rPr>
        <w:t>.  The health record is a means of communication among the physicians, nurses, and allied health professionals who plan and conduct the care and treatment of the individual patient.</w:t>
      </w:r>
    </w:p>
    <w:p w14:paraId="5CB96FB2" w14:textId="77777777" w:rsidR="005A5AC4" w:rsidRPr="005E6202" w:rsidRDefault="005A5AC4">
      <w:pPr>
        <w:numPr>
          <w:ilvl w:val="0"/>
          <w:numId w:val="136"/>
        </w:numPr>
        <w:tabs>
          <w:tab w:val="clear" w:pos="720"/>
        </w:tabs>
        <w:spacing w:before="100" w:beforeAutospacing="1" w:after="100" w:afterAutospacing="1"/>
        <w:ind w:left="540"/>
        <w:rPr>
          <w:rFonts w:eastAsia="Times New Roman"/>
          <w:color w:val="353535"/>
          <w:sz w:val="20"/>
          <w:szCs w:val="20"/>
          <w:lang w:val="en"/>
        </w:rPr>
      </w:pPr>
      <w:bookmarkStart w:id="267" w:name="3-3.2B"/>
      <w:bookmarkEnd w:id="267"/>
      <w:r w:rsidRPr="005E6202">
        <w:rPr>
          <w:rFonts w:eastAsia="Times New Roman"/>
          <w:color w:val="353535"/>
          <w:sz w:val="20"/>
          <w:szCs w:val="20"/>
          <w:u w:val="single"/>
          <w:lang w:val="en"/>
        </w:rPr>
        <w:t>Definition</w:t>
      </w:r>
      <w:r w:rsidRPr="005E6202">
        <w:rPr>
          <w:rFonts w:eastAsia="Times New Roman"/>
          <w:color w:val="353535"/>
          <w:sz w:val="20"/>
          <w:szCs w:val="20"/>
          <w:lang w:val="en"/>
        </w:rPr>
        <w:t xml:space="preserve">.  The health record is a chronological documentation of health care and medical treatment given to a patient by professional members of the health care team and includes all handwritten and electronic components of the documentation.  It is an accurate, prompt recording of their observations including relevant information about the patient, the patient's progress, and the results of the treatment.  The health record: </w:t>
      </w:r>
    </w:p>
    <w:p w14:paraId="50FEF719" w14:textId="77777777" w:rsidR="005A5AC4" w:rsidRPr="00967003" w:rsidRDefault="005A5AC4">
      <w:pPr>
        <w:pStyle w:val="ListParagraph"/>
        <w:numPr>
          <w:ilvl w:val="1"/>
          <w:numId w:val="136"/>
        </w:numPr>
        <w:tabs>
          <w:tab w:val="clear" w:pos="1440"/>
        </w:tabs>
        <w:spacing w:before="100" w:beforeAutospacing="1" w:after="100" w:afterAutospacing="1"/>
        <w:ind w:left="1080"/>
        <w:rPr>
          <w:rFonts w:eastAsia="Times New Roman"/>
          <w:color w:val="353535"/>
          <w:sz w:val="20"/>
          <w:szCs w:val="20"/>
          <w:lang w:val="en"/>
        </w:rPr>
      </w:pPr>
      <w:r w:rsidRPr="00967003">
        <w:rPr>
          <w:rFonts w:eastAsia="Times New Roman"/>
          <w:color w:val="353535"/>
          <w:sz w:val="20"/>
          <w:szCs w:val="20"/>
          <w:lang w:val="en"/>
        </w:rPr>
        <w:t>may be paper or electronic or both (hybrid).</w:t>
      </w:r>
    </w:p>
    <w:p w14:paraId="605A6873" w14:textId="77777777" w:rsidR="005A5AC4" w:rsidRPr="00967003" w:rsidRDefault="005A5AC4">
      <w:pPr>
        <w:pStyle w:val="ListParagraph"/>
        <w:numPr>
          <w:ilvl w:val="1"/>
          <w:numId w:val="136"/>
        </w:numPr>
        <w:tabs>
          <w:tab w:val="clear" w:pos="1440"/>
        </w:tabs>
        <w:spacing w:before="100" w:beforeAutospacing="1" w:after="100" w:afterAutospacing="1"/>
        <w:ind w:left="1080"/>
        <w:rPr>
          <w:rFonts w:eastAsia="Times New Roman"/>
          <w:color w:val="353535"/>
          <w:sz w:val="20"/>
          <w:szCs w:val="20"/>
          <w:lang w:val="en"/>
        </w:rPr>
      </w:pPr>
      <w:r w:rsidRPr="00967003">
        <w:rPr>
          <w:rFonts w:eastAsia="Times New Roman"/>
          <w:color w:val="353535"/>
          <w:sz w:val="20"/>
          <w:szCs w:val="20"/>
          <w:lang w:val="en"/>
        </w:rPr>
        <w:t xml:space="preserve">creation, content, maintenance, management, processing, and expected quality measures must be standardized. </w:t>
      </w:r>
    </w:p>
    <w:p w14:paraId="0765F2FA" w14:textId="77777777" w:rsidR="005A5AC4" w:rsidRPr="005E6202" w:rsidRDefault="005A5AC4">
      <w:pPr>
        <w:numPr>
          <w:ilvl w:val="0"/>
          <w:numId w:val="136"/>
        </w:numPr>
        <w:tabs>
          <w:tab w:val="clear" w:pos="720"/>
        </w:tabs>
        <w:spacing w:before="100" w:beforeAutospacing="1" w:after="100" w:afterAutospacing="1"/>
        <w:ind w:left="540"/>
        <w:rPr>
          <w:rFonts w:eastAsia="Times New Roman"/>
          <w:color w:val="353535"/>
          <w:sz w:val="20"/>
          <w:szCs w:val="20"/>
          <w:lang w:val="en"/>
        </w:rPr>
      </w:pPr>
      <w:bookmarkStart w:id="268" w:name="3-3.2C"/>
      <w:bookmarkEnd w:id="268"/>
      <w:r w:rsidRPr="005E6202">
        <w:rPr>
          <w:rFonts w:eastAsia="Times New Roman"/>
          <w:color w:val="353535"/>
          <w:sz w:val="20"/>
          <w:szCs w:val="20"/>
          <w:u w:val="single"/>
          <w:lang w:val="en"/>
        </w:rPr>
        <w:t>Division</w:t>
      </w:r>
      <w:r w:rsidRPr="005E6202">
        <w:rPr>
          <w:rFonts w:eastAsia="Times New Roman"/>
          <w:color w:val="353535"/>
          <w:sz w:val="20"/>
          <w:szCs w:val="20"/>
          <w:lang w:val="en"/>
        </w:rPr>
        <w:t xml:space="preserve">.  The health record may be composed of two divisions: </w:t>
      </w:r>
    </w:p>
    <w:p w14:paraId="6D270336" w14:textId="77777777" w:rsidR="005A5AC4" w:rsidRPr="005E6202" w:rsidRDefault="005A5AC4">
      <w:pPr>
        <w:numPr>
          <w:ilvl w:val="1"/>
          <w:numId w:val="136"/>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Documentation of all types of health care services provided to an individual, in any aspect of health care delivery.  It includes individually identifiable health information, in any medium collected and directly used in and/or for documenting health care.  The term includes records of care in any health-related setting used by health care professionals while providing patient care service, and to review patient data or to document their own observations, actions, and instructions.</w:t>
      </w:r>
    </w:p>
    <w:p w14:paraId="0CB316C5" w14:textId="77777777" w:rsidR="005A5AC4" w:rsidRPr="005E6202" w:rsidRDefault="005A5AC4">
      <w:pPr>
        <w:numPr>
          <w:ilvl w:val="1"/>
          <w:numId w:val="136"/>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 xml:space="preserve">The administrative record is an official record pertaining to the administrative aspects involved in the care of a patient, including demographics, eligibility, billing, correspondence, and other business-related aspects. </w:t>
      </w:r>
    </w:p>
    <w:p w14:paraId="4D7D49A0" w14:textId="77777777" w:rsidR="005A5AC4" w:rsidRPr="005E6202" w:rsidRDefault="005A5AC4">
      <w:pPr>
        <w:numPr>
          <w:ilvl w:val="0"/>
          <w:numId w:val="136"/>
        </w:numPr>
        <w:tabs>
          <w:tab w:val="clear" w:pos="720"/>
        </w:tabs>
        <w:spacing w:before="100" w:beforeAutospacing="1" w:after="100" w:afterAutospacing="1"/>
        <w:ind w:left="540"/>
        <w:rPr>
          <w:rFonts w:eastAsia="Times New Roman"/>
          <w:color w:val="353535"/>
          <w:sz w:val="20"/>
          <w:szCs w:val="20"/>
          <w:lang w:val="en"/>
        </w:rPr>
      </w:pPr>
      <w:bookmarkStart w:id="269" w:name="3-3.2D"/>
      <w:bookmarkEnd w:id="269"/>
      <w:r w:rsidRPr="005E6202">
        <w:rPr>
          <w:rFonts w:eastAsia="Times New Roman"/>
          <w:color w:val="353535"/>
          <w:sz w:val="20"/>
          <w:szCs w:val="20"/>
          <w:u w:val="single"/>
          <w:lang w:val="en"/>
        </w:rPr>
        <w:t>Electronic Health Records</w:t>
      </w:r>
      <w:r w:rsidRPr="005E6202">
        <w:rPr>
          <w:rFonts w:eastAsia="Times New Roman"/>
          <w:color w:val="353535"/>
          <w:sz w:val="20"/>
          <w:szCs w:val="20"/>
          <w:lang w:val="en"/>
        </w:rPr>
        <w:t>.  Electronic capture and storage of patient health information will be implemented to enhance access to patient data by health care practitioners and other authorized users.  Electronically stored and/or printed health information is subject to the same medical and legal requirements as handwritten information in the health record.</w:t>
      </w:r>
    </w:p>
    <w:p w14:paraId="5A7E5298" w14:textId="77777777" w:rsidR="005A5AC4" w:rsidRPr="005E6202" w:rsidRDefault="005A5AC4">
      <w:pPr>
        <w:numPr>
          <w:ilvl w:val="0"/>
          <w:numId w:val="136"/>
        </w:numPr>
        <w:tabs>
          <w:tab w:val="clear" w:pos="720"/>
        </w:tabs>
        <w:spacing w:before="100" w:beforeAutospacing="1" w:after="100" w:afterAutospacing="1"/>
        <w:ind w:left="540"/>
        <w:rPr>
          <w:rFonts w:eastAsia="Times New Roman"/>
          <w:color w:val="353535"/>
          <w:sz w:val="20"/>
          <w:szCs w:val="20"/>
          <w:lang w:val="en"/>
        </w:rPr>
      </w:pPr>
      <w:bookmarkStart w:id="270" w:name="3-3.2E"/>
      <w:bookmarkEnd w:id="270"/>
      <w:r w:rsidRPr="005E6202">
        <w:rPr>
          <w:rFonts w:eastAsia="Times New Roman"/>
          <w:color w:val="353535"/>
          <w:sz w:val="20"/>
          <w:szCs w:val="20"/>
          <w:u w:val="single"/>
          <w:lang w:val="en"/>
        </w:rPr>
        <w:t>Encumbered</w:t>
      </w:r>
      <w:r w:rsidRPr="005E6202">
        <w:rPr>
          <w:rFonts w:eastAsia="Times New Roman"/>
          <w:color w:val="353535"/>
          <w:sz w:val="20"/>
          <w:szCs w:val="20"/>
          <w:lang w:val="en"/>
        </w:rPr>
        <w:t>.  An employee who currently occupies an official position.</w:t>
      </w:r>
    </w:p>
    <w:p w14:paraId="3B337865" w14:textId="77777777" w:rsidR="005A5AC4" w:rsidRPr="005E6202" w:rsidRDefault="005A5AC4">
      <w:pPr>
        <w:numPr>
          <w:ilvl w:val="0"/>
          <w:numId w:val="136"/>
        </w:numPr>
        <w:tabs>
          <w:tab w:val="clear" w:pos="720"/>
        </w:tabs>
        <w:spacing w:before="100" w:beforeAutospacing="1" w:after="100" w:afterAutospacing="1"/>
        <w:ind w:left="540"/>
        <w:rPr>
          <w:rFonts w:eastAsia="Times New Roman"/>
          <w:color w:val="353535"/>
          <w:sz w:val="20"/>
          <w:szCs w:val="20"/>
          <w:lang w:val="en"/>
        </w:rPr>
      </w:pPr>
      <w:bookmarkStart w:id="271" w:name="3-3.2F"/>
      <w:bookmarkEnd w:id="271"/>
      <w:r w:rsidRPr="005E6202">
        <w:rPr>
          <w:rFonts w:eastAsia="Times New Roman"/>
          <w:color w:val="353535"/>
          <w:sz w:val="20"/>
          <w:szCs w:val="20"/>
          <w:u w:val="single"/>
          <w:lang w:val="en"/>
        </w:rPr>
        <w:t>Finances</w:t>
      </w:r>
      <w:r w:rsidRPr="005E6202">
        <w:rPr>
          <w:rFonts w:eastAsia="Times New Roman"/>
          <w:color w:val="353535"/>
          <w:sz w:val="20"/>
          <w:szCs w:val="20"/>
          <w:lang w:val="en"/>
        </w:rPr>
        <w:t>.  The health record is the original source document for any financial activity involving patient care.  Primary examples are the use of health records in audits of third-party collections by outside payers; in internal audits to verify allocation processes; and to develop and maintain cost management programs and cost management systems.</w:t>
      </w:r>
    </w:p>
    <w:p w14:paraId="409E991A" w14:textId="77777777" w:rsidR="005A5AC4" w:rsidRPr="005E6202" w:rsidRDefault="005A5AC4">
      <w:pPr>
        <w:numPr>
          <w:ilvl w:val="0"/>
          <w:numId w:val="136"/>
        </w:numPr>
        <w:tabs>
          <w:tab w:val="clear" w:pos="720"/>
        </w:tabs>
        <w:spacing w:before="100" w:beforeAutospacing="1" w:after="100" w:afterAutospacing="1"/>
        <w:ind w:left="540"/>
        <w:rPr>
          <w:rFonts w:eastAsia="Times New Roman"/>
          <w:color w:val="353535"/>
          <w:sz w:val="20"/>
          <w:szCs w:val="20"/>
          <w:lang w:val="en"/>
        </w:rPr>
      </w:pPr>
      <w:bookmarkStart w:id="272" w:name="3-3.2G"/>
      <w:bookmarkEnd w:id="272"/>
      <w:r w:rsidRPr="005E6202">
        <w:rPr>
          <w:rFonts w:eastAsia="Times New Roman"/>
          <w:color w:val="353535"/>
          <w:sz w:val="20"/>
          <w:szCs w:val="20"/>
          <w:u w:val="single"/>
          <w:lang w:val="en"/>
        </w:rPr>
        <w:t>Legal Document</w:t>
      </w:r>
      <w:r w:rsidRPr="005E6202">
        <w:rPr>
          <w:rFonts w:eastAsia="Times New Roman"/>
          <w:color w:val="353535"/>
          <w:sz w:val="20"/>
          <w:szCs w:val="20"/>
          <w:lang w:val="en"/>
        </w:rPr>
        <w:t>.  The health record is a legal document that benefits the patient, the physician, other health care providers, and the health care program.</w:t>
      </w:r>
    </w:p>
    <w:p w14:paraId="1F644F31" w14:textId="77777777" w:rsidR="005A5AC4" w:rsidRPr="005E6202" w:rsidRDefault="005A5AC4">
      <w:pPr>
        <w:numPr>
          <w:ilvl w:val="0"/>
          <w:numId w:val="136"/>
        </w:numPr>
        <w:tabs>
          <w:tab w:val="clear" w:pos="720"/>
        </w:tabs>
        <w:spacing w:before="100" w:beforeAutospacing="1" w:after="100" w:afterAutospacing="1"/>
        <w:ind w:left="540"/>
        <w:rPr>
          <w:rFonts w:eastAsia="Times New Roman"/>
          <w:color w:val="353535"/>
          <w:sz w:val="20"/>
          <w:szCs w:val="20"/>
          <w:lang w:val="en"/>
        </w:rPr>
      </w:pPr>
      <w:bookmarkStart w:id="273" w:name="3-3.2H"/>
      <w:bookmarkEnd w:id="273"/>
      <w:r w:rsidRPr="005E6202">
        <w:rPr>
          <w:rFonts w:eastAsia="Times New Roman"/>
          <w:color w:val="353535"/>
          <w:sz w:val="20"/>
          <w:szCs w:val="20"/>
          <w:u w:val="single"/>
          <w:lang w:val="en"/>
        </w:rPr>
        <w:t>Legal Health Record</w:t>
      </w:r>
      <w:r w:rsidRPr="005E6202">
        <w:rPr>
          <w:rFonts w:eastAsia="Times New Roman"/>
          <w:color w:val="353535"/>
          <w:sz w:val="20"/>
          <w:szCs w:val="20"/>
          <w:lang w:val="en"/>
        </w:rPr>
        <w:t>.  The EHR and the paper record combined is the legal health record.</w:t>
      </w:r>
    </w:p>
    <w:p w14:paraId="663ECEFC" w14:textId="77777777" w:rsidR="005A5AC4" w:rsidRPr="005E6202" w:rsidRDefault="005A5AC4">
      <w:pPr>
        <w:numPr>
          <w:ilvl w:val="0"/>
          <w:numId w:val="136"/>
        </w:numPr>
        <w:tabs>
          <w:tab w:val="clear" w:pos="720"/>
        </w:tabs>
        <w:spacing w:before="100" w:beforeAutospacing="1" w:after="100" w:afterAutospacing="1"/>
        <w:ind w:left="540"/>
        <w:rPr>
          <w:rFonts w:eastAsia="Times New Roman"/>
          <w:color w:val="353535"/>
          <w:sz w:val="20"/>
          <w:szCs w:val="20"/>
          <w:lang w:val="en"/>
        </w:rPr>
      </w:pPr>
      <w:bookmarkStart w:id="274" w:name="3-3.2I"/>
      <w:bookmarkEnd w:id="274"/>
      <w:r w:rsidRPr="005E6202">
        <w:rPr>
          <w:rFonts w:eastAsia="Times New Roman"/>
          <w:color w:val="353535"/>
          <w:sz w:val="20"/>
          <w:szCs w:val="20"/>
          <w:u w:val="single"/>
          <w:lang w:val="en"/>
        </w:rPr>
        <w:t>Station</w:t>
      </w:r>
      <w:r w:rsidRPr="005E6202">
        <w:rPr>
          <w:rFonts w:eastAsia="Times New Roman"/>
          <w:color w:val="353535"/>
          <w:sz w:val="20"/>
          <w:szCs w:val="20"/>
          <w:lang w:val="en"/>
        </w:rPr>
        <w:t>.  An IHS health station is an ambulatory care facility (fixed or mobile) which is geographically separate from an inpatient hospital or health center, that provides one or more clinical services, and is operated less than 40 hours per week.</w:t>
      </w:r>
    </w:p>
    <w:p w14:paraId="12977EA1" w14:textId="77777777" w:rsidR="005A5AC4" w:rsidRPr="005E6202" w:rsidRDefault="005A5AC4" w:rsidP="000D7FFC">
      <w:pPr>
        <w:keepNext/>
        <w:keepLines/>
        <w:numPr>
          <w:ilvl w:val="0"/>
          <w:numId w:val="136"/>
        </w:numPr>
        <w:tabs>
          <w:tab w:val="clear" w:pos="720"/>
        </w:tabs>
        <w:spacing w:before="100" w:beforeAutospacing="1" w:after="100" w:afterAutospacing="1"/>
        <w:ind w:left="547"/>
        <w:rPr>
          <w:rFonts w:eastAsia="Times New Roman"/>
          <w:color w:val="353535"/>
          <w:sz w:val="20"/>
          <w:szCs w:val="20"/>
          <w:lang w:val="en"/>
        </w:rPr>
      </w:pPr>
      <w:bookmarkStart w:id="275" w:name="3-3.2J"/>
      <w:bookmarkEnd w:id="275"/>
      <w:r w:rsidRPr="005E6202">
        <w:rPr>
          <w:rFonts w:eastAsia="Times New Roman"/>
          <w:color w:val="353535"/>
          <w:sz w:val="20"/>
          <w:szCs w:val="20"/>
          <w:u w:val="single"/>
          <w:lang w:val="en"/>
        </w:rPr>
        <w:lastRenderedPageBreak/>
        <w:t>Statistics</w:t>
      </w:r>
      <w:r w:rsidRPr="005E6202">
        <w:rPr>
          <w:rFonts w:eastAsia="Times New Roman"/>
          <w:color w:val="353535"/>
          <w:sz w:val="20"/>
          <w:szCs w:val="20"/>
          <w:lang w:val="en"/>
        </w:rPr>
        <w:t>.  The health record is the source document for statistical research, planning, and budgeting.</w:t>
      </w:r>
    </w:p>
    <w:p w14:paraId="58E19B3D" w14:textId="77777777" w:rsidR="005A5AC4" w:rsidRPr="005E6202" w:rsidRDefault="005A5AC4">
      <w:pPr>
        <w:numPr>
          <w:ilvl w:val="0"/>
          <w:numId w:val="136"/>
        </w:numPr>
        <w:tabs>
          <w:tab w:val="clear" w:pos="720"/>
        </w:tabs>
        <w:spacing w:before="100" w:beforeAutospacing="1" w:after="100" w:afterAutospacing="1"/>
        <w:ind w:left="540"/>
        <w:rPr>
          <w:rFonts w:eastAsia="Times New Roman"/>
          <w:color w:val="353535"/>
          <w:sz w:val="20"/>
          <w:szCs w:val="20"/>
          <w:lang w:val="en"/>
        </w:rPr>
      </w:pPr>
      <w:bookmarkStart w:id="276" w:name="3-3.2K"/>
      <w:bookmarkEnd w:id="276"/>
      <w:r w:rsidRPr="005E6202">
        <w:rPr>
          <w:rFonts w:eastAsia="Times New Roman"/>
          <w:color w:val="353535"/>
          <w:sz w:val="20"/>
          <w:szCs w:val="20"/>
          <w:u w:val="single"/>
          <w:lang w:val="en"/>
        </w:rPr>
        <w:t>Training</w:t>
      </w:r>
      <w:r w:rsidRPr="005E6202">
        <w:rPr>
          <w:rFonts w:eastAsia="Times New Roman"/>
          <w:color w:val="353535"/>
          <w:sz w:val="20"/>
          <w:szCs w:val="20"/>
          <w:lang w:val="en"/>
        </w:rPr>
        <w:t xml:space="preserve">.  The health record is a tool for training members of the medical and paramedical professions and for conducting medical research. It is the primary means for evaluating the quality and appropriateness of medical care rendered. </w:t>
      </w:r>
    </w:p>
    <w:p w14:paraId="620D4834" w14:textId="71F19A38" w:rsidR="005A5AC4" w:rsidRPr="00967003" w:rsidRDefault="005A5AC4" w:rsidP="005A5AC4">
      <w:pPr>
        <w:spacing w:before="100" w:beforeAutospacing="1" w:after="100" w:afterAutospacing="1"/>
        <w:rPr>
          <w:rFonts w:eastAsia="Times New Roman"/>
          <w:b/>
          <w:bCs/>
          <w:color w:val="353535"/>
          <w:sz w:val="20"/>
          <w:szCs w:val="20"/>
          <w:lang w:val="en"/>
        </w:rPr>
      </w:pPr>
      <w:bookmarkStart w:id="277" w:name="3-3.4"/>
      <w:bookmarkEnd w:id="277"/>
      <w:r w:rsidRPr="00967003">
        <w:rPr>
          <w:rFonts w:eastAsia="Times New Roman"/>
          <w:b/>
          <w:bCs/>
          <w:color w:val="353535"/>
          <w:sz w:val="20"/>
          <w:szCs w:val="20"/>
          <w:lang w:val="en"/>
        </w:rPr>
        <w:t>3-3.4 RESPONSIBILITIES</w:t>
      </w:r>
    </w:p>
    <w:p w14:paraId="3297D2F3" w14:textId="77777777" w:rsidR="005A5AC4" w:rsidRPr="00B974C4" w:rsidRDefault="005A5AC4">
      <w:pPr>
        <w:numPr>
          <w:ilvl w:val="0"/>
          <w:numId w:val="137"/>
        </w:numPr>
        <w:tabs>
          <w:tab w:val="clear" w:pos="720"/>
        </w:tabs>
        <w:spacing w:before="100" w:beforeAutospacing="1" w:after="100" w:afterAutospacing="1"/>
        <w:ind w:left="540"/>
        <w:rPr>
          <w:rFonts w:eastAsia="Times New Roman"/>
          <w:color w:val="353535"/>
          <w:sz w:val="20"/>
          <w:szCs w:val="20"/>
          <w:lang w:val="en"/>
        </w:rPr>
      </w:pPr>
      <w:bookmarkStart w:id="278" w:name="3-3.4A"/>
      <w:bookmarkEnd w:id="278"/>
      <w:r w:rsidRPr="00B974C4">
        <w:rPr>
          <w:rFonts w:eastAsia="Times New Roman"/>
          <w:color w:val="353535"/>
          <w:sz w:val="20"/>
          <w:szCs w:val="20"/>
          <w:u w:val="single"/>
          <w:lang w:val="en"/>
        </w:rPr>
        <w:t>Chief, Health Information Management</w:t>
      </w:r>
      <w:r w:rsidRPr="00B974C4">
        <w:rPr>
          <w:rFonts w:eastAsia="Times New Roman"/>
          <w:color w:val="353535"/>
          <w:sz w:val="20"/>
          <w:szCs w:val="20"/>
          <w:lang w:val="en"/>
        </w:rPr>
        <w:t xml:space="preserve">.  The Chief, HIM, is responsible for: </w:t>
      </w:r>
    </w:p>
    <w:p w14:paraId="058488E0"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representing the HIM profession in planning and developing a comprehensive health program for the IHS;</w:t>
      </w:r>
    </w:p>
    <w:p w14:paraId="4883AF9F"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serving in a key role for all activities involving data systems, including planning, developing, implementing, and evaluating systems;</w:t>
      </w:r>
    </w:p>
    <w:p w14:paraId="7EF55414"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advising the IHS Director and members of the Director's staff on policy formulation and activities involving HIM services, data quality, and third party reimbursement in all types of facilities;</w:t>
      </w:r>
    </w:p>
    <w:p w14:paraId="24A783FF"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providing professional and technical guidance to Area HIM consultants in developing and administering HIM programs to enable IHS facilities to meet IHS goals and objectives;</w:t>
      </w:r>
    </w:p>
    <w:p w14:paraId="497F8383"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planning the recruitment, professional development, and effective use of professional and technical level HIM personnel throughout the IHS; and</w:t>
      </w:r>
    </w:p>
    <w:p w14:paraId="3BE50312"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 xml:space="preserve">planning orientation and training activities for HIM personnel. </w:t>
      </w:r>
    </w:p>
    <w:p w14:paraId="5BB39225" w14:textId="77777777" w:rsidR="005A5AC4" w:rsidRPr="00B974C4" w:rsidRDefault="005A5AC4">
      <w:pPr>
        <w:numPr>
          <w:ilvl w:val="0"/>
          <w:numId w:val="137"/>
        </w:numPr>
        <w:tabs>
          <w:tab w:val="clear" w:pos="720"/>
        </w:tabs>
        <w:spacing w:before="100" w:beforeAutospacing="1" w:after="100" w:afterAutospacing="1"/>
        <w:ind w:left="540"/>
        <w:rPr>
          <w:rFonts w:eastAsia="Times New Roman"/>
          <w:color w:val="353535"/>
          <w:sz w:val="20"/>
          <w:szCs w:val="20"/>
          <w:lang w:val="en"/>
        </w:rPr>
      </w:pPr>
      <w:bookmarkStart w:id="279" w:name="3-3.4B"/>
      <w:bookmarkEnd w:id="279"/>
      <w:r w:rsidRPr="00B974C4">
        <w:rPr>
          <w:rFonts w:eastAsia="Times New Roman"/>
          <w:color w:val="353535"/>
          <w:sz w:val="20"/>
          <w:szCs w:val="20"/>
          <w:u w:val="single"/>
          <w:lang w:val="en"/>
        </w:rPr>
        <w:t>Area HIM Consultant</w:t>
      </w:r>
      <w:r w:rsidRPr="00B974C4">
        <w:rPr>
          <w:rFonts w:eastAsia="Times New Roman"/>
          <w:color w:val="353535"/>
          <w:sz w:val="20"/>
          <w:szCs w:val="20"/>
          <w:lang w:val="en"/>
        </w:rPr>
        <w:t xml:space="preserve">. The Area HIM Consultant is responsible for: </w:t>
      </w:r>
    </w:p>
    <w:p w14:paraId="12FA6FA8"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assisting in planning and developing a comprehensive health program for the Area that is consistent with IHS goals and objectives;</w:t>
      </w:r>
    </w:p>
    <w:p w14:paraId="2C9A4E2F"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advising the Area Director, Area staff, Chief Executive Officers (CEO), and their staffs on the implementation of policies and activities involving health records, data quality, third-party reimbursement, utilization review, and quality improvement;</w:t>
      </w:r>
    </w:p>
    <w:p w14:paraId="36B625DC"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assisting Service Unit HIM Supervisors or Directors in meeting equal employment opportunity objectives;</w:t>
      </w:r>
    </w:p>
    <w:p w14:paraId="04D73906"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participating in planning, developing, implementing, and evaluating data systems;</w:t>
      </w:r>
    </w:p>
    <w:p w14:paraId="4FB35553"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assisting Service Unit personnel in planning facilities construction/remodeling and procuring equipment;</w:t>
      </w:r>
    </w:p>
    <w:p w14:paraId="2DDD2932"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advising and assisting Service Unit HIM staff in performing quality review programs to meet requirements of the Joint Commission, CMS, the Accreditation Association for Ambulatory Health Care, and other regulatory and/or accrediting agencies;</w:t>
      </w:r>
    </w:p>
    <w:p w14:paraId="1882270D"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assisting in recruitment, use, and evaluation of professional and technical level Service Unit HIM staff;</w:t>
      </w:r>
    </w:p>
    <w:p w14:paraId="5420E6ED"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assisting in planning for career advancement and professional development of Area HIM staff using workshops, institutes, online courses, audio seminars, and college-based HIM courses;</w:t>
      </w:r>
    </w:p>
    <w:p w14:paraId="0D47FDB3"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providing orientation to Area professional and administrative personnel on HIM policies and standards training;</w:t>
      </w:r>
    </w:p>
    <w:p w14:paraId="1DDC6936"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assisting the CEO and staff with orientation and indoctrination in HIM;</w:t>
      </w:r>
    </w:p>
    <w:p w14:paraId="2BBD0466"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providing guidance to Area and Service Unit staff in medico-legal matters, including compliance with the Privacy Act of 1974, HIPAA, FOIA, and Confidentiality of Alcohol and Drug Abuse Patient Records regulations;</w:t>
      </w:r>
    </w:p>
    <w:p w14:paraId="0D5E9759"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 xml:space="preserve">writing and submitting narrative reports for submission to the Chief Headquarters HIM Consultant and report at the biannual Area HIM Consultants meeting.  The report should briefly discuss (as appropriate) the following: </w:t>
      </w:r>
    </w:p>
    <w:p w14:paraId="00E0E017" w14:textId="77777777" w:rsidR="005A5AC4" w:rsidRPr="00B974C4" w:rsidRDefault="005A5AC4">
      <w:pPr>
        <w:numPr>
          <w:ilvl w:val="2"/>
          <w:numId w:val="137"/>
        </w:numPr>
        <w:spacing w:before="100" w:beforeAutospacing="1" w:after="100" w:afterAutospacing="1"/>
        <w:ind w:left="1620"/>
        <w:rPr>
          <w:rFonts w:eastAsia="Times New Roman"/>
          <w:color w:val="353535"/>
          <w:sz w:val="20"/>
          <w:szCs w:val="20"/>
          <w:lang w:val="en"/>
        </w:rPr>
      </w:pPr>
      <w:r w:rsidRPr="00B974C4">
        <w:rPr>
          <w:rFonts w:eastAsia="Times New Roman"/>
          <w:color w:val="353535"/>
          <w:sz w:val="20"/>
          <w:szCs w:val="20"/>
          <w:lang w:val="en"/>
        </w:rPr>
        <w:t>staffing levels in each facility for the following categories:  Permanent, temporary, credential levels, and positions encumbered by credentialed professionals (Credentialed is defined as an active registration or accreditation by the AHIMA);</w:t>
      </w:r>
    </w:p>
    <w:p w14:paraId="4E019305" w14:textId="77777777" w:rsidR="005A5AC4" w:rsidRPr="00B974C4" w:rsidRDefault="005A5AC4">
      <w:pPr>
        <w:numPr>
          <w:ilvl w:val="2"/>
          <w:numId w:val="137"/>
        </w:numPr>
        <w:spacing w:before="100" w:beforeAutospacing="1" w:after="100" w:afterAutospacing="1"/>
        <w:ind w:left="1620"/>
        <w:rPr>
          <w:rFonts w:eastAsia="Times New Roman"/>
          <w:color w:val="353535"/>
          <w:sz w:val="20"/>
          <w:szCs w:val="20"/>
          <w:lang w:val="en"/>
        </w:rPr>
      </w:pPr>
      <w:r w:rsidRPr="00B974C4">
        <w:rPr>
          <w:rFonts w:eastAsia="Times New Roman"/>
          <w:color w:val="353535"/>
          <w:sz w:val="20"/>
          <w:szCs w:val="20"/>
          <w:lang w:val="en"/>
        </w:rPr>
        <w:t>changes in HIM positions, personnel components, and vacancies;</w:t>
      </w:r>
    </w:p>
    <w:p w14:paraId="2D71F74B" w14:textId="77777777" w:rsidR="005A5AC4" w:rsidRPr="00B974C4" w:rsidRDefault="005A5AC4">
      <w:pPr>
        <w:numPr>
          <w:ilvl w:val="2"/>
          <w:numId w:val="137"/>
        </w:numPr>
        <w:spacing w:before="100" w:beforeAutospacing="1" w:after="100" w:afterAutospacing="1"/>
        <w:ind w:left="1620"/>
        <w:rPr>
          <w:rFonts w:eastAsia="Times New Roman"/>
          <w:color w:val="353535"/>
          <w:sz w:val="20"/>
          <w:szCs w:val="20"/>
          <w:lang w:val="en"/>
        </w:rPr>
      </w:pPr>
      <w:r w:rsidRPr="00B974C4">
        <w:rPr>
          <w:rFonts w:eastAsia="Times New Roman"/>
          <w:color w:val="353535"/>
          <w:sz w:val="20"/>
          <w:szCs w:val="20"/>
          <w:lang w:val="en"/>
        </w:rPr>
        <w:t>accomplishments;</w:t>
      </w:r>
    </w:p>
    <w:p w14:paraId="0828BA56" w14:textId="77777777" w:rsidR="005A5AC4" w:rsidRPr="00B974C4" w:rsidRDefault="005A5AC4">
      <w:pPr>
        <w:numPr>
          <w:ilvl w:val="2"/>
          <w:numId w:val="137"/>
        </w:numPr>
        <w:spacing w:before="100" w:beforeAutospacing="1" w:after="100" w:afterAutospacing="1"/>
        <w:ind w:left="1620"/>
        <w:rPr>
          <w:rFonts w:eastAsia="Times New Roman"/>
          <w:color w:val="353535"/>
          <w:sz w:val="20"/>
          <w:szCs w:val="20"/>
          <w:lang w:val="en"/>
        </w:rPr>
      </w:pPr>
      <w:r w:rsidRPr="00B974C4">
        <w:rPr>
          <w:rFonts w:eastAsia="Times New Roman"/>
          <w:color w:val="353535"/>
          <w:sz w:val="20"/>
          <w:szCs w:val="20"/>
          <w:lang w:val="en"/>
        </w:rPr>
        <w:t>proposed action for future quarter;</w:t>
      </w:r>
    </w:p>
    <w:p w14:paraId="1D8130AA" w14:textId="77777777" w:rsidR="005A5AC4" w:rsidRPr="00B974C4" w:rsidRDefault="005A5AC4">
      <w:pPr>
        <w:numPr>
          <w:ilvl w:val="2"/>
          <w:numId w:val="137"/>
        </w:numPr>
        <w:spacing w:before="100" w:beforeAutospacing="1" w:after="100" w:afterAutospacing="1"/>
        <w:ind w:left="1620"/>
        <w:rPr>
          <w:rFonts w:eastAsia="Times New Roman"/>
          <w:color w:val="353535"/>
          <w:sz w:val="20"/>
          <w:szCs w:val="20"/>
          <w:lang w:val="en"/>
        </w:rPr>
      </w:pPr>
      <w:r w:rsidRPr="00B974C4">
        <w:rPr>
          <w:rFonts w:eastAsia="Times New Roman"/>
          <w:color w:val="353535"/>
          <w:sz w:val="20"/>
          <w:szCs w:val="20"/>
          <w:lang w:val="en"/>
        </w:rPr>
        <w:t>recruiting activities;</w:t>
      </w:r>
    </w:p>
    <w:p w14:paraId="00349ED0" w14:textId="77777777" w:rsidR="005A5AC4" w:rsidRPr="00B974C4" w:rsidRDefault="005A5AC4">
      <w:pPr>
        <w:numPr>
          <w:ilvl w:val="2"/>
          <w:numId w:val="137"/>
        </w:numPr>
        <w:spacing w:before="100" w:beforeAutospacing="1" w:after="100" w:afterAutospacing="1"/>
        <w:ind w:left="1620"/>
        <w:rPr>
          <w:rFonts w:eastAsia="Times New Roman"/>
          <w:color w:val="353535"/>
          <w:sz w:val="20"/>
          <w:szCs w:val="20"/>
          <w:lang w:val="en"/>
        </w:rPr>
      </w:pPr>
      <w:r w:rsidRPr="00B974C4">
        <w:rPr>
          <w:rFonts w:eastAsia="Times New Roman"/>
          <w:color w:val="353535"/>
          <w:sz w:val="20"/>
          <w:szCs w:val="20"/>
          <w:lang w:val="en"/>
        </w:rPr>
        <w:lastRenderedPageBreak/>
        <w:t>problems and, if possible, recommended solutions; and</w:t>
      </w:r>
    </w:p>
    <w:p w14:paraId="7DBD35C0" w14:textId="77777777" w:rsidR="005A5AC4" w:rsidRPr="00B974C4" w:rsidRDefault="005A5AC4">
      <w:pPr>
        <w:numPr>
          <w:ilvl w:val="2"/>
          <w:numId w:val="137"/>
        </w:numPr>
        <w:spacing w:before="100" w:beforeAutospacing="1" w:after="100" w:afterAutospacing="1"/>
        <w:ind w:left="1620"/>
        <w:rPr>
          <w:rFonts w:eastAsia="Times New Roman"/>
          <w:color w:val="353535"/>
          <w:sz w:val="20"/>
          <w:szCs w:val="20"/>
          <w:lang w:val="en"/>
        </w:rPr>
      </w:pPr>
      <w:r w:rsidRPr="00B974C4">
        <w:rPr>
          <w:rFonts w:eastAsia="Times New Roman"/>
          <w:color w:val="353535"/>
          <w:sz w:val="20"/>
          <w:szCs w:val="20"/>
          <w:lang w:val="en"/>
        </w:rPr>
        <w:t xml:space="preserve">ongoing educational programs, regularly scheduled workshops, and outside training. </w:t>
      </w:r>
    </w:p>
    <w:p w14:paraId="5EC3FCB0" w14:textId="77777777" w:rsidR="005A5AC4" w:rsidRPr="00B974C4" w:rsidRDefault="005A5AC4">
      <w:pPr>
        <w:numPr>
          <w:ilvl w:val="0"/>
          <w:numId w:val="137"/>
        </w:numPr>
        <w:tabs>
          <w:tab w:val="clear" w:pos="720"/>
        </w:tabs>
        <w:spacing w:before="100" w:beforeAutospacing="1" w:after="100" w:afterAutospacing="1"/>
        <w:ind w:left="540"/>
        <w:rPr>
          <w:rFonts w:eastAsia="Times New Roman"/>
          <w:color w:val="353535"/>
          <w:sz w:val="20"/>
          <w:szCs w:val="20"/>
          <w:lang w:val="en"/>
        </w:rPr>
      </w:pPr>
      <w:bookmarkStart w:id="280" w:name="3-3.4C"/>
      <w:bookmarkEnd w:id="280"/>
      <w:r w:rsidRPr="00B974C4">
        <w:rPr>
          <w:rFonts w:eastAsia="Times New Roman"/>
          <w:color w:val="353535"/>
          <w:sz w:val="20"/>
          <w:szCs w:val="20"/>
          <w:u w:val="single"/>
          <w:lang w:val="en"/>
        </w:rPr>
        <w:t>Service Unit HIM Directors</w:t>
      </w:r>
      <w:r w:rsidRPr="00B974C4">
        <w:rPr>
          <w:rFonts w:eastAsia="Times New Roman"/>
          <w:color w:val="353535"/>
          <w:sz w:val="20"/>
          <w:szCs w:val="20"/>
          <w:lang w:val="en"/>
        </w:rPr>
        <w:t xml:space="preserve">.  Service Unit HIM Directors are administratively responsible for all HIM activities within the Service Unit, hospitals, and clinics; they are responsible to: </w:t>
      </w:r>
    </w:p>
    <w:p w14:paraId="1FC1D06B"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assist Service Unit staff in planning and developing a comprehensive health program to meet IHS goals and objectives;</w:t>
      </w:r>
    </w:p>
    <w:p w14:paraId="69656299"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direct HIM department activities, implement IHS policies, and develop procedures to administer the facility HIM program;</w:t>
      </w:r>
    </w:p>
    <w:p w14:paraId="71847D97"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advise the CEO and staff in matters involving HIM policies, data quality, and third-party reimbursement;</w:t>
      </w:r>
    </w:p>
    <w:p w14:paraId="02D30D49"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plan for recruiting, developing, and use of facility HIM personnel;</w:t>
      </w:r>
    </w:p>
    <w:p w14:paraId="75B14DB5"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assist in evaluating and analyzing statistical data for epidemiological or other studies, program planning, and budgeting;</w:t>
      </w:r>
    </w:p>
    <w:p w14:paraId="2DFF0EB2"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collaborate with the clinical application coordinator (CAC) on setting up, maintaining, accessing, and using the Resource and Patient Management System (RPMS) EHR;</w:t>
      </w:r>
    </w:p>
    <w:p w14:paraId="2CE38979"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provide on-the-job training to HIM personnel;</w:t>
      </w:r>
    </w:p>
    <w:p w14:paraId="301DB363"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conduct HIM orientation for department heads and professional employees in HIM policies and procedures; and</w:t>
      </w:r>
    </w:p>
    <w:p w14:paraId="7E779AED"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 xml:space="preserve">perform quality review studies with professional personnel from other disciplines in order to meet IHS requirements and those of certifying or accrediting organizations. </w:t>
      </w:r>
    </w:p>
    <w:p w14:paraId="4D7F7E9E" w14:textId="12D8CB83" w:rsidR="005A5AC4" w:rsidRPr="00967003" w:rsidRDefault="005A5AC4" w:rsidP="005A5AC4">
      <w:pPr>
        <w:spacing w:before="100" w:beforeAutospacing="1" w:after="100" w:afterAutospacing="1"/>
        <w:rPr>
          <w:rFonts w:eastAsia="Times New Roman"/>
          <w:b/>
          <w:bCs/>
          <w:color w:val="353535"/>
          <w:sz w:val="20"/>
          <w:szCs w:val="20"/>
          <w:lang w:val="en"/>
        </w:rPr>
      </w:pPr>
      <w:r w:rsidRPr="00967003">
        <w:rPr>
          <w:rFonts w:eastAsia="Times New Roman"/>
          <w:b/>
          <w:bCs/>
          <w:color w:val="353535"/>
          <w:sz w:val="20"/>
          <w:szCs w:val="20"/>
          <w:lang w:val="en"/>
        </w:rPr>
        <w:t>3-3.5 HEALTH INFORMATION MANAGEMENT DEPARTMENT</w:t>
      </w:r>
    </w:p>
    <w:p w14:paraId="2F294B71" w14:textId="77777777" w:rsidR="005A5AC4" w:rsidRPr="004C49F0" w:rsidRDefault="005A5AC4">
      <w:pPr>
        <w:numPr>
          <w:ilvl w:val="0"/>
          <w:numId w:val="138"/>
        </w:numPr>
        <w:tabs>
          <w:tab w:val="clear" w:pos="720"/>
        </w:tabs>
        <w:spacing w:before="100" w:beforeAutospacing="1" w:after="100" w:afterAutospacing="1"/>
        <w:ind w:left="540"/>
        <w:rPr>
          <w:rFonts w:eastAsia="Times New Roman"/>
          <w:color w:val="353535"/>
          <w:sz w:val="20"/>
          <w:szCs w:val="20"/>
          <w:lang w:val="en"/>
        </w:rPr>
      </w:pPr>
      <w:bookmarkStart w:id="281" w:name="3-3.5A"/>
      <w:bookmarkEnd w:id="281"/>
      <w:r w:rsidRPr="004C49F0">
        <w:rPr>
          <w:rFonts w:eastAsia="Times New Roman"/>
          <w:color w:val="353535"/>
          <w:sz w:val="20"/>
          <w:szCs w:val="20"/>
          <w:u w:val="single"/>
          <w:lang w:val="en"/>
        </w:rPr>
        <w:t>Administrative Responsibilities</w:t>
      </w:r>
      <w:r w:rsidRPr="004C49F0">
        <w:rPr>
          <w:rFonts w:eastAsia="Times New Roman"/>
          <w:color w:val="353535"/>
          <w:sz w:val="20"/>
          <w:szCs w:val="20"/>
          <w:lang w:val="en"/>
        </w:rPr>
        <w:t>.  The HIM department will maintain the facilities and services necessary to provide health records that are documented accurately and in a timely manner; that are readily accessible and contain all current information; and that permit prompt retrieval of information, including statistical data.</w:t>
      </w:r>
    </w:p>
    <w:p w14:paraId="5E3FF1EF" w14:textId="77777777" w:rsidR="005A5AC4" w:rsidRPr="004C49F0" w:rsidRDefault="005A5AC4">
      <w:pPr>
        <w:numPr>
          <w:ilvl w:val="0"/>
          <w:numId w:val="138"/>
        </w:numPr>
        <w:tabs>
          <w:tab w:val="clear" w:pos="720"/>
        </w:tabs>
        <w:spacing w:before="100" w:beforeAutospacing="1" w:after="100" w:afterAutospacing="1"/>
        <w:ind w:left="540"/>
        <w:rPr>
          <w:rFonts w:eastAsia="Times New Roman"/>
          <w:color w:val="353535"/>
          <w:sz w:val="20"/>
          <w:szCs w:val="20"/>
          <w:lang w:val="en"/>
        </w:rPr>
      </w:pPr>
      <w:bookmarkStart w:id="282" w:name="3-3.5B"/>
      <w:bookmarkEnd w:id="282"/>
      <w:r w:rsidRPr="004C49F0">
        <w:rPr>
          <w:rFonts w:eastAsia="Times New Roman"/>
          <w:color w:val="353535"/>
          <w:sz w:val="20"/>
          <w:szCs w:val="20"/>
          <w:u w:val="single"/>
          <w:lang w:val="en"/>
        </w:rPr>
        <w:t>Committee Responsibilities</w:t>
      </w:r>
      <w:r w:rsidRPr="004C49F0">
        <w:rPr>
          <w:rFonts w:eastAsia="Times New Roman"/>
          <w:color w:val="353535"/>
          <w:sz w:val="20"/>
          <w:szCs w:val="20"/>
          <w:lang w:val="en"/>
        </w:rPr>
        <w:t xml:space="preserve">.  The HIM Director or Supervisor assists the Medical Record Review Committee with reviewing health records to ensure compliance with accreditation or certification standards; preparing meeting agendas; minutes, and reports; data collection and display; and appraisal of such department resources as equipment, physical environment, and staffing needs. </w:t>
      </w:r>
    </w:p>
    <w:p w14:paraId="56314D64"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Health Record Completion.  The HIM staff must review a representative sample of charts from each inpatient and outpatient service or program to ensure documentation is adequate, timely, complete, and properly authenticated according to all accreditation/certification standards and all IHS directives.  Staff must report inadequate records to the appropriate committees as outlined in the facility's Medical Staff Bylaws, Rules and Regulations.</w:t>
      </w:r>
    </w:p>
    <w:p w14:paraId="3C72E0ED"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Minutes.  Where committees are combined, separate headings for each committee function will be maintained in the minutes.  Minutes will not contain direct patient identifiers such as name or unit health record number.  Patient references will be used only when necessary and only in coded form.  The key to patient identification codes will be maintained by a designated coordinator and destroyed when direct patient reference is no longer needed.</w:t>
      </w:r>
    </w:p>
    <w:p w14:paraId="1E2BB7A5"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 xml:space="preserve">Confidentiality of Committee Minutes.  Committee actions will be maintained in strict confidence.  The distribution and storage of minutes will be controlled. All persons receiving minutes will be held accountable for the document's security and its destruction when the minutes are no longer needed. </w:t>
      </w:r>
    </w:p>
    <w:p w14:paraId="0E30FCBA" w14:textId="77777777" w:rsidR="005A5AC4" w:rsidRPr="004C49F0" w:rsidRDefault="005A5AC4">
      <w:pPr>
        <w:numPr>
          <w:ilvl w:val="0"/>
          <w:numId w:val="138"/>
        </w:numPr>
        <w:tabs>
          <w:tab w:val="clear" w:pos="720"/>
        </w:tabs>
        <w:spacing w:before="100" w:beforeAutospacing="1" w:after="100" w:afterAutospacing="1"/>
        <w:ind w:left="540"/>
        <w:rPr>
          <w:rFonts w:eastAsia="Times New Roman"/>
          <w:color w:val="353535"/>
          <w:sz w:val="20"/>
          <w:szCs w:val="20"/>
          <w:lang w:val="en"/>
        </w:rPr>
      </w:pPr>
      <w:bookmarkStart w:id="283" w:name="3-3.5C"/>
      <w:bookmarkEnd w:id="283"/>
      <w:r w:rsidRPr="004C49F0">
        <w:rPr>
          <w:rFonts w:eastAsia="Times New Roman"/>
          <w:color w:val="353535"/>
          <w:sz w:val="20"/>
          <w:szCs w:val="20"/>
          <w:u w:val="single"/>
          <w:lang w:val="en"/>
        </w:rPr>
        <w:t>Health Information Management Director</w:t>
      </w:r>
      <w:r w:rsidRPr="004C49F0">
        <w:rPr>
          <w:rFonts w:eastAsia="Times New Roman"/>
          <w:color w:val="353535"/>
          <w:sz w:val="20"/>
          <w:szCs w:val="20"/>
          <w:lang w:val="en"/>
        </w:rPr>
        <w:t xml:space="preserve">.  The HIM Director is administratively responsible for ensuring that: </w:t>
      </w:r>
    </w:p>
    <w:p w14:paraId="085C1F80"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Each individual treated within the facility or in the community by a member of the health care team will be registered. A health record is maintained for each individual who receives service as an outpatient, inpatient, newborn, emergency patient, community health patient, school student, and contract health service (CHS) beneficiary.</w:t>
      </w:r>
    </w:p>
    <w:p w14:paraId="51312041"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The health record is maintained in strict confidence.  Information from health records will be disclosed only in conformance with applicable Federal laws and regulations, policies of the IHS, and the laws of the State or Tribe in which the facility is located.</w:t>
      </w:r>
    </w:p>
    <w:p w14:paraId="64AF44A3"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lastRenderedPageBreak/>
        <w:t>Only authorized personnel will have access to health records.  Service Unit policy and procedures shall specify those employee positions within the Service Unit who are authorized to access health records on a "need-to-know" basis. A listing of specific individuals with health record access is maintained by the CEO or the Service Unit HIPAA Privacy Official and updated as necessary (Refer to Part 2, Chapter 7, IHM).</w:t>
      </w:r>
    </w:p>
    <w:p w14:paraId="32E9180D"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The HIM department will be secured at all times.</w:t>
      </w:r>
    </w:p>
    <w:p w14:paraId="334C87B6"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 xml:space="preserve">Health records will be removed from the facility only by court order from a court of competent jurisdiction in consultation with the Office of General Counsel (OGC), or for retirement to the Federal Records Center (FRC).  A court order is necessary for </w:t>
      </w:r>
      <w:proofErr w:type="gramStart"/>
      <w:r w:rsidRPr="004C49F0">
        <w:rPr>
          <w:rFonts w:eastAsia="Times New Roman"/>
          <w:color w:val="353535"/>
          <w:sz w:val="20"/>
          <w:szCs w:val="20"/>
          <w:lang w:val="en"/>
        </w:rPr>
        <w:t>removal</w:t>
      </w:r>
      <w:proofErr w:type="gramEnd"/>
      <w:r w:rsidRPr="004C49F0">
        <w:rPr>
          <w:rFonts w:eastAsia="Times New Roman"/>
          <w:color w:val="353535"/>
          <w:sz w:val="20"/>
          <w:szCs w:val="20"/>
          <w:lang w:val="en"/>
        </w:rPr>
        <w:t xml:space="preserve"> of a record (other than for retirement) containing information about alcohol or drug abuse. See Section 3-3.12R, "Court Order and Subpoena Duces Tecum." (Refer to 45 CFR § 2.5 and 45 CFR § b9(b)(11) for discussion of a valid subpoena or court order.)</w:t>
      </w:r>
    </w:p>
    <w:p w14:paraId="19FF148E"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The HIM department assists in medical care evaluation by providing information needed to assess the quality and appropriateness of care provided by the facility.  The specific role of the HIM department will be defined in the policies of each facility and will vary depending on organization and staffing.</w:t>
      </w:r>
    </w:p>
    <w:p w14:paraId="69C45158"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The HIM department maintains a health records identification and filing system.</w:t>
      </w:r>
    </w:p>
    <w:p w14:paraId="2B717AEE"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Statistical information is maintained to provide data as required by State, Federal, and accrediting/certifying organizations.</w:t>
      </w:r>
    </w:p>
    <w:p w14:paraId="3B85CDC2"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Policies and procedures regarding the responsibilities and functions of the HIM department are developed, implemented, and updated.</w:t>
      </w:r>
    </w:p>
    <w:p w14:paraId="17336864"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 xml:space="preserve">The HIM department maintains a permanent signature index for each provider who documents patient events in the health record. Providers include a medical doctor (MD), doctor of osteopathy (DO), registered nurse (RN), licensed practical nurse (LPN), registered pharmacist RPh), master social worker (M.S.W.), physician assistant (PA), and physician assistant certified (PA-C).  The signature file shall be secured and maintained permanently in the office of the HIM Director or supervisor and shall contain the following: </w:t>
      </w:r>
    </w:p>
    <w:p w14:paraId="2A3880CC" w14:textId="77777777" w:rsidR="005A5AC4" w:rsidRPr="004C49F0"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4C49F0">
        <w:rPr>
          <w:rFonts w:eastAsia="Times New Roman"/>
          <w:color w:val="353535"/>
          <w:sz w:val="20"/>
          <w:szCs w:val="20"/>
          <w:lang w:val="en"/>
        </w:rPr>
        <w:t>provider's name;</w:t>
      </w:r>
    </w:p>
    <w:p w14:paraId="54B1DBFD" w14:textId="77777777" w:rsidR="005A5AC4" w:rsidRPr="004C49F0"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4C49F0">
        <w:rPr>
          <w:rFonts w:eastAsia="Times New Roman"/>
          <w:color w:val="353535"/>
          <w:sz w:val="20"/>
          <w:szCs w:val="20"/>
          <w:lang w:val="en"/>
        </w:rPr>
        <w:t>provider's signature;</w:t>
      </w:r>
    </w:p>
    <w:p w14:paraId="4651567F" w14:textId="77777777" w:rsidR="005A5AC4" w:rsidRPr="004C49F0"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4C49F0">
        <w:rPr>
          <w:rFonts w:eastAsia="Times New Roman"/>
          <w:color w:val="353535"/>
          <w:sz w:val="20"/>
          <w:szCs w:val="20"/>
          <w:lang w:val="en"/>
        </w:rPr>
        <w:t>provider's initials;</w:t>
      </w:r>
    </w:p>
    <w:p w14:paraId="39701AF5" w14:textId="77777777" w:rsidR="005A5AC4" w:rsidRPr="004C49F0"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4C49F0">
        <w:rPr>
          <w:rFonts w:eastAsia="Times New Roman"/>
          <w:color w:val="353535"/>
          <w:sz w:val="20"/>
          <w:szCs w:val="20"/>
          <w:lang w:val="en"/>
        </w:rPr>
        <w:t>provider's professional description;</w:t>
      </w:r>
    </w:p>
    <w:p w14:paraId="1CC6F429" w14:textId="77777777" w:rsidR="005A5AC4" w:rsidRPr="004C49F0"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4C49F0">
        <w:rPr>
          <w:rFonts w:eastAsia="Times New Roman"/>
          <w:color w:val="353535"/>
          <w:sz w:val="20"/>
          <w:szCs w:val="20"/>
          <w:lang w:val="en"/>
        </w:rPr>
        <w:t>provider's entry on duty date; and</w:t>
      </w:r>
    </w:p>
    <w:p w14:paraId="446E2DE6" w14:textId="1D0DD9AC" w:rsidR="005A5AC4" w:rsidRPr="00967003"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4C49F0">
        <w:rPr>
          <w:rFonts w:eastAsia="Times New Roman"/>
          <w:color w:val="353535"/>
          <w:sz w:val="20"/>
          <w:szCs w:val="20"/>
          <w:lang w:val="en"/>
        </w:rPr>
        <w:t>provider's exit date.</w:t>
      </w:r>
      <w:r w:rsidRPr="00967003">
        <w:rPr>
          <w:rFonts w:eastAsia="Times New Roman"/>
          <w:color w:val="353535"/>
          <w:sz w:val="20"/>
          <w:szCs w:val="20"/>
          <w:lang w:val="en"/>
        </w:rPr>
        <w:t xml:space="preserve"> </w:t>
      </w:r>
    </w:p>
    <w:p w14:paraId="51E3A213" w14:textId="77777777" w:rsidR="005A5AC4" w:rsidRPr="00967003" w:rsidRDefault="005A5AC4">
      <w:pPr>
        <w:numPr>
          <w:ilvl w:val="0"/>
          <w:numId w:val="138"/>
        </w:numPr>
        <w:tabs>
          <w:tab w:val="clear" w:pos="720"/>
        </w:tabs>
        <w:spacing w:before="100" w:beforeAutospacing="1" w:after="100" w:afterAutospacing="1"/>
        <w:ind w:left="540"/>
        <w:rPr>
          <w:rFonts w:eastAsia="Times New Roman"/>
          <w:color w:val="353535"/>
          <w:sz w:val="20"/>
          <w:szCs w:val="20"/>
          <w:u w:val="single"/>
          <w:lang w:val="en"/>
        </w:rPr>
      </w:pPr>
      <w:r w:rsidRPr="00967003">
        <w:rPr>
          <w:rFonts w:eastAsia="Times New Roman"/>
          <w:color w:val="353535"/>
          <w:sz w:val="20"/>
          <w:szCs w:val="20"/>
          <w:u w:val="single"/>
          <w:lang w:val="en"/>
        </w:rPr>
        <w:t>Program Responsibilities</w:t>
      </w:r>
    </w:p>
    <w:p w14:paraId="24CDA4B8" w14:textId="77777777" w:rsidR="005A5AC4" w:rsidRPr="004C49F0" w:rsidRDefault="005A5AC4" w:rsidP="00317BC6">
      <w:pPr>
        <w:pStyle w:val="ListParagraph"/>
        <w:spacing w:before="100" w:beforeAutospacing="1" w:after="100" w:afterAutospacing="1"/>
        <w:ind w:left="720" w:firstLine="0"/>
        <w:rPr>
          <w:rFonts w:eastAsia="Times New Roman" w:cs="Arial"/>
          <w:color w:val="353535"/>
          <w:sz w:val="20"/>
          <w:szCs w:val="20"/>
          <w:lang w:val="en"/>
        </w:rPr>
      </w:pPr>
      <w:r>
        <w:rPr>
          <w:rFonts w:eastAsia="Times New Roman" w:cs="Arial"/>
          <w:color w:val="353535"/>
          <w:sz w:val="20"/>
          <w:szCs w:val="20"/>
          <w:u w:val="single"/>
          <w:lang w:val="en"/>
        </w:rPr>
        <w:t xml:space="preserve">(14) </w:t>
      </w:r>
      <w:r w:rsidRPr="004C49F0">
        <w:rPr>
          <w:rFonts w:eastAsia="Times New Roman" w:cs="Arial"/>
          <w:color w:val="353535"/>
          <w:sz w:val="20"/>
          <w:szCs w:val="20"/>
          <w:u w:val="single"/>
          <w:lang w:val="en"/>
        </w:rPr>
        <w:t>Forms</w:t>
      </w:r>
      <w:r w:rsidRPr="004C49F0">
        <w:rPr>
          <w:rFonts w:eastAsia="Times New Roman" w:cs="Arial"/>
          <w:color w:val="353535"/>
          <w:sz w:val="20"/>
          <w:szCs w:val="20"/>
          <w:lang w:val="en"/>
        </w:rPr>
        <w:t>.  Only standard forms (SF) and IHS clinical record forms are used in the health record.  Proposed new or revised forms must be submitted through the Area Office to IHS Headquarters for approval in order to become an authorized part of the health record.  Refer to Part 5, Chapter 24, IHM, TN No. 04-02, 07/16/04.</w:t>
      </w:r>
    </w:p>
    <w:p w14:paraId="0034FD51" w14:textId="77777777" w:rsidR="005A5AC4" w:rsidRPr="004C49F0" w:rsidRDefault="005A5AC4" w:rsidP="00317BC6">
      <w:pPr>
        <w:spacing w:before="100" w:beforeAutospacing="1" w:after="100" w:afterAutospacing="1"/>
        <w:ind w:left="720"/>
        <w:rPr>
          <w:rFonts w:eastAsia="Times New Roman"/>
          <w:color w:val="353535"/>
          <w:sz w:val="20"/>
          <w:szCs w:val="20"/>
          <w:lang w:val="en"/>
        </w:rPr>
      </w:pPr>
      <w:r>
        <w:rPr>
          <w:rFonts w:eastAsia="Times New Roman"/>
          <w:color w:val="353535"/>
          <w:sz w:val="20"/>
          <w:szCs w:val="20"/>
          <w:u w:val="single"/>
          <w:lang w:val="en"/>
        </w:rPr>
        <w:t xml:space="preserve">(15) </w:t>
      </w:r>
      <w:r w:rsidRPr="004C49F0">
        <w:rPr>
          <w:rFonts w:eastAsia="Times New Roman"/>
          <w:color w:val="353535"/>
          <w:sz w:val="20"/>
          <w:szCs w:val="20"/>
          <w:u w:val="single"/>
          <w:lang w:val="en"/>
        </w:rPr>
        <w:t>Electronic Health Records and Patient Care Component + Templates</w:t>
      </w:r>
      <w:r w:rsidRPr="004C49F0">
        <w:rPr>
          <w:rFonts w:eastAsia="Times New Roman"/>
          <w:color w:val="353535"/>
          <w:sz w:val="20"/>
          <w:szCs w:val="20"/>
          <w:lang w:val="en"/>
        </w:rPr>
        <w:t>.  A local process for initiating, developing, and approving new electronic templates must be established under the auspices of the health record review function.  As part of the health record review function, proposed templates must be reviewed for legal, policy, regulatory compliance, and ease of use.  Requests must be approved prior to implementation of electronic health record templates.  All components must reflect the health record number, date of documentation, date of service, and facility name.  Paper forms are preferred for specific components of the record as a guideline for developing electronic templates.</w:t>
      </w:r>
    </w:p>
    <w:p w14:paraId="0BE6B112" w14:textId="15FA1404" w:rsidR="005A5AC4" w:rsidRPr="00967003" w:rsidRDefault="005A5AC4" w:rsidP="005A5AC4">
      <w:pPr>
        <w:spacing w:before="100" w:beforeAutospacing="1" w:after="100" w:afterAutospacing="1"/>
        <w:rPr>
          <w:rFonts w:eastAsia="Times New Roman"/>
          <w:b/>
          <w:bCs/>
          <w:color w:val="353535"/>
          <w:sz w:val="20"/>
          <w:szCs w:val="20"/>
          <w:lang w:val="en"/>
        </w:rPr>
      </w:pPr>
      <w:r w:rsidRPr="00967003">
        <w:rPr>
          <w:rFonts w:eastAsia="Times New Roman"/>
          <w:b/>
          <w:bCs/>
          <w:color w:val="353535"/>
          <w:sz w:val="20"/>
          <w:szCs w:val="20"/>
          <w:lang w:val="en"/>
        </w:rPr>
        <w:t xml:space="preserve">3-3.8 HEALTH RECORD DOCUMENTATION </w:t>
      </w:r>
    </w:p>
    <w:p w14:paraId="2C23AC33"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84" w:name="3-3.8A"/>
      <w:bookmarkEnd w:id="284"/>
      <w:r w:rsidRPr="00D87042">
        <w:rPr>
          <w:rFonts w:eastAsia="Times New Roman"/>
          <w:color w:val="353535"/>
          <w:sz w:val="20"/>
          <w:szCs w:val="20"/>
          <w:u w:val="single"/>
          <w:lang w:val="en"/>
        </w:rPr>
        <w:t>Description</w:t>
      </w:r>
      <w:r w:rsidRPr="00D87042">
        <w:rPr>
          <w:rFonts w:eastAsia="Times New Roman"/>
          <w:color w:val="353535"/>
          <w:sz w:val="20"/>
          <w:szCs w:val="20"/>
          <w:lang w:val="en"/>
        </w:rPr>
        <w:t>.  The health record documents the care of the patient and is an important element contributing to high quality care.  The documentation in a health record contains a compilation of scientific and subjective data from which conclusions or judgments are derived.</w:t>
      </w:r>
    </w:p>
    <w:p w14:paraId="6F91EC45"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85" w:name="3-3.8B"/>
      <w:bookmarkEnd w:id="285"/>
      <w:r w:rsidRPr="00D87042">
        <w:rPr>
          <w:rFonts w:eastAsia="Times New Roman"/>
          <w:color w:val="353535"/>
          <w:sz w:val="20"/>
          <w:szCs w:val="20"/>
          <w:u w:val="single"/>
          <w:lang w:val="en"/>
        </w:rPr>
        <w:lastRenderedPageBreak/>
        <w:t>Purpose</w:t>
      </w:r>
      <w:r w:rsidRPr="00D87042">
        <w:rPr>
          <w:rFonts w:eastAsia="Times New Roman"/>
          <w:color w:val="353535"/>
          <w:sz w:val="20"/>
          <w:szCs w:val="20"/>
          <w:lang w:val="en"/>
        </w:rPr>
        <w:t>.  Health record documentation is required to record pertinent facts, findings, and observations about a patient's health history including past and present illnesses, examinations, tests, treatments, and outcomes.</w:t>
      </w:r>
    </w:p>
    <w:p w14:paraId="4C21F629"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86" w:name="3-3.8C"/>
      <w:bookmarkEnd w:id="286"/>
      <w:r w:rsidRPr="00D87042">
        <w:rPr>
          <w:rFonts w:eastAsia="Times New Roman"/>
          <w:color w:val="353535"/>
          <w:sz w:val="20"/>
          <w:szCs w:val="20"/>
          <w:u w:val="single"/>
          <w:lang w:val="en"/>
        </w:rPr>
        <w:t>Facilitation</w:t>
      </w:r>
      <w:r w:rsidRPr="00D87042">
        <w:rPr>
          <w:rFonts w:eastAsia="Times New Roman"/>
          <w:color w:val="353535"/>
          <w:sz w:val="20"/>
          <w:szCs w:val="20"/>
          <w:lang w:val="en"/>
        </w:rPr>
        <w:t xml:space="preserve">.  The health record facilitates the following: </w:t>
      </w:r>
    </w:p>
    <w:p w14:paraId="4DED5218"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the physician and other health care professional's ability to evaluate and plan the patient's immediate treatment, and to monitor the patient's health care over time;</w:t>
      </w:r>
    </w:p>
    <w:p w14:paraId="24733C56"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the communication and continuity of care among physicians and other health care professionals involved in the patient's care;</w:t>
      </w:r>
    </w:p>
    <w:p w14:paraId="73DE6C02"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the accurate and timely claims review and payment;</w:t>
      </w:r>
    </w:p>
    <w:p w14:paraId="36E26E7B"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the appropriate utilization review and quality of care evaluations;</w:t>
      </w:r>
    </w:p>
    <w:p w14:paraId="27B531F0"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the collection of data that may be useful for research and education;</w:t>
      </w:r>
    </w:p>
    <w:p w14:paraId="6D498213"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the accurate coding of diagnosis and procedures performed; and</w:t>
      </w:r>
    </w:p>
    <w:p w14:paraId="38101474"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 xml:space="preserve">the source of aggregate data to be used as the basis for planning future health programs or initiatives. </w:t>
      </w:r>
    </w:p>
    <w:p w14:paraId="5BED823A"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87" w:name="3-3.8D"/>
      <w:bookmarkEnd w:id="287"/>
      <w:r w:rsidRPr="00D87042">
        <w:rPr>
          <w:rFonts w:eastAsia="Times New Roman"/>
          <w:color w:val="353535"/>
          <w:sz w:val="20"/>
          <w:szCs w:val="20"/>
          <w:u w:val="single"/>
          <w:lang w:val="en"/>
        </w:rPr>
        <w:t>Documentation Principles</w:t>
      </w:r>
      <w:r w:rsidRPr="00D87042">
        <w:rPr>
          <w:rFonts w:eastAsia="Times New Roman"/>
          <w:color w:val="353535"/>
          <w:sz w:val="20"/>
          <w:szCs w:val="20"/>
          <w:lang w:val="en"/>
        </w:rPr>
        <w:t xml:space="preserve">.  Conducting reviews to evaluate clinical competency and support </w:t>
      </w:r>
      <w:proofErr w:type="gramStart"/>
      <w:r w:rsidRPr="00D87042">
        <w:rPr>
          <w:rFonts w:eastAsia="Times New Roman"/>
          <w:color w:val="353535"/>
          <w:sz w:val="20"/>
          <w:szCs w:val="20"/>
          <w:lang w:val="en"/>
        </w:rPr>
        <w:t>privileging</w:t>
      </w:r>
      <w:proofErr w:type="gramEnd"/>
      <w:r w:rsidRPr="00D87042">
        <w:rPr>
          <w:rFonts w:eastAsia="Times New Roman"/>
          <w:color w:val="353535"/>
          <w:sz w:val="20"/>
          <w:szCs w:val="20"/>
          <w:lang w:val="en"/>
        </w:rPr>
        <w:t xml:space="preserve"> activities.</w:t>
      </w:r>
    </w:p>
    <w:p w14:paraId="41A9CDFA"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88" w:name="3-3.8E"/>
      <w:bookmarkEnd w:id="288"/>
      <w:r w:rsidRPr="00D87042">
        <w:rPr>
          <w:rFonts w:eastAsia="Times New Roman"/>
          <w:color w:val="353535"/>
          <w:sz w:val="20"/>
          <w:szCs w:val="20"/>
          <w:u w:val="single"/>
          <w:lang w:val="en"/>
        </w:rPr>
        <w:t>Documentation Standards</w:t>
      </w:r>
      <w:r w:rsidRPr="00D87042">
        <w:rPr>
          <w:rFonts w:eastAsia="Times New Roman"/>
          <w:color w:val="353535"/>
          <w:sz w:val="20"/>
          <w:szCs w:val="20"/>
          <w:lang w:val="en"/>
        </w:rPr>
        <w:t xml:space="preserve">.  Documentation standards include, but are not limited to, the following: </w:t>
      </w:r>
    </w:p>
    <w:p w14:paraId="2A4FC0AB"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A complete health record shall be maintained for each patient who receives direct or indirect health services at an IHS facility or field location, whether as an outpatient, inpatient, contract health patient, community health patient, school student, or emergency patient.</w:t>
      </w:r>
    </w:p>
    <w:p w14:paraId="509F3996"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The accreditation or certification standards regarding documentation pertinent to care and treatment records apply to both paper and electronic records.</w:t>
      </w:r>
    </w:p>
    <w:p w14:paraId="077104B0"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The RPMS (including the EHR) or the paper record are mediums for documentation of all patient care activities within the IHS.</w:t>
      </w:r>
    </w:p>
    <w:p w14:paraId="15CD9B92"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Attending providers are ultimately responsible for the accuracy of the health record for each patient under their care. The Clinical Director, or designee (equivalent), has oversight responsibility for health record timeliness, accuracy, and completion.</w:t>
      </w:r>
    </w:p>
    <w:p w14:paraId="0BD5FC65"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Medical staff members and other individuals who have been granted such clinical privilege within their scope of practice must document or authenticate opinions requiring medical judgment.</w:t>
      </w:r>
    </w:p>
    <w:p w14:paraId="2B4065B1"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Health care practitioners must document according to regulatory standards and generally accepted documentation practices for completeness and timeliness.</w:t>
      </w:r>
    </w:p>
    <w:p w14:paraId="6089F737"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Health care practitioners involved in the patient's care must document each event of the patient's care in the health record.</w:t>
      </w:r>
    </w:p>
    <w:p w14:paraId="27DDD080"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 xml:space="preserve">The practitioner who treats the patient is responsible for documenting and authenticating the care provided. </w:t>
      </w:r>
    </w:p>
    <w:p w14:paraId="039477F9"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89" w:name="3-3.8F"/>
      <w:bookmarkEnd w:id="289"/>
      <w:r w:rsidRPr="00D87042">
        <w:rPr>
          <w:rFonts w:eastAsia="Times New Roman"/>
          <w:color w:val="353535"/>
          <w:sz w:val="20"/>
          <w:szCs w:val="20"/>
          <w:u w:val="single"/>
          <w:lang w:val="en"/>
        </w:rPr>
        <w:t>Prompt Documentation</w:t>
      </w:r>
      <w:r w:rsidRPr="00D87042">
        <w:rPr>
          <w:rFonts w:eastAsia="Times New Roman"/>
          <w:color w:val="353535"/>
          <w:sz w:val="20"/>
          <w:szCs w:val="20"/>
          <w:lang w:val="en"/>
        </w:rPr>
        <w:t xml:space="preserve">.  Each clinical event, including history and physical examination (PE), shall be documented as soon as possible after the occurrence and within requirements set by the accreditation and/or certification standards for the type of facility or program.  Health records of discharged or released patients shall be completed as specified in the facility's Medical Staff Bylaws, Rules and Regulations. </w:t>
      </w:r>
    </w:p>
    <w:p w14:paraId="71CB4B25"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u w:val="single"/>
          <w:lang w:val="en"/>
        </w:rPr>
        <w:t>Scope of Documentation</w:t>
      </w:r>
      <w:r w:rsidRPr="00D87042">
        <w:rPr>
          <w:rFonts w:eastAsia="Times New Roman"/>
          <w:color w:val="353535"/>
          <w:sz w:val="20"/>
          <w:szCs w:val="20"/>
          <w:lang w:val="en"/>
        </w:rPr>
        <w:t xml:space="preserve">.  The health record must reflect candid statements but avoid derogatory or critical comments.  Individual employee names are not included in health record documentation unless the purpose is to identify practitioners for continuing care.  Emphasis is placed on relevant day-to-day entries.  Timely entries must be made on appropriate documents following examination and treatment as specified in IHS and facility policies.  Each patient event must include or refer to the following: the chief complaint and/or reason for visit and, as appropriate, relevant history, examination findings and prior diagnostic test results; assessment, clinical impression, or diagnosis; plan for care and date and legible identity of the health care professional; and identification of appropriate risk factors.  The scope of documentation must be organized, complete, and comprehensive enough to: </w:t>
      </w:r>
    </w:p>
    <w:p w14:paraId="1F0EB36B" w14:textId="77777777" w:rsidR="005A5AC4" w:rsidRPr="00D87042" w:rsidRDefault="005A5AC4">
      <w:pPr>
        <w:numPr>
          <w:ilvl w:val="2"/>
          <w:numId w:val="139"/>
        </w:numPr>
        <w:spacing w:before="100" w:beforeAutospacing="1" w:after="100" w:afterAutospacing="1"/>
        <w:ind w:left="1620"/>
        <w:rPr>
          <w:rFonts w:eastAsia="Times New Roman"/>
          <w:color w:val="353535"/>
          <w:sz w:val="20"/>
          <w:szCs w:val="20"/>
          <w:lang w:val="en"/>
        </w:rPr>
      </w:pPr>
      <w:r w:rsidRPr="00D87042">
        <w:rPr>
          <w:rFonts w:eastAsia="Times New Roman"/>
          <w:color w:val="353535"/>
          <w:sz w:val="20"/>
          <w:szCs w:val="20"/>
          <w:lang w:val="en"/>
        </w:rPr>
        <w:t>provide continuity of care;</w:t>
      </w:r>
    </w:p>
    <w:p w14:paraId="1205D5C8" w14:textId="77777777" w:rsidR="005A5AC4" w:rsidRPr="00D87042" w:rsidRDefault="005A5AC4">
      <w:pPr>
        <w:numPr>
          <w:ilvl w:val="2"/>
          <w:numId w:val="139"/>
        </w:numPr>
        <w:spacing w:before="100" w:beforeAutospacing="1" w:after="100" w:afterAutospacing="1"/>
        <w:ind w:left="1620"/>
        <w:rPr>
          <w:rFonts w:eastAsia="Times New Roman"/>
          <w:color w:val="353535"/>
          <w:sz w:val="20"/>
          <w:szCs w:val="20"/>
          <w:lang w:val="en"/>
        </w:rPr>
      </w:pPr>
      <w:r w:rsidRPr="00D87042">
        <w:rPr>
          <w:rFonts w:eastAsia="Times New Roman"/>
          <w:color w:val="353535"/>
          <w:sz w:val="20"/>
          <w:szCs w:val="20"/>
          <w:lang w:val="en"/>
        </w:rPr>
        <w:t>reflect all treatment;</w:t>
      </w:r>
    </w:p>
    <w:p w14:paraId="04E71F32" w14:textId="77777777" w:rsidR="005A5AC4" w:rsidRPr="00D87042" w:rsidRDefault="005A5AC4">
      <w:pPr>
        <w:numPr>
          <w:ilvl w:val="2"/>
          <w:numId w:val="139"/>
        </w:numPr>
        <w:spacing w:before="100" w:beforeAutospacing="1" w:after="100" w:afterAutospacing="1"/>
        <w:ind w:left="1620"/>
        <w:rPr>
          <w:rFonts w:eastAsia="Times New Roman"/>
          <w:color w:val="353535"/>
          <w:sz w:val="20"/>
          <w:szCs w:val="20"/>
          <w:lang w:val="en"/>
        </w:rPr>
      </w:pPr>
      <w:r w:rsidRPr="00D87042">
        <w:rPr>
          <w:rFonts w:eastAsia="Times New Roman"/>
          <w:color w:val="353535"/>
          <w:sz w:val="20"/>
          <w:szCs w:val="20"/>
          <w:lang w:val="en"/>
        </w:rPr>
        <w:t>support health care provider's reported workload; and</w:t>
      </w:r>
    </w:p>
    <w:p w14:paraId="31A463DB" w14:textId="77777777" w:rsidR="005A5AC4" w:rsidRPr="00D87042" w:rsidRDefault="005A5AC4">
      <w:pPr>
        <w:numPr>
          <w:ilvl w:val="2"/>
          <w:numId w:val="139"/>
        </w:numPr>
        <w:spacing w:before="100" w:beforeAutospacing="1" w:after="100" w:afterAutospacing="1"/>
        <w:ind w:left="1620"/>
        <w:rPr>
          <w:rFonts w:eastAsia="Times New Roman"/>
          <w:color w:val="353535"/>
          <w:sz w:val="20"/>
          <w:szCs w:val="20"/>
          <w:lang w:val="en"/>
        </w:rPr>
      </w:pPr>
      <w:r w:rsidRPr="00D87042">
        <w:rPr>
          <w:rFonts w:eastAsia="Times New Roman"/>
          <w:color w:val="353535"/>
          <w:sz w:val="20"/>
          <w:szCs w:val="20"/>
          <w:lang w:val="en"/>
        </w:rPr>
        <w:t xml:space="preserve">support services that are reimbursed by third-party payers. </w:t>
      </w:r>
    </w:p>
    <w:p w14:paraId="0A97A639"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90" w:name="3-3.8G"/>
      <w:bookmarkEnd w:id="290"/>
      <w:r w:rsidRPr="00D87042">
        <w:rPr>
          <w:rFonts w:eastAsia="Times New Roman"/>
          <w:color w:val="353535"/>
          <w:sz w:val="20"/>
          <w:szCs w:val="20"/>
          <w:u w:val="single"/>
          <w:lang w:val="en"/>
        </w:rPr>
        <w:lastRenderedPageBreak/>
        <w:t>Signatures or Authentication</w:t>
      </w:r>
      <w:r w:rsidRPr="00D87042">
        <w:rPr>
          <w:rFonts w:eastAsia="Times New Roman"/>
          <w:color w:val="353535"/>
          <w:sz w:val="20"/>
          <w:szCs w:val="20"/>
          <w:lang w:val="en"/>
        </w:rPr>
        <w:t xml:space="preserve">.  All entries in the health record shall be dated and authenticated with full signatures.  Also, MD, RN, RPh, or other professional designation shall be included with the signature to indicate essential or basic competencies of the person making an entry.  Entries made by an extern or student shall be countersigned by the physician or other licensed independent practitioner in charge of the care.  Signature stamps with original signature are authorized by the facility and must be kept in the signatory's complete control.  Initials with professional designation may be used by providers for authentication purposes where those initials are readily recognized by other staff and </w:t>
      </w:r>
      <w:proofErr w:type="gramStart"/>
      <w:r w:rsidRPr="00D87042">
        <w:rPr>
          <w:rFonts w:eastAsia="Times New Roman"/>
          <w:color w:val="353535"/>
          <w:sz w:val="20"/>
          <w:szCs w:val="20"/>
          <w:lang w:val="en"/>
        </w:rPr>
        <w:t>where</w:t>
      </w:r>
      <w:proofErr w:type="gramEnd"/>
      <w:r w:rsidRPr="00D87042">
        <w:rPr>
          <w:rFonts w:eastAsia="Times New Roman"/>
          <w:color w:val="353535"/>
          <w:sz w:val="20"/>
          <w:szCs w:val="20"/>
          <w:lang w:val="en"/>
        </w:rPr>
        <w:t xml:space="preserve"> approved in the record of Medical Staff Executive Committee actions.  A signature file listing must be maintained on all individuals who document in the health record, either electronic or on paper.  See 3-3.5C(10).</w:t>
      </w:r>
    </w:p>
    <w:p w14:paraId="76D08E21"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91" w:name="3-3.8H"/>
      <w:bookmarkEnd w:id="291"/>
      <w:r w:rsidRPr="00D87042">
        <w:rPr>
          <w:rFonts w:eastAsia="Times New Roman"/>
          <w:color w:val="353535"/>
          <w:sz w:val="20"/>
          <w:szCs w:val="20"/>
          <w:u w:val="single"/>
          <w:lang w:val="en"/>
        </w:rPr>
        <w:t>Electronic Signatures</w:t>
      </w:r>
      <w:r w:rsidRPr="00D87042">
        <w:rPr>
          <w:rFonts w:eastAsia="Times New Roman"/>
          <w:color w:val="353535"/>
          <w:sz w:val="20"/>
          <w:szCs w:val="20"/>
          <w:lang w:val="en"/>
        </w:rPr>
        <w:t xml:space="preserve">. </w:t>
      </w:r>
    </w:p>
    <w:p w14:paraId="39E97562" w14:textId="77777777" w:rsidR="005A5AC4" w:rsidRPr="00D87042" w:rsidRDefault="005A5AC4">
      <w:pPr>
        <w:numPr>
          <w:ilvl w:val="1"/>
          <w:numId w:val="139"/>
        </w:numPr>
        <w:spacing w:before="100" w:beforeAutospacing="1" w:after="100" w:afterAutospacing="1"/>
        <w:ind w:left="1215"/>
        <w:rPr>
          <w:rFonts w:eastAsia="Times New Roman"/>
          <w:color w:val="353535"/>
          <w:sz w:val="20"/>
          <w:szCs w:val="20"/>
          <w:lang w:val="en"/>
        </w:rPr>
      </w:pPr>
      <w:r w:rsidRPr="00D87042">
        <w:rPr>
          <w:rFonts w:eastAsia="Times New Roman"/>
          <w:color w:val="353535"/>
          <w:sz w:val="20"/>
          <w:szCs w:val="20"/>
          <w:lang w:val="en"/>
        </w:rPr>
        <w:t>Electronic signatures may be used for Schedule II drug prescriptions for inpatient prescriptions.</w:t>
      </w:r>
    </w:p>
    <w:p w14:paraId="4C4911EF" w14:textId="77777777" w:rsidR="005A5AC4" w:rsidRPr="00D87042" w:rsidRDefault="005A5AC4">
      <w:pPr>
        <w:numPr>
          <w:ilvl w:val="1"/>
          <w:numId w:val="139"/>
        </w:numPr>
        <w:spacing w:before="100" w:beforeAutospacing="1" w:after="100" w:afterAutospacing="1"/>
        <w:ind w:left="1215"/>
        <w:rPr>
          <w:rFonts w:eastAsia="Times New Roman"/>
          <w:color w:val="353535"/>
          <w:sz w:val="20"/>
          <w:szCs w:val="20"/>
          <w:lang w:val="en"/>
        </w:rPr>
      </w:pPr>
      <w:r w:rsidRPr="00D87042">
        <w:rPr>
          <w:rFonts w:eastAsia="Times New Roman"/>
          <w:color w:val="353535"/>
          <w:sz w:val="20"/>
          <w:szCs w:val="20"/>
          <w:lang w:val="en"/>
        </w:rPr>
        <w:t xml:space="preserve">Electronic signatures cannot be used for Schedule II out-patient drug prescriptions according to the CFR pursuant to Drug Enforcement Agency (DEA) regulations.  When the DEA permits such electronic authentication, it is permitted in the IHS health records. </w:t>
      </w:r>
    </w:p>
    <w:p w14:paraId="2A41D5CB"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92" w:name="3-3.8I"/>
      <w:bookmarkEnd w:id="292"/>
      <w:r w:rsidRPr="00D87042">
        <w:rPr>
          <w:rFonts w:eastAsia="Times New Roman"/>
          <w:color w:val="353535"/>
          <w:sz w:val="20"/>
          <w:szCs w:val="20"/>
          <w:u w:val="single"/>
          <w:lang w:val="en"/>
        </w:rPr>
        <w:t>Time Frames</w:t>
      </w:r>
      <w:r w:rsidRPr="00D87042">
        <w:rPr>
          <w:rFonts w:eastAsia="Times New Roman"/>
          <w:color w:val="353535"/>
          <w:sz w:val="20"/>
          <w:szCs w:val="20"/>
          <w:lang w:val="en"/>
        </w:rPr>
        <w:t>.  Each entry in the record is completed (including authentication) within the time frames delineated by the facility's Medical Staff Bylaws, Rules and Regulations.  A policy must include guidance on disciplinary action taken when time frames are not met.  When a pertinent entry is missing or not written in a timely manner, a late entry is used to record the information in the health record with a notation giving the reason for the late entry.  The entry of missing documentation or authentication is identified as "late entry" and must note the actual date the event occurred, not the date of documentation.  In the EHR, the date of entry identifies the date the documentation actually occurred.  Physicians and other health care providers must monitor computerized prompts for signature and take appropriate action.</w:t>
      </w:r>
    </w:p>
    <w:p w14:paraId="3AB389AA"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93" w:name="3-3.8J"/>
      <w:bookmarkEnd w:id="293"/>
      <w:r w:rsidRPr="00D87042">
        <w:rPr>
          <w:rFonts w:eastAsia="Times New Roman"/>
          <w:color w:val="353535"/>
          <w:sz w:val="20"/>
          <w:szCs w:val="20"/>
          <w:u w:val="single"/>
          <w:lang w:val="en"/>
        </w:rPr>
        <w:t>Record Content</w:t>
      </w:r>
      <w:r w:rsidRPr="00D87042">
        <w:rPr>
          <w:rFonts w:eastAsia="Times New Roman"/>
          <w:color w:val="353535"/>
          <w:sz w:val="20"/>
          <w:szCs w:val="20"/>
          <w:lang w:val="en"/>
        </w:rPr>
        <w:t>.  Health record content within the IHS will comply with:  Requirements of the accreditation or certification standards for the type of facility or program, requirements for participation in third-party payment programs, and with licensure requirements of the providers or other special programs.</w:t>
      </w:r>
    </w:p>
    <w:p w14:paraId="14B50C16"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94" w:name="3-3.8K"/>
      <w:bookmarkEnd w:id="294"/>
      <w:r w:rsidRPr="00D87042">
        <w:rPr>
          <w:rFonts w:eastAsia="Times New Roman"/>
          <w:color w:val="353535"/>
          <w:sz w:val="20"/>
          <w:szCs w:val="20"/>
          <w:u w:val="single"/>
          <w:lang w:val="en"/>
        </w:rPr>
        <w:t>General Requirements</w:t>
      </w:r>
      <w:r w:rsidRPr="00D87042">
        <w:rPr>
          <w:rFonts w:eastAsia="Times New Roman"/>
          <w:color w:val="353535"/>
          <w:sz w:val="20"/>
          <w:szCs w:val="20"/>
          <w:lang w:val="en"/>
        </w:rPr>
        <w:t xml:space="preserve">.  All written entries shall be made in permanent dark ink that does not soak through and obliterate information to ensure microfilmed or other copy media are legible.  The health record shall contain sufficient information to: </w:t>
      </w:r>
    </w:p>
    <w:p w14:paraId="009D6CDB"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identify the patient;</w:t>
      </w:r>
    </w:p>
    <w:p w14:paraId="3265BE43"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support the diagnoses/</w:t>
      </w:r>
      <w:proofErr w:type="gramStart"/>
      <w:r w:rsidRPr="00D87042">
        <w:rPr>
          <w:rFonts w:eastAsia="Times New Roman"/>
          <w:color w:val="353535"/>
          <w:sz w:val="20"/>
          <w:szCs w:val="20"/>
          <w:lang w:val="en"/>
        </w:rPr>
        <w:t>treatment</w:t>
      </w:r>
      <w:proofErr w:type="gramEnd"/>
    </w:p>
    <w:p w14:paraId="0440ECBB"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justify the care, treatment, and services provided;</w:t>
      </w:r>
    </w:p>
    <w:p w14:paraId="49C67F7D"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document the course and results of selfcare, treatment, and services provided;</w:t>
      </w:r>
    </w:p>
    <w:p w14:paraId="5F15AD6C"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 xml:space="preserve">describe the patient's condition upon release or </w:t>
      </w:r>
      <w:proofErr w:type="gramStart"/>
      <w:r w:rsidRPr="00D87042">
        <w:rPr>
          <w:rFonts w:eastAsia="Times New Roman"/>
          <w:color w:val="353535"/>
          <w:sz w:val="20"/>
          <w:szCs w:val="20"/>
          <w:lang w:val="en"/>
        </w:rPr>
        <w:t>discharge</w:t>
      </w:r>
      <w:proofErr w:type="gramEnd"/>
    </w:p>
    <w:p w14:paraId="5DAAE3A5"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 xml:space="preserve">document instructions to patient regarding follow-up care, </w:t>
      </w:r>
      <w:proofErr w:type="spellStart"/>
      <w:r w:rsidRPr="00D87042">
        <w:rPr>
          <w:rFonts w:eastAsia="Times New Roman"/>
          <w:color w:val="353535"/>
          <w:sz w:val="20"/>
          <w:szCs w:val="20"/>
          <w:lang w:val="en"/>
        </w:rPr>
        <w:t>self care</w:t>
      </w:r>
      <w:proofErr w:type="spellEnd"/>
      <w:r w:rsidRPr="00D87042">
        <w:rPr>
          <w:rFonts w:eastAsia="Times New Roman"/>
          <w:color w:val="353535"/>
          <w:sz w:val="20"/>
          <w:szCs w:val="20"/>
          <w:lang w:val="en"/>
        </w:rPr>
        <w:t>, home care, activity levels; necessary medications; and</w:t>
      </w:r>
    </w:p>
    <w:p w14:paraId="7FEC21DB"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 xml:space="preserve">document environmental, family, and socioeconomic factors affecting the patient's health. </w:t>
      </w:r>
    </w:p>
    <w:p w14:paraId="20DBC47F"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95" w:name="3-3.8L"/>
      <w:bookmarkEnd w:id="295"/>
      <w:r w:rsidRPr="00D87042">
        <w:rPr>
          <w:rFonts w:eastAsia="Times New Roman"/>
          <w:color w:val="353535"/>
          <w:sz w:val="20"/>
          <w:szCs w:val="20"/>
          <w:u w:val="single"/>
          <w:lang w:val="en"/>
        </w:rPr>
        <w:t>Hospital Facilities Health Record Format</w:t>
      </w:r>
      <w:r w:rsidRPr="00D87042">
        <w:rPr>
          <w:rFonts w:eastAsia="Times New Roman"/>
          <w:color w:val="353535"/>
          <w:sz w:val="20"/>
          <w:szCs w:val="20"/>
          <w:lang w:val="en"/>
        </w:rPr>
        <w:t xml:space="preserve">  The patient's identification information and the facility's name must be on each page of the health record.  This standardized IHS format facilitates authorized use of the health record for review or to make entries, and to retrieve patient information for administrative, statistical, and quality assurance purposes. </w:t>
      </w:r>
    </w:p>
    <w:p w14:paraId="2A0E1261"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u w:val="single"/>
          <w:lang w:val="en"/>
        </w:rPr>
        <w:t>Outpatient Medical Record Format</w:t>
      </w:r>
      <w:r w:rsidRPr="00D87042">
        <w:rPr>
          <w:rFonts w:eastAsia="Times New Roman"/>
          <w:color w:val="353535"/>
          <w:sz w:val="20"/>
          <w:szCs w:val="20"/>
          <w:lang w:val="en"/>
        </w:rPr>
        <w:t xml:space="preserve">.  (Left side of medical record folder): </w:t>
      </w:r>
    </w:p>
    <w:p w14:paraId="78E3EFB2" w14:textId="77777777" w:rsidR="005A5AC4" w:rsidRPr="00D87042" w:rsidRDefault="005A5AC4">
      <w:pPr>
        <w:numPr>
          <w:ilvl w:val="2"/>
          <w:numId w:val="139"/>
        </w:numPr>
        <w:spacing w:before="100" w:beforeAutospacing="1" w:after="100" w:afterAutospacing="1"/>
        <w:ind w:left="1620"/>
        <w:rPr>
          <w:rFonts w:eastAsia="Times New Roman"/>
          <w:color w:val="353535"/>
          <w:sz w:val="20"/>
          <w:szCs w:val="20"/>
          <w:lang w:val="en"/>
        </w:rPr>
      </w:pPr>
      <w:r w:rsidRPr="00D87042">
        <w:rPr>
          <w:rFonts w:eastAsia="Times New Roman"/>
          <w:color w:val="353535"/>
          <w:sz w:val="20"/>
          <w:szCs w:val="20"/>
          <w:lang w:val="en"/>
        </w:rPr>
        <w:t>PCC Health Summary</w:t>
      </w:r>
    </w:p>
    <w:p w14:paraId="5B6F8569" w14:textId="77777777" w:rsidR="005A5AC4" w:rsidRPr="00D87042" w:rsidRDefault="005A5AC4">
      <w:pPr>
        <w:numPr>
          <w:ilvl w:val="2"/>
          <w:numId w:val="139"/>
        </w:numPr>
        <w:spacing w:before="100" w:beforeAutospacing="1" w:after="100" w:afterAutospacing="1"/>
        <w:ind w:left="1620"/>
        <w:rPr>
          <w:rFonts w:eastAsia="Times New Roman"/>
          <w:color w:val="353535"/>
          <w:sz w:val="20"/>
          <w:szCs w:val="20"/>
          <w:lang w:val="en"/>
        </w:rPr>
      </w:pPr>
      <w:r w:rsidRPr="00D87042">
        <w:rPr>
          <w:rFonts w:eastAsia="Times New Roman"/>
          <w:color w:val="353535"/>
          <w:sz w:val="20"/>
          <w:szCs w:val="20"/>
          <w:lang w:val="en"/>
        </w:rPr>
        <w:t>Medication profile</w:t>
      </w:r>
    </w:p>
    <w:p w14:paraId="605DEFD3" w14:textId="77777777" w:rsidR="005A5AC4" w:rsidRPr="00D87042" w:rsidRDefault="005A5AC4">
      <w:pPr>
        <w:numPr>
          <w:ilvl w:val="2"/>
          <w:numId w:val="139"/>
        </w:numPr>
        <w:spacing w:before="100" w:beforeAutospacing="1" w:after="100" w:afterAutospacing="1"/>
        <w:ind w:left="1620"/>
        <w:rPr>
          <w:rFonts w:eastAsia="Times New Roman"/>
          <w:color w:val="353535"/>
          <w:sz w:val="20"/>
          <w:szCs w:val="20"/>
          <w:lang w:val="en"/>
        </w:rPr>
      </w:pPr>
      <w:r w:rsidRPr="00D87042">
        <w:rPr>
          <w:rFonts w:eastAsia="Times New Roman"/>
          <w:color w:val="353535"/>
          <w:sz w:val="20"/>
          <w:szCs w:val="20"/>
          <w:lang w:val="en"/>
        </w:rPr>
        <w:t>Chronic Medication Report or RPMS Chronic Medication List</w:t>
      </w:r>
    </w:p>
    <w:p w14:paraId="0EC653F6" w14:textId="77777777" w:rsidR="005A5AC4" w:rsidRPr="00D87042" w:rsidRDefault="005A5AC4">
      <w:pPr>
        <w:numPr>
          <w:ilvl w:val="2"/>
          <w:numId w:val="139"/>
        </w:numPr>
        <w:spacing w:before="100" w:beforeAutospacing="1" w:after="100" w:afterAutospacing="1"/>
        <w:ind w:left="1620"/>
        <w:rPr>
          <w:rFonts w:eastAsia="Times New Roman"/>
          <w:color w:val="353535"/>
          <w:sz w:val="20"/>
          <w:szCs w:val="20"/>
          <w:lang w:val="en"/>
        </w:rPr>
      </w:pPr>
      <w:r w:rsidRPr="00D87042">
        <w:rPr>
          <w:rFonts w:eastAsia="Times New Roman"/>
          <w:color w:val="353535"/>
          <w:sz w:val="20"/>
          <w:szCs w:val="20"/>
          <w:lang w:val="en"/>
        </w:rPr>
        <w:t>Ambulatory Care Record Brief</w:t>
      </w:r>
    </w:p>
    <w:p w14:paraId="698FC3D4" w14:textId="77777777" w:rsidR="005A5AC4" w:rsidRPr="00D87042" w:rsidRDefault="005A5AC4">
      <w:pPr>
        <w:numPr>
          <w:ilvl w:val="2"/>
          <w:numId w:val="139"/>
        </w:numPr>
        <w:spacing w:before="100" w:beforeAutospacing="1" w:after="100" w:afterAutospacing="1"/>
        <w:ind w:left="1620"/>
        <w:rPr>
          <w:rFonts w:eastAsia="Times New Roman"/>
          <w:color w:val="353535"/>
          <w:sz w:val="20"/>
          <w:szCs w:val="20"/>
          <w:lang w:val="en"/>
        </w:rPr>
      </w:pPr>
      <w:r w:rsidRPr="00D87042">
        <w:rPr>
          <w:rFonts w:eastAsia="Times New Roman"/>
          <w:color w:val="353535"/>
          <w:sz w:val="20"/>
          <w:szCs w:val="20"/>
          <w:lang w:val="en"/>
        </w:rPr>
        <w:t>PCC Encounter Record form (IHS-803) and other PCC forms (most recent visit date on top)</w:t>
      </w:r>
    </w:p>
    <w:p w14:paraId="4B589673" w14:textId="11D72ED4" w:rsidR="005A5AC4" w:rsidRPr="00317BC6" w:rsidRDefault="005A5AC4" w:rsidP="000D7FFC">
      <w:pPr>
        <w:keepNext/>
        <w:spacing w:before="100" w:beforeAutospacing="1" w:after="100" w:afterAutospacing="1"/>
        <w:rPr>
          <w:rFonts w:eastAsia="Times New Roman"/>
          <w:b/>
          <w:bCs/>
          <w:color w:val="353535"/>
          <w:sz w:val="20"/>
          <w:szCs w:val="20"/>
          <w:lang w:val="en"/>
        </w:rPr>
      </w:pPr>
      <w:r w:rsidRPr="00317BC6">
        <w:rPr>
          <w:rFonts w:eastAsia="Times New Roman"/>
          <w:b/>
          <w:bCs/>
          <w:color w:val="353535"/>
          <w:sz w:val="20"/>
          <w:szCs w:val="20"/>
          <w:lang w:val="en"/>
        </w:rPr>
        <w:lastRenderedPageBreak/>
        <w:t>3-3.9 ELECTRONIC HEALTH RECORD PRINCIPLES</w:t>
      </w:r>
    </w:p>
    <w:p w14:paraId="20908BFA" w14:textId="77777777" w:rsidR="005A5AC4" w:rsidRPr="00005608" w:rsidRDefault="005A5AC4">
      <w:pPr>
        <w:numPr>
          <w:ilvl w:val="0"/>
          <w:numId w:val="126"/>
        </w:numPr>
        <w:tabs>
          <w:tab w:val="clear" w:pos="720"/>
        </w:tabs>
        <w:spacing w:before="100" w:beforeAutospacing="1" w:after="100" w:afterAutospacing="1"/>
        <w:ind w:left="540"/>
        <w:rPr>
          <w:rFonts w:eastAsia="Times New Roman"/>
          <w:color w:val="353535"/>
          <w:sz w:val="20"/>
          <w:szCs w:val="20"/>
          <w:lang w:val="en"/>
        </w:rPr>
      </w:pPr>
      <w:bookmarkStart w:id="296" w:name="3-3.9A"/>
      <w:bookmarkEnd w:id="296"/>
      <w:r w:rsidRPr="00005608">
        <w:rPr>
          <w:rFonts w:eastAsia="Times New Roman"/>
          <w:color w:val="353535"/>
          <w:sz w:val="20"/>
          <w:szCs w:val="20"/>
          <w:u w:val="single"/>
          <w:lang w:val="en"/>
        </w:rPr>
        <w:t>General</w:t>
      </w:r>
      <w:r w:rsidRPr="00005608">
        <w:rPr>
          <w:rFonts w:eastAsia="Times New Roman"/>
          <w:color w:val="353535"/>
          <w:sz w:val="20"/>
          <w:szCs w:val="20"/>
          <w:lang w:val="en"/>
        </w:rPr>
        <w:t xml:space="preserve">.  The RPMS EHR is intended to help providers electronically manage all aspects of patient care by providing a full range of functions for data retrieval and capture to support patient review, encounter, and follow-up. By moving data retrieval and documentation activities to the electronic environment, patient care activities and access to the record can occur simultaneously at multiple locations eliminating the need to depend on the availability of a paper chart. </w:t>
      </w:r>
    </w:p>
    <w:p w14:paraId="6456B342" w14:textId="77777777" w:rsidR="005A5AC4" w:rsidRPr="00005608" w:rsidRDefault="005A5AC4" w:rsidP="00317BC6">
      <w:pPr>
        <w:spacing w:before="100" w:beforeAutospacing="1" w:after="100" w:afterAutospacing="1"/>
        <w:ind w:left="540"/>
        <w:rPr>
          <w:rFonts w:eastAsia="Times New Roman"/>
          <w:color w:val="353535"/>
          <w:sz w:val="20"/>
          <w:szCs w:val="20"/>
          <w:lang w:val="en"/>
        </w:rPr>
      </w:pPr>
      <w:r w:rsidRPr="00005608">
        <w:rPr>
          <w:rFonts w:eastAsia="Times New Roman"/>
          <w:color w:val="353535"/>
          <w:sz w:val="20"/>
          <w:szCs w:val="20"/>
          <w:lang w:val="en"/>
        </w:rPr>
        <w:t xml:space="preserve">The RPMS EHR combines the powerful database capabilities of the RPMS with a familiar and comfortable presentation layer, the graphical user interface (GUI).  Integration of various RPMS components into the GUI allows providers to obtain a more comprehensive view of the clinical process.  Also integrated into the RPMS EHR is </w:t>
      </w:r>
      <w:proofErr w:type="spellStart"/>
      <w:r w:rsidRPr="00005608">
        <w:rPr>
          <w:rFonts w:eastAsia="Times New Roman"/>
          <w:color w:val="353535"/>
          <w:sz w:val="20"/>
          <w:szCs w:val="20"/>
          <w:lang w:val="en"/>
        </w:rPr>
        <w:t>VistA</w:t>
      </w:r>
      <w:proofErr w:type="spellEnd"/>
      <w:r w:rsidRPr="00005608">
        <w:rPr>
          <w:rFonts w:eastAsia="Times New Roman"/>
          <w:color w:val="353535"/>
          <w:sz w:val="20"/>
          <w:szCs w:val="20"/>
          <w:lang w:val="en"/>
        </w:rPr>
        <w:t xml:space="preserve"> Imaging which allows the collection, storage, and display of radiologic images, electrocardiograph tracings, imaging from other sources, and document scanning.</w:t>
      </w:r>
    </w:p>
    <w:p w14:paraId="6D27E914" w14:textId="77777777" w:rsidR="005A5AC4" w:rsidRPr="00005608" w:rsidRDefault="005A5AC4" w:rsidP="00317BC6">
      <w:pPr>
        <w:spacing w:before="100" w:beforeAutospacing="1" w:after="100" w:afterAutospacing="1"/>
        <w:ind w:left="540"/>
        <w:rPr>
          <w:rFonts w:eastAsia="Times New Roman"/>
          <w:color w:val="353535"/>
          <w:sz w:val="20"/>
          <w:szCs w:val="20"/>
          <w:lang w:val="en"/>
        </w:rPr>
      </w:pPr>
      <w:r w:rsidRPr="00005608">
        <w:rPr>
          <w:rFonts w:eastAsia="Times New Roman"/>
          <w:color w:val="353535"/>
          <w:sz w:val="20"/>
          <w:szCs w:val="20"/>
          <w:lang w:val="en"/>
        </w:rPr>
        <w:t xml:space="preserve">As technology allows, all patient care documentation must be stored in the health information infrastructure via (a) direct data entry using RPMS and/or EHR, (b) Text Integration Utility (TIU), (c) </w:t>
      </w:r>
      <w:proofErr w:type="spellStart"/>
      <w:r w:rsidRPr="00005608">
        <w:rPr>
          <w:rFonts w:eastAsia="Times New Roman"/>
          <w:color w:val="353535"/>
          <w:sz w:val="20"/>
          <w:szCs w:val="20"/>
          <w:lang w:val="en"/>
        </w:rPr>
        <w:t>VistA</w:t>
      </w:r>
      <w:proofErr w:type="spellEnd"/>
      <w:r w:rsidRPr="00005608">
        <w:rPr>
          <w:rFonts w:eastAsia="Times New Roman"/>
          <w:color w:val="353535"/>
          <w:sz w:val="20"/>
          <w:szCs w:val="20"/>
          <w:lang w:val="en"/>
        </w:rPr>
        <w:t xml:space="preserve"> Imaging (or other </w:t>
      </w:r>
      <w:proofErr w:type="spellStart"/>
      <w:r w:rsidRPr="00005608">
        <w:rPr>
          <w:rFonts w:eastAsia="Times New Roman"/>
          <w:color w:val="353535"/>
          <w:sz w:val="20"/>
          <w:szCs w:val="20"/>
          <w:lang w:val="en"/>
        </w:rPr>
        <w:t>VistA</w:t>
      </w:r>
      <w:proofErr w:type="spellEnd"/>
      <w:r w:rsidRPr="00005608">
        <w:rPr>
          <w:rFonts w:eastAsia="Times New Roman"/>
          <w:color w:val="353535"/>
          <w:sz w:val="20"/>
          <w:szCs w:val="20"/>
          <w:lang w:val="en"/>
        </w:rPr>
        <w:t xml:space="preserve"> interfaces that facilitate dictation, transcription, uploading documents, voice recognition, document scanning), and (d) other technologies deemed appropriate by IHS.</w:t>
      </w:r>
    </w:p>
    <w:p w14:paraId="2F259901" w14:textId="77777777" w:rsidR="005A5AC4" w:rsidRPr="00005608" w:rsidRDefault="005A5AC4">
      <w:pPr>
        <w:numPr>
          <w:ilvl w:val="0"/>
          <w:numId w:val="126"/>
        </w:numPr>
        <w:tabs>
          <w:tab w:val="clear" w:pos="720"/>
        </w:tabs>
        <w:spacing w:after="0"/>
        <w:ind w:left="540"/>
        <w:rPr>
          <w:rFonts w:eastAsia="Times New Roman"/>
          <w:color w:val="353535"/>
          <w:sz w:val="20"/>
          <w:szCs w:val="20"/>
          <w:lang w:val="en"/>
        </w:rPr>
      </w:pPr>
      <w:bookmarkStart w:id="297" w:name="3-3.9B"/>
      <w:bookmarkEnd w:id="297"/>
      <w:r w:rsidRPr="00005608">
        <w:rPr>
          <w:rFonts w:eastAsia="Times New Roman"/>
          <w:color w:val="353535"/>
          <w:sz w:val="20"/>
          <w:szCs w:val="20"/>
          <w:u w:val="single"/>
          <w:lang w:val="en"/>
        </w:rPr>
        <w:t>Health Record Creation</w:t>
      </w:r>
      <w:r w:rsidRPr="00005608">
        <w:rPr>
          <w:rFonts w:eastAsia="Times New Roman"/>
          <w:color w:val="353535"/>
          <w:sz w:val="20"/>
          <w:szCs w:val="20"/>
          <w:lang w:val="en"/>
        </w:rPr>
        <w:t>.  A separate, unique health record is created and maintained for every individual assessed and treated by the IHS, as well as those receiving community ancillary care by the IHS, such as visits by Public Health Nurses, e.g., home visits, health fairs, etc. Printing and filing paper documents from electronic media for active records is not required.</w:t>
      </w:r>
    </w:p>
    <w:p w14:paraId="506B9534" w14:textId="77777777" w:rsidR="005A5AC4" w:rsidRPr="005E6202" w:rsidRDefault="005A5AC4" w:rsidP="00317BC6">
      <w:pPr>
        <w:ind w:left="540"/>
        <w:rPr>
          <w:rFonts w:eastAsia="Times New Roman"/>
          <w:color w:val="353535"/>
          <w:sz w:val="20"/>
          <w:szCs w:val="20"/>
          <w:lang w:val="en"/>
        </w:rPr>
      </w:pPr>
      <w:bookmarkStart w:id="298" w:name="3-3.9C"/>
      <w:bookmarkEnd w:id="298"/>
    </w:p>
    <w:p w14:paraId="4A47BD90" w14:textId="77777777" w:rsidR="005A5AC4" w:rsidRPr="00005608" w:rsidRDefault="005A5AC4">
      <w:pPr>
        <w:numPr>
          <w:ilvl w:val="0"/>
          <w:numId w:val="126"/>
        </w:numPr>
        <w:tabs>
          <w:tab w:val="clear" w:pos="720"/>
        </w:tabs>
        <w:spacing w:after="0"/>
        <w:ind w:left="540"/>
        <w:rPr>
          <w:rFonts w:eastAsia="Times New Roman"/>
          <w:color w:val="353535"/>
          <w:sz w:val="20"/>
          <w:szCs w:val="20"/>
          <w:lang w:val="en"/>
        </w:rPr>
      </w:pPr>
      <w:r w:rsidRPr="00005608">
        <w:rPr>
          <w:rFonts w:eastAsia="Times New Roman"/>
          <w:color w:val="353535"/>
          <w:sz w:val="20"/>
          <w:szCs w:val="20"/>
          <w:u w:val="single"/>
          <w:lang w:val="en"/>
        </w:rPr>
        <w:t>Electronic Notes Standards</w:t>
      </w:r>
      <w:r w:rsidRPr="00005608">
        <w:rPr>
          <w:rFonts w:eastAsia="Times New Roman"/>
          <w:color w:val="353535"/>
          <w:sz w:val="20"/>
          <w:szCs w:val="20"/>
          <w:lang w:val="en"/>
        </w:rPr>
        <w:t xml:space="preserve">.  Electronically stored patient information is subject to the same medical and legal requirements as the hand-written information in the paper health record.  Entries must be accurate, relevant, timely, and complete. </w:t>
      </w:r>
    </w:p>
    <w:p w14:paraId="3D4016B4" w14:textId="77777777" w:rsidR="005A5AC4" w:rsidRPr="00005608" w:rsidRDefault="005A5AC4" w:rsidP="00317BC6">
      <w:pPr>
        <w:ind w:left="540"/>
        <w:rPr>
          <w:rFonts w:eastAsia="Times New Roman"/>
          <w:color w:val="353535"/>
          <w:sz w:val="20"/>
          <w:szCs w:val="20"/>
          <w:lang w:val="en"/>
        </w:rPr>
      </w:pPr>
      <w:r w:rsidRPr="00005608">
        <w:rPr>
          <w:rFonts w:eastAsia="Times New Roman"/>
          <w:color w:val="353535"/>
          <w:sz w:val="20"/>
          <w:szCs w:val="20"/>
          <w:lang w:val="en"/>
        </w:rPr>
        <w:t>Viewing unsigned notes is not allowed because current technology does not provide an audit trail of the note status.  Viewing unsigned notes poses a risk of clinical decision-making based on data that may be revised or deleted.  However, limited access to unsigned notes may be determined by local policy.</w:t>
      </w:r>
    </w:p>
    <w:p w14:paraId="5EB3C59D" w14:textId="77777777" w:rsidR="005A5AC4" w:rsidRPr="00005608" w:rsidRDefault="005A5AC4" w:rsidP="00317BC6">
      <w:pPr>
        <w:ind w:left="540"/>
        <w:rPr>
          <w:rFonts w:eastAsia="Times New Roman"/>
          <w:color w:val="353535"/>
          <w:sz w:val="20"/>
          <w:szCs w:val="20"/>
          <w:lang w:val="en"/>
        </w:rPr>
      </w:pPr>
      <w:r w:rsidRPr="00005608">
        <w:rPr>
          <w:rFonts w:eastAsia="Times New Roman"/>
          <w:color w:val="353535"/>
          <w:sz w:val="20"/>
          <w:szCs w:val="20"/>
          <w:lang w:val="en"/>
        </w:rPr>
        <w:t>Approved templates may be provided to complete the note text.  Standardized note titles facilitate retrieval of specific patient information.  Issues regarding note title standardization are part of the health record review function.  Appropriate note titles must match note content and the credentials of the author to enhance the ability to find a note quickly and easily.  Notes must be reviewed and signed promptly, as defined by facility policy.</w:t>
      </w:r>
    </w:p>
    <w:p w14:paraId="31B10A27" w14:textId="77777777" w:rsidR="005A5AC4" w:rsidRPr="00005608" w:rsidRDefault="005A5AC4">
      <w:pPr>
        <w:numPr>
          <w:ilvl w:val="0"/>
          <w:numId w:val="126"/>
        </w:numPr>
        <w:tabs>
          <w:tab w:val="clear" w:pos="720"/>
        </w:tabs>
        <w:spacing w:after="0"/>
        <w:ind w:left="540"/>
        <w:rPr>
          <w:rFonts w:eastAsia="Times New Roman"/>
          <w:color w:val="353535"/>
          <w:sz w:val="20"/>
          <w:szCs w:val="20"/>
          <w:lang w:val="en"/>
        </w:rPr>
      </w:pPr>
      <w:bookmarkStart w:id="299" w:name="3-3.9D"/>
      <w:bookmarkEnd w:id="299"/>
      <w:r w:rsidRPr="00005608">
        <w:rPr>
          <w:rFonts w:eastAsia="Times New Roman"/>
          <w:color w:val="353535"/>
          <w:sz w:val="20"/>
          <w:szCs w:val="20"/>
          <w:u w:val="single"/>
          <w:lang w:val="en"/>
        </w:rPr>
        <w:t>Copy and Paste Functions</w:t>
      </w:r>
      <w:r w:rsidRPr="00005608">
        <w:rPr>
          <w:rFonts w:eastAsia="Times New Roman"/>
          <w:color w:val="353535"/>
          <w:sz w:val="20"/>
          <w:szCs w:val="20"/>
          <w:lang w:val="en"/>
        </w:rPr>
        <w:t>.  The electronic copy and paste function is a powerful tool; however, this functionality must be used with caution and according to strict enforceable policy.  Each facility must develop a policy that ensures the elimination and/or judicious use of this electronic function.</w:t>
      </w:r>
    </w:p>
    <w:p w14:paraId="6FDF4625" w14:textId="77777777" w:rsidR="005A5AC4" w:rsidRPr="00005608" w:rsidRDefault="005A5AC4">
      <w:pPr>
        <w:numPr>
          <w:ilvl w:val="0"/>
          <w:numId w:val="126"/>
        </w:numPr>
        <w:tabs>
          <w:tab w:val="clear" w:pos="720"/>
        </w:tabs>
        <w:spacing w:after="0"/>
        <w:ind w:left="540"/>
        <w:rPr>
          <w:rFonts w:eastAsia="Times New Roman"/>
          <w:color w:val="353535"/>
          <w:sz w:val="20"/>
          <w:szCs w:val="20"/>
          <w:lang w:val="en"/>
        </w:rPr>
      </w:pPr>
      <w:bookmarkStart w:id="300" w:name="3-3.9E"/>
      <w:bookmarkEnd w:id="300"/>
      <w:r w:rsidRPr="00005608">
        <w:rPr>
          <w:rFonts w:eastAsia="Times New Roman"/>
          <w:color w:val="353535"/>
          <w:sz w:val="20"/>
          <w:szCs w:val="20"/>
          <w:u w:val="single"/>
          <w:lang w:val="en"/>
        </w:rPr>
        <w:t>Clinical Postings</w:t>
      </w:r>
      <w:r w:rsidRPr="00005608">
        <w:rPr>
          <w:rFonts w:eastAsia="Times New Roman"/>
          <w:color w:val="353535"/>
          <w:sz w:val="20"/>
          <w:szCs w:val="20"/>
          <w:lang w:val="en"/>
        </w:rPr>
        <w:t>.  Postings consist of crisis notes, clinical warnings, patient allergies, and advance directives.  Postings are entered with an appropriately titled progress note and, if unsigned, may be rescinded by changing the note title.</w:t>
      </w:r>
    </w:p>
    <w:p w14:paraId="6392DA52" w14:textId="77777777" w:rsidR="005A5AC4" w:rsidRPr="00005608" w:rsidRDefault="005A5AC4">
      <w:pPr>
        <w:numPr>
          <w:ilvl w:val="0"/>
          <w:numId w:val="126"/>
        </w:numPr>
        <w:tabs>
          <w:tab w:val="clear" w:pos="720"/>
        </w:tabs>
        <w:spacing w:after="0"/>
        <w:ind w:left="540"/>
        <w:rPr>
          <w:rFonts w:eastAsia="Times New Roman"/>
          <w:color w:val="353535"/>
          <w:sz w:val="20"/>
          <w:szCs w:val="20"/>
          <w:lang w:val="en"/>
        </w:rPr>
      </w:pPr>
      <w:bookmarkStart w:id="301" w:name="3-3.9F"/>
      <w:bookmarkEnd w:id="301"/>
      <w:r w:rsidRPr="00005608">
        <w:rPr>
          <w:rFonts w:eastAsia="Times New Roman"/>
          <w:color w:val="353535"/>
          <w:sz w:val="20"/>
          <w:szCs w:val="20"/>
          <w:u w:val="single"/>
          <w:lang w:val="en"/>
        </w:rPr>
        <w:t>Clinical Reminder</w:t>
      </w:r>
      <w:r w:rsidRPr="00005608">
        <w:rPr>
          <w:rFonts w:eastAsia="Times New Roman"/>
          <w:color w:val="353535"/>
          <w:sz w:val="20"/>
          <w:szCs w:val="20"/>
          <w:lang w:val="en"/>
        </w:rPr>
        <w:t>.  Clinical reminders are a clinical decision support tool to assist health care staff, but are not part of the clinical record.  The reminders are recommendations based on clinical and administrative policy, and are always to be interpreted within the context of the practitioner's knowledge of the patient.  If an inappropriate clinical reminder is triggered due to an improper code selection, corrections must be made based on facility policy.</w:t>
      </w:r>
    </w:p>
    <w:p w14:paraId="13CE76C0" w14:textId="77777777" w:rsidR="005A5AC4" w:rsidRPr="00005608" w:rsidRDefault="005A5AC4">
      <w:pPr>
        <w:numPr>
          <w:ilvl w:val="0"/>
          <w:numId w:val="126"/>
        </w:numPr>
        <w:tabs>
          <w:tab w:val="clear" w:pos="720"/>
        </w:tabs>
        <w:spacing w:before="100" w:beforeAutospacing="1" w:after="100" w:afterAutospacing="1"/>
        <w:ind w:left="540"/>
        <w:rPr>
          <w:rFonts w:eastAsia="Times New Roman"/>
          <w:color w:val="353535"/>
          <w:sz w:val="20"/>
          <w:szCs w:val="20"/>
          <w:lang w:val="en"/>
        </w:rPr>
      </w:pPr>
      <w:bookmarkStart w:id="302" w:name="3-3.9G"/>
      <w:bookmarkEnd w:id="302"/>
      <w:r w:rsidRPr="00005608">
        <w:rPr>
          <w:rFonts w:eastAsia="Times New Roman"/>
          <w:color w:val="353535"/>
          <w:sz w:val="20"/>
          <w:szCs w:val="20"/>
          <w:u w:val="single"/>
          <w:lang w:val="en"/>
        </w:rPr>
        <w:t>Patient Flags</w:t>
      </w:r>
      <w:r w:rsidRPr="00005608">
        <w:rPr>
          <w:rFonts w:eastAsia="Times New Roman"/>
          <w:color w:val="353535"/>
          <w:sz w:val="20"/>
          <w:szCs w:val="20"/>
          <w:lang w:val="en"/>
        </w:rPr>
        <w:t xml:space="preserve">.  Patient Flags can be </w:t>
      </w:r>
      <w:proofErr w:type="gramStart"/>
      <w:r w:rsidRPr="00005608">
        <w:rPr>
          <w:rFonts w:eastAsia="Times New Roman"/>
          <w:color w:val="353535"/>
          <w:sz w:val="20"/>
          <w:szCs w:val="20"/>
          <w:lang w:val="en"/>
        </w:rPr>
        <w:t>setup</w:t>
      </w:r>
      <w:proofErr w:type="gramEnd"/>
      <w:r w:rsidRPr="00005608">
        <w:rPr>
          <w:rFonts w:eastAsia="Times New Roman"/>
          <w:color w:val="353535"/>
          <w:sz w:val="20"/>
          <w:szCs w:val="20"/>
          <w:lang w:val="en"/>
        </w:rPr>
        <w:t xml:space="preserve"> in the RPMS and added to a patient's record to notify the health care provider of a specific medical condition or situation.  The flags are removed when the patient's condition or situation is resolved.</w:t>
      </w:r>
    </w:p>
    <w:p w14:paraId="72AE59FF" w14:textId="77777777" w:rsidR="005A5AC4" w:rsidRPr="00005608" w:rsidRDefault="005A5AC4">
      <w:pPr>
        <w:numPr>
          <w:ilvl w:val="0"/>
          <w:numId w:val="126"/>
        </w:numPr>
        <w:tabs>
          <w:tab w:val="clear" w:pos="720"/>
        </w:tabs>
        <w:spacing w:before="100" w:beforeAutospacing="1" w:after="100" w:afterAutospacing="1"/>
        <w:ind w:left="540"/>
        <w:rPr>
          <w:rFonts w:eastAsia="Times New Roman"/>
          <w:color w:val="353535"/>
          <w:sz w:val="20"/>
          <w:szCs w:val="20"/>
          <w:lang w:val="en"/>
        </w:rPr>
      </w:pPr>
      <w:bookmarkStart w:id="303" w:name="3-3.9H"/>
      <w:bookmarkEnd w:id="303"/>
      <w:r w:rsidRPr="00005608">
        <w:rPr>
          <w:rFonts w:eastAsia="Times New Roman"/>
          <w:color w:val="353535"/>
          <w:sz w:val="20"/>
          <w:szCs w:val="20"/>
          <w:u w:val="single"/>
          <w:lang w:val="en"/>
        </w:rPr>
        <w:lastRenderedPageBreak/>
        <w:t>Electronic Signatures</w:t>
      </w:r>
      <w:r w:rsidRPr="00005608">
        <w:rPr>
          <w:rFonts w:eastAsia="Times New Roman"/>
          <w:color w:val="353535"/>
          <w:sz w:val="20"/>
          <w:szCs w:val="20"/>
          <w:lang w:val="en"/>
        </w:rPr>
        <w:t xml:space="preserve">.  Facility policy must provide adequate security measures to identify users (authors) who document in the health record by verifying the authenticity of electronic signatures.  Authors are responsible for the sole use of their electronic signature. </w:t>
      </w:r>
    </w:p>
    <w:p w14:paraId="25BF78F6" w14:textId="77777777" w:rsidR="005A5AC4" w:rsidRPr="00005608" w:rsidRDefault="005A5AC4">
      <w:pPr>
        <w:numPr>
          <w:ilvl w:val="1"/>
          <w:numId w:val="126"/>
        </w:numPr>
        <w:tabs>
          <w:tab w:val="clear" w:pos="1440"/>
        </w:tabs>
        <w:spacing w:before="100" w:beforeAutospacing="1" w:after="100" w:afterAutospacing="1"/>
        <w:ind w:left="1080"/>
        <w:rPr>
          <w:rFonts w:eastAsia="Times New Roman"/>
          <w:color w:val="353535"/>
          <w:sz w:val="20"/>
          <w:szCs w:val="20"/>
          <w:lang w:val="en"/>
        </w:rPr>
      </w:pPr>
      <w:r w:rsidRPr="00005608">
        <w:rPr>
          <w:rFonts w:eastAsia="Times New Roman"/>
          <w:color w:val="353535"/>
          <w:sz w:val="20"/>
          <w:szCs w:val="20"/>
          <w:lang w:val="en"/>
        </w:rPr>
        <w:t>Authentication includes the identity and professional discipline of the author, and the date and time a document is signed.  Notes made and authenticated by health care team members must be individually identified either by the use of the individual's title or by appropriate professional credential designation.  Once affixed, authentication of electronic documents cannot be rescinded or repudiated.</w:t>
      </w:r>
    </w:p>
    <w:p w14:paraId="3D902971" w14:textId="77777777" w:rsidR="005A5AC4" w:rsidRPr="00005608" w:rsidRDefault="005A5AC4">
      <w:pPr>
        <w:numPr>
          <w:ilvl w:val="1"/>
          <w:numId w:val="126"/>
        </w:numPr>
        <w:tabs>
          <w:tab w:val="clear" w:pos="1440"/>
        </w:tabs>
        <w:spacing w:before="100" w:beforeAutospacing="1" w:after="100" w:afterAutospacing="1"/>
        <w:ind w:left="1080"/>
        <w:rPr>
          <w:rFonts w:eastAsia="Times New Roman"/>
          <w:color w:val="353535"/>
          <w:sz w:val="20"/>
          <w:szCs w:val="20"/>
          <w:lang w:val="en"/>
        </w:rPr>
      </w:pPr>
      <w:r w:rsidRPr="00005608">
        <w:rPr>
          <w:rFonts w:eastAsia="Times New Roman"/>
          <w:color w:val="353535"/>
          <w:sz w:val="20"/>
          <w:szCs w:val="20"/>
          <w:lang w:val="en"/>
        </w:rPr>
        <w:t xml:space="preserve">No editing or alteration of any documentation with a manual or electronic signature is permitted without </w:t>
      </w:r>
      <w:proofErr w:type="gramStart"/>
      <w:r w:rsidRPr="00005608">
        <w:rPr>
          <w:rFonts w:eastAsia="Times New Roman"/>
          <w:color w:val="353535"/>
          <w:sz w:val="20"/>
          <w:szCs w:val="20"/>
          <w:lang w:val="en"/>
        </w:rPr>
        <w:t>approval</w:t>
      </w:r>
      <w:proofErr w:type="gramEnd"/>
      <w:r w:rsidRPr="00005608">
        <w:rPr>
          <w:rFonts w:eastAsia="Times New Roman"/>
          <w:color w:val="353535"/>
          <w:sz w:val="20"/>
          <w:szCs w:val="20"/>
          <w:lang w:val="en"/>
        </w:rPr>
        <w:t xml:space="preserve"> of the Chief, Medical Information Services, or HIM Director.</w:t>
      </w:r>
    </w:p>
    <w:p w14:paraId="5E92B71B" w14:textId="77777777" w:rsidR="005A5AC4" w:rsidRPr="00005608" w:rsidRDefault="005A5AC4">
      <w:pPr>
        <w:numPr>
          <w:ilvl w:val="1"/>
          <w:numId w:val="126"/>
        </w:numPr>
        <w:tabs>
          <w:tab w:val="clear" w:pos="1440"/>
        </w:tabs>
        <w:spacing w:before="100" w:beforeAutospacing="1" w:after="100" w:afterAutospacing="1"/>
        <w:ind w:left="1080"/>
        <w:rPr>
          <w:rFonts w:eastAsia="Times New Roman"/>
          <w:color w:val="353535"/>
          <w:sz w:val="20"/>
          <w:szCs w:val="20"/>
          <w:lang w:val="en"/>
        </w:rPr>
      </w:pPr>
      <w:r w:rsidRPr="00005608">
        <w:rPr>
          <w:rFonts w:eastAsia="Times New Roman"/>
          <w:color w:val="353535"/>
          <w:sz w:val="20"/>
          <w:szCs w:val="20"/>
          <w:lang w:val="en"/>
        </w:rPr>
        <w:t xml:space="preserve">An electronic document in the health record may have more than one signature because each has a distinct and separate purpose depending on the role of the signer.  For example, the signers may include the author, transcriptionist/recorder, supervising practitioner, or witness. </w:t>
      </w:r>
    </w:p>
    <w:p w14:paraId="3D876598" w14:textId="77777777" w:rsidR="005A5AC4" w:rsidRPr="00005608" w:rsidRDefault="005A5AC4">
      <w:pPr>
        <w:numPr>
          <w:ilvl w:val="0"/>
          <w:numId w:val="126"/>
        </w:numPr>
        <w:tabs>
          <w:tab w:val="clear" w:pos="720"/>
        </w:tabs>
        <w:spacing w:before="100" w:beforeAutospacing="1" w:after="100" w:afterAutospacing="1"/>
        <w:ind w:left="540"/>
        <w:rPr>
          <w:rFonts w:eastAsia="Times New Roman"/>
          <w:color w:val="353535"/>
          <w:sz w:val="20"/>
          <w:szCs w:val="20"/>
          <w:lang w:val="en"/>
        </w:rPr>
      </w:pPr>
      <w:bookmarkStart w:id="304" w:name="3-3.9I"/>
      <w:bookmarkEnd w:id="304"/>
      <w:r w:rsidRPr="00005608">
        <w:rPr>
          <w:rFonts w:eastAsia="Times New Roman"/>
          <w:color w:val="353535"/>
          <w:sz w:val="20"/>
          <w:szCs w:val="20"/>
          <w:u w:val="single"/>
          <w:lang w:val="en"/>
        </w:rPr>
        <w:t>Document Scanning</w:t>
      </w:r>
      <w:r w:rsidRPr="00005608">
        <w:rPr>
          <w:rFonts w:eastAsia="Times New Roman"/>
          <w:color w:val="353535"/>
          <w:sz w:val="20"/>
          <w:szCs w:val="20"/>
          <w:lang w:val="en"/>
        </w:rPr>
        <w:t>.  Scanning, or imaging, is a process of converting a paper document to an electronic file.  Scanned documents may be linked to TIU documents and displayed with the TIU document.  Scanned documents do not require an electronic signature but are marked administratively complete.  Only those documents that cannot be created in or interfaced with the EHR will be scanned.  Development of document scanning policies is a shared responsibility among facility HIMs and other appropriate services.</w:t>
      </w:r>
    </w:p>
    <w:p w14:paraId="0E514972" w14:textId="77777777" w:rsidR="005A5AC4" w:rsidRDefault="005A5AC4">
      <w:pPr>
        <w:numPr>
          <w:ilvl w:val="0"/>
          <w:numId w:val="126"/>
        </w:numPr>
        <w:tabs>
          <w:tab w:val="clear" w:pos="720"/>
        </w:tabs>
        <w:spacing w:before="100" w:beforeAutospacing="1" w:after="100" w:afterAutospacing="1"/>
        <w:ind w:left="540"/>
        <w:rPr>
          <w:rFonts w:eastAsia="Times New Roman"/>
          <w:color w:val="353535"/>
          <w:sz w:val="20"/>
          <w:szCs w:val="20"/>
          <w:lang w:val="en"/>
        </w:rPr>
      </w:pPr>
      <w:bookmarkStart w:id="305" w:name="3-3.9J"/>
      <w:bookmarkEnd w:id="305"/>
      <w:r w:rsidRPr="00005608">
        <w:rPr>
          <w:rFonts w:eastAsia="Times New Roman"/>
          <w:color w:val="353535"/>
          <w:sz w:val="20"/>
          <w:szCs w:val="20"/>
          <w:u w:val="single"/>
          <w:lang w:val="en"/>
        </w:rPr>
        <w:t>Health Record Alterations and Modification</w:t>
      </w:r>
      <w:r w:rsidRPr="00005608">
        <w:rPr>
          <w:rFonts w:eastAsia="Times New Roman"/>
          <w:color w:val="353535"/>
          <w:sz w:val="20"/>
          <w:szCs w:val="20"/>
          <w:lang w:val="en"/>
        </w:rPr>
        <w:t xml:space="preserve">.  Electronic progress notes, operative reports, and discharge summaries are occasionally entered by practitioners in the TIU and the EHR software for the wrong patients, or the information within the document(s) may be erroneous.  A local procedure, </w:t>
      </w:r>
      <w:hyperlink r:id="rId41" w:tgtFrame="_blank" w:history="1">
        <w:r w:rsidRPr="00005608">
          <w:rPr>
            <w:rFonts w:eastAsia="Times New Roman"/>
            <w:color w:val="0000FF"/>
            <w:sz w:val="20"/>
            <w:szCs w:val="20"/>
            <w:u w:val="single"/>
            <w:lang w:val="en"/>
          </w:rPr>
          <w:t>following the EHR for HIM Guide found at here</w:t>
        </w:r>
      </w:hyperlink>
      <w:r w:rsidRPr="00005608">
        <w:rPr>
          <w:rFonts w:eastAsia="Times New Roman"/>
          <w:color w:val="353535"/>
          <w:sz w:val="20"/>
          <w:szCs w:val="20"/>
          <w:lang w:val="en"/>
        </w:rPr>
        <w:t xml:space="preserve">, must be established for correcting erroneous patient information entered electronically.  It is the responsibility of the HIM to ensure there is a process in place to correct erroneous health record information.  (Refer to Manual Exhibit 3-3-A Comparison of Update, Administrative Correction, Addenda, and Amendment Requests.) </w:t>
      </w:r>
    </w:p>
    <w:p w14:paraId="5F7B49FE" w14:textId="49EB8578" w:rsidR="005A5AC4" w:rsidRPr="00317BC6" w:rsidRDefault="005A5AC4" w:rsidP="005A5AC4">
      <w:pPr>
        <w:pStyle w:val="NormalWeb"/>
        <w:rPr>
          <w:rFonts w:ascii="Arial" w:hAnsi="Arial" w:cs="Arial"/>
          <w:b/>
          <w:bCs/>
          <w:color w:val="353535"/>
          <w:sz w:val="20"/>
          <w:szCs w:val="20"/>
          <w:lang w:val="en"/>
        </w:rPr>
      </w:pPr>
      <w:bookmarkStart w:id="306" w:name="3-3.10"/>
      <w:bookmarkEnd w:id="306"/>
      <w:r w:rsidRPr="00317BC6">
        <w:rPr>
          <w:rFonts w:ascii="Arial" w:hAnsi="Arial" w:cs="Arial"/>
          <w:b/>
          <w:bCs/>
          <w:color w:val="353535"/>
          <w:sz w:val="20"/>
          <w:szCs w:val="20"/>
          <w:lang w:val="en"/>
        </w:rPr>
        <w:t>3-3.10 INTERDEPARTMENTAL RESPONSIBILITIES</w:t>
      </w:r>
    </w:p>
    <w:p w14:paraId="17D27C3A" w14:textId="77777777" w:rsidR="005A5AC4" w:rsidRDefault="005A5AC4" w:rsidP="005A5AC4">
      <w:pPr>
        <w:pStyle w:val="NormalWeb"/>
        <w:rPr>
          <w:rFonts w:ascii="Arial" w:hAnsi="Arial" w:cs="Arial"/>
          <w:color w:val="353535"/>
          <w:sz w:val="20"/>
          <w:szCs w:val="20"/>
          <w:lang w:val="en"/>
        </w:rPr>
      </w:pPr>
      <w:r>
        <w:rPr>
          <w:rFonts w:ascii="Arial" w:hAnsi="Arial" w:cs="Arial"/>
          <w:color w:val="353535"/>
          <w:sz w:val="20"/>
          <w:szCs w:val="20"/>
          <w:lang w:val="en"/>
        </w:rPr>
        <w:t xml:space="preserve">This section </w:t>
      </w:r>
      <w:proofErr w:type="gramStart"/>
      <w:r>
        <w:rPr>
          <w:rFonts w:ascii="Arial" w:hAnsi="Arial" w:cs="Arial"/>
          <w:color w:val="353535"/>
          <w:sz w:val="20"/>
          <w:szCs w:val="20"/>
          <w:lang w:val="en"/>
        </w:rPr>
        <w:t>defines for</w:t>
      </w:r>
      <w:proofErr w:type="gramEnd"/>
      <w:r>
        <w:rPr>
          <w:rFonts w:ascii="Arial" w:hAnsi="Arial" w:cs="Arial"/>
          <w:color w:val="353535"/>
          <w:sz w:val="20"/>
          <w:szCs w:val="20"/>
          <w:lang w:val="en"/>
        </w:rPr>
        <w:t xml:space="preserve"> the responsibilities of the medical staff, nursing service, CEO, Privacy Act Liaison (PAL)/Privacy Official (PO), dental, pharmacy, behavioral health, nutrition/dietetics, optometry/ophthalmology, and committees.</w:t>
      </w:r>
    </w:p>
    <w:p w14:paraId="3FDB9682" w14:textId="24D1F0D4" w:rsidR="005A5AC4" w:rsidRDefault="005A5AC4">
      <w:pPr>
        <w:pStyle w:val="ListParagraph"/>
        <w:widowControl/>
        <w:numPr>
          <w:ilvl w:val="0"/>
          <w:numId w:val="127"/>
        </w:numPr>
        <w:autoSpaceDE/>
        <w:autoSpaceDN/>
        <w:spacing w:before="0" w:after="160" w:line="259" w:lineRule="auto"/>
        <w:ind w:left="540"/>
        <w:contextualSpacing/>
      </w:pPr>
      <w:r w:rsidRPr="00005608">
        <w:rPr>
          <w:rFonts w:cs="Arial"/>
          <w:color w:val="353535"/>
          <w:sz w:val="20"/>
          <w:szCs w:val="20"/>
          <w:u w:val="single"/>
          <w:lang w:val="en"/>
        </w:rPr>
        <w:t>Dental</w:t>
      </w:r>
      <w:r w:rsidRPr="00005608">
        <w:rPr>
          <w:rFonts w:cs="Arial"/>
          <w:color w:val="353535"/>
          <w:sz w:val="20"/>
          <w:szCs w:val="20"/>
          <w:lang w:val="en"/>
        </w:rPr>
        <w:t>.  Dental is responsible for compliance with their own standards regarding dental outpatient documentation.  Dental film (X-ray) in the record must be removed prior to the retirement of the record to the FRC.  (Refer to the IHS Records Disposition Schedule, Professional Services, Section 2, Dental Services.)</w:t>
      </w:r>
    </w:p>
    <w:p w14:paraId="6629E2A6" w14:textId="2510C006" w:rsidR="005A5AC4" w:rsidRPr="00317BC6" w:rsidRDefault="005A5AC4" w:rsidP="005A5AC4">
      <w:pPr>
        <w:spacing w:before="100" w:beforeAutospacing="1" w:after="100" w:afterAutospacing="1"/>
        <w:rPr>
          <w:rFonts w:eastAsia="Times New Roman"/>
          <w:b/>
          <w:bCs/>
          <w:color w:val="353535"/>
          <w:sz w:val="20"/>
          <w:szCs w:val="20"/>
          <w:lang w:val="en"/>
        </w:rPr>
      </w:pPr>
      <w:bookmarkStart w:id="307" w:name="3-3.11"/>
      <w:bookmarkEnd w:id="307"/>
      <w:r w:rsidRPr="00317BC6">
        <w:rPr>
          <w:rFonts w:eastAsia="Times New Roman"/>
          <w:b/>
          <w:bCs/>
          <w:color w:val="353535"/>
          <w:sz w:val="20"/>
          <w:szCs w:val="20"/>
          <w:lang w:val="en"/>
        </w:rPr>
        <w:t>3-3.11 QUANTITATIVE ANALYSIS OF THE HEALTH RECORD</w:t>
      </w:r>
    </w:p>
    <w:p w14:paraId="6FE8F569" w14:textId="77777777" w:rsidR="005A5AC4" w:rsidRPr="00005608" w:rsidRDefault="005A5AC4">
      <w:pPr>
        <w:numPr>
          <w:ilvl w:val="0"/>
          <w:numId w:val="128"/>
        </w:numPr>
        <w:tabs>
          <w:tab w:val="clear" w:pos="720"/>
        </w:tabs>
        <w:spacing w:before="100" w:beforeAutospacing="1" w:after="100" w:afterAutospacing="1"/>
        <w:ind w:left="540"/>
        <w:rPr>
          <w:rFonts w:eastAsia="Times New Roman"/>
          <w:color w:val="353535"/>
          <w:sz w:val="20"/>
          <w:szCs w:val="20"/>
          <w:lang w:val="en"/>
        </w:rPr>
      </w:pPr>
      <w:bookmarkStart w:id="308" w:name="3-3.11A"/>
      <w:bookmarkEnd w:id="308"/>
      <w:r w:rsidRPr="00005608">
        <w:rPr>
          <w:rFonts w:eastAsia="Times New Roman"/>
          <w:color w:val="353535"/>
          <w:sz w:val="20"/>
          <w:szCs w:val="20"/>
          <w:u w:val="single"/>
          <w:lang w:val="en"/>
        </w:rPr>
        <w:t>Quantitative Analysis</w:t>
      </w:r>
      <w:r w:rsidRPr="00005608">
        <w:rPr>
          <w:rFonts w:eastAsia="Times New Roman"/>
          <w:color w:val="353535"/>
          <w:sz w:val="20"/>
          <w:szCs w:val="20"/>
          <w:lang w:val="en"/>
        </w:rPr>
        <w:t xml:space="preserve">.  Quantitative analysis is a review of prescribed areas of the health record for identifying specific deficiencies in recording to ensure that it is complete, accurate, and timely.  Items that do not meet the criteria should be </w:t>
      </w:r>
      <w:proofErr w:type="gramStart"/>
      <w:r w:rsidRPr="00005608">
        <w:rPr>
          <w:rFonts w:eastAsia="Times New Roman"/>
          <w:color w:val="353535"/>
          <w:sz w:val="20"/>
          <w:szCs w:val="20"/>
          <w:lang w:val="en"/>
        </w:rPr>
        <w:t>on</w:t>
      </w:r>
      <w:proofErr w:type="gramEnd"/>
      <w:r w:rsidRPr="00005608">
        <w:rPr>
          <w:rFonts w:eastAsia="Times New Roman"/>
          <w:color w:val="353535"/>
          <w:sz w:val="20"/>
          <w:szCs w:val="20"/>
          <w:lang w:val="en"/>
        </w:rPr>
        <w:t xml:space="preserve"> the deficiency form or in the EHR and completed by the responsible health care provider.</w:t>
      </w:r>
    </w:p>
    <w:p w14:paraId="571BA7B1" w14:textId="77777777" w:rsidR="005A5AC4" w:rsidRPr="00005608" w:rsidRDefault="005A5AC4">
      <w:pPr>
        <w:numPr>
          <w:ilvl w:val="0"/>
          <w:numId w:val="128"/>
        </w:numPr>
        <w:tabs>
          <w:tab w:val="clear" w:pos="720"/>
        </w:tabs>
        <w:spacing w:before="100" w:beforeAutospacing="1" w:after="100" w:afterAutospacing="1"/>
        <w:ind w:left="540"/>
        <w:rPr>
          <w:rFonts w:eastAsia="Times New Roman"/>
          <w:color w:val="353535"/>
          <w:sz w:val="20"/>
          <w:szCs w:val="20"/>
          <w:lang w:val="en"/>
        </w:rPr>
      </w:pPr>
      <w:bookmarkStart w:id="309" w:name="3-3.11B"/>
      <w:bookmarkEnd w:id="309"/>
      <w:r w:rsidRPr="00005608">
        <w:rPr>
          <w:rFonts w:eastAsia="Times New Roman"/>
          <w:color w:val="353535"/>
          <w:sz w:val="20"/>
          <w:szCs w:val="20"/>
          <w:u w:val="single"/>
          <w:lang w:val="en"/>
        </w:rPr>
        <w:t>Purpose</w:t>
      </w:r>
      <w:r w:rsidRPr="00005608">
        <w:rPr>
          <w:rFonts w:eastAsia="Times New Roman"/>
          <w:color w:val="353535"/>
          <w:sz w:val="20"/>
          <w:szCs w:val="20"/>
          <w:lang w:val="en"/>
        </w:rPr>
        <w:t>.  The purpose of quantitative analysis is primarily to identify obvious and routine omissions that are easily corrected in the normal course of patient care.  This ensures the health record is more complete for reference in continuing patient care; for protecting the legal interests of the patient, physician, and hospital; and for meeting provider licensing or regulatory and/or accrediting/certifying and IHS requirements.</w:t>
      </w:r>
    </w:p>
    <w:p w14:paraId="5AFD1687" w14:textId="77777777" w:rsidR="005A5AC4" w:rsidRPr="00005608" w:rsidRDefault="005A5AC4" w:rsidP="000D7FFC">
      <w:pPr>
        <w:keepNext/>
        <w:keepLines/>
        <w:numPr>
          <w:ilvl w:val="0"/>
          <w:numId w:val="128"/>
        </w:numPr>
        <w:tabs>
          <w:tab w:val="clear" w:pos="720"/>
        </w:tabs>
        <w:spacing w:before="100" w:beforeAutospacing="1" w:after="100" w:afterAutospacing="1"/>
        <w:ind w:left="547"/>
        <w:rPr>
          <w:rFonts w:eastAsia="Times New Roman"/>
          <w:color w:val="353535"/>
          <w:sz w:val="20"/>
          <w:szCs w:val="20"/>
          <w:lang w:val="en"/>
        </w:rPr>
      </w:pPr>
      <w:bookmarkStart w:id="310" w:name="3-3.11C"/>
      <w:bookmarkEnd w:id="310"/>
      <w:r w:rsidRPr="00005608">
        <w:rPr>
          <w:rFonts w:eastAsia="Times New Roman"/>
          <w:color w:val="353535"/>
          <w:sz w:val="20"/>
          <w:szCs w:val="20"/>
          <w:u w:val="single"/>
          <w:lang w:val="en"/>
        </w:rPr>
        <w:lastRenderedPageBreak/>
        <w:t>Quantitative Analysis of Outpatient Records</w:t>
      </w:r>
      <w:r w:rsidRPr="00005608">
        <w:rPr>
          <w:rFonts w:eastAsia="Times New Roman"/>
          <w:color w:val="353535"/>
          <w:sz w:val="20"/>
          <w:szCs w:val="20"/>
          <w:lang w:val="en"/>
        </w:rPr>
        <w:t xml:space="preserve">.  The availability of a complete, accurate, and current outpatient record is as important as the inpatient record.  It is a part of the total picture of the health status of the patient.  The HIM personnel shall perform an initial review of the record following an outpatient visit.  Procedures shall be developed at the IHS Service Unit to ensure that information is received from contract facilities and physicians.  The following items of documentation shall be assessed as specified in IHS policy or in the facility's Medical Staff Bylaws, Rules and Regulations: </w:t>
      </w:r>
    </w:p>
    <w:p w14:paraId="3A562218" w14:textId="77777777" w:rsidR="005A5AC4" w:rsidRPr="00005608" w:rsidRDefault="005A5AC4">
      <w:pPr>
        <w:numPr>
          <w:ilvl w:val="1"/>
          <w:numId w:val="128"/>
        </w:numPr>
        <w:tabs>
          <w:tab w:val="clear" w:pos="1440"/>
        </w:tabs>
        <w:spacing w:before="100" w:beforeAutospacing="1" w:after="100" w:afterAutospacing="1"/>
        <w:ind w:left="1080"/>
        <w:rPr>
          <w:rFonts w:eastAsia="Times New Roman"/>
          <w:color w:val="353535"/>
          <w:sz w:val="20"/>
          <w:szCs w:val="20"/>
          <w:lang w:val="en"/>
        </w:rPr>
      </w:pPr>
      <w:r w:rsidRPr="00005608">
        <w:rPr>
          <w:rFonts w:eastAsia="Times New Roman"/>
          <w:color w:val="353535"/>
          <w:sz w:val="20"/>
          <w:szCs w:val="20"/>
          <w:u w:val="single"/>
          <w:lang w:val="en"/>
        </w:rPr>
        <w:t>Clinic record</w:t>
      </w:r>
      <w:r w:rsidRPr="00005608">
        <w:rPr>
          <w:rFonts w:eastAsia="Times New Roman"/>
          <w:color w:val="353535"/>
          <w:sz w:val="20"/>
          <w:szCs w:val="20"/>
          <w:lang w:val="en"/>
        </w:rPr>
        <w:t xml:space="preserve">. </w:t>
      </w:r>
    </w:p>
    <w:p w14:paraId="1566BF86"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completion of sociological data;</w:t>
      </w:r>
    </w:p>
    <w:p w14:paraId="21CE3220"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diagnoses and clinical notes;</w:t>
      </w:r>
    </w:p>
    <w:p w14:paraId="7E65C32C"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use of standard terminology;</w:t>
      </w:r>
    </w:p>
    <w:p w14:paraId="20FD6F1D"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approved abbreviations;</w:t>
      </w:r>
    </w:p>
    <w:p w14:paraId="359C7664"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u w:val="single"/>
          <w:lang w:val="en"/>
        </w:rPr>
        <w:t>do not</w:t>
      </w:r>
      <w:r w:rsidRPr="00005608">
        <w:rPr>
          <w:rFonts w:eastAsia="Times New Roman"/>
          <w:color w:val="353535"/>
          <w:sz w:val="20"/>
          <w:szCs w:val="20"/>
          <w:lang w:val="en"/>
        </w:rPr>
        <w:t xml:space="preserve"> use abbreviations;</w:t>
      </w:r>
    </w:p>
    <w:p w14:paraId="4E769F69"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recording of pertinent dental and medical care;</w:t>
      </w:r>
    </w:p>
    <w:p w14:paraId="37CE6B1E"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history and physical findings;</w:t>
      </w:r>
    </w:p>
    <w:p w14:paraId="04F02DED"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date of visit;</w:t>
      </w:r>
    </w:p>
    <w:p w14:paraId="0D1E9047"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chief complaint or reason for visit;</w:t>
      </w:r>
    </w:p>
    <w:p w14:paraId="6891A997"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care and treatment;</w:t>
      </w:r>
    </w:p>
    <w:p w14:paraId="3723EFBB"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diagnosis;</w:t>
      </w:r>
    </w:p>
    <w:p w14:paraId="78B0A5A8"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instructions to patient; and</w:t>
      </w:r>
    </w:p>
    <w:p w14:paraId="2BD01E3C"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 xml:space="preserve">signatures/discipline. </w:t>
      </w:r>
    </w:p>
    <w:p w14:paraId="6A24B58B" w14:textId="77777777" w:rsidR="005A5AC4" w:rsidRPr="00005608" w:rsidRDefault="005A5AC4">
      <w:pPr>
        <w:numPr>
          <w:ilvl w:val="1"/>
          <w:numId w:val="128"/>
        </w:numPr>
        <w:tabs>
          <w:tab w:val="clear" w:pos="1440"/>
        </w:tabs>
        <w:spacing w:before="100" w:beforeAutospacing="1" w:after="100" w:afterAutospacing="1"/>
        <w:ind w:left="1080"/>
        <w:rPr>
          <w:rFonts w:eastAsia="Times New Roman"/>
          <w:color w:val="353535"/>
          <w:sz w:val="20"/>
          <w:szCs w:val="20"/>
          <w:lang w:val="en"/>
        </w:rPr>
      </w:pPr>
      <w:r w:rsidRPr="00005608">
        <w:rPr>
          <w:rFonts w:eastAsia="Times New Roman"/>
          <w:color w:val="353535"/>
          <w:sz w:val="20"/>
          <w:szCs w:val="20"/>
          <w:u w:val="single"/>
          <w:lang w:val="en"/>
        </w:rPr>
        <w:t>Diagnostic tests, x-rays</w:t>
      </w:r>
      <w:r w:rsidRPr="00005608">
        <w:rPr>
          <w:rFonts w:eastAsia="Times New Roman"/>
          <w:color w:val="353535"/>
          <w:sz w:val="20"/>
          <w:szCs w:val="20"/>
          <w:lang w:val="en"/>
        </w:rPr>
        <w:t>.  Reports for all tests and x-rays ordered are filed in the chart.</w:t>
      </w:r>
    </w:p>
    <w:p w14:paraId="1D5575DB" w14:textId="77777777" w:rsidR="005A5AC4" w:rsidRPr="00005608" w:rsidRDefault="005A5AC4">
      <w:pPr>
        <w:numPr>
          <w:ilvl w:val="1"/>
          <w:numId w:val="128"/>
        </w:numPr>
        <w:tabs>
          <w:tab w:val="clear" w:pos="1440"/>
        </w:tabs>
        <w:spacing w:before="100" w:beforeAutospacing="1" w:after="100" w:afterAutospacing="1"/>
        <w:ind w:left="1080"/>
        <w:rPr>
          <w:rFonts w:eastAsia="Times New Roman"/>
          <w:color w:val="353535"/>
          <w:sz w:val="20"/>
          <w:szCs w:val="20"/>
          <w:lang w:val="en"/>
        </w:rPr>
      </w:pPr>
      <w:r w:rsidRPr="00005608">
        <w:rPr>
          <w:rFonts w:eastAsia="Times New Roman"/>
          <w:color w:val="353535"/>
          <w:sz w:val="20"/>
          <w:szCs w:val="20"/>
          <w:u w:val="single"/>
          <w:lang w:val="en"/>
        </w:rPr>
        <w:t>Types of treatment</w:t>
      </w:r>
      <w:r w:rsidRPr="00005608">
        <w:rPr>
          <w:rFonts w:eastAsia="Times New Roman"/>
          <w:color w:val="353535"/>
          <w:sz w:val="20"/>
          <w:szCs w:val="20"/>
          <w:lang w:val="en"/>
        </w:rPr>
        <w:t xml:space="preserve">.  Documentation of various types of treatment. </w:t>
      </w:r>
    </w:p>
    <w:p w14:paraId="72971CA9"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Operative Permit</w:t>
      </w:r>
    </w:p>
    <w:p w14:paraId="2A3371E3"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Report of Operation</w:t>
      </w:r>
    </w:p>
    <w:p w14:paraId="12A4D9EC"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Pathology Report, if appropriate</w:t>
      </w:r>
    </w:p>
    <w:p w14:paraId="5948FF03"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 xml:space="preserve">Copies of routine physical examinations maintained in </w:t>
      </w:r>
      <w:proofErr w:type="gramStart"/>
      <w:r w:rsidRPr="00005608">
        <w:rPr>
          <w:rFonts w:eastAsia="Times New Roman"/>
          <w:color w:val="353535"/>
          <w:sz w:val="20"/>
          <w:szCs w:val="20"/>
          <w:lang w:val="en"/>
        </w:rPr>
        <w:t>record</w:t>
      </w:r>
      <w:proofErr w:type="gramEnd"/>
    </w:p>
    <w:p w14:paraId="606BEC7B"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Obstetrical history, if appropriate</w:t>
      </w:r>
    </w:p>
    <w:p w14:paraId="275C1515"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Reports of CHS medical care</w:t>
      </w:r>
    </w:p>
    <w:p w14:paraId="12A19DC6"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Hospitalization summaries by referral hospital or physician</w:t>
      </w:r>
    </w:p>
    <w:p w14:paraId="5D2E71EB" w14:textId="77777777" w:rsidR="005A5AC4" w:rsidRPr="005D436D" w:rsidRDefault="005A5AC4">
      <w:pPr>
        <w:pStyle w:val="ListParagraph"/>
        <w:widowControl/>
        <w:numPr>
          <w:ilvl w:val="0"/>
          <w:numId w:val="138"/>
        </w:numPr>
        <w:tabs>
          <w:tab w:val="clear" w:pos="720"/>
        </w:tabs>
        <w:autoSpaceDE/>
        <w:autoSpaceDN/>
        <w:spacing w:before="100" w:beforeAutospacing="1" w:after="100" w:afterAutospacing="1"/>
        <w:ind w:left="540"/>
        <w:contextualSpacing/>
        <w:rPr>
          <w:rFonts w:eastAsia="Times New Roman" w:cs="Arial"/>
          <w:color w:val="353535"/>
          <w:sz w:val="20"/>
          <w:szCs w:val="20"/>
          <w:lang w:val="en"/>
        </w:rPr>
      </w:pPr>
      <w:r w:rsidRPr="005D436D">
        <w:rPr>
          <w:rFonts w:eastAsia="Times New Roman" w:cs="Arial"/>
          <w:color w:val="353535"/>
          <w:sz w:val="20"/>
          <w:szCs w:val="20"/>
          <w:u w:val="single"/>
          <w:lang w:val="en"/>
        </w:rPr>
        <w:t>Qualitative Analysis of Health Records</w:t>
      </w:r>
      <w:r w:rsidRPr="005D436D">
        <w:rPr>
          <w:rFonts w:eastAsia="Times New Roman" w:cs="Arial"/>
          <w:color w:val="353535"/>
          <w:sz w:val="20"/>
          <w:szCs w:val="20"/>
          <w:lang w:val="en"/>
        </w:rPr>
        <w:t xml:space="preserve">.  Qualitative analysis is a review of health record entries for inconsistencies and omissions that signify the health record is inaccurate or incomplete.  Such an analysis requires a knowledge of medical terminology, anatomy and physiology, fundamentals of disease processes, health record content, standards of provider licensing and other regulatory and/or accrediting/certifying agencies.  It is usually performed by a qualified HIM professional. </w:t>
      </w:r>
    </w:p>
    <w:p w14:paraId="59D53F07" w14:textId="77777777" w:rsidR="005A5AC4" w:rsidRPr="00843A9E"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Purpose</w:t>
      </w:r>
      <w:r w:rsidRPr="00843A9E">
        <w:rPr>
          <w:rFonts w:eastAsia="Times New Roman"/>
          <w:color w:val="353535"/>
          <w:sz w:val="20"/>
          <w:szCs w:val="20"/>
          <w:lang w:val="en"/>
        </w:rPr>
        <w:t>.  As is true of quantitative analysis, the purposes of qualitative analysis include making the health record complete for reference in patient care, protecting legal interests, and meeting regulatory requirements.  However, because it is more in-depth than quantitative analysis, it serves these purposes more fully.  It also contributes background or supporting information for quality improvement and risk management activities.  Qualitative analysis also assists in diagnosis and procedure coding specificity and sequencing that is important for ongoing health research, administrative studies, and reimbursement.</w:t>
      </w:r>
    </w:p>
    <w:p w14:paraId="64DFD6A4" w14:textId="77777777" w:rsidR="005A5AC4" w:rsidRPr="00843A9E"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Components</w:t>
      </w:r>
      <w:r w:rsidRPr="00843A9E">
        <w:rPr>
          <w:rFonts w:eastAsia="Times New Roman"/>
          <w:color w:val="353535"/>
          <w:sz w:val="20"/>
          <w:szCs w:val="20"/>
          <w:lang w:val="en"/>
        </w:rPr>
        <w:t xml:space="preserve">.  The components of qualitative analysis include a review of the health record content (assuming the completion of quantitative analysis) for the following: </w:t>
      </w:r>
    </w:p>
    <w:p w14:paraId="7A3A4F61" w14:textId="77777777" w:rsidR="005A5AC4" w:rsidRPr="00843A9E"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complete and consistent recording of diagnostic statements;</w:t>
      </w:r>
    </w:p>
    <w:p w14:paraId="2A043B78" w14:textId="77777777" w:rsidR="005A5AC4" w:rsidRPr="00843A9E"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consistency in entries by all health care providers;</w:t>
      </w:r>
    </w:p>
    <w:p w14:paraId="7F6A2E8D" w14:textId="77777777" w:rsidR="005A5AC4" w:rsidRPr="00843A9E"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description and justification for the course of the patient's hospitalization;</w:t>
      </w:r>
    </w:p>
    <w:p w14:paraId="2788CDC3" w14:textId="77777777" w:rsidR="005A5AC4" w:rsidRPr="00843A9E"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recording of all necessary instances of informed consents;</w:t>
      </w:r>
    </w:p>
    <w:p w14:paraId="464A731A" w14:textId="77777777" w:rsidR="005A5AC4" w:rsidRPr="00843A9E"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application of good documentation practices; and</w:t>
      </w:r>
    </w:p>
    <w:p w14:paraId="312E8E4E" w14:textId="77777777" w:rsidR="005A5AC4" w:rsidRPr="00843A9E"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 xml:space="preserve">occurrence of a potentially compensable event. </w:t>
      </w:r>
    </w:p>
    <w:p w14:paraId="6216025A" w14:textId="77777777" w:rsidR="005A5AC4" w:rsidRPr="00843A9E" w:rsidRDefault="005A5AC4" w:rsidP="000D7FFC">
      <w:pPr>
        <w:keepNext/>
        <w:keepLines/>
        <w:numPr>
          <w:ilvl w:val="1"/>
          <w:numId w:val="138"/>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lastRenderedPageBreak/>
        <w:t>Examples of Qualitative Analysis</w:t>
      </w:r>
      <w:r w:rsidRPr="00843A9E">
        <w:rPr>
          <w:rFonts w:eastAsia="Times New Roman"/>
          <w:color w:val="353535"/>
          <w:sz w:val="20"/>
          <w:szCs w:val="20"/>
          <w:lang w:val="en"/>
        </w:rPr>
        <w:t xml:space="preserve">.  Review of records for indication of post-op wound infection; review of records for indication of postpartum infection; and review of physical exam for essential data items such as: </w:t>
      </w:r>
    </w:p>
    <w:p w14:paraId="0165237F" w14:textId="77777777" w:rsidR="005A5AC4" w:rsidRPr="00843A9E" w:rsidRDefault="005A5AC4" w:rsidP="000D7FFC">
      <w:pPr>
        <w:keepNext/>
        <w:keepLines/>
        <w:numPr>
          <w:ilvl w:val="2"/>
          <w:numId w:val="138"/>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pelvic and rectal exam prior to abdominal surgery and quality of documentation of findings;</w:t>
      </w:r>
    </w:p>
    <w:p w14:paraId="200F68B9" w14:textId="77777777" w:rsidR="005A5AC4" w:rsidRPr="00843A9E"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review of blood and component use against criteria established by the Tissue and Transfusion Committee;</w:t>
      </w:r>
    </w:p>
    <w:p w14:paraId="0A3153C8" w14:textId="77777777" w:rsidR="005A5AC4" w:rsidRPr="00843A9E"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review of documentation items involved in quality review activities which are identified by the medical staff or medical staff body;</w:t>
      </w:r>
    </w:p>
    <w:p w14:paraId="2167E514" w14:textId="77777777" w:rsidR="005A5AC4" w:rsidRPr="00843A9E"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review of potentially compensable events; and</w:t>
      </w:r>
    </w:p>
    <w:p w14:paraId="29CC020D" w14:textId="77777777" w:rsidR="005A5AC4" w:rsidRPr="00843A9E"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 xml:space="preserve">review and compare Pathology Reports with Operative Reports and Diagnoses to ensure compatibility and consistency. </w:t>
      </w:r>
    </w:p>
    <w:p w14:paraId="12777D63" w14:textId="77777777" w:rsidR="005A5AC4" w:rsidRPr="00843A9E"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Requirements</w:t>
      </w:r>
      <w:r w:rsidRPr="00843A9E">
        <w:rPr>
          <w:rFonts w:eastAsia="Times New Roman"/>
          <w:color w:val="353535"/>
          <w:sz w:val="20"/>
          <w:szCs w:val="20"/>
          <w:lang w:val="en"/>
        </w:rPr>
        <w:t>.  Qualitative analysis is not something that may be undertaken lightly.  It requires an in-depth understanding of health record science and management.  The qualitative analysis must be performed or directly supervised by a credentialed HIM professional who is experienced in record analysis and quality review activities.</w:t>
      </w:r>
    </w:p>
    <w:p w14:paraId="0D11F3D5" w14:textId="77777777" w:rsidR="005A5AC4" w:rsidRPr="00843A9E"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Frequency</w:t>
      </w:r>
      <w:r w:rsidRPr="00843A9E">
        <w:rPr>
          <w:rFonts w:eastAsia="Times New Roman"/>
          <w:color w:val="353535"/>
          <w:sz w:val="20"/>
          <w:szCs w:val="20"/>
          <w:lang w:val="en"/>
        </w:rPr>
        <w:t xml:space="preserve">.  Qualitative analysis may be done routinely or on a sampling basis depending on facility needs and staffing patterns.  However, the review of results should be a major part of the facility's Medical Record Review Committee activity. </w:t>
      </w:r>
    </w:p>
    <w:p w14:paraId="04C3D856" w14:textId="0E2E6428" w:rsidR="005A5AC4" w:rsidRPr="00317BC6" w:rsidRDefault="005A5AC4" w:rsidP="005A5AC4">
      <w:pPr>
        <w:spacing w:before="100" w:beforeAutospacing="1" w:after="100" w:afterAutospacing="1"/>
        <w:rPr>
          <w:rFonts w:eastAsia="Times New Roman"/>
          <w:b/>
          <w:bCs/>
          <w:color w:val="353535"/>
          <w:sz w:val="20"/>
          <w:szCs w:val="20"/>
          <w:lang w:val="en"/>
        </w:rPr>
      </w:pPr>
      <w:bookmarkStart w:id="311" w:name="3-3.12"/>
      <w:bookmarkEnd w:id="311"/>
      <w:r w:rsidRPr="00317BC6">
        <w:rPr>
          <w:rFonts w:eastAsia="Times New Roman"/>
          <w:b/>
          <w:bCs/>
          <w:color w:val="353535"/>
          <w:sz w:val="20"/>
          <w:szCs w:val="20"/>
          <w:lang w:val="en"/>
        </w:rPr>
        <w:t>3-3.12 MEDICO-LEGAL ASPECTS OF HEALTH RECORDS</w:t>
      </w:r>
    </w:p>
    <w:p w14:paraId="684EFB92" w14:textId="77777777" w:rsidR="005A5AC4" w:rsidRPr="00843A9E" w:rsidRDefault="005A5AC4">
      <w:pPr>
        <w:numPr>
          <w:ilvl w:val="0"/>
          <w:numId w:val="129"/>
        </w:numPr>
        <w:tabs>
          <w:tab w:val="clear" w:pos="720"/>
        </w:tabs>
        <w:spacing w:before="100" w:beforeAutospacing="1" w:after="100" w:afterAutospacing="1"/>
        <w:ind w:left="540"/>
        <w:rPr>
          <w:rFonts w:eastAsia="Times New Roman"/>
          <w:color w:val="353535"/>
          <w:sz w:val="20"/>
          <w:szCs w:val="20"/>
          <w:lang w:val="en"/>
        </w:rPr>
      </w:pPr>
      <w:bookmarkStart w:id="312" w:name="3-3.12A"/>
      <w:bookmarkEnd w:id="312"/>
      <w:r w:rsidRPr="00843A9E">
        <w:rPr>
          <w:rFonts w:eastAsia="Times New Roman"/>
          <w:color w:val="353535"/>
          <w:sz w:val="20"/>
          <w:szCs w:val="20"/>
          <w:u w:val="single"/>
          <w:lang w:val="en"/>
        </w:rPr>
        <w:t>Definition of Court of Competent Jurisdiction</w:t>
      </w:r>
      <w:r w:rsidRPr="00843A9E">
        <w:rPr>
          <w:rFonts w:eastAsia="Times New Roman"/>
          <w:color w:val="353535"/>
          <w:sz w:val="20"/>
          <w:szCs w:val="20"/>
          <w:lang w:val="en"/>
        </w:rPr>
        <w:t>.  The OGC, Department of Health and Human Services (HHS), has determined that only Federal courts are inherently courts of competent jurisdiction for Privacy Act purposes, whereas because of the doctrine of sovereign immunity, Tribal (and State) courts may be courts of competent jurisdiction only if the United States submits to the jurisdiction of such courts.  The OGC advice and guidance is as follows: "The IHS, upon receipt of a Tribal court subpoena for Federal medical records, has the option of either complying with the subpoena (e.g., voluntarily submitting to the jurisdiction of the court) or processing it pursuant to 45 CFR § 2.5 under rules established in 45 CFR Part 5 (FOIA).  The decision, however, should be made by IHS in consultation with the OGC."</w:t>
      </w:r>
    </w:p>
    <w:p w14:paraId="39160B8F" w14:textId="77777777" w:rsidR="005A5AC4" w:rsidRPr="00843A9E" w:rsidRDefault="005A5AC4">
      <w:pPr>
        <w:numPr>
          <w:ilvl w:val="0"/>
          <w:numId w:val="129"/>
        </w:numPr>
        <w:tabs>
          <w:tab w:val="clear" w:pos="720"/>
        </w:tabs>
        <w:spacing w:before="100" w:beforeAutospacing="1" w:after="100" w:afterAutospacing="1"/>
        <w:ind w:left="540"/>
        <w:rPr>
          <w:rFonts w:eastAsia="Times New Roman"/>
          <w:color w:val="353535"/>
          <w:sz w:val="20"/>
          <w:szCs w:val="20"/>
          <w:lang w:val="en"/>
        </w:rPr>
      </w:pPr>
      <w:bookmarkStart w:id="313" w:name="3-3.12B"/>
      <w:bookmarkEnd w:id="313"/>
      <w:r w:rsidRPr="00843A9E">
        <w:rPr>
          <w:rFonts w:eastAsia="Times New Roman"/>
          <w:color w:val="353535"/>
          <w:sz w:val="20"/>
          <w:szCs w:val="20"/>
          <w:u w:val="single"/>
          <w:lang w:val="en"/>
        </w:rPr>
        <w:t xml:space="preserve">Statement </w:t>
      </w:r>
      <w:proofErr w:type="gramStart"/>
      <w:r w:rsidRPr="00843A9E">
        <w:rPr>
          <w:rFonts w:eastAsia="Times New Roman"/>
          <w:color w:val="353535"/>
          <w:sz w:val="20"/>
          <w:szCs w:val="20"/>
          <w:u w:val="single"/>
          <w:lang w:val="en"/>
        </w:rPr>
        <w:t>of</w:t>
      </w:r>
      <w:proofErr w:type="gramEnd"/>
      <w:r w:rsidRPr="00843A9E">
        <w:rPr>
          <w:rFonts w:eastAsia="Times New Roman"/>
          <w:color w:val="353535"/>
          <w:sz w:val="20"/>
          <w:szCs w:val="20"/>
          <w:u w:val="single"/>
          <w:lang w:val="en"/>
        </w:rPr>
        <w:t xml:space="preserve"> Legal Liaison between Government Agencies</w:t>
      </w:r>
      <w:r w:rsidRPr="00843A9E">
        <w:rPr>
          <w:rFonts w:eastAsia="Times New Roman"/>
          <w:color w:val="353535"/>
          <w:sz w:val="20"/>
          <w:szCs w:val="20"/>
          <w:lang w:val="en"/>
        </w:rPr>
        <w:t xml:space="preserve">. </w:t>
      </w:r>
    </w:p>
    <w:p w14:paraId="1DC64451" w14:textId="77777777" w:rsidR="005A5AC4" w:rsidRPr="00843A9E" w:rsidRDefault="005A5AC4">
      <w:pPr>
        <w:numPr>
          <w:ilvl w:val="1"/>
          <w:numId w:val="129"/>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The Department of Justice (DOJ), through the OGC, is the legal representative of the HHS.</w:t>
      </w:r>
    </w:p>
    <w:p w14:paraId="5A37A952" w14:textId="77777777" w:rsidR="005A5AC4" w:rsidRPr="00843A9E" w:rsidRDefault="005A5AC4">
      <w:pPr>
        <w:numPr>
          <w:ilvl w:val="1"/>
          <w:numId w:val="129"/>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 xml:space="preserve">All issues involving litigation shall be directed by the CEO to the Area Director, who shall refer the matter to the appropriate OGC attorney. </w:t>
      </w:r>
    </w:p>
    <w:p w14:paraId="24679D16" w14:textId="77777777" w:rsidR="005A5AC4" w:rsidRPr="00843A9E" w:rsidRDefault="005A5AC4">
      <w:pPr>
        <w:numPr>
          <w:ilvl w:val="0"/>
          <w:numId w:val="129"/>
        </w:numPr>
        <w:tabs>
          <w:tab w:val="clear" w:pos="720"/>
        </w:tabs>
        <w:spacing w:before="100" w:beforeAutospacing="1" w:after="100" w:afterAutospacing="1"/>
        <w:ind w:left="540"/>
        <w:rPr>
          <w:rFonts w:eastAsia="Times New Roman"/>
          <w:color w:val="353535"/>
          <w:sz w:val="20"/>
          <w:szCs w:val="20"/>
          <w:lang w:val="en"/>
        </w:rPr>
      </w:pPr>
      <w:bookmarkStart w:id="314" w:name="3-3.12C"/>
      <w:bookmarkEnd w:id="314"/>
      <w:r w:rsidRPr="00843A9E">
        <w:rPr>
          <w:rFonts w:eastAsia="Times New Roman"/>
          <w:color w:val="353535"/>
          <w:sz w:val="20"/>
          <w:szCs w:val="20"/>
          <w:u w:val="single"/>
          <w:lang w:val="en"/>
        </w:rPr>
        <w:t>Characteristics of the Health Record as a Legal Document</w:t>
      </w:r>
      <w:r w:rsidRPr="00843A9E">
        <w:rPr>
          <w:rFonts w:eastAsia="Times New Roman"/>
          <w:color w:val="353535"/>
          <w:sz w:val="20"/>
          <w:szCs w:val="20"/>
          <w:lang w:val="en"/>
        </w:rPr>
        <w:t xml:space="preserve">.  The legal health record is the documentation of health care services provided to an individual during any aspect of health care delivery in any type of IHS facility for administrative, business, or payment purposes.  The legal health record contains individually identifiable health information, stored on any medium, which is collected for documenting health care or health status.  When the legal health record consists of information created as paper documents and information created in electronic media, it is considered to be in a hybrid environment. </w:t>
      </w:r>
    </w:p>
    <w:p w14:paraId="360216DB" w14:textId="77777777" w:rsidR="005A5AC4" w:rsidRPr="00843A9E" w:rsidRDefault="005A5AC4">
      <w:pPr>
        <w:numPr>
          <w:ilvl w:val="1"/>
          <w:numId w:val="129"/>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 xml:space="preserve">The significance of the health record as evidence in a court of law dictates that considerations be given to the following health record characteristics: </w:t>
      </w:r>
    </w:p>
    <w:p w14:paraId="09339C70" w14:textId="77777777" w:rsidR="005A5AC4" w:rsidRPr="00843A9E" w:rsidRDefault="005A5AC4">
      <w:pPr>
        <w:numPr>
          <w:ilvl w:val="2"/>
          <w:numId w:val="129"/>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All handwriting shall be in dark permanent ink (</w:t>
      </w:r>
      <w:proofErr w:type="gramStart"/>
      <w:r w:rsidRPr="00843A9E">
        <w:rPr>
          <w:rFonts w:eastAsia="Times New Roman"/>
          <w:color w:val="353535"/>
          <w:sz w:val="20"/>
          <w:szCs w:val="20"/>
          <w:lang w:val="en"/>
        </w:rPr>
        <w:t>no</w:t>
      </w:r>
      <w:proofErr w:type="gramEnd"/>
      <w:r w:rsidRPr="00843A9E">
        <w:rPr>
          <w:rFonts w:eastAsia="Times New Roman"/>
          <w:color w:val="353535"/>
          <w:sz w:val="20"/>
          <w:szCs w:val="20"/>
          <w:lang w:val="en"/>
        </w:rPr>
        <w:t xml:space="preserve"> red) that is legible when photocopied or microfilmed.  The ink shall not be of the type that soaks through and obliterates information.  Pencil entries in any part of the record are unacceptable.  (Due to extended record retention periods, black permanent ink is preferred.  No highlighters or white-out will be used in the record).</w:t>
      </w:r>
    </w:p>
    <w:p w14:paraId="1C05361A" w14:textId="77777777" w:rsidR="005A5AC4" w:rsidRPr="00843A9E" w:rsidRDefault="005A5AC4">
      <w:pPr>
        <w:numPr>
          <w:ilvl w:val="2"/>
          <w:numId w:val="129"/>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All entries shall be dated and authenticated, including signature and title of the author.  (Signature stamps with original signatures are authorized).  Electronic signatures will be allowed pursuant to the facility's specific guidelines.  Handwriting is deemed to be illegible if two people cannot read the handwriting.</w:t>
      </w:r>
    </w:p>
    <w:p w14:paraId="0EF94CE1" w14:textId="77777777" w:rsidR="005A5AC4" w:rsidRPr="00843A9E" w:rsidRDefault="005A5AC4" w:rsidP="000D7FFC">
      <w:pPr>
        <w:keepNext/>
        <w:keepLines/>
        <w:numPr>
          <w:ilvl w:val="2"/>
          <w:numId w:val="129"/>
        </w:numPr>
        <w:tabs>
          <w:tab w:val="clear" w:pos="2160"/>
        </w:tabs>
        <w:spacing w:before="100" w:beforeAutospacing="1" w:after="100" w:afterAutospacing="1"/>
        <w:ind w:left="1627"/>
        <w:rPr>
          <w:rFonts w:eastAsia="Times New Roman"/>
          <w:color w:val="353535"/>
          <w:sz w:val="20"/>
          <w:szCs w:val="20"/>
          <w:lang w:val="en"/>
        </w:rPr>
      </w:pPr>
      <w:r w:rsidRPr="00843A9E">
        <w:rPr>
          <w:rFonts w:eastAsia="Times New Roman"/>
          <w:color w:val="353535"/>
          <w:sz w:val="20"/>
          <w:szCs w:val="20"/>
          <w:lang w:val="en"/>
        </w:rPr>
        <w:lastRenderedPageBreak/>
        <w:t>The electronic signature is a computer data compilation of any symbol or series of symbols executed, adopted, and/or authorized by an individual to be the legally binding equivalent of the individual's handwritten signature.  The electronic signature is never shared.</w:t>
      </w:r>
    </w:p>
    <w:p w14:paraId="0D070784" w14:textId="77777777" w:rsidR="005A5AC4" w:rsidRPr="00843A9E" w:rsidRDefault="005A5AC4">
      <w:pPr>
        <w:numPr>
          <w:ilvl w:val="2"/>
          <w:numId w:val="129"/>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Each page within the health record shall contain the patient's identification information and the facility name.</w:t>
      </w:r>
    </w:p>
    <w:p w14:paraId="61B81A22" w14:textId="77777777" w:rsidR="005A5AC4" w:rsidRPr="00843A9E" w:rsidRDefault="005A5AC4">
      <w:pPr>
        <w:numPr>
          <w:ilvl w:val="2"/>
          <w:numId w:val="129"/>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The health care provider shall sign those portions of the health record containing documentation of care for which that person is responsible, including countersignatures where appropriate.</w:t>
      </w:r>
    </w:p>
    <w:p w14:paraId="6ECF799E" w14:textId="77777777" w:rsidR="005A5AC4" w:rsidRPr="00843A9E" w:rsidRDefault="005A5AC4">
      <w:pPr>
        <w:numPr>
          <w:ilvl w:val="2"/>
          <w:numId w:val="129"/>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Transcription of dictated information shall be accurate, complete, and authenticated by appropriate signature.</w:t>
      </w:r>
    </w:p>
    <w:p w14:paraId="2879987D" w14:textId="77777777" w:rsidR="005A5AC4" w:rsidRPr="00843A9E" w:rsidRDefault="005A5AC4">
      <w:pPr>
        <w:numPr>
          <w:ilvl w:val="2"/>
          <w:numId w:val="129"/>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 xml:space="preserve">Correction of health record data shall be as follows: </w:t>
      </w:r>
    </w:p>
    <w:p w14:paraId="5BDBB113" w14:textId="77777777" w:rsidR="005A5AC4" w:rsidRPr="00843A9E" w:rsidRDefault="005A5AC4">
      <w:pPr>
        <w:numPr>
          <w:ilvl w:val="3"/>
          <w:numId w:val="129"/>
        </w:numPr>
        <w:tabs>
          <w:tab w:val="clear" w:pos="2880"/>
        </w:tabs>
        <w:spacing w:before="100" w:beforeAutospacing="1" w:after="100" w:afterAutospacing="1"/>
        <w:ind w:left="2160"/>
        <w:rPr>
          <w:rFonts w:eastAsia="Times New Roman"/>
          <w:color w:val="353535"/>
          <w:sz w:val="20"/>
          <w:szCs w:val="20"/>
          <w:lang w:val="en"/>
        </w:rPr>
      </w:pPr>
      <w:r w:rsidRPr="00843A9E">
        <w:rPr>
          <w:rFonts w:eastAsia="Times New Roman"/>
          <w:color w:val="353535"/>
          <w:sz w:val="20"/>
          <w:szCs w:val="20"/>
          <w:lang w:val="en"/>
        </w:rPr>
        <w:t>no erasure or other obliteration shall be made;</w:t>
      </w:r>
    </w:p>
    <w:p w14:paraId="1625128D" w14:textId="77777777" w:rsidR="005A5AC4" w:rsidRPr="00843A9E" w:rsidRDefault="005A5AC4">
      <w:pPr>
        <w:numPr>
          <w:ilvl w:val="3"/>
          <w:numId w:val="129"/>
        </w:numPr>
        <w:tabs>
          <w:tab w:val="clear" w:pos="2880"/>
        </w:tabs>
        <w:spacing w:before="100" w:beforeAutospacing="1" w:after="100" w:afterAutospacing="1"/>
        <w:ind w:left="2160"/>
        <w:rPr>
          <w:rFonts w:eastAsia="Times New Roman"/>
          <w:color w:val="353535"/>
          <w:sz w:val="20"/>
          <w:szCs w:val="20"/>
          <w:lang w:val="en"/>
        </w:rPr>
      </w:pPr>
      <w:r w:rsidRPr="00843A9E">
        <w:rPr>
          <w:rFonts w:eastAsia="Times New Roman"/>
          <w:color w:val="353535"/>
          <w:sz w:val="20"/>
          <w:szCs w:val="20"/>
          <w:lang w:val="en"/>
        </w:rPr>
        <w:t>incorrect data shall be lined out with a single line; and</w:t>
      </w:r>
    </w:p>
    <w:p w14:paraId="27456D3C" w14:textId="77777777" w:rsidR="005A5AC4" w:rsidRPr="00843A9E" w:rsidRDefault="005A5AC4">
      <w:pPr>
        <w:numPr>
          <w:ilvl w:val="3"/>
          <w:numId w:val="129"/>
        </w:numPr>
        <w:tabs>
          <w:tab w:val="clear" w:pos="2880"/>
        </w:tabs>
        <w:spacing w:before="100" w:beforeAutospacing="1" w:after="100" w:afterAutospacing="1"/>
        <w:ind w:left="2160"/>
        <w:rPr>
          <w:rFonts w:eastAsia="Times New Roman"/>
          <w:color w:val="353535"/>
          <w:sz w:val="20"/>
          <w:szCs w:val="20"/>
          <w:lang w:val="en"/>
        </w:rPr>
      </w:pPr>
      <w:r w:rsidRPr="00843A9E">
        <w:rPr>
          <w:rFonts w:eastAsia="Times New Roman"/>
          <w:color w:val="353535"/>
          <w:sz w:val="20"/>
          <w:szCs w:val="20"/>
          <w:lang w:val="en"/>
        </w:rPr>
        <w:t xml:space="preserve">the date of correction, the signature of the person making the correction, the correct information, and the reason for the correction shall be added. </w:t>
      </w:r>
    </w:p>
    <w:p w14:paraId="2D7C719D" w14:textId="77777777" w:rsidR="005A5AC4" w:rsidRPr="00843A9E" w:rsidRDefault="005A5AC4">
      <w:pPr>
        <w:numPr>
          <w:ilvl w:val="2"/>
          <w:numId w:val="129"/>
        </w:numPr>
        <w:tabs>
          <w:tab w:val="clear" w:pos="2160"/>
        </w:tabs>
        <w:spacing w:before="100" w:beforeAutospacing="1" w:after="100" w:afterAutospacing="1"/>
        <w:ind w:left="1800"/>
        <w:rPr>
          <w:rFonts w:eastAsia="Times New Roman"/>
          <w:color w:val="353535"/>
          <w:sz w:val="20"/>
          <w:szCs w:val="20"/>
          <w:lang w:val="en"/>
        </w:rPr>
      </w:pPr>
      <w:r w:rsidRPr="00843A9E">
        <w:rPr>
          <w:rFonts w:eastAsia="Times New Roman"/>
          <w:color w:val="353535"/>
          <w:sz w:val="20"/>
          <w:szCs w:val="20"/>
          <w:lang w:val="en"/>
        </w:rPr>
        <w:t xml:space="preserve">Any request by the patient for correction/amendment of previously recorded PHI shall be handled by the Privacy Act/HIPAA Privacy Rule.  Refer to Part 2, Chapter 7, IHM. </w:t>
      </w:r>
    </w:p>
    <w:p w14:paraId="1A1F4D35" w14:textId="77777777" w:rsidR="005A5AC4" w:rsidRPr="00843A9E" w:rsidRDefault="005A5AC4">
      <w:pPr>
        <w:numPr>
          <w:ilvl w:val="1"/>
          <w:numId w:val="129"/>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 xml:space="preserve">The health record shall not be removed from the facility at any time except by court order or retirement to a FRC.  Restrictions concerning records removal are: </w:t>
      </w:r>
    </w:p>
    <w:p w14:paraId="3DE1B46F" w14:textId="77777777" w:rsidR="005A5AC4" w:rsidRPr="00843A9E" w:rsidRDefault="005A5AC4">
      <w:pPr>
        <w:numPr>
          <w:ilvl w:val="2"/>
          <w:numId w:val="129"/>
        </w:numPr>
        <w:spacing w:before="100" w:beforeAutospacing="1" w:after="100" w:afterAutospacing="1"/>
        <w:ind w:left="1935"/>
        <w:rPr>
          <w:rFonts w:eastAsia="Times New Roman"/>
          <w:color w:val="353535"/>
          <w:sz w:val="20"/>
          <w:szCs w:val="20"/>
          <w:lang w:val="en"/>
        </w:rPr>
      </w:pPr>
      <w:r w:rsidRPr="00843A9E">
        <w:rPr>
          <w:rFonts w:eastAsia="Times New Roman"/>
          <w:color w:val="353535"/>
          <w:sz w:val="20"/>
          <w:szCs w:val="20"/>
          <w:lang w:val="en"/>
        </w:rPr>
        <w:t>Court orders must be signed by a judge and specify that the health record be presented for admission as evidence during a legal proceeding, such as, a court case, formal deposition, or grand jury investigation. All court orders received by the HIM Consultant must be forwarded to the OGC for review and the decision to comply is made by the IHS in consultation with the OGC.</w:t>
      </w:r>
    </w:p>
    <w:p w14:paraId="16D3D96C" w14:textId="77777777" w:rsidR="005A5AC4" w:rsidRPr="00843A9E" w:rsidRDefault="005A5AC4">
      <w:pPr>
        <w:numPr>
          <w:ilvl w:val="2"/>
          <w:numId w:val="129"/>
        </w:numPr>
        <w:spacing w:before="100" w:beforeAutospacing="1" w:after="100" w:afterAutospacing="1"/>
        <w:ind w:left="1935"/>
        <w:rPr>
          <w:rFonts w:eastAsia="Times New Roman"/>
          <w:color w:val="353535"/>
          <w:sz w:val="20"/>
          <w:szCs w:val="20"/>
          <w:lang w:val="en"/>
        </w:rPr>
      </w:pPr>
      <w:r w:rsidRPr="00843A9E">
        <w:rPr>
          <w:rFonts w:eastAsia="Times New Roman"/>
          <w:color w:val="353535"/>
          <w:sz w:val="20"/>
          <w:szCs w:val="20"/>
          <w:lang w:val="en"/>
        </w:rPr>
        <w:t xml:space="preserve">Discovery subpoenas (subpoenas issued to gain access to records for the purpose of examination) shall not be honored without the consent of the subject individual. </w:t>
      </w:r>
    </w:p>
    <w:p w14:paraId="5848C891" w14:textId="77777777" w:rsidR="005A5AC4" w:rsidRPr="00843A9E" w:rsidRDefault="005A5AC4">
      <w:pPr>
        <w:numPr>
          <w:ilvl w:val="1"/>
          <w:numId w:val="129"/>
        </w:numPr>
        <w:spacing w:before="100" w:beforeAutospacing="1" w:after="100" w:afterAutospacing="1"/>
        <w:ind w:left="1215"/>
        <w:rPr>
          <w:rFonts w:eastAsia="Times New Roman"/>
          <w:color w:val="353535"/>
          <w:sz w:val="20"/>
          <w:szCs w:val="20"/>
          <w:lang w:val="en"/>
        </w:rPr>
      </w:pPr>
      <w:r w:rsidRPr="00843A9E">
        <w:rPr>
          <w:rFonts w:eastAsia="Times New Roman"/>
          <w:color w:val="353535"/>
          <w:sz w:val="20"/>
          <w:szCs w:val="20"/>
          <w:lang w:val="en"/>
        </w:rPr>
        <w:t xml:space="preserve">Health records shall be retained at the facility for the legally specified period of time and shall be transferred to the FRC in accordance with the National Archives and Record Administration regulation (usually after 3-7 years of inactivity).  The </w:t>
      </w:r>
      <w:hyperlink r:id="rId42" w:tgtFrame="_blank" w:history="1">
        <w:r w:rsidRPr="00843A9E">
          <w:rPr>
            <w:rFonts w:eastAsia="Times New Roman"/>
            <w:color w:val="0000FF"/>
            <w:sz w:val="20"/>
            <w:szCs w:val="20"/>
            <w:u w:val="single"/>
            <w:lang w:val="en"/>
          </w:rPr>
          <w:t>IHS Records Disposition Schedule 3-1, Medical Records File is found here</w:t>
        </w:r>
      </w:hyperlink>
      <w:r w:rsidRPr="00843A9E">
        <w:rPr>
          <w:rFonts w:eastAsia="Times New Roman"/>
          <w:color w:val="353535"/>
          <w:sz w:val="20"/>
          <w:szCs w:val="20"/>
          <w:lang w:val="en"/>
        </w:rPr>
        <w:t xml:space="preserve">. </w:t>
      </w:r>
    </w:p>
    <w:p w14:paraId="7B4355B0" w14:textId="77777777" w:rsidR="005A5AC4" w:rsidRPr="00317BC6" w:rsidRDefault="005A5AC4">
      <w:pPr>
        <w:pStyle w:val="ListParagraph"/>
        <w:widowControl/>
        <w:numPr>
          <w:ilvl w:val="0"/>
          <w:numId w:val="131"/>
        </w:numPr>
        <w:autoSpaceDE/>
        <w:autoSpaceDN/>
        <w:spacing w:before="100" w:beforeAutospacing="1" w:after="100" w:afterAutospacing="1"/>
        <w:ind w:left="540"/>
        <w:contextualSpacing/>
        <w:rPr>
          <w:rFonts w:eastAsia="Times New Roman" w:cs="Arial"/>
          <w:color w:val="353535"/>
          <w:sz w:val="20"/>
          <w:szCs w:val="20"/>
          <w:lang w:val="en"/>
        </w:rPr>
      </w:pPr>
      <w:r w:rsidRPr="00317BC6">
        <w:rPr>
          <w:rFonts w:eastAsia="Times New Roman" w:cs="Arial"/>
          <w:color w:val="353535"/>
          <w:sz w:val="20"/>
          <w:szCs w:val="20"/>
          <w:lang w:val="en"/>
        </w:rPr>
        <w:t xml:space="preserve">Privacy and Confidentiality of the Health Record and Information Security. </w:t>
      </w:r>
    </w:p>
    <w:p w14:paraId="613B3A2B" w14:textId="77777777" w:rsidR="005A5AC4" w:rsidRPr="00843A9E" w:rsidRDefault="005A5AC4">
      <w:pPr>
        <w:numPr>
          <w:ilvl w:val="1"/>
          <w:numId w:val="130"/>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Confidentiality</w:t>
      </w:r>
      <w:r w:rsidRPr="00843A9E">
        <w:rPr>
          <w:rFonts w:eastAsia="Times New Roman"/>
          <w:color w:val="353535"/>
          <w:sz w:val="20"/>
          <w:szCs w:val="20"/>
          <w:lang w:val="en"/>
        </w:rPr>
        <w:t>.  Patient records are confidential regardless of medium.  The privacy of patient information must be preserved, therefore, the information will not be made accessible to or discussed with unauthorized persons.  All staff with access to patient information in the performance of their duties is informed of their responsibility to maintain the confidentiality of patient information.  Every employee with access to patient records in any medium is responsible for proper handling of the patient records.  Each employee is accountable for safeguarding patient confidentiality and privacy, and failure to do so may result in disciplinary or other adverse action up to, and including, termination.</w:t>
      </w:r>
    </w:p>
    <w:p w14:paraId="38337FEE" w14:textId="77777777" w:rsidR="005A5AC4" w:rsidRPr="00843A9E" w:rsidRDefault="005A5AC4">
      <w:pPr>
        <w:numPr>
          <w:ilvl w:val="1"/>
          <w:numId w:val="130"/>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Access</w:t>
      </w:r>
      <w:r w:rsidRPr="00843A9E">
        <w:rPr>
          <w:rFonts w:eastAsia="Times New Roman"/>
          <w:color w:val="353535"/>
          <w:sz w:val="20"/>
          <w:szCs w:val="20"/>
          <w:lang w:val="en"/>
        </w:rPr>
        <w:t xml:space="preserve">.  Access to health care information is controlled to ensure its integrity, to minimize the risk of compromising confidentiality, and to increase reliability.  Access to health records and health record file areas is limited to authorized personnel.  (Refer to Part 2, Chapter 7, IHM.)  Only authorized personnel are allowed to print extractions from the electronic health record or to make copies from the paper chart. </w:t>
      </w:r>
    </w:p>
    <w:p w14:paraId="2ABF8E0D" w14:textId="598C6665" w:rsidR="005A5AC4" w:rsidRDefault="005A5AC4" w:rsidP="000D7FFC">
      <w:pPr>
        <w:pStyle w:val="ListParagraph"/>
        <w:keepNext/>
        <w:keepLines/>
        <w:widowControl/>
        <w:numPr>
          <w:ilvl w:val="0"/>
          <w:numId w:val="131"/>
        </w:numPr>
        <w:autoSpaceDE/>
        <w:autoSpaceDN/>
        <w:spacing w:before="100" w:beforeAutospacing="1" w:after="100" w:afterAutospacing="1"/>
        <w:ind w:left="547"/>
        <w:contextualSpacing/>
        <w:rPr>
          <w:rFonts w:eastAsia="Times New Roman" w:cs="Arial"/>
          <w:color w:val="353535"/>
          <w:sz w:val="20"/>
          <w:szCs w:val="20"/>
          <w:lang w:val="en"/>
        </w:rPr>
      </w:pPr>
      <w:bookmarkStart w:id="315" w:name="3-3.12G"/>
      <w:bookmarkEnd w:id="315"/>
      <w:r w:rsidRPr="00843A9E">
        <w:rPr>
          <w:rFonts w:eastAsia="Times New Roman" w:cs="Arial"/>
          <w:color w:val="353535"/>
          <w:sz w:val="20"/>
          <w:szCs w:val="20"/>
          <w:u w:val="single"/>
          <w:lang w:val="en"/>
        </w:rPr>
        <w:lastRenderedPageBreak/>
        <w:t>Security</w:t>
      </w:r>
      <w:r w:rsidRPr="00843A9E">
        <w:rPr>
          <w:rFonts w:eastAsia="Times New Roman" w:cs="Arial"/>
          <w:color w:val="353535"/>
          <w:sz w:val="20"/>
          <w:szCs w:val="20"/>
          <w:lang w:val="en"/>
        </w:rPr>
        <w:t xml:space="preserve">.  Security measures for authorizing access to the patient's health record must be delineated in local policy.  Only the Director, HIM, or his or her </w:t>
      </w:r>
      <w:proofErr w:type="gramStart"/>
      <w:r w:rsidRPr="00843A9E">
        <w:rPr>
          <w:rFonts w:eastAsia="Times New Roman" w:cs="Arial"/>
          <w:color w:val="353535"/>
          <w:sz w:val="20"/>
          <w:szCs w:val="20"/>
          <w:lang w:val="en"/>
        </w:rPr>
        <w:t>designee</w:t>
      </w:r>
      <w:proofErr w:type="gramEnd"/>
      <w:r w:rsidRPr="00843A9E">
        <w:rPr>
          <w:rFonts w:eastAsia="Times New Roman" w:cs="Arial"/>
          <w:color w:val="353535"/>
          <w:sz w:val="20"/>
          <w:szCs w:val="20"/>
          <w:lang w:val="en"/>
        </w:rPr>
        <w:t>, may approve the physical removal of original health records from the treating facility.  Health records in file areas and other areas where health records are temporarily stored (clinic or treatment areas, record review areas, quality assurance areas, release of information, etc.) must be secured when responsible personnel are not present to ensure the security of the area and to ensure records are not accessible to unauthorized individuals.  Precautions must be taken by staff to ensure that patient records on computer screens cannot be seen by unauthorized individuals.  The use of computer privacy screens is encouraged.  All patient-identifiable waste paper and discarded materials from all departments must be shredded or disposed of in accordance with approved disposal policies and procedures of the facility.  Locked containers or shredders must be provided in employee work areas for disposal of all sensitive patient identifiable information.</w:t>
      </w:r>
    </w:p>
    <w:p w14:paraId="11B9523B" w14:textId="77777777" w:rsidR="005A5AC4" w:rsidRPr="00843A9E" w:rsidRDefault="005A5AC4">
      <w:pPr>
        <w:numPr>
          <w:ilvl w:val="0"/>
          <w:numId w:val="131"/>
        </w:numPr>
        <w:spacing w:before="100" w:beforeAutospacing="1" w:after="100" w:afterAutospacing="1"/>
        <w:ind w:left="540"/>
        <w:rPr>
          <w:rFonts w:eastAsia="Times New Roman"/>
          <w:color w:val="353535"/>
          <w:sz w:val="20"/>
          <w:szCs w:val="20"/>
          <w:lang w:val="en"/>
        </w:rPr>
      </w:pPr>
      <w:bookmarkStart w:id="316" w:name="3-3.12H"/>
      <w:bookmarkEnd w:id="316"/>
      <w:r w:rsidRPr="00843A9E">
        <w:rPr>
          <w:rFonts w:eastAsia="Times New Roman"/>
          <w:color w:val="353535"/>
          <w:sz w:val="20"/>
          <w:szCs w:val="20"/>
          <w:u w:val="single"/>
          <w:lang w:val="en"/>
        </w:rPr>
        <w:t>Disaster Recovery Plan</w:t>
      </w:r>
      <w:r w:rsidRPr="00843A9E">
        <w:rPr>
          <w:rFonts w:eastAsia="Times New Roman"/>
          <w:color w:val="353535"/>
          <w:sz w:val="20"/>
          <w:szCs w:val="20"/>
          <w:lang w:val="en"/>
        </w:rPr>
        <w:t xml:space="preserve">.  A disaster recovery plan for protecting and recovering health records damaged or destroyed by fire, flood, or by other means must be in place at all facilities.  Staff must be knowledgeable of the overall plan, as well as their particular responsibility, in the event of natural or man-made disaster impacting normal operations.  The disaster recovery plan must emphasize that the goal is to prevent damage, but to focus on recovery of lost, damaged, or destroyed records.  The plan should </w:t>
      </w:r>
      <w:proofErr w:type="gramStart"/>
      <w:r w:rsidRPr="00843A9E">
        <w:rPr>
          <w:rFonts w:eastAsia="Times New Roman"/>
          <w:color w:val="353535"/>
          <w:sz w:val="20"/>
          <w:szCs w:val="20"/>
          <w:lang w:val="en"/>
        </w:rPr>
        <w:t>include:</w:t>
      </w:r>
      <w:proofErr w:type="gramEnd"/>
      <w:r w:rsidRPr="00843A9E">
        <w:rPr>
          <w:rFonts w:eastAsia="Times New Roman"/>
          <w:color w:val="353535"/>
          <w:sz w:val="20"/>
          <w:szCs w:val="20"/>
          <w:lang w:val="en"/>
        </w:rPr>
        <w:t xml:space="preserve"> preparation, response, and recovery with issues for consideration including, but not limited to: </w:t>
      </w:r>
    </w:p>
    <w:p w14:paraId="0D945C2E"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identification of possible disasters causing interruption of services, for example, loss of electricity, flood, fire, or earthquake;</w:t>
      </w:r>
    </w:p>
    <w:p w14:paraId="0FA113C6"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identification of key services (work processes) required to support patient care until normal operations are resumed, and the development of a contingency plan to provide these services;</w:t>
      </w:r>
    </w:p>
    <w:p w14:paraId="31805C36" w14:textId="421AF972" w:rsidR="005A5AC4" w:rsidRPr="00843A9E" w:rsidRDefault="00DE69BA">
      <w:pPr>
        <w:numPr>
          <w:ilvl w:val="1"/>
          <w:numId w:val="131"/>
        </w:numPr>
        <w:spacing w:before="100" w:beforeAutospacing="1" w:after="100" w:afterAutospacing="1"/>
        <w:ind w:left="1080"/>
        <w:rPr>
          <w:rFonts w:eastAsia="Times New Roman"/>
          <w:color w:val="353535"/>
          <w:sz w:val="20"/>
          <w:szCs w:val="20"/>
          <w:lang w:val="en"/>
        </w:rPr>
      </w:pPr>
      <w:r>
        <w:rPr>
          <w:rFonts w:eastAsia="Times New Roman"/>
          <w:color w:val="353535"/>
          <w:sz w:val="20"/>
          <w:szCs w:val="20"/>
          <w:lang w:val="en"/>
        </w:rPr>
        <w:t>i</w:t>
      </w:r>
      <w:r w:rsidR="005A5AC4" w:rsidRPr="00843A9E">
        <w:rPr>
          <w:rFonts w:eastAsia="Times New Roman"/>
          <w:color w:val="353535"/>
          <w:sz w:val="20"/>
          <w:szCs w:val="20"/>
          <w:lang w:val="en"/>
        </w:rPr>
        <w:t>dentification of contingency methods to provide access to records (e.g., back up MPI) stored on paper or electronically;</w:t>
      </w:r>
    </w:p>
    <w:p w14:paraId="245E4FD2"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identification of required immediate HIM staff action depending on the type of disaster, i.e., moving records, turning off electricity to areas, closing doors;</w:t>
      </w:r>
    </w:p>
    <w:p w14:paraId="5128FAB6"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coordinate with ancillary departments such as Admitting, ER, Risk Management, and Nursing;</w:t>
      </w:r>
    </w:p>
    <w:p w14:paraId="2C2706A3"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identification contract disaster recovery services vendors; and</w:t>
      </w:r>
    </w:p>
    <w:p w14:paraId="703671FB"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 xml:space="preserve">identification of equipment on hand or to be purchased, for example, </w:t>
      </w:r>
      <w:proofErr w:type="spellStart"/>
      <w:r w:rsidRPr="00843A9E">
        <w:rPr>
          <w:rFonts w:eastAsia="Times New Roman"/>
          <w:color w:val="353535"/>
          <w:sz w:val="20"/>
          <w:szCs w:val="20"/>
          <w:lang w:val="en"/>
        </w:rPr>
        <w:t>back up</w:t>
      </w:r>
      <w:proofErr w:type="spellEnd"/>
      <w:r w:rsidRPr="00843A9E">
        <w:rPr>
          <w:rFonts w:eastAsia="Times New Roman"/>
          <w:color w:val="353535"/>
          <w:sz w:val="20"/>
          <w:szCs w:val="20"/>
          <w:lang w:val="en"/>
        </w:rPr>
        <w:t xml:space="preserve"> generators for lighting, waterproof boxes, carts for transporting records to alternate </w:t>
      </w:r>
      <w:proofErr w:type="gramStart"/>
      <w:r w:rsidRPr="00843A9E">
        <w:rPr>
          <w:rFonts w:eastAsia="Times New Roman"/>
          <w:color w:val="353535"/>
          <w:sz w:val="20"/>
          <w:szCs w:val="20"/>
          <w:lang w:val="en"/>
        </w:rPr>
        <w:t>location</w:t>
      </w:r>
      <w:proofErr w:type="gramEnd"/>
      <w:r w:rsidRPr="00843A9E">
        <w:rPr>
          <w:rFonts w:eastAsia="Times New Roman"/>
          <w:color w:val="353535"/>
          <w:sz w:val="20"/>
          <w:szCs w:val="20"/>
          <w:lang w:val="en"/>
        </w:rPr>
        <w:t xml:space="preserve">. </w:t>
      </w:r>
    </w:p>
    <w:p w14:paraId="73BF910F" w14:textId="77777777" w:rsidR="005A5AC4" w:rsidRPr="00843A9E" w:rsidRDefault="005A5AC4">
      <w:pPr>
        <w:numPr>
          <w:ilvl w:val="0"/>
          <w:numId w:val="131"/>
        </w:numPr>
        <w:spacing w:before="100" w:beforeAutospacing="1" w:after="100" w:afterAutospacing="1"/>
        <w:ind w:left="540"/>
        <w:rPr>
          <w:rFonts w:eastAsia="Times New Roman"/>
          <w:color w:val="353535"/>
          <w:sz w:val="20"/>
          <w:szCs w:val="20"/>
          <w:lang w:val="en"/>
        </w:rPr>
      </w:pPr>
      <w:bookmarkStart w:id="317" w:name="3-3.12I"/>
      <w:bookmarkEnd w:id="317"/>
      <w:r w:rsidRPr="00843A9E">
        <w:rPr>
          <w:rFonts w:eastAsia="Times New Roman"/>
          <w:color w:val="353535"/>
          <w:sz w:val="20"/>
          <w:szCs w:val="20"/>
          <w:u w:val="single"/>
          <w:lang w:val="en"/>
        </w:rPr>
        <w:t>Area Disaster Recovery Services</w:t>
      </w:r>
      <w:r w:rsidRPr="00843A9E">
        <w:rPr>
          <w:rFonts w:eastAsia="Times New Roman"/>
          <w:color w:val="353535"/>
          <w:sz w:val="20"/>
          <w:szCs w:val="20"/>
          <w:lang w:val="en"/>
        </w:rPr>
        <w:t xml:space="preserve">.  Contact the Area disaster recovery vendor/contract staff and document the scope of their available services; advance arrangements must be made, with the disaster recovery vendor to provide priority service to the facility, if possible, for the facility to receive priority service. </w:t>
      </w:r>
    </w:p>
    <w:p w14:paraId="172CD56D"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Staff must know the location of the disaster recovery manual materials.</w:t>
      </w:r>
    </w:p>
    <w:p w14:paraId="2E047C82"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Routine disaster drills must be conducted.</w:t>
      </w:r>
    </w:p>
    <w:p w14:paraId="7D294CC2"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 xml:space="preserve">Following a disaster, document any portion(s) of patient records deemed lost, damaged, or destroyed, by noting date, data, and reason for loss in the patient record, or in a newly "created" patient record. </w:t>
      </w:r>
    </w:p>
    <w:p w14:paraId="34729DE5" w14:textId="77777777" w:rsidR="005A5AC4" w:rsidRPr="00843A9E" w:rsidRDefault="005A5AC4">
      <w:pPr>
        <w:numPr>
          <w:ilvl w:val="0"/>
          <w:numId w:val="131"/>
        </w:numPr>
        <w:spacing w:before="100" w:beforeAutospacing="1" w:after="100" w:afterAutospacing="1"/>
        <w:ind w:left="540"/>
        <w:rPr>
          <w:rFonts w:eastAsia="Times New Roman"/>
          <w:color w:val="353535"/>
          <w:sz w:val="20"/>
          <w:szCs w:val="20"/>
          <w:lang w:val="en"/>
        </w:rPr>
      </w:pPr>
      <w:bookmarkStart w:id="318" w:name="3-3.12J"/>
      <w:bookmarkEnd w:id="318"/>
      <w:r w:rsidRPr="00843A9E">
        <w:rPr>
          <w:rFonts w:eastAsia="Times New Roman"/>
          <w:color w:val="353535"/>
          <w:sz w:val="20"/>
          <w:szCs w:val="20"/>
          <w:u w:val="single"/>
          <w:lang w:val="en"/>
        </w:rPr>
        <w:t>Continuity of Operations Plan</w:t>
      </w:r>
      <w:r w:rsidRPr="00843A9E">
        <w:rPr>
          <w:rFonts w:eastAsia="Times New Roman"/>
          <w:color w:val="353535"/>
          <w:sz w:val="20"/>
          <w:szCs w:val="20"/>
          <w:lang w:val="en"/>
        </w:rPr>
        <w:t xml:space="preserve">.  A continuity of operations plan for protecting and recovering health records damaged or destroyed by fire, flood, or by other means must be in place.  Staff must be knowledgeable of the overall plan, as well as their particular responsibility, in the event of natural or man-made disaster impacting normal operations.  The continuity of operations plan must emphasize that the goal is to prevent damage first, and then focus on recovery if records are damaged or destroyed.  The plan should </w:t>
      </w:r>
      <w:proofErr w:type="gramStart"/>
      <w:r w:rsidRPr="00843A9E">
        <w:rPr>
          <w:rFonts w:eastAsia="Times New Roman"/>
          <w:color w:val="353535"/>
          <w:sz w:val="20"/>
          <w:szCs w:val="20"/>
          <w:lang w:val="en"/>
        </w:rPr>
        <w:t>include:</w:t>
      </w:r>
      <w:proofErr w:type="gramEnd"/>
      <w:r w:rsidRPr="00843A9E">
        <w:rPr>
          <w:rFonts w:eastAsia="Times New Roman"/>
          <w:color w:val="353535"/>
          <w:sz w:val="20"/>
          <w:szCs w:val="20"/>
          <w:lang w:val="en"/>
        </w:rPr>
        <w:t xml:space="preserve"> mitigation, preparedness, response, and recovery with issues for consideration including but not limited to: </w:t>
      </w:r>
    </w:p>
    <w:p w14:paraId="2C2037EE"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Identification of possible disasters causing interruption of services, such as loss of electricity, flood, fire, or earthquake;</w:t>
      </w:r>
    </w:p>
    <w:p w14:paraId="6B0E61DA"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identification of key services (work processes) required to support patient care until normal operations can be resumed, and the development of contingency plans to provide these services;</w:t>
      </w:r>
    </w:p>
    <w:p w14:paraId="21CCD179"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contingency methods to provide access to records, as in back up MPI, in electronically stored or paper form;</w:t>
      </w:r>
    </w:p>
    <w:p w14:paraId="498CCA60"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lastRenderedPageBreak/>
        <w:t>identification of required immediate HIM staff action according to the disaster such as moving records, turning off electricity to areas, closing doors, etc.;</w:t>
      </w:r>
    </w:p>
    <w:p w14:paraId="393CA04A"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coordination with ancillary departments such as Admitting, ER, Risk Management, and Nursing;</w:t>
      </w:r>
    </w:p>
    <w:p w14:paraId="65DE016F"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identification of contract vendors offering disaster recovery services; and</w:t>
      </w:r>
    </w:p>
    <w:p w14:paraId="10E9F544"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 xml:space="preserve">identification of equipment on hand or in need of purchase such as waterproof boxes, carts for transporting records to alternate </w:t>
      </w:r>
      <w:proofErr w:type="gramStart"/>
      <w:r w:rsidRPr="00843A9E">
        <w:rPr>
          <w:rFonts w:eastAsia="Times New Roman"/>
          <w:color w:val="353535"/>
          <w:sz w:val="20"/>
          <w:szCs w:val="20"/>
          <w:lang w:val="en"/>
        </w:rPr>
        <w:t>location</w:t>
      </w:r>
      <w:proofErr w:type="gramEnd"/>
      <w:r w:rsidRPr="00843A9E">
        <w:rPr>
          <w:rFonts w:eastAsia="Times New Roman"/>
          <w:color w:val="353535"/>
          <w:sz w:val="20"/>
          <w:szCs w:val="20"/>
          <w:lang w:val="en"/>
        </w:rPr>
        <w:t xml:space="preserve">, etc. </w:t>
      </w:r>
    </w:p>
    <w:p w14:paraId="7A72E16E" w14:textId="77777777" w:rsidR="005A5AC4" w:rsidRPr="00843A9E" w:rsidRDefault="005A5AC4">
      <w:pPr>
        <w:numPr>
          <w:ilvl w:val="0"/>
          <w:numId w:val="131"/>
        </w:numPr>
        <w:spacing w:before="100" w:beforeAutospacing="1" w:after="100" w:afterAutospacing="1"/>
        <w:ind w:left="540"/>
        <w:rPr>
          <w:rFonts w:eastAsia="Times New Roman"/>
          <w:color w:val="353535"/>
          <w:sz w:val="20"/>
          <w:szCs w:val="20"/>
          <w:lang w:val="en"/>
        </w:rPr>
      </w:pPr>
      <w:bookmarkStart w:id="319" w:name="3-3.12K"/>
      <w:bookmarkEnd w:id="319"/>
      <w:r w:rsidRPr="00843A9E">
        <w:rPr>
          <w:rFonts w:eastAsia="Times New Roman"/>
          <w:color w:val="353535"/>
          <w:sz w:val="20"/>
          <w:szCs w:val="20"/>
          <w:u w:val="single"/>
          <w:lang w:val="en"/>
        </w:rPr>
        <w:t>Area Incident Management Staff</w:t>
      </w:r>
      <w:r w:rsidRPr="00843A9E">
        <w:rPr>
          <w:rFonts w:eastAsia="Times New Roman"/>
          <w:color w:val="353535"/>
          <w:sz w:val="20"/>
          <w:szCs w:val="20"/>
          <w:lang w:val="en"/>
        </w:rPr>
        <w:t xml:space="preserve">.  Area staff with designated responsibility for supporting incidents must be contacted and the scope of their offerings must be documented; advance arrangements must be made, where possible, for the facility to receive priority service. </w:t>
      </w:r>
    </w:p>
    <w:p w14:paraId="243F2DDA"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Staff must be oriented to the location of continuity of operations plans and emergency management plans.</w:t>
      </w:r>
    </w:p>
    <w:p w14:paraId="26CEC576"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Health Information Management services should be part of routine disaster drills.</w:t>
      </w:r>
    </w:p>
    <w:p w14:paraId="6579FB5C"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Following a disaster, document any portion(s) of patient records deemed irretrievable or lost, by noting date, data, and reason for loss in the patient record, or in the newly "created" patient record, if disaster is of that proportion.</w:t>
      </w:r>
    </w:p>
    <w:p w14:paraId="6952D744" w14:textId="6F26776C" w:rsidR="005A5AC4" w:rsidRPr="000D7FFC" w:rsidRDefault="005A5AC4" w:rsidP="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 xml:space="preserve">The HIM portion of the continuity of operations plan should be reviewed at least annually along with the overall plan. </w:t>
      </w:r>
    </w:p>
    <w:p w14:paraId="2A194204" w14:textId="4BB985E4" w:rsidR="005A5AC4" w:rsidRPr="00F73002" w:rsidRDefault="005A5AC4">
      <w:pPr>
        <w:pStyle w:val="ListParagraph"/>
        <w:widowControl/>
        <w:numPr>
          <w:ilvl w:val="0"/>
          <w:numId w:val="133"/>
        </w:numPr>
        <w:autoSpaceDE/>
        <w:autoSpaceDN/>
        <w:spacing w:before="100" w:beforeAutospacing="1" w:after="100" w:afterAutospacing="1"/>
        <w:ind w:left="540"/>
        <w:contextualSpacing/>
        <w:rPr>
          <w:rFonts w:eastAsia="Times New Roman" w:cs="Arial"/>
          <w:color w:val="353535"/>
          <w:sz w:val="20"/>
          <w:szCs w:val="20"/>
          <w:lang w:val="en"/>
        </w:rPr>
      </w:pPr>
      <w:r w:rsidRPr="00F73002">
        <w:rPr>
          <w:rFonts w:eastAsia="Times New Roman" w:cs="Arial"/>
          <w:color w:val="353535"/>
          <w:sz w:val="20"/>
          <w:szCs w:val="20"/>
          <w:lang w:val="en"/>
        </w:rPr>
        <w:t>Privacy of the Patient - Patient Information.</w:t>
      </w:r>
    </w:p>
    <w:p w14:paraId="26066607" w14:textId="77777777" w:rsidR="005A5AC4" w:rsidRPr="00843A9E" w:rsidRDefault="005A5AC4">
      <w:pPr>
        <w:numPr>
          <w:ilvl w:val="1"/>
          <w:numId w:val="132"/>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Responsibility for Privacy of the Patient</w:t>
      </w:r>
      <w:r w:rsidRPr="00843A9E">
        <w:rPr>
          <w:rFonts w:eastAsia="Times New Roman"/>
          <w:color w:val="353535"/>
          <w:sz w:val="20"/>
          <w:szCs w:val="20"/>
          <w:lang w:val="en"/>
        </w:rPr>
        <w:t xml:space="preserve">.  The patient's right to privacy is the responsibility of all employees of each IHS facility, regardless of whether direct or contract care programs.  The facility policies shall prescribe procedures that comply with the Privacy Act of 1974 and HIPAA Privacy Regulations.  The procedure should specify the following: </w:t>
      </w:r>
    </w:p>
    <w:p w14:paraId="5E84D476" w14:textId="77777777" w:rsidR="005A5AC4" w:rsidRPr="00843A9E" w:rsidRDefault="005A5AC4">
      <w:pPr>
        <w:numPr>
          <w:ilvl w:val="2"/>
          <w:numId w:val="132"/>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Persons officially authorized to provide information that may be released to news agencies on police cases.</w:t>
      </w:r>
    </w:p>
    <w:p w14:paraId="28D79C5E" w14:textId="77777777" w:rsidR="005A5AC4" w:rsidRPr="00843A9E" w:rsidRDefault="005A5AC4">
      <w:pPr>
        <w:numPr>
          <w:ilvl w:val="2"/>
          <w:numId w:val="132"/>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A listing of the type and amount of information that may be released to the press in other than law enforcement.</w:t>
      </w:r>
    </w:p>
    <w:p w14:paraId="72969265" w14:textId="77777777" w:rsidR="005A5AC4" w:rsidRPr="00843A9E" w:rsidRDefault="005A5AC4">
      <w:pPr>
        <w:numPr>
          <w:ilvl w:val="2"/>
          <w:numId w:val="132"/>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 xml:space="preserve">All such policies shall be directed to promoting the well-being of the patient, protecting the patient's privacy, and assisting the press in covering the news.  When in doubt, the patient's right to privacy takes precedence over the public's right to know. </w:t>
      </w:r>
    </w:p>
    <w:p w14:paraId="157B1B23" w14:textId="77777777" w:rsidR="005A5AC4" w:rsidRPr="00843A9E" w:rsidRDefault="005A5AC4">
      <w:pPr>
        <w:numPr>
          <w:ilvl w:val="1"/>
          <w:numId w:val="132"/>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 xml:space="preserve">Newspaper Publicity </w:t>
      </w:r>
      <w:proofErr w:type="gramStart"/>
      <w:r w:rsidRPr="00843A9E">
        <w:rPr>
          <w:rFonts w:eastAsia="Times New Roman"/>
          <w:color w:val="353535"/>
          <w:sz w:val="20"/>
          <w:szCs w:val="20"/>
          <w:u w:val="single"/>
          <w:lang w:val="en"/>
        </w:rPr>
        <w:t>of</w:t>
      </w:r>
      <w:proofErr w:type="gramEnd"/>
      <w:r w:rsidRPr="00843A9E">
        <w:rPr>
          <w:rFonts w:eastAsia="Times New Roman"/>
          <w:color w:val="353535"/>
          <w:sz w:val="20"/>
          <w:szCs w:val="20"/>
          <w:u w:val="single"/>
          <w:lang w:val="en"/>
        </w:rPr>
        <w:t xml:space="preserve"> Patients</w:t>
      </w:r>
      <w:r w:rsidRPr="00843A9E">
        <w:rPr>
          <w:rFonts w:eastAsia="Times New Roman"/>
          <w:color w:val="353535"/>
          <w:sz w:val="20"/>
          <w:szCs w:val="20"/>
          <w:lang w:val="en"/>
        </w:rPr>
        <w:t xml:space="preserve">.  Indian Health Service personnel shall not release detailed information to the press and shall not permit photographs of the patient without the signed authorization of the patient or his or her authorized representative.  Such authorizations shall become a part of the patient's health record.  Photographs shall be placed in an envelope and properly identified with patient name, health record number, and date photograph was taken. </w:t>
      </w:r>
    </w:p>
    <w:p w14:paraId="2ECCDDAA" w14:textId="77777777" w:rsidR="005A5AC4" w:rsidRPr="00843A9E" w:rsidRDefault="005A5AC4">
      <w:pPr>
        <w:numPr>
          <w:ilvl w:val="2"/>
          <w:numId w:val="132"/>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Information may be used or disclosed from the IHS hospital directory in response to an inquiry about a named individual from a member of the general public to establish the individual's presence (and location when needed for visitation purposes) or to report the individual's condition while hospitalized (e.g., satisfactory or stable), unless the individual objects to disclosure of this information.  (Refer to IHS HIPAA P&amp;P For Use and Disclosure for Directory Purposes.)</w:t>
      </w:r>
    </w:p>
    <w:p w14:paraId="04609555" w14:textId="77777777" w:rsidR="005A5AC4" w:rsidRPr="00843A9E" w:rsidRDefault="005A5AC4">
      <w:pPr>
        <w:numPr>
          <w:ilvl w:val="2"/>
          <w:numId w:val="132"/>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 xml:space="preserve">The presence of a patient being treated for alcohol or drug abuse shall not be disclosed without the patient's consent. This prohibition includes evaluation, counseling, or treatment of abuse or addiction, and medical or surgical treatment of conditions that are a known direct result of alcohol or drug abuse. </w:t>
      </w:r>
    </w:p>
    <w:p w14:paraId="084D97CD" w14:textId="77777777" w:rsidR="005A5AC4" w:rsidRPr="00843A9E" w:rsidRDefault="005A5AC4" w:rsidP="000D7FFC">
      <w:pPr>
        <w:keepNext/>
        <w:keepLines/>
        <w:numPr>
          <w:ilvl w:val="1"/>
          <w:numId w:val="132"/>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lastRenderedPageBreak/>
        <w:t>Photographs of Patients</w:t>
      </w:r>
      <w:r w:rsidRPr="00843A9E">
        <w:rPr>
          <w:rFonts w:eastAsia="Times New Roman"/>
          <w:color w:val="353535"/>
          <w:sz w:val="20"/>
          <w:szCs w:val="20"/>
          <w:lang w:val="en"/>
        </w:rPr>
        <w:t xml:space="preserve">.  The signed authorization of the patient shall be obtained when the hospital or any person desires to take a photograph of a patient or any part of the body of a patient for any purpose whatsoever.  The Authorization for Administration of Anesthesia and for Performance of Operations or Other Procedures form (IHS-515) is required for any pictures, films, etc., that are included in the health record.  All media that capture and/or store patient health information are considered part of the health record and are, therefore, subject to confidentiality regulations.  The original or copy of the signed consent becomes a part of the patient's health record. </w:t>
      </w:r>
    </w:p>
    <w:p w14:paraId="23C5569C" w14:textId="77777777" w:rsidR="005A5AC4" w:rsidRPr="00843A9E" w:rsidRDefault="005A5AC4">
      <w:pPr>
        <w:numPr>
          <w:ilvl w:val="2"/>
          <w:numId w:val="132"/>
        </w:numPr>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u w:val="single"/>
          <w:lang w:val="en"/>
        </w:rPr>
        <w:t>Clinical Photography</w:t>
      </w:r>
      <w:r w:rsidRPr="00843A9E">
        <w:rPr>
          <w:rFonts w:eastAsia="Times New Roman"/>
          <w:color w:val="353535"/>
          <w:sz w:val="20"/>
          <w:szCs w:val="20"/>
          <w:lang w:val="en"/>
        </w:rPr>
        <w:t xml:space="preserve">.  Permission is not required for photographing surgical or postmortem </w:t>
      </w:r>
      <w:proofErr w:type="gramStart"/>
      <w:r w:rsidRPr="00843A9E">
        <w:rPr>
          <w:rFonts w:eastAsia="Times New Roman"/>
          <w:color w:val="353535"/>
          <w:sz w:val="20"/>
          <w:szCs w:val="20"/>
          <w:lang w:val="en"/>
        </w:rPr>
        <w:t>specimens, if</w:t>
      </w:r>
      <w:proofErr w:type="gramEnd"/>
      <w:r w:rsidRPr="00843A9E">
        <w:rPr>
          <w:rFonts w:eastAsia="Times New Roman"/>
          <w:color w:val="353535"/>
          <w:sz w:val="20"/>
          <w:szCs w:val="20"/>
          <w:lang w:val="en"/>
        </w:rPr>
        <w:t xml:space="preserve"> the identity of the patient is not to be revealed.</w:t>
      </w:r>
    </w:p>
    <w:p w14:paraId="380BF0BA" w14:textId="0C8D8BC7" w:rsidR="005A5AC4" w:rsidRPr="00F73002" w:rsidRDefault="005A5AC4">
      <w:pPr>
        <w:numPr>
          <w:ilvl w:val="2"/>
          <w:numId w:val="132"/>
        </w:numPr>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u w:val="single"/>
          <w:lang w:val="en"/>
        </w:rPr>
        <w:t>Television, Video, Motion Pictures</w:t>
      </w:r>
      <w:r w:rsidRPr="00843A9E">
        <w:rPr>
          <w:rFonts w:eastAsia="Times New Roman"/>
          <w:color w:val="353535"/>
          <w:sz w:val="20"/>
          <w:szCs w:val="20"/>
          <w:lang w:val="en"/>
        </w:rPr>
        <w:t xml:space="preserve">.  The Authorization to Produce and Use Audiovisual Materials form (IHS-859) is required for photographs, movies, video and audio tapes taken of the patient.  Unless there is an express agreement to deliver the photograph or the negative to the patient, the patient has no basis for claiming possession of either, but has the right to a copy if </w:t>
      </w:r>
      <w:proofErr w:type="gramStart"/>
      <w:r w:rsidRPr="00843A9E">
        <w:rPr>
          <w:rFonts w:eastAsia="Times New Roman"/>
          <w:color w:val="353535"/>
          <w:sz w:val="20"/>
          <w:szCs w:val="20"/>
          <w:lang w:val="en"/>
        </w:rPr>
        <w:t>Privacy</w:t>
      </w:r>
      <w:proofErr w:type="gramEnd"/>
      <w:r w:rsidRPr="00843A9E">
        <w:rPr>
          <w:rFonts w:eastAsia="Times New Roman"/>
          <w:color w:val="353535"/>
          <w:sz w:val="20"/>
          <w:szCs w:val="20"/>
          <w:lang w:val="en"/>
        </w:rPr>
        <w:t xml:space="preserve"> Act and HIPAA Privacy policies are followed. </w:t>
      </w:r>
    </w:p>
    <w:p w14:paraId="3D1ED435" w14:textId="2D37F5DC" w:rsidR="005A5AC4" w:rsidRPr="00F73002" w:rsidRDefault="005A5AC4" w:rsidP="005A5AC4">
      <w:pPr>
        <w:spacing w:before="100" w:beforeAutospacing="1" w:after="100" w:afterAutospacing="1"/>
        <w:rPr>
          <w:rFonts w:eastAsia="Times New Roman"/>
          <w:b/>
          <w:bCs/>
          <w:color w:val="353535"/>
          <w:sz w:val="20"/>
          <w:szCs w:val="20"/>
          <w:lang w:val="en"/>
        </w:rPr>
      </w:pPr>
      <w:r w:rsidRPr="00F73002">
        <w:rPr>
          <w:rFonts w:eastAsia="Times New Roman"/>
          <w:b/>
          <w:bCs/>
          <w:color w:val="353535"/>
          <w:sz w:val="20"/>
          <w:szCs w:val="20"/>
          <w:lang w:val="en"/>
        </w:rPr>
        <w:t>3-3.13 CONSENTS TO MEDICAL AND SURGICAL PROCEDURES</w:t>
      </w:r>
    </w:p>
    <w:p w14:paraId="62BFB76A" w14:textId="77777777" w:rsidR="005A5AC4" w:rsidRPr="00843A9E" w:rsidRDefault="005A5AC4">
      <w:pPr>
        <w:numPr>
          <w:ilvl w:val="0"/>
          <w:numId w:val="134"/>
        </w:numPr>
        <w:tabs>
          <w:tab w:val="clear" w:pos="720"/>
        </w:tabs>
        <w:spacing w:before="100" w:beforeAutospacing="1" w:after="100" w:afterAutospacing="1"/>
        <w:ind w:left="540"/>
        <w:rPr>
          <w:rFonts w:eastAsia="Times New Roman"/>
          <w:color w:val="353535"/>
          <w:sz w:val="20"/>
          <w:szCs w:val="20"/>
          <w:lang w:val="en"/>
        </w:rPr>
      </w:pPr>
      <w:bookmarkStart w:id="320" w:name="3-3.13A"/>
      <w:bookmarkEnd w:id="320"/>
      <w:r w:rsidRPr="00843A9E">
        <w:rPr>
          <w:rFonts w:eastAsia="Times New Roman"/>
          <w:color w:val="353535"/>
          <w:sz w:val="20"/>
          <w:szCs w:val="20"/>
          <w:u w:val="single"/>
          <w:lang w:val="en"/>
        </w:rPr>
        <w:t>Characteristics of an Informed Consent</w:t>
      </w:r>
      <w:r w:rsidRPr="00843A9E">
        <w:rPr>
          <w:rFonts w:eastAsia="Times New Roman"/>
          <w:color w:val="353535"/>
          <w:sz w:val="20"/>
          <w:szCs w:val="20"/>
          <w:lang w:val="en"/>
        </w:rPr>
        <w:t xml:space="preserve">.  All health records must include evidence that informed consent was obtained from the patient or personal representative prior to undertaking any treatment or procedure.  Separate, specific, and informed consent is required for any aspect of treatment or procedure that involves research.  In addition, documentation in the health record must comply with accreditation/certification standards. </w:t>
      </w:r>
    </w:p>
    <w:p w14:paraId="6FEC4641" w14:textId="77777777" w:rsidR="005A5AC4" w:rsidRPr="00843A9E" w:rsidRDefault="005A5AC4">
      <w:pPr>
        <w:numPr>
          <w:ilvl w:val="1"/>
          <w:numId w:val="134"/>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Knowledge Before Signing</w:t>
      </w:r>
      <w:r w:rsidRPr="00843A9E">
        <w:rPr>
          <w:rFonts w:eastAsia="Times New Roman"/>
          <w:color w:val="353535"/>
          <w:sz w:val="20"/>
          <w:szCs w:val="20"/>
          <w:lang w:val="en"/>
        </w:rPr>
        <w:t>.  The procedure to be performed must be explained in laymen's terms to the patient by the health care provider, so that the patient knows which procedure is being consented to; knows specifically what is to be done; knows the expected results; understands the risks involved; knows the type of anesthesia involved; and is aware of alternative procedures.  At the time of explanation and signing, the patient must not be under the influence of anesthetic or sedation.  If the patient does not understand English, the consent should be explained by an interpreter who must sign as a witness.</w:t>
      </w:r>
    </w:p>
    <w:p w14:paraId="56502944" w14:textId="77777777" w:rsidR="005A5AC4" w:rsidRPr="00843A9E" w:rsidRDefault="005A5AC4">
      <w:pPr>
        <w:numPr>
          <w:ilvl w:val="1"/>
          <w:numId w:val="134"/>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Content</w:t>
      </w:r>
      <w:r w:rsidRPr="00843A9E">
        <w:rPr>
          <w:rFonts w:eastAsia="Times New Roman"/>
          <w:color w:val="353535"/>
          <w:sz w:val="20"/>
          <w:szCs w:val="20"/>
          <w:lang w:val="en"/>
        </w:rPr>
        <w:t xml:space="preserve">.  An informed consent document must include the following information: </w:t>
      </w:r>
    </w:p>
    <w:p w14:paraId="5C4C0711"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Name of the facility in which the operation or procedure is to be performed, and the time and date the consent is signed;</w:t>
      </w:r>
    </w:p>
    <w:p w14:paraId="6BB8108F"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Name of provider to perform the procedure;</w:t>
      </w:r>
    </w:p>
    <w:p w14:paraId="0F6021AF"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Name of the patient on whom operation or procedure is to bed performed;</w:t>
      </w:r>
    </w:p>
    <w:p w14:paraId="75F8E10E"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Statement of the nature of the operation or procedure to be performed;</w:t>
      </w:r>
    </w:p>
    <w:p w14:paraId="67DED5E9"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Statement by patient, parent, or guardian, of procedure, risks, and alternatives as the patient understands it.  If written by the provider, it must be in laymen's terms;</w:t>
      </w:r>
    </w:p>
    <w:p w14:paraId="6AC14759"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Authorization to perform such additional operations or procedures considered necessary or desirable in the judgment of the surgeon or provider;</w:t>
      </w:r>
    </w:p>
    <w:p w14:paraId="13DB1D44"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Consent to dispose of tissues or amputated parts removed at operation;</w:t>
      </w:r>
    </w:p>
    <w:p w14:paraId="57FE7DD0"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Authorization for taking photographs in the course of treatment for the purpose of advancing medical knowledge;</w:t>
      </w:r>
    </w:p>
    <w:p w14:paraId="592D72AC"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Signature of patient or personal representative authorized to give consent on patient's behalf; and</w:t>
      </w:r>
    </w:p>
    <w:p w14:paraId="3F950FB8"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 xml:space="preserve">Signature of the witness. </w:t>
      </w:r>
    </w:p>
    <w:p w14:paraId="5488DA83" w14:textId="77777777" w:rsidR="005A5AC4" w:rsidRPr="00843A9E" w:rsidRDefault="005A5AC4">
      <w:pPr>
        <w:numPr>
          <w:ilvl w:val="1"/>
          <w:numId w:val="134"/>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Length of Validity of Consent</w:t>
      </w:r>
      <w:r w:rsidRPr="00843A9E">
        <w:rPr>
          <w:rFonts w:eastAsia="Times New Roman"/>
          <w:color w:val="353535"/>
          <w:sz w:val="20"/>
          <w:szCs w:val="20"/>
          <w:lang w:val="en"/>
        </w:rPr>
        <w:t xml:space="preserve">.  Consents are considered to be valid for a reasonable time after signing.  There is no specific limitation </w:t>
      </w:r>
      <w:proofErr w:type="gramStart"/>
      <w:r w:rsidRPr="00843A9E">
        <w:rPr>
          <w:rFonts w:eastAsia="Times New Roman"/>
          <w:color w:val="353535"/>
          <w:sz w:val="20"/>
          <w:szCs w:val="20"/>
          <w:lang w:val="en"/>
        </w:rPr>
        <w:t>in hours</w:t>
      </w:r>
      <w:proofErr w:type="gramEnd"/>
      <w:r w:rsidRPr="00843A9E">
        <w:rPr>
          <w:rFonts w:eastAsia="Times New Roman"/>
          <w:color w:val="353535"/>
          <w:sz w:val="20"/>
          <w:szCs w:val="20"/>
          <w:lang w:val="en"/>
        </w:rPr>
        <w:t xml:space="preserve"> or days after which a new consent must be obtained.  As a matter of policy, no consent is deemed valid after the patient has been discharged.</w:t>
      </w:r>
    </w:p>
    <w:p w14:paraId="2133B72C" w14:textId="77777777" w:rsidR="005A5AC4" w:rsidRPr="00843A9E" w:rsidRDefault="005A5AC4" w:rsidP="000D7FFC">
      <w:pPr>
        <w:keepNext/>
        <w:keepLines/>
        <w:numPr>
          <w:ilvl w:val="1"/>
          <w:numId w:val="134"/>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lastRenderedPageBreak/>
        <w:t>Emergency Procedure Without Consent</w:t>
      </w:r>
      <w:r w:rsidRPr="00843A9E">
        <w:rPr>
          <w:rFonts w:eastAsia="Times New Roman"/>
          <w:color w:val="353535"/>
          <w:sz w:val="20"/>
          <w:szCs w:val="20"/>
          <w:lang w:val="en"/>
        </w:rPr>
        <w:t xml:space="preserve">.  A procedure may be performed when immediate surgery is necessary and the patient's state is such that he or she cannot rationally consent, or where delay in obtaining the consent of the parent or guardian poses a serious risk to the patient.  Verbal or telephone consent, if obtained, shall be documented in the health record by the responsible practitioner.  When a surgeon operates under such circumstances, the surgeon shall document in the patient's record: </w:t>
      </w:r>
    </w:p>
    <w:p w14:paraId="5806D5D2"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that an immediate operation was necessary;</w:t>
      </w:r>
    </w:p>
    <w:p w14:paraId="1945B408"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that consent could not be obtained from the patient or from any person authorized to act for the patient;</w:t>
      </w:r>
    </w:p>
    <w:p w14:paraId="2218491C"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that the operation performed was necessary to save the patient's life; or</w:t>
      </w:r>
    </w:p>
    <w:p w14:paraId="18B9857A"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 xml:space="preserve">that delay might involve serious risk to the patient. </w:t>
      </w:r>
    </w:p>
    <w:p w14:paraId="204245AE" w14:textId="77777777" w:rsidR="005A5AC4" w:rsidRPr="00843A9E" w:rsidRDefault="005A5AC4">
      <w:pPr>
        <w:numPr>
          <w:ilvl w:val="0"/>
          <w:numId w:val="134"/>
        </w:numPr>
        <w:tabs>
          <w:tab w:val="clear" w:pos="720"/>
        </w:tabs>
        <w:spacing w:before="100" w:beforeAutospacing="1" w:after="100" w:afterAutospacing="1"/>
        <w:ind w:left="540"/>
        <w:rPr>
          <w:rFonts w:eastAsia="Times New Roman"/>
          <w:color w:val="353535"/>
          <w:sz w:val="20"/>
          <w:szCs w:val="20"/>
          <w:lang w:val="en"/>
        </w:rPr>
      </w:pPr>
      <w:bookmarkStart w:id="321" w:name="3-3.13B"/>
      <w:bookmarkEnd w:id="321"/>
      <w:r w:rsidRPr="00843A9E">
        <w:rPr>
          <w:rFonts w:eastAsia="Times New Roman"/>
          <w:color w:val="353535"/>
          <w:sz w:val="20"/>
          <w:szCs w:val="20"/>
          <w:u w:val="single"/>
          <w:lang w:val="en"/>
        </w:rPr>
        <w:t>Consent Form</w:t>
      </w:r>
      <w:r w:rsidRPr="00843A9E">
        <w:rPr>
          <w:rFonts w:eastAsia="Times New Roman"/>
          <w:color w:val="353535"/>
          <w:sz w:val="20"/>
          <w:szCs w:val="20"/>
          <w:lang w:val="en"/>
        </w:rPr>
        <w:t xml:space="preserve">.  The Authorization for Administration of Anesthesia and For Performance of Operations or Other Procedures consent form (IHS-515) shall be used in all IHS facilities.  The age of majority for consent to medical and surgical procedures is in accordance with State laws. Minors may consent to care and treatment in specific categories such as sexually transmitted disease, family planning (Refer to 3-13, Maternal Child Health, IHM), or alcohol/substance abuse counseling and treatment.  Exception: Elective sterilization may not be consented to, or performed on, any patient prior to age 21 according to regulations regarding Federal funding of elective sterilizations.  Patient consent shall be obtained for the following procedures: </w:t>
      </w:r>
    </w:p>
    <w:p w14:paraId="2977EC12" w14:textId="77777777" w:rsidR="005A5AC4" w:rsidRPr="00843A9E" w:rsidRDefault="005A5AC4">
      <w:pPr>
        <w:numPr>
          <w:ilvl w:val="1"/>
          <w:numId w:val="134"/>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Major and Minor Surgery</w:t>
      </w:r>
      <w:r w:rsidRPr="00843A9E">
        <w:rPr>
          <w:rFonts w:eastAsia="Times New Roman"/>
          <w:color w:val="353535"/>
          <w:sz w:val="20"/>
          <w:szCs w:val="20"/>
          <w:lang w:val="en"/>
        </w:rPr>
        <w:t>.  Anesthesia; non-surgical procedures that involve more than a slight risk of harm to the patient or that involve risk of a change in the patient's body structure; x-ray therapy; intravenous pyelograms; and all other procedures determined by the medical staff to require a specific explanation to the patient.</w:t>
      </w:r>
    </w:p>
    <w:p w14:paraId="78A8296E" w14:textId="77777777" w:rsidR="005A5AC4" w:rsidRPr="00843A9E" w:rsidRDefault="005A5AC4">
      <w:pPr>
        <w:numPr>
          <w:ilvl w:val="1"/>
          <w:numId w:val="134"/>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Outpatient and Inpatient Care</w:t>
      </w:r>
      <w:r w:rsidRPr="00843A9E">
        <w:rPr>
          <w:rFonts w:eastAsia="Times New Roman"/>
          <w:color w:val="353535"/>
          <w:sz w:val="20"/>
          <w:szCs w:val="20"/>
          <w:lang w:val="en"/>
        </w:rPr>
        <w:t>.  Competent adult patients who present themselves for treatment as either outpatients or inpatients consent to the ordinary diagnostic and therapeutic measures used by physicians and other medical personnel; it may be assumed that they know in general that their diagnosis and treatment may entail several procedures and that their request for treatment would include the willingness to submit to these ordinary procedures.  It is recommended that each facility's medical staff create lists of invasive and non-invasive procedures performed at the respective facility requiring informed consent.</w:t>
      </w:r>
    </w:p>
    <w:p w14:paraId="664A5852" w14:textId="77777777" w:rsidR="005A5AC4" w:rsidRPr="00843A9E" w:rsidRDefault="005A5AC4">
      <w:pPr>
        <w:numPr>
          <w:ilvl w:val="1"/>
          <w:numId w:val="134"/>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Immunizations</w:t>
      </w:r>
      <w:r w:rsidRPr="00843A9E">
        <w:rPr>
          <w:rFonts w:eastAsia="Times New Roman"/>
          <w:color w:val="353535"/>
          <w:sz w:val="20"/>
          <w:szCs w:val="20"/>
          <w:lang w:val="en"/>
        </w:rPr>
        <w:t>.  Where State or Federal law requires a written consent for administration of certain vaccines, the consent shall be obtained prior to vaccination of a patient.</w:t>
      </w:r>
    </w:p>
    <w:p w14:paraId="4D2B2944" w14:textId="77777777" w:rsidR="005A5AC4" w:rsidRPr="00843A9E" w:rsidRDefault="005A5AC4">
      <w:pPr>
        <w:numPr>
          <w:ilvl w:val="1"/>
          <w:numId w:val="134"/>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Consent for Operative Procedures</w:t>
      </w:r>
      <w:r w:rsidRPr="00843A9E">
        <w:rPr>
          <w:rFonts w:eastAsia="Times New Roman"/>
          <w:color w:val="353535"/>
          <w:sz w:val="20"/>
          <w:szCs w:val="20"/>
          <w:lang w:val="en"/>
        </w:rPr>
        <w:t xml:space="preserve">.  The consent or refusal for consent shall be made a part of the health record. </w:t>
      </w:r>
    </w:p>
    <w:p w14:paraId="0BDAE9A0"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u w:val="single"/>
          <w:lang w:val="en"/>
        </w:rPr>
        <w:t>Consent for Surgery</w:t>
      </w:r>
      <w:r w:rsidRPr="00843A9E">
        <w:rPr>
          <w:rFonts w:eastAsia="Times New Roman"/>
          <w:color w:val="353535"/>
          <w:sz w:val="20"/>
          <w:szCs w:val="20"/>
          <w:lang w:val="en"/>
        </w:rPr>
        <w:t>.  Except in emergencies when the patient is physically or mentally incapable of consenting or when the delay required to obtain the consent of natural parents or legal guardians would seriously endanger the patient's health, no operative procedure shall be undertaken unless the patient (or in the case of a minor or incompetent, that person's natural or legal guardian) gives informed consent; nor shall any major operative procedure or the administration of preoperative medication or a general anesthetic be undertaken unless informed consent has been obtained in writing.</w:t>
      </w:r>
    </w:p>
    <w:p w14:paraId="68416362"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u w:val="single"/>
          <w:lang w:val="en"/>
        </w:rPr>
        <w:t>Consent for Administration of Anesthesia</w:t>
      </w:r>
      <w:r w:rsidRPr="00843A9E">
        <w:rPr>
          <w:rFonts w:eastAsia="Times New Roman"/>
          <w:color w:val="353535"/>
          <w:sz w:val="20"/>
          <w:szCs w:val="20"/>
          <w:lang w:val="en"/>
        </w:rPr>
        <w:t>.  The patient's written informed consent is required for the administration of general or spinal anesthesia.  The patient must be informed in laymen's terms of the procedure to be performed and the risks involved.  The surgeon performing the procedure is responsible for obtaining the consent.  The witness to the consent form shall not be a member of the operating team.</w:t>
      </w:r>
    </w:p>
    <w:p w14:paraId="2F8E92A6"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u w:val="single"/>
          <w:lang w:val="en"/>
        </w:rPr>
        <w:t>Cesarean Section</w:t>
      </w:r>
      <w:r w:rsidRPr="00843A9E">
        <w:rPr>
          <w:rFonts w:eastAsia="Times New Roman"/>
          <w:color w:val="353535"/>
          <w:sz w:val="20"/>
          <w:szCs w:val="20"/>
          <w:lang w:val="en"/>
        </w:rPr>
        <w:t>.  Only the consent of the patient is necessary. The signed authorization becomes a part of the health record.  In emergency cases where the life of the mother and/or child is threatened and the mother is unable to provide written consent, the provider should obtain oral consent from the mother and document the consent in the health record.  If, in addition, the mother is unconscious or otherwise unable to provide informed consent, and a spouse or other appropriate family member is unavailable to provide consent, then no consent is required, however, the basis for proceeding with the cesarean section without consent should be documented in the health record.</w:t>
      </w:r>
    </w:p>
    <w:p w14:paraId="0B9CC14D"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u w:val="single"/>
          <w:lang w:val="en"/>
        </w:rPr>
        <w:lastRenderedPageBreak/>
        <w:t>Sterilization</w:t>
      </w:r>
      <w:r w:rsidRPr="00843A9E">
        <w:rPr>
          <w:rFonts w:eastAsia="Times New Roman"/>
          <w:color w:val="353535"/>
          <w:sz w:val="20"/>
          <w:szCs w:val="20"/>
          <w:lang w:val="en"/>
        </w:rPr>
        <w:t>.  An individual desiring sterilization that is not medically indicated because of specific pathology involving reproductive organs must be 21 years or older and mentally competent.  A full explanation, both orally and in writing, shall be furnished of the procedure to be followed, risks and subsequent discomforts, benefits to be expected, and alternative methods of family planning.  The individual shall be informed that a decision against sterilization will not prejudice future care or treatment. A sterilization procedure will not be performed for 30 days following execution of an informed consent nor more than 180 days after consent is executed (42 CFR 50.201,202,203).  An individual may consent to be sterilized at the time of a premature delivery or emergency abdominal surgery, if at least 72 hours have passed since he or she gave informed consent for the sterilization.  In the case of premature delivery, the informed consent must have been given at least 30 days before the expected date of delivery.  A separate Consent for Anesthesia and Surgery must be signed immediately prior to the surgery.  This is an additional consent to meet requirements for the surgical procedure itself. (Refer to Part 3, Chapter 13, Section 12F(5), Maternal and Child Health IHM.)</w:t>
      </w:r>
    </w:p>
    <w:p w14:paraId="17B05608"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u w:val="single"/>
          <w:lang w:val="en"/>
        </w:rPr>
        <w:t>Special Therapy</w:t>
      </w:r>
      <w:r w:rsidRPr="00843A9E">
        <w:rPr>
          <w:rFonts w:eastAsia="Times New Roman"/>
          <w:color w:val="353535"/>
          <w:sz w:val="20"/>
          <w:szCs w:val="20"/>
          <w:lang w:val="en"/>
        </w:rPr>
        <w:t>.  Consideration should be given to the need for consent in the event that the patient is given therapy that may be hazardous. The patient shall be informed and it should be documented in the health record.</w:t>
      </w:r>
    </w:p>
    <w:p w14:paraId="626BB92B" w14:textId="68E9121E" w:rsidR="005A5AC4" w:rsidRPr="00F73002"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u w:val="single"/>
          <w:lang w:val="en"/>
        </w:rPr>
        <w:t>Special Situations</w:t>
      </w:r>
      <w:r w:rsidRPr="00843A9E">
        <w:rPr>
          <w:rFonts w:eastAsia="Times New Roman"/>
          <w:color w:val="353535"/>
          <w:sz w:val="20"/>
          <w:szCs w:val="20"/>
          <w:lang w:val="en"/>
        </w:rPr>
        <w:t xml:space="preserve">.  In certain special situations, additional procedures and documentation are required. These include consent for unusual or extremely hazardous treatments or procedures, forced administration of psychotropic drugs, testing and treatment for HIV, and research. These are also specific notice and documentation requirements for medical emergencies and for the release of evidentiary information from the health record when the practitioner suspects the patient might have been subject to abuse or neglect. </w:t>
      </w:r>
    </w:p>
    <w:sectPr w:rsidR="005A5AC4" w:rsidRPr="00F73002" w:rsidSect="007074D3">
      <w:pgSz w:w="12240" w:h="15840"/>
      <w:pgMar w:top="1440" w:right="1440" w:bottom="1440" w:left="1440" w:header="36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A7E6E" w14:textId="77777777" w:rsidR="00AC3C8E" w:rsidRDefault="00AC3C8E">
      <w:pPr>
        <w:spacing w:after="0"/>
      </w:pPr>
      <w:r>
        <w:separator/>
      </w:r>
    </w:p>
  </w:endnote>
  <w:endnote w:type="continuationSeparator" w:id="0">
    <w:p w14:paraId="5A6A4A8C" w14:textId="77777777" w:rsidR="00AC3C8E" w:rsidRDefault="00AC3C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360"/>
    </w:tblGrid>
    <w:tr w:rsidR="00FE171B" w:rsidRPr="00707166" w14:paraId="2BD08F26" w14:textId="77777777" w:rsidTr="00C22C2A">
      <w:tc>
        <w:tcPr>
          <w:tcW w:w="5000" w:type="pct"/>
          <w:tcMar>
            <w:left w:w="0" w:type="dxa"/>
            <w:right w:w="0" w:type="dxa"/>
          </w:tcMar>
          <w:vAlign w:val="center"/>
        </w:tcPr>
        <w:p w14:paraId="6C7DA930" w14:textId="44F4FC96" w:rsidR="00FE171B" w:rsidRPr="00707166" w:rsidRDefault="00FE171B" w:rsidP="00EC114D">
          <w:pPr>
            <w:spacing w:after="0"/>
            <w:rPr>
              <w:sz w:val="18"/>
              <w:szCs w:val="20"/>
            </w:rPr>
          </w:pPr>
          <w:r w:rsidRPr="00707166">
            <w:rPr>
              <w:sz w:val="18"/>
              <w:szCs w:val="20"/>
            </w:rPr>
            <w:t>IHS Dental Clinic Manager’s Handbook</w:t>
          </w:r>
        </w:p>
      </w:tc>
    </w:tr>
  </w:tbl>
  <w:p w14:paraId="479A64B4" w14:textId="058AD7F1" w:rsidR="00FE171B" w:rsidRPr="00C22C2A" w:rsidRDefault="00C22C2A" w:rsidP="00FE171B">
    <w:pPr>
      <w:pStyle w:val="Footer"/>
    </w:pPr>
    <w:r w:rsidRPr="000C2F63">
      <w:rPr>
        <w:noProof/>
        <w:sz w:val="18"/>
        <w:szCs w:val="18"/>
      </w:rPr>
      <mc:AlternateContent>
        <mc:Choice Requires="wps">
          <w:drawing>
            <wp:anchor distT="0" distB="0" distL="114300" distR="114300" simplePos="0" relativeHeight="251723776" behindDoc="0" locked="0" layoutInCell="1" allowOverlap="1" wp14:anchorId="3A8AFD09" wp14:editId="3345F5B3">
              <wp:simplePos x="0" y="0"/>
              <wp:positionH relativeFrom="page">
                <wp:posOffset>3200400</wp:posOffset>
              </wp:positionH>
              <wp:positionV relativeFrom="page">
                <wp:posOffset>9601200</wp:posOffset>
              </wp:positionV>
              <wp:extent cx="3657600" cy="18288"/>
              <wp:effectExtent l="0" t="0" r="0" b="0"/>
              <wp:wrapNone/>
              <wp:docPr id="5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D7FECD" id="docshape10" o:spid="_x0000_s1026" style="position:absolute;margin-left:252pt;margin-top:756pt;width:4in;height:1.4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" fillcolor="black [3213]"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4A0" w:firstRow="1" w:lastRow="0" w:firstColumn="1" w:lastColumn="0" w:noHBand="0" w:noVBand="1"/>
    </w:tblPr>
    <w:tblGrid>
      <w:gridCol w:w="9360"/>
    </w:tblGrid>
    <w:tr w:rsidR="005815A8" w14:paraId="405035AB" w14:textId="77777777" w:rsidTr="00C22C2A">
      <w:tc>
        <w:tcPr>
          <w:tcW w:w="5000" w:type="pct"/>
          <w:tcBorders>
            <w:top w:val="nil"/>
            <w:left w:val="nil"/>
            <w:bottom w:val="nil"/>
            <w:right w:val="nil"/>
          </w:tcBorders>
        </w:tcPr>
        <w:p w14:paraId="77EFA9C0" w14:textId="75D71A64" w:rsidR="005815A8" w:rsidRDefault="005815A8" w:rsidP="00EC114D">
          <w:pPr>
            <w:spacing w:after="0"/>
            <w:jc w:val="right"/>
          </w:pPr>
          <w:r w:rsidRPr="00707166">
            <w:rPr>
              <w:sz w:val="18"/>
              <w:szCs w:val="20"/>
            </w:rPr>
            <w:t>IHS Dental Clinic Manager’s Handbook</w:t>
          </w:r>
        </w:p>
      </w:tc>
    </w:tr>
  </w:tbl>
  <w:p w14:paraId="655B6DAD" w14:textId="43635E05" w:rsidR="005815A8" w:rsidRPr="005815A8" w:rsidRDefault="005815A8" w:rsidP="005815A8">
    <w:pPr>
      <w:spacing w:after="0"/>
    </w:pPr>
    <w:r w:rsidRPr="005815A8">
      <w:rPr>
        <w:noProof/>
        <w:szCs w:val="22"/>
      </w:rPr>
      <mc:AlternateContent>
        <mc:Choice Requires="wps">
          <w:drawing>
            <wp:anchor distT="0" distB="0" distL="114300" distR="114300" simplePos="0" relativeHeight="251721728" behindDoc="0" locked="0" layoutInCell="1" allowOverlap="1" wp14:anchorId="7A886267" wp14:editId="1DEFA4CD">
              <wp:simplePos x="0" y="0"/>
              <wp:positionH relativeFrom="page">
                <wp:posOffset>914400</wp:posOffset>
              </wp:positionH>
              <wp:positionV relativeFrom="page">
                <wp:posOffset>9603907</wp:posOffset>
              </wp:positionV>
              <wp:extent cx="3657600" cy="18288"/>
              <wp:effectExtent l="0" t="0" r="0" b="0"/>
              <wp:wrapNone/>
              <wp:docPr id="2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D5B2F9" id="docshape10" o:spid="_x0000_s1026" style="position:absolute;margin-left:1in;margin-top:756.2pt;width:4in;height:1.4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" fillcolor="black [3213]" stroked="f">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360" w:type="dxa"/>
      <w:tblLook w:val="04A0" w:firstRow="1" w:lastRow="0" w:firstColumn="1" w:lastColumn="0" w:noHBand="0" w:noVBand="1"/>
    </w:tblPr>
    <w:tblGrid>
      <w:gridCol w:w="8626"/>
      <w:gridCol w:w="1454"/>
    </w:tblGrid>
    <w:tr w:rsidR="00707166" w:rsidRPr="00707166" w14:paraId="51EBDA44" w14:textId="77777777" w:rsidTr="00707166">
      <w:tc>
        <w:tcPr>
          <w:tcW w:w="4279" w:type="pct"/>
          <w:tcMar>
            <w:left w:w="0" w:type="dxa"/>
            <w:right w:w="115" w:type="dxa"/>
          </w:tcMar>
          <w:vAlign w:val="center"/>
        </w:tcPr>
        <w:p w14:paraId="5AF4CECE" w14:textId="330E1EBC" w:rsidR="00707166" w:rsidRPr="00707166" w:rsidRDefault="00707166" w:rsidP="00707166">
          <w:pPr>
            <w:spacing w:after="0"/>
            <w:rPr>
              <w:sz w:val="18"/>
              <w:szCs w:val="20"/>
            </w:rPr>
          </w:pPr>
          <w:r w:rsidRPr="000C2F63">
            <w:rPr>
              <w:noProof/>
              <w:sz w:val="18"/>
              <w:szCs w:val="18"/>
            </w:rPr>
            <mc:AlternateContent>
              <mc:Choice Requires="wps">
                <w:drawing>
                  <wp:anchor distT="0" distB="0" distL="114300" distR="114300" simplePos="0" relativeHeight="251676672" behindDoc="0" locked="0" layoutInCell="1" allowOverlap="1" wp14:anchorId="47ABE4FC" wp14:editId="05B049AC">
                    <wp:simplePos x="0" y="0"/>
                    <wp:positionH relativeFrom="page">
                      <wp:posOffset>2151380</wp:posOffset>
                    </wp:positionH>
                    <wp:positionV relativeFrom="page">
                      <wp:posOffset>62865</wp:posOffset>
                    </wp:positionV>
                    <wp:extent cx="3886200" cy="18288"/>
                    <wp:effectExtent l="0" t="0" r="0" b="0"/>
                    <wp:wrapNone/>
                    <wp:docPr id="3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728990" id="docshape10" o:spid="_x0000_s1026" style="position:absolute;margin-left:169.4pt;margin-top:4.95pt;width:306pt;height:1.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" fillcolor="black [3213]" stroked="f">
                    <w10:wrap anchorx="page" anchory="page"/>
                  </v:rect>
                </w:pict>
              </mc:Fallback>
            </mc:AlternateContent>
          </w:r>
          <w:r w:rsidRPr="00707166">
            <w:rPr>
              <w:sz w:val="18"/>
              <w:szCs w:val="20"/>
            </w:rPr>
            <w:t>IHS Dental Clinic Manager’s Handbook</w:t>
          </w:r>
        </w:p>
      </w:tc>
      <w:tc>
        <w:tcPr>
          <w:tcW w:w="721" w:type="pct"/>
          <w:tcMar>
            <w:left w:w="115" w:type="dxa"/>
            <w:right w:w="0" w:type="dxa"/>
          </w:tcMar>
          <w:vAlign w:val="center"/>
        </w:tcPr>
        <w:p w14:paraId="7CAE9DE2" w14:textId="77777777" w:rsidR="00707166" w:rsidRPr="00707166" w:rsidRDefault="00707166" w:rsidP="00707166">
          <w:pPr>
            <w:spacing w:after="0"/>
            <w:jc w:val="right"/>
            <w:rPr>
              <w:sz w:val="18"/>
              <w:szCs w:val="20"/>
            </w:rPr>
          </w:pPr>
          <w:r w:rsidRPr="00707166">
            <w:rPr>
              <w:sz w:val="18"/>
              <w:szCs w:val="20"/>
            </w:rPr>
            <w:fldChar w:fldCharType="begin"/>
          </w:r>
          <w:r w:rsidRPr="00707166">
            <w:rPr>
              <w:sz w:val="18"/>
              <w:szCs w:val="20"/>
            </w:rPr>
            <w:instrText>PAGE</w:instrText>
          </w:r>
          <w:r w:rsidRPr="00707166">
            <w:rPr>
              <w:sz w:val="18"/>
              <w:szCs w:val="20"/>
            </w:rPr>
            <w:fldChar w:fldCharType="separate"/>
          </w:r>
          <w:r w:rsidRPr="00707166">
            <w:rPr>
              <w:sz w:val="18"/>
              <w:szCs w:val="20"/>
            </w:rPr>
            <w:t>ii</w:t>
          </w:r>
          <w:r w:rsidRPr="00707166">
            <w:rPr>
              <w:sz w:val="18"/>
              <w:szCs w:val="20"/>
            </w:rPr>
            <w:fldChar w:fldCharType="end"/>
          </w:r>
        </w:p>
      </w:tc>
    </w:tr>
  </w:tbl>
  <w:p w14:paraId="20A7BF6D" w14:textId="77777777" w:rsidR="001603B6" w:rsidRPr="00707166" w:rsidRDefault="001603B6" w:rsidP="007071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360"/>
    </w:tblGrid>
    <w:tr w:rsidR="00884B2E" w:rsidRPr="00707166" w14:paraId="606EA9F8" w14:textId="77777777" w:rsidTr="00793B97">
      <w:tc>
        <w:tcPr>
          <w:tcW w:w="5000" w:type="pct"/>
          <w:tcMar>
            <w:left w:w="0" w:type="dxa"/>
            <w:right w:w="115" w:type="dxa"/>
          </w:tcMar>
          <w:vAlign w:val="center"/>
        </w:tcPr>
        <w:p w14:paraId="4B88F6BE" w14:textId="77777777" w:rsidR="00884B2E" w:rsidRPr="00707166" w:rsidRDefault="00884B2E" w:rsidP="009D5A5E">
          <w:pPr>
            <w:spacing w:after="0"/>
            <w:rPr>
              <w:sz w:val="18"/>
              <w:szCs w:val="20"/>
            </w:rPr>
          </w:pPr>
          <w:r w:rsidRPr="000C2F63">
            <w:rPr>
              <w:noProof/>
              <w:sz w:val="18"/>
              <w:szCs w:val="18"/>
            </w:rPr>
            <mc:AlternateContent>
              <mc:Choice Requires="wps">
                <w:drawing>
                  <wp:anchor distT="0" distB="0" distL="114300" distR="114300" simplePos="0" relativeHeight="251705344" behindDoc="0" locked="0" layoutInCell="1" allowOverlap="1" wp14:anchorId="69E58573" wp14:editId="253D8544">
                    <wp:simplePos x="0" y="0"/>
                    <wp:positionH relativeFrom="page">
                      <wp:posOffset>2286000</wp:posOffset>
                    </wp:positionH>
                    <wp:positionV relativeFrom="page">
                      <wp:posOffset>62865</wp:posOffset>
                    </wp:positionV>
                    <wp:extent cx="3657600" cy="18288"/>
                    <wp:effectExtent l="0" t="0" r="0" b="0"/>
                    <wp:wrapNone/>
                    <wp:docPr id="44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2C0B8E" id="docshape10" o:spid="_x0000_s1026" style="position:absolute;margin-left:180pt;margin-top:4.95pt;width:4in;height:1.4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" fillcolor="black [3213]" stroked="f">
                    <w10:wrap anchorx="page" anchory="page"/>
                  </v:rect>
                </w:pict>
              </mc:Fallback>
            </mc:AlternateContent>
          </w:r>
          <w:r w:rsidRPr="00707166">
            <w:rPr>
              <w:sz w:val="18"/>
              <w:szCs w:val="20"/>
            </w:rPr>
            <w:t>IHS Dental Clinic Manager’s Handbook</w:t>
          </w:r>
        </w:p>
      </w:tc>
    </w:tr>
  </w:tbl>
  <w:p w14:paraId="107B6BDC" w14:textId="77777777" w:rsidR="00884B2E" w:rsidRPr="00E35410" w:rsidRDefault="00884B2E" w:rsidP="006F7C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360"/>
    </w:tblGrid>
    <w:tr w:rsidR="004C749D" w:rsidRPr="00707166" w14:paraId="5BE03EFE" w14:textId="77777777" w:rsidTr="004A5961">
      <w:tc>
        <w:tcPr>
          <w:tcW w:w="5000" w:type="pct"/>
        </w:tcPr>
        <w:p w14:paraId="1976C773" w14:textId="447B0CA2" w:rsidR="004C749D" w:rsidRPr="00707166" w:rsidRDefault="004C749D" w:rsidP="004A5961">
          <w:pPr>
            <w:spacing w:after="0"/>
            <w:jc w:val="right"/>
            <w:rPr>
              <w:sz w:val="18"/>
              <w:szCs w:val="20"/>
            </w:rPr>
          </w:pPr>
          <w:r w:rsidRPr="00707166">
            <w:rPr>
              <w:sz w:val="18"/>
              <w:szCs w:val="20"/>
            </w:rPr>
            <w:t>IHS Dental Clinic Manager’s Handbook</w:t>
          </w:r>
        </w:p>
      </w:tc>
    </w:tr>
  </w:tbl>
  <w:p w14:paraId="44DD7A4E" w14:textId="3FA06B75" w:rsidR="00272316" w:rsidRPr="00707166" w:rsidRDefault="004A5961" w:rsidP="00707166">
    <w:pPr>
      <w:pStyle w:val="Footer"/>
    </w:pPr>
    <w:r w:rsidRPr="005815A8">
      <w:rPr>
        <w:noProof/>
        <w:szCs w:val="22"/>
      </w:rPr>
      <mc:AlternateContent>
        <mc:Choice Requires="wps">
          <w:drawing>
            <wp:anchor distT="0" distB="0" distL="114300" distR="114300" simplePos="0" relativeHeight="251736064" behindDoc="0" locked="0" layoutInCell="1" allowOverlap="1" wp14:anchorId="084741B9" wp14:editId="0F12AFF1">
              <wp:simplePos x="0" y="0"/>
              <wp:positionH relativeFrom="page">
                <wp:posOffset>914400</wp:posOffset>
              </wp:positionH>
              <wp:positionV relativeFrom="page">
                <wp:posOffset>9601200</wp:posOffset>
              </wp:positionV>
              <wp:extent cx="3657600" cy="18288"/>
              <wp:effectExtent l="0" t="0" r="0" b="0"/>
              <wp:wrapNone/>
              <wp:docPr id="174652646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E86F0B" id="docshape10" o:spid="_x0000_s1026" style="position:absolute;margin-left:1in;margin-top:756pt;width:4in;height:1.4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" fillcolor="black [3213]" stroked="f">
              <w10:wrap anchorx="page" anchory="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2960"/>
    </w:tblGrid>
    <w:tr w:rsidR="00884B2E" w:rsidRPr="00707166" w14:paraId="066E8822" w14:textId="77777777" w:rsidTr="00793B97">
      <w:tc>
        <w:tcPr>
          <w:tcW w:w="5000" w:type="pct"/>
          <w:tcMar>
            <w:left w:w="0" w:type="dxa"/>
            <w:right w:w="0" w:type="dxa"/>
          </w:tcMar>
          <w:vAlign w:val="center"/>
        </w:tcPr>
        <w:p w14:paraId="312F80D7" w14:textId="2E30DF93" w:rsidR="00884B2E" w:rsidRPr="00707166" w:rsidRDefault="00884B2E" w:rsidP="00EC114D">
          <w:pPr>
            <w:spacing w:after="0"/>
            <w:jc w:val="right"/>
            <w:rPr>
              <w:sz w:val="18"/>
              <w:szCs w:val="20"/>
            </w:rPr>
          </w:pPr>
          <w:r w:rsidRPr="00707166">
            <w:rPr>
              <w:sz w:val="18"/>
              <w:szCs w:val="20"/>
            </w:rPr>
            <w:t>IHS Dental Clinic Manager’s Handbook</w:t>
          </w:r>
        </w:p>
      </w:tc>
    </w:tr>
  </w:tbl>
  <w:p w14:paraId="0151404F" w14:textId="23FDCB71" w:rsidR="007D2D4A" w:rsidRPr="00081245" w:rsidRDefault="006D4C19" w:rsidP="00081245">
    <w:pPr>
      <w:pStyle w:val="Footer"/>
    </w:pPr>
    <w:r w:rsidRPr="000C2F63">
      <w:rPr>
        <w:noProof/>
        <w:sz w:val="18"/>
        <w:szCs w:val="18"/>
      </w:rPr>
      <mc:AlternateContent>
        <mc:Choice Requires="wps">
          <w:drawing>
            <wp:anchor distT="0" distB="0" distL="114300" distR="114300" simplePos="0" relativeHeight="251725824" behindDoc="0" locked="0" layoutInCell="1" allowOverlap="1" wp14:anchorId="5A727B00" wp14:editId="0E4677FF">
              <wp:simplePos x="0" y="0"/>
              <wp:positionH relativeFrom="page">
                <wp:posOffset>914400</wp:posOffset>
              </wp:positionH>
              <wp:positionV relativeFrom="page">
                <wp:posOffset>7315200</wp:posOffset>
              </wp:positionV>
              <wp:extent cx="3657600" cy="18288"/>
              <wp:effectExtent l="0" t="0" r="0" b="0"/>
              <wp:wrapNone/>
              <wp:docPr id="45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D52F21" id="docshape10" o:spid="_x0000_s1026" style="position:absolute;margin-left:1in;margin-top:8in;width:4in;height:1.4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" fillcolor="black [3213]" stroked="f">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2960"/>
    </w:tblGrid>
    <w:tr w:rsidR="00884B2E" w:rsidRPr="00707166" w14:paraId="05552BCA" w14:textId="77777777" w:rsidTr="006D4C19">
      <w:tc>
        <w:tcPr>
          <w:tcW w:w="5000" w:type="pct"/>
          <w:tcMar>
            <w:left w:w="0" w:type="dxa"/>
            <w:right w:w="0" w:type="dxa"/>
          </w:tcMar>
          <w:vAlign w:val="center"/>
        </w:tcPr>
        <w:p w14:paraId="10A782E4" w14:textId="4C875CBA" w:rsidR="00884B2E" w:rsidRPr="00707166" w:rsidRDefault="00884B2E" w:rsidP="00EC114D">
          <w:pPr>
            <w:spacing w:after="0"/>
            <w:rPr>
              <w:sz w:val="18"/>
              <w:szCs w:val="20"/>
            </w:rPr>
          </w:pPr>
          <w:r w:rsidRPr="00707166">
            <w:rPr>
              <w:sz w:val="18"/>
              <w:szCs w:val="20"/>
            </w:rPr>
            <w:t>IHS Dental Clinic Manager’s Handbook</w:t>
          </w:r>
        </w:p>
      </w:tc>
    </w:tr>
  </w:tbl>
  <w:p w14:paraId="763DB8D2" w14:textId="08A3D01B" w:rsidR="007D2D4A" w:rsidRPr="00707166" w:rsidRDefault="006D4C19" w:rsidP="00707166">
    <w:pPr>
      <w:pStyle w:val="Footer"/>
    </w:pPr>
    <w:r w:rsidRPr="000C2F63">
      <w:rPr>
        <w:noProof/>
        <w:sz w:val="18"/>
        <w:szCs w:val="18"/>
      </w:rPr>
      <mc:AlternateContent>
        <mc:Choice Requires="wps">
          <w:drawing>
            <wp:anchor distT="0" distB="0" distL="114300" distR="114300" simplePos="0" relativeHeight="251727872" behindDoc="0" locked="0" layoutInCell="1" allowOverlap="1" wp14:anchorId="0F7347A5" wp14:editId="40762783">
              <wp:simplePos x="0" y="0"/>
              <wp:positionH relativeFrom="page">
                <wp:posOffset>5486400</wp:posOffset>
              </wp:positionH>
              <wp:positionV relativeFrom="page">
                <wp:posOffset>7315200</wp:posOffset>
              </wp:positionV>
              <wp:extent cx="3657600" cy="18288"/>
              <wp:effectExtent l="0" t="0" r="0" b="0"/>
              <wp:wrapNone/>
              <wp:docPr id="3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734881" id="docshape10" o:spid="_x0000_s1026" style="position:absolute;margin-left:6in;margin-top:8in;width:4in;height:1.4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" fillcolor="black [3213]" stroked="f">
              <w10:wrap anchorx="page" anchory="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360"/>
    </w:tblGrid>
    <w:tr w:rsidR="00793B97" w:rsidRPr="00707166" w14:paraId="43DDBA16" w14:textId="77777777" w:rsidTr="00793B97">
      <w:tc>
        <w:tcPr>
          <w:tcW w:w="5000" w:type="pct"/>
          <w:tcMar>
            <w:left w:w="0" w:type="dxa"/>
            <w:right w:w="0" w:type="dxa"/>
          </w:tcMar>
          <w:vAlign w:val="center"/>
        </w:tcPr>
        <w:p w14:paraId="616D9443" w14:textId="02CE9AB3" w:rsidR="00793B97" w:rsidRPr="00707166" w:rsidRDefault="00793B97" w:rsidP="00BC2ABE">
          <w:pPr>
            <w:spacing w:after="0"/>
            <w:jc w:val="right"/>
            <w:rPr>
              <w:sz w:val="18"/>
              <w:szCs w:val="20"/>
            </w:rPr>
          </w:pPr>
          <w:r w:rsidRPr="00707166">
            <w:rPr>
              <w:sz w:val="18"/>
              <w:szCs w:val="20"/>
            </w:rPr>
            <w:t>IHS Dental Clinic Manager’s Handbook</w:t>
          </w:r>
        </w:p>
      </w:tc>
    </w:tr>
  </w:tbl>
  <w:p w14:paraId="2C38BF7A" w14:textId="4B116E9D" w:rsidR="00793B97" w:rsidRPr="00081245" w:rsidRDefault="005A2F6B" w:rsidP="00081245">
    <w:pPr>
      <w:pStyle w:val="Footer"/>
    </w:pPr>
    <w:r w:rsidRPr="000C2F63">
      <w:rPr>
        <w:noProof/>
        <w:sz w:val="18"/>
        <w:szCs w:val="18"/>
      </w:rPr>
      <mc:AlternateContent>
        <mc:Choice Requires="wps">
          <w:drawing>
            <wp:anchor distT="0" distB="0" distL="114300" distR="114300" simplePos="0" relativeHeight="251729920" behindDoc="0" locked="0" layoutInCell="1" allowOverlap="1" wp14:anchorId="76CD4F9B" wp14:editId="4B35A05D">
              <wp:simplePos x="0" y="0"/>
              <wp:positionH relativeFrom="page">
                <wp:posOffset>914400</wp:posOffset>
              </wp:positionH>
              <wp:positionV relativeFrom="page">
                <wp:posOffset>9601200</wp:posOffset>
              </wp:positionV>
              <wp:extent cx="3657600" cy="18288"/>
              <wp:effectExtent l="0" t="0" r="0" b="0"/>
              <wp:wrapNone/>
              <wp:docPr id="1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DD8714" id="docshape10" o:spid="_x0000_s1026" style="position:absolute;margin-left:1in;margin-top:756pt;width:4in;height:1.4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" fillcolor="black [3213]" stroked="f">
              <w10:wrap anchorx="page" anchory="page"/>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360"/>
    </w:tblGrid>
    <w:tr w:rsidR="00793B97" w:rsidRPr="00707166" w14:paraId="55EB6468" w14:textId="77777777" w:rsidTr="00793B97">
      <w:tc>
        <w:tcPr>
          <w:tcW w:w="5000" w:type="pct"/>
          <w:tcMar>
            <w:left w:w="0" w:type="dxa"/>
            <w:right w:w="0" w:type="dxa"/>
          </w:tcMar>
          <w:vAlign w:val="center"/>
        </w:tcPr>
        <w:p w14:paraId="32933F2D" w14:textId="5D3C4899" w:rsidR="00793B97" w:rsidRPr="00707166" w:rsidRDefault="00793B97" w:rsidP="00BC2ABE">
          <w:pPr>
            <w:spacing w:after="0"/>
            <w:rPr>
              <w:sz w:val="18"/>
              <w:szCs w:val="20"/>
            </w:rPr>
          </w:pPr>
          <w:r w:rsidRPr="00707166">
            <w:rPr>
              <w:sz w:val="18"/>
              <w:szCs w:val="20"/>
            </w:rPr>
            <w:t>IHS Dental Clinic Manager’s Handbook</w:t>
          </w:r>
        </w:p>
      </w:tc>
    </w:tr>
  </w:tbl>
  <w:p w14:paraId="4277D96D" w14:textId="6CB9ED74" w:rsidR="00793B97" w:rsidRPr="00707166" w:rsidRDefault="005A2F6B" w:rsidP="00707166">
    <w:pPr>
      <w:pStyle w:val="Footer"/>
    </w:pPr>
    <w:r w:rsidRPr="000C2F63">
      <w:rPr>
        <w:noProof/>
        <w:sz w:val="18"/>
        <w:szCs w:val="18"/>
      </w:rPr>
      <mc:AlternateContent>
        <mc:Choice Requires="wps">
          <w:drawing>
            <wp:anchor distT="0" distB="0" distL="114300" distR="114300" simplePos="0" relativeHeight="251731968" behindDoc="0" locked="0" layoutInCell="1" allowOverlap="1" wp14:anchorId="33D75F52" wp14:editId="6355E2CE">
              <wp:simplePos x="0" y="0"/>
              <wp:positionH relativeFrom="page">
                <wp:posOffset>3200400</wp:posOffset>
              </wp:positionH>
              <wp:positionV relativeFrom="page">
                <wp:posOffset>9601200</wp:posOffset>
              </wp:positionV>
              <wp:extent cx="3657600" cy="18288"/>
              <wp:effectExtent l="0" t="0" r="0" b="0"/>
              <wp:wrapNone/>
              <wp:docPr id="1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650B67" id="docshape10" o:spid="_x0000_s1026" style="position:absolute;margin-left:252pt;margin-top:756pt;width:4in;height:1.4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" fillcolor="black [3213]"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6C21" w14:textId="77777777" w:rsidR="00AC3C8E" w:rsidRDefault="00AC3C8E">
      <w:pPr>
        <w:spacing w:after="0"/>
      </w:pPr>
      <w:r>
        <w:separator/>
      </w:r>
    </w:p>
  </w:footnote>
  <w:footnote w:type="continuationSeparator" w:id="0">
    <w:p w14:paraId="5E53A446" w14:textId="77777777" w:rsidR="00AC3C8E" w:rsidRDefault="00AC3C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281"/>
      <w:gridCol w:w="359"/>
    </w:tblGrid>
    <w:tr w:rsidR="00EE2AFE" w:rsidRPr="009D5A5E" w14:paraId="6BCC2356" w14:textId="6E8CEF3B" w:rsidTr="00793B97">
      <w:trPr>
        <w:cantSplit/>
        <w:trHeight w:hRule="exact" w:val="720"/>
      </w:trPr>
      <w:tc>
        <w:tcPr>
          <w:tcW w:w="720" w:type="dxa"/>
          <w:vAlign w:val="center"/>
        </w:tcPr>
        <w:p w14:paraId="066EF6B6" w14:textId="0F6F041E" w:rsidR="00EE2AFE" w:rsidRPr="009D5A5E" w:rsidRDefault="00EE2AFE" w:rsidP="00B87558">
          <w:pPr>
            <w:rPr>
              <w:sz w:val="18"/>
              <w:szCs w:val="20"/>
            </w:rPr>
          </w:pPr>
          <w:r w:rsidRPr="009D5A5E">
            <w:rPr>
              <w:noProof/>
              <w:sz w:val="18"/>
              <w:szCs w:val="20"/>
            </w:rPr>
            <w:drawing>
              <wp:inline distT="0" distB="0" distL="0" distR="0" wp14:anchorId="7657CDF4" wp14:editId="21850CD8">
                <wp:extent cx="4572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7200" cy="457200"/>
                        </a:xfrm>
                        <a:prstGeom prst="rect">
                          <a:avLst/>
                        </a:prstGeom>
                      </pic:spPr>
                    </pic:pic>
                  </a:graphicData>
                </a:graphic>
              </wp:inline>
            </w:drawing>
          </w:r>
        </w:p>
      </w:tc>
      <w:tc>
        <w:tcPr>
          <w:tcW w:w="8281" w:type="dxa"/>
          <w:vAlign w:val="center"/>
        </w:tcPr>
        <w:p w14:paraId="69FB612E" w14:textId="206BD6A6" w:rsidR="00EE2AFE" w:rsidRPr="00637642" w:rsidRDefault="00EE2AFE" w:rsidP="00EE2AFE">
          <w:pPr>
            <w:spacing w:after="0"/>
            <w:jc w:val="right"/>
            <w:rPr>
              <w:sz w:val="18"/>
              <w:szCs w:val="20"/>
            </w:rPr>
          </w:pPr>
          <w:r w:rsidRPr="00637642">
            <w:rPr>
              <w:sz w:val="18"/>
              <w:szCs w:val="20"/>
            </w:rPr>
            <w:t>Contents</w:t>
          </w:r>
        </w:p>
      </w:tc>
      <w:tc>
        <w:tcPr>
          <w:tcW w:w="359" w:type="dxa"/>
          <w:vAlign w:val="center"/>
        </w:tcPr>
        <w:p w14:paraId="2FC28DCA" w14:textId="76351E08" w:rsidR="00EE2AFE" w:rsidRPr="009D5A5E" w:rsidRDefault="00EE2AFE" w:rsidP="00EE2AFE">
          <w:pPr>
            <w:spacing w:after="0"/>
            <w:jc w:val="right"/>
            <w:rPr>
              <w:b/>
              <w:bCs/>
              <w:sz w:val="18"/>
              <w:szCs w:val="20"/>
            </w:rPr>
          </w:pPr>
          <w:r w:rsidRPr="009D5A5E">
            <w:rPr>
              <w:b/>
              <w:bCs/>
              <w:sz w:val="18"/>
              <w:szCs w:val="20"/>
            </w:rPr>
            <w:fldChar w:fldCharType="begin"/>
          </w:r>
          <w:r w:rsidRPr="009D5A5E">
            <w:rPr>
              <w:b/>
              <w:bCs/>
              <w:sz w:val="18"/>
              <w:szCs w:val="20"/>
            </w:rPr>
            <w:instrText xml:space="preserve"> PAGE   \* MERGEFORMAT </w:instrText>
          </w:r>
          <w:r w:rsidRPr="009D5A5E">
            <w:rPr>
              <w:b/>
              <w:bCs/>
              <w:sz w:val="18"/>
              <w:szCs w:val="20"/>
            </w:rPr>
            <w:fldChar w:fldCharType="separate"/>
          </w:r>
          <w:r w:rsidRPr="009D5A5E">
            <w:rPr>
              <w:b/>
              <w:bCs/>
              <w:noProof/>
              <w:sz w:val="18"/>
              <w:szCs w:val="20"/>
            </w:rPr>
            <w:t>1</w:t>
          </w:r>
          <w:r w:rsidRPr="009D5A5E">
            <w:rPr>
              <w:b/>
              <w:bCs/>
              <w:noProof/>
              <w:sz w:val="18"/>
              <w:szCs w:val="20"/>
            </w:rPr>
            <w:fldChar w:fldCharType="end"/>
          </w:r>
        </w:p>
      </w:tc>
    </w:tr>
  </w:tbl>
  <w:p w14:paraId="1E414468" w14:textId="13D13491" w:rsidR="00B87558" w:rsidRDefault="00FE171B">
    <w:pPr>
      <w:pStyle w:val="Header"/>
    </w:pPr>
    <w:r w:rsidRPr="000C2F63">
      <w:rPr>
        <w:noProof/>
        <w:sz w:val="18"/>
        <w:szCs w:val="18"/>
      </w:rPr>
      <mc:AlternateContent>
        <mc:Choice Requires="wps">
          <w:drawing>
            <wp:anchor distT="0" distB="0" distL="114300" distR="114300" simplePos="0" relativeHeight="251701248" behindDoc="0" locked="0" layoutInCell="1" allowOverlap="1" wp14:anchorId="5BDA6BED" wp14:editId="02C03FDE">
              <wp:simplePos x="0" y="0"/>
              <wp:positionH relativeFrom="page">
                <wp:posOffset>1600200</wp:posOffset>
              </wp:positionH>
              <wp:positionV relativeFrom="page">
                <wp:posOffset>457200</wp:posOffset>
              </wp:positionV>
              <wp:extent cx="2971800" cy="18288"/>
              <wp:effectExtent l="0" t="0" r="0" b="0"/>
              <wp:wrapNone/>
              <wp:docPr id="4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E2F9B2" id="docshape10" o:spid="_x0000_s1026" style="position:absolute;margin-left:126pt;margin-top:36pt;width:234pt;height:1.4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" fillcolor="black [3213]" stroked="f">
              <w10:wrap anchorx="page" anchory="page"/>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720"/>
      <w:gridCol w:w="7919"/>
      <w:gridCol w:w="721"/>
    </w:tblGrid>
    <w:tr w:rsidR="00793B97" w:rsidRPr="008E6BF9" w14:paraId="431289D3" w14:textId="77777777" w:rsidTr="006D4C19">
      <w:trPr>
        <w:cantSplit/>
        <w:trHeight w:hRule="exact" w:val="720"/>
      </w:trPr>
      <w:tc>
        <w:tcPr>
          <w:tcW w:w="720" w:type="dxa"/>
          <w:vAlign w:val="center"/>
        </w:tcPr>
        <w:p w14:paraId="32C0DDEB" w14:textId="1B4202B3" w:rsidR="00793B97" w:rsidRPr="008E6BF9" w:rsidRDefault="00BC2ABE" w:rsidP="00884B2E">
          <w:pPr>
            <w:spacing w:after="0"/>
            <w:rPr>
              <w:noProof/>
              <w:sz w:val="18"/>
              <w:szCs w:val="20"/>
            </w:rPr>
          </w:pPr>
          <w:r w:rsidRPr="009D5A5E">
            <w:rPr>
              <w:noProof/>
              <w:sz w:val="18"/>
              <w:szCs w:val="20"/>
            </w:rPr>
            <w:drawing>
              <wp:inline distT="0" distB="0" distL="0" distR="0" wp14:anchorId="4E6E5E19" wp14:editId="7B1CD373">
                <wp:extent cx="457200" cy="457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7200" cy="457200"/>
                        </a:xfrm>
                        <a:prstGeom prst="rect">
                          <a:avLst/>
                        </a:prstGeom>
                      </pic:spPr>
                    </pic:pic>
                  </a:graphicData>
                </a:graphic>
              </wp:inline>
            </w:drawing>
          </w:r>
        </w:p>
      </w:tc>
      <w:tc>
        <w:tcPr>
          <w:tcW w:w="0" w:type="auto"/>
          <w:vAlign w:val="center"/>
        </w:tcPr>
        <w:p w14:paraId="2C0E4289" w14:textId="77777777" w:rsidR="00793B97" w:rsidRPr="006D4C19" w:rsidRDefault="00793B97" w:rsidP="00884B2E">
          <w:pPr>
            <w:spacing w:after="0"/>
            <w:jc w:val="center"/>
            <w:rPr>
              <w:noProof/>
              <w:sz w:val="18"/>
              <w:szCs w:val="20"/>
            </w:rPr>
          </w:pPr>
          <w:r w:rsidRPr="006D4C19">
            <w:rPr>
              <w:noProof/>
              <w:sz w:val="18"/>
              <w:szCs w:val="18"/>
            </w:rPr>
            <mc:AlternateContent>
              <mc:Choice Requires="wps">
                <w:drawing>
                  <wp:inline distT="0" distB="0" distL="0" distR="0" wp14:anchorId="1AF686B7" wp14:editId="7E9ACA22">
                    <wp:extent cx="1371600" cy="18288"/>
                    <wp:effectExtent l="0" t="0" r="0" b="0"/>
                    <wp:docPr id="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33F2E1C7"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r w:rsidRPr="006D4C19">
            <w:rPr>
              <w:sz w:val="18"/>
              <w:szCs w:val="18"/>
            </w:rPr>
            <w:t xml:space="preserve">     </w:t>
          </w:r>
          <w:hyperlink w:anchor="Contents_Page" w:history="1">
            <w:r w:rsidRPr="006D4C19">
              <w:rPr>
                <w:rStyle w:val="Hyperlink"/>
                <w:color w:val="1F4E79" w:themeColor="accent1" w:themeShade="80"/>
                <w:sz w:val="18"/>
                <w:szCs w:val="18"/>
              </w:rPr>
              <w:t>Return to Contents Page</w:t>
            </w:r>
          </w:hyperlink>
          <w:r w:rsidRPr="006D4C19">
            <w:rPr>
              <w:rStyle w:val="Hyperlink"/>
              <w:color w:val="1F4E79" w:themeColor="accent1" w:themeShade="80"/>
              <w:sz w:val="18"/>
              <w:szCs w:val="18"/>
              <w:u w:val="none"/>
            </w:rPr>
            <w:t xml:space="preserve">     </w:t>
          </w:r>
          <w:r w:rsidRPr="006D4C19">
            <w:rPr>
              <w:noProof/>
              <w:sz w:val="18"/>
              <w:szCs w:val="18"/>
            </w:rPr>
            <mc:AlternateContent>
              <mc:Choice Requires="wps">
                <w:drawing>
                  <wp:inline distT="0" distB="0" distL="0" distR="0" wp14:anchorId="13496846" wp14:editId="02320AE4">
                    <wp:extent cx="1371600" cy="18288"/>
                    <wp:effectExtent l="0" t="0" r="0" b="0"/>
                    <wp:docPr id="1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03CDDDB4"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p>
      </w:tc>
      <w:tc>
        <w:tcPr>
          <w:tcW w:w="721" w:type="dxa"/>
          <w:vAlign w:val="center"/>
        </w:tcPr>
        <w:p w14:paraId="3A1B4428" w14:textId="5FA6351F" w:rsidR="00793B97" w:rsidRPr="008E6BF9" w:rsidRDefault="00BC2ABE" w:rsidP="00884B2E">
          <w:pPr>
            <w:spacing w:after="0"/>
            <w:jc w:val="right"/>
            <w:rPr>
              <w:sz w:val="18"/>
              <w:szCs w:val="20"/>
            </w:rPr>
          </w:pPr>
          <w:r w:rsidRPr="008E6BF9">
            <w:rPr>
              <w:b/>
              <w:bCs/>
              <w:sz w:val="18"/>
              <w:szCs w:val="20"/>
            </w:rPr>
            <w:fldChar w:fldCharType="begin"/>
          </w:r>
          <w:r w:rsidRPr="008E6BF9">
            <w:rPr>
              <w:b/>
              <w:bCs/>
              <w:sz w:val="18"/>
              <w:szCs w:val="20"/>
            </w:rPr>
            <w:instrText xml:space="preserve"> PAGE   \* MERGEFORMAT </w:instrText>
          </w:r>
          <w:r w:rsidRPr="008E6BF9">
            <w:rPr>
              <w:b/>
              <w:bCs/>
              <w:sz w:val="18"/>
              <w:szCs w:val="20"/>
            </w:rPr>
            <w:fldChar w:fldCharType="separate"/>
          </w:r>
          <w:r>
            <w:rPr>
              <w:b/>
              <w:bCs/>
              <w:sz w:val="18"/>
              <w:szCs w:val="20"/>
            </w:rPr>
            <w:t>62</w:t>
          </w:r>
          <w:r w:rsidRPr="008E6BF9">
            <w:rPr>
              <w:b/>
              <w:bCs/>
              <w:noProof/>
              <w:sz w:val="18"/>
              <w:szCs w:val="20"/>
            </w:rPr>
            <w:fldChar w:fldCharType="end"/>
          </w:r>
        </w:p>
      </w:tc>
    </w:tr>
  </w:tbl>
  <w:p w14:paraId="393E2E95" w14:textId="77777777" w:rsidR="00793B97" w:rsidRDefault="00793B9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7920"/>
      <w:gridCol w:w="720"/>
    </w:tblGrid>
    <w:tr w:rsidR="00793B97" w:rsidRPr="008E6BF9" w14:paraId="6B1ABD8A" w14:textId="77777777" w:rsidTr="006D4C19">
      <w:trPr>
        <w:trHeight w:hRule="exact" w:val="720"/>
      </w:trPr>
      <w:tc>
        <w:tcPr>
          <w:tcW w:w="720" w:type="dxa"/>
          <w:tcBorders>
            <w:right w:val="nil"/>
          </w:tcBorders>
          <w:vAlign w:val="center"/>
        </w:tcPr>
        <w:p w14:paraId="2A8151EB" w14:textId="5515FE49" w:rsidR="00793B97" w:rsidRPr="008E6BF9" w:rsidRDefault="00BC2ABE" w:rsidP="00884B2E">
          <w:pPr>
            <w:spacing w:after="0"/>
            <w:rPr>
              <w:noProof/>
              <w:sz w:val="18"/>
              <w:szCs w:val="20"/>
            </w:rPr>
          </w:pPr>
          <w:r w:rsidRPr="008E6BF9">
            <w:rPr>
              <w:b/>
              <w:bCs/>
              <w:sz w:val="18"/>
              <w:szCs w:val="20"/>
            </w:rPr>
            <w:fldChar w:fldCharType="begin"/>
          </w:r>
          <w:r w:rsidRPr="008E6BF9">
            <w:rPr>
              <w:b/>
              <w:bCs/>
              <w:sz w:val="18"/>
              <w:szCs w:val="20"/>
            </w:rPr>
            <w:instrText xml:space="preserve"> PAGE   \* MERGEFORMAT </w:instrText>
          </w:r>
          <w:r w:rsidRPr="008E6BF9">
            <w:rPr>
              <w:b/>
              <w:bCs/>
              <w:sz w:val="18"/>
              <w:szCs w:val="20"/>
            </w:rPr>
            <w:fldChar w:fldCharType="separate"/>
          </w:r>
          <w:r>
            <w:rPr>
              <w:b/>
              <w:bCs/>
              <w:sz w:val="18"/>
              <w:szCs w:val="20"/>
            </w:rPr>
            <w:t>63</w:t>
          </w:r>
          <w:r w:rsidRPr="008E6BF9">
            <w:rPr>
              <w:b/>
              <w:bCs/>
              <w:noProof/>
              <w:sz w:val="18"/>
              <w:szCs w:val="20"/>
            </w:rPr>
            <w:fldChar w:fldCharType="end"/>
          </w:r>
        </w:p>
      </w:tc>
      <w:tc>
        <w:tcPr>
          <w:tcW w:w="0" w:type="auto"/>
          <w:tcBorders>
            <w:top w:val="nil"/>
            <w:left w:val="nil"/>
            <w:bottom w:val="nil"/>
            <w:right w:val="nil"/>
          </w:tcBorders>
          <w:vAlign w:val="center"/>
        </w:tcPr>
        <w:p w14:paraId="3E3063FC" w14:textId="77777777" w:rsidR="00793B97" w:rsidRPr="006D4C19" w:rsidRDefault="00793B97" w:rsidP="00884B2E">
          <w:pPr>
            <w:spacing w:after="0"/>
            <w:jc w:val="center"/>
            <w:rPr>
              <w:noProof/>
              <w:sz w:val="18"/>
              <w:szCs w:val="20"/>
            </w:rPr>
          </w:pPr>
          <w:r w:rsidRPr="006D4C19">
            <w:rPr>
              <w:noProof/>
              <w:sz w:val="18"/>
              <w:szCs w:val="18"/>
            </w:rPr>
            <mc:AlternateContent>
              <mc:Choice Requires="wps">
                <w:drawing>
                  <wp:inline distT="0" distB="0" distL="0" distR="0" wp14:anchorId="4A8C9FC9" wp14:editId="0FDABB90">
                    <wp:extent cx="1371600" cy="18288"/>
                    <wp:effectExtent l="0" t="0" r="0" b="0"/>
                    <wp:docPr id="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6D738A63"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r w:rsidRPr="006D4C19">
            <w:rPr>
              <w:sz w:val="18"/>
              <w:szCs w:val="18"/>
            </w:rPr>
            <w:t xml:space="preserve">     </w:t>
          </w:r>
          <w:hyperlink w:anchor="Contents_Page" w:history="1">
            <w:r w:rsidRPr="006D4C19">
              <w:rPr>
                <w:rStyle w:val="Hyperlink"/>
                <w:color w:val="1F4E79" w:themeColor="accent1" w:themeShade="80"/>
                <w:sz w:val="18"/>
                <w:szCs w:val="18"/>
              </w:rPr>
              <w:t>Return to Contents Page</w:t>
            </w:r>
          </w:hyperlink>
          <w:r w:rsidRPr="006D4C19">
            <w:rPr>
              <w:rStyle w:val="Hyperlink"/>
              <w:color w:val="1F4E79" w:themeColor="accent1" w:themeShade="80"/>
              <w:sz w:val="18"/>
              <w:szCs w:val="18"/>
              <w:u w:val="none"/>
            </w:rPr>
            <w:t xml:space="preserve">     </w:t>
          </w:r>
          <w:r w:rsidRPr="006D4C19">
            <w:rPr>
              <w:noProof/>
              <w:sz w:val="18"/>
              <w:szCs w:val="18"/>
            </w:rPr>
            <mc:AlternateContent>
              <mc:Choice Requires="wps">
                <w:drawing>
                  <wp:inline distT="0" distB="0" distL="0" distR="0" wp14:anchorId="555A391C" wp14:editId="014DD10D">
                    <wp:extent cx="1371600" cy="18288"/>
                    <wp:effectExtent l="0" t="0" r="0" b="0"/>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76783229"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p>
      </w:tc>
      <w:tc>
        <w:tcPr>
          <w:tcW w:w="720" w:type="dxa"/>
          <w:tcBorders>
            <w:left w:val="nil"/>
          </w:tcBorders>
          <w:vAlign w:val="center"/>
        </w:tcPr>
        <w:p w14:paraId="61789C8D" w14:textId="0BF84883" w:rsidR="00793B97" w:rsidRPr="008E6BF9" w:rsidRDefault="00BC2ABE" w:rsidP="00884B2E">
          <w:pPr>
            <w:spacing w:after="0"/>
            <w:jc w:val="right"/>
            <w:rPr>
              <w:sz w:val="18"/>
              <w:szCs w:val="20"/>
            </w:rPr>
          </w:pPr>
          <w:r w:rsidRPr="009D5A5E">
            <w:rPr>
              <w:noProof/>
              <w:sz w:val="18"/>
              <w:szCs w:val="20"/>
            </w:rPr>
            <w:drawing>
              <wp:inline distT="0" distB="0" distL="0" distR="0" wp14:anchorId="4F02848F" wp14:editId="2EA439EB">
                <wp:extent cx="457200" cy="457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7200" cy="457200"/>
                        </a:xfrm>
                        <a:prstGeom prst="rect">
                          <a:avLst/>
                        </a:prstGeom>
                      </pic:spPr>
                    </pic:pic>
                  </a:graphicData>
                </a:graphic>
              </wp:inline>
            </w:drawing>
          </w:r>
        </w:p>
      </w:tc>
    </w:tr>
  </w:tbl>
  <w:p w14:paraId="7BE63BAF" w14:textId="77777777" w:rsidR="00793B97" w:rsidRPr="000C2F63" w:rsidRDefault="00793B97" w:rsidP="000C2F63">
    <w:pPr>
      <w:spacing w:after="0"/>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60"/>
      <w:gridCol w:w="8280"/>
      <w:gridCol w:w="720"/>
    </w:tblGrid>
    <w:tr w:rsidR="00637642" w:rsidRPr="009D5A5E" w14:paraId="0929B42F" w14:textId="77777777" w:rsidTr="005A2F6B">
      <w:trPr>
        <w:cantSplit/>
        <w:trHeight w:hRule="exact" w:val="720"/>
      </w:trPr>
      <w:tc>
        <w:tcPr>
          <w:tcW w:w="360" w:type="dxa"/>
          <w:vAlign w:val="center"/>
        </w:tcPr>
        <w:p w14:paraId="73514063" w14:textId="0D3BE06D" w:rsidR="00637642" w:rsidRPr="009D5A5E" w:rsidRDefault="005A2F6B" w:rsidP="005A2F6B">
          <w:pPr>
            <w:spacing w:after="0"/>
            <w:rPr>
              <w:sz w:val="18"/>
              <w:szCs w:val="20"/>
            </w:rPr>
          </w:pPr>
          <w:r w:rsidRPr="009D5A5E">
            <w:rPr>
              <w:b/>
              <w:bCs/>
              <w:sz w:val="18"/>
              <w:szCs w:val="20"/>
            </w:rPr>
            <w:fldChar w:fldCharType="begin"/>
          </w:r>
          <w:r w:rsidRPr="009D5A5E">
            <w:rPr>
              <w:b/>
              <w:bCs/>
              <w:sz w:val="18"/>
              <w:szCs w:val="20"/>
            </w:rPr>
            <w:instrText xml:space="preserve"> PAGE   \* MERGEFORMAT </w:instrText>
          </w:r>
          <w:r w:rsidRPr="009D5A5E">
            <w:rPr>
              <w:b/>
              <w:bCs/>
              <w:sz w:val="18"/>
              <w:szCs w:val="20"/>
            </w:rPr>
            <w:fldChar w:fldCharType="separate"/>
          </w:r>
          <w:r>
            <w:rPr>
              <w:b/>
              <w:bCs/>
              <w:sz w:val="18"/>
              <w:szCs w:val="20"/>
            </w:rPr>
            <w:t>ii</w:t>
          </w:r>
          <w:r w:rsidRPr="009D5A5E">
            <w:rPr>
              <w:b/>
              <w:bCs/>
              <w:noProof/>
              <w:sz w:val="18"/>
              <w:szCs w:val="20"/>
            </w:rPr>
            <w:fldChar w:fldCharType="end"/>
          </w:r>
        </w:p>
      </w:tc>
      <w:tc>
        <w:tcPr>
          <w:tcW w:w="8281" w:type="dxa"/>
          <w:vAlign w:val="center"/>
        </w:tcPr>
        <w:p w14:paraId="0F1FFA4C" w14:textId="77777777" w:rsidR="00637642" w:rsidRPr="00637642" w:rsidRDefault="00637642" w:rsidP="005A2F6B">
          <w:pPr>
            <w:spacing w:after="0"/>
            <w:rPr>
              <w:sz w:val="18"/>
              <w:szCs w:val="20"/>
            </w:rPr>
          </w:pPr>
          <w:r w:rsidRPr="00637642">
            <w:rPr>
              <w:sz w:val="18"/>
              <w:szCs w:val="20"/>
            </w:rPr>
            <w:t>Contents</w:t>
          </w:r>
        </w:p>
      </w:tc>
      <w:tc>
        <w:tcPr>
          <w:tcW w:w="720" w:type="dxa"/>
          <w:vAlign w:val="center"/>
        </w:tcPr>
        <w:p w14:paraId="58D1F17A" w14:textId="03B750A0" w:rsidR="00637642" w:rsidRPr="009D5A5E" w:rsidRDefault="005A2F6B" w:rsidP="00EE2AFE">
          <w:pPr>
            <w:spacing w:after="0"/>
            <w:jc w:val="right"/>
            <w:rPr>
              <w:b/>
              <w:bCs/>
              <w:sz w:val="18"/>
              <w:szCs w:val="20"/>
            </w:rPr>
          </w:pPr>
          <w:r w:rsidRPr="009D5A5E">
            <w:rPr>
              <w:noProof/>
              <w:sz w:val="18"/>
              <w:szCs w:val="20"/>
            </w:rPr>
            <w:drawing>
              <wp:inline distT="0" distB="0" distL="0" distR="0" wp14:anchorId="2A9CCE50" wp14:editId="5CA391C7">
                <wp:extent cx="457200" cy="457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7200" cy="457200"/>
                        </a:xfrm>
                        <a:prstGeom prst="rect">
                          <a:avLst/>
                        </a:prstGeom>
                      </pic:spPr>
                    </pic:pic>
                  </a:graphicData>
                </a:graphic>
              </wp:inline>
            </w:drawing>
          </w:r>
        </w:p>
      </w:tc>
    </w:tr>
  </w:tbl>
  <w:p w14:paraId="1FF220E7" w14:textId="1E96572C" w:rsidR="00637642" w:rsidRDefault="00637642">
    <w:pPr>
      <w:pStyle w:val="Header"/>
    </w:pPr>
    <w:r w:rsidRPr="000C2F63">
      <w:rPr>
        <w:noProof/>
        <w:sz w:val="18"/>
        <w:szCs w:val="18"/>
      </w:rPr>
      <mc:AlternateContent>
        <mc:Choice Requires="wps">
          <w:drawing>
            <wp:anchor distT="0" distB="0" distL="114300" distR="114300" simplePos="0" relativeHeight="251715584" behindDoc="0" locked="0" layoutInCell="1" allowOverlap="1" wp14:anchorId="6E8E2BE4" wp14:editId="52BD792D">
              <wp:simplePos x="0" y="0"/>
              <wp:positionH relativeFrom="page">
                <wp:posOffset>3200400</wp:posOffset>
              </wp:positionH>
              <wp:positionV relativeFrom="page">
                <wp:posOffset>457200</wp:posOffset>
              </wp:positionV>
              <wp:extent cx="2971800" cy="18288"/>
              <wp:effectExtent l="0" t="0" r="0" b="0"/>
              <wp:wrapNone/>
              <wp:docPr id="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B1D830" id="docshape10" o:spid="_x0000_s1026" style="position:absolute;margin-left:252pt;margin-top:36pt;width:234pt;height:1.4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" fillcolor="black [3213]"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CellMar>
        <w:left w:w="0" w:type="dxa"/>
        <w:right w:w="0" w:type="dxa"/>
      </w:tblCellMar>
      <w:tblLook w:val="04A0" w:firstRow="1" w:lastRow="0" w:firstColumn="1" w:lastColumn="0" w:noHBand="0" w:noVBand="1"/>
    </w:tblPr>
    <w:tblGrid>
      <w:gridCol w:w="720"/>
      <w:gridCol w:w="8280"/>
      <w:gridCol w:w="360"/>
    </w:tblGrid>
    <w:tr w:rsidR="00EE2AFE" w14:paraId="1459747A" w14:textId="77777777" w:rsidTr="00EC114D">
      <w:trPr>
        <w:cantSplit/>
        <w:trHeight w:hRule="exact" w:val="720"/>
      </w:trPr>
      <w:tc>
        <w:tcPr>
          <w:tcW w:w="720" w:type="dxa"/>
          <w:vAlign w:val="center"/>
        </w:tcPr>
        <w:p w14:paraId="7C96C4BE" w14:textId="46EB66A6" w:rsidR="00EE2AFE" w:rsidRPr="00637642" w:rsidRDefault="00EC114D" w:rsidP="00637642">
          <w:pPr>
            <w:spacing w:after="0"/>
            <w:jc w:val="both"/>
            <w:rPr>
              <w:b/>
              <w:bCs/>
            </w:rPr>
          </w:pPr>
          <w:r w:rsidRPr="009D5A5E">
            <w:rPr>
              <w:noProof/>
              <w:sz w:val="18"/>
              <w:szCs w:val="20"/>
            </w:rPr>
            <w:drawing>
              <wp:inline distT="0" distB="0" distL="0" distR="0" wp14:anchorId="4FCDD122" wp14:editId="25DCF599">
                <wp:extent cx="457200" cy="457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7200" cy="457200"/>
                        </a:xfrm>
                        <a:prstGeom prst="rect">
                          <a:avLst/>
                        </a:prstGeom>
                      </pic:spPr>
                    </pic:pic>
                  </a:graphicData>
                </a:graphic>
              </wp:inline>
            </w:drawing>
          </w:r>
        </w:p>
      </w:tc>
      <w:tc>
        <w:tcPr>
          <w:tcW w:w="8280" w:type="dxa"/>
          <w:vAlign w:val="center"/>
        </w:tcPr>
        <w:p w14:paraId="3F06B086" w14:textId="5048AA7D" w:rsidR="00EE2AFE" w:rsidRPr="00637642" w:rsidRDefault="00EE2AFE" w:rsidP="00EC114D">
          <w:pPr>
            <w:spacing w:after="0"/>
            <w:jc w:val="right"/>
            <w:rPr>
              <w:sz w:val="18"/>
              <w:szCs w:val="20"/>
            </w:rPr>
          </w:pPr>
          <w:r w:rsidRPr="00637642">
            <w:rPr>
              <w:sz w:val="18"/>
              <w:szCs w:val="20"/>
            </w:rPr>
            <w:t>Contents</w:t>
          </w:r>
        </w:p>
      </w:tc>
      <w:tc>
        <w:tcPr>
          <w:tcW w:w="360" w:type="dxa"/>
          <w:vAlign w:val="center"/>
        </w:tcPr>
        <w:p w14:paraId="7EAED620" w14:textId="7E4E00C5" w:rsidR="00EE2AFE" w:rsidRPr="00EE2AFE" w:rsidRDefault="00EC114D" w:rsidP="00EE2AFE">
          <w:pPr>
            <w:spacing w:after="0"/>
            <w:jc w:val="right"/>
            <w:rPr>
              <w:b/>
              <w:bCs/>
              <w:sz w:val="18"/>
              <w:szCs w:val="20"/>
            </w:rPr>
          </w:pPr>
          <w:r w:rsidRPr="00637642">
            <w:rPr>
              <w:b/>
              <w:bCs/>
              <w:sz w:val="18"/>
              <w:szCs w:val="20"/>
            </w:rPr>
            <w:fldChar w:fldCharType="begin"/>
          </w:r>
          <w:r w:rsidRPr="00637642">
            <w:rPr>
              <w:b/>
              <w:bCs/>
              <w:sz w:val="18"/>
              <w:szCs w:val="20"/>
            </w:rPr>
            <w:instrText xml:space="preserve"> PAGE   \* MERGEFORMAT </w:instrText>
          </w:r>
          <w:r w:rsidRPr="00637642">
            <w:rPr>
              <w:b/>
              <w:bCs/>
              <w:sz w:val="18"/>
              <w:szCs w:val="20"/>
            </w:rPr>
            <w:fldChar w:fldCharType="separate"/>
          </w:r>
          <w:r>
            <w:rPr>
              <w:b/>
              <w:bCs/>
              <w:sz w:val="18"/>
              <w:szCs w:val="20"/>
            </w:rPr>
            <w:t>iii</w:t>
          </w:r>
          <w:r w:rsidRPr="00637642">
            <w:rPr>
              <w:b/>
              <w:bCs/>
              <w:noProof/>
              <w:sz w:val="18"/>
              <w:szCs w:val="20"/>
            </w:rPr>
            <w:fldChar w:fldCharType="end"/>
          </w:r>
        </w:p>
      </w:tc>
    </w:tr>
  </w:tbl>
  <w:p w14:paraId="2195D6D8" w14:textId="7694BEA9" w:rsidR="00EE2AFE" w:rsidRPr="00B6486F" w:rsidRDefault="00637642" w:rsidP="00B6486F">
    <w:pPr>
      <w:spacing w:after="0"/>
      <w:rPr>
        <w:szCs w:val="22"/>
      </w:rPr>
    </w:pPr>
    <w:r w:rsidRPr="000C2F63">
      <w:rPr>
        <w:noProof/>
        <w:sz w:val="18"/>
        <w:szCs w:val="18"/>
      </w:rPr>
      <mc:AlternateContent>
        <mc:Choice Requires="wps">
          <w:drawing>
            <wp:anchor distT="0" distB="0" distL="114300" distR="114300" simplePos="0" relativeHeight="251717632" behindDoc="0" locked="0" layoutInCell="1" allowOverlap="1" wp14:anchorId="6159C359" wp14:editId="26194A59">
              <wp:simplePos x="0" y="0"/>
              <wp:positionH relativeFrom="page">
                <wp:posOffset>1600200</wp:posOffset>
              </wp:positionH>
              <wp:positionV relativeFrom="page">
                <wp:posOffset>457200</wp:posOffset>
              </wp:positionV>
              <wp:extent cx="2971800" cy="18288"/>
              <wp:effectExtent l="0" t="0" r="0" b="0"/>
              <wp:wrapNone/>
              <wp:docPr id="1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F4F948" id="docshape10" o:spid="_x0000_s1026" style="position:absolute;margin-left:126pt;margin-top:36pt;width:234pt;height:1.4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" fillcolor="black [3213]"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CellMar>
        <w:left w:w="0" w:type="dxa"/>
        <w:right w:w="0" w:type="dxa"/>
      </w:tblCellMar>
      <w:tblLook w:val="04A0" w:firstRow="1" w:lastRow="0" w:firstColumn="1" w:lastColumn="0" w:noHBand="0" w:noVBand="1"/>
    </w:tblPr>
    <w:tblGrid>
      <w:gridCol w:w="4859"/>
      <w:gridCol w:w="4141"/>
      <w:gridCol w:w="360"/>
    </w:tblGrid>
    <w:tr w:rsidR="00756235" w14:paraId="2A55A0C6" w14:textId="67D62C9B" w:rsidTr="00756235">
      <w:trPr>
        <w:cantSplit/>
        <w:trHeight w:hRule="exact" w:val="720"/>
      </w:trPr>
      <w:tc>
        <w:tcPr>
          <w:tcW w:w="0" w:type="auto"/>
          <w:vAlign w:val="center"/>
        </w:tcPr>
        <w:p w14:paraId="7EF09AA1" w14:textId="17A49BAD" w:rsidR="00756235" w:rsidRDefault="00756235" w:rsidP="00B6486F">
          <w:pPr>
            <w:spacing w:after="0"/>
          </w:pPr>
          <w:r w:rsidRPr="003B19D0">
            <w:rPr>
              <w:noProof/>
              <w:sz w:val="18"/>
              <w:szCs w:val="20"/>
            </w:rPr>
            <mc:AlternateContent>
              <mc:Choice Requires="wps">
                <w:drawing>
                  <wp:anchor distT="0" distB="0" distL="114300" distR="114300" simplePos="0" relativeHeight="251691008" behindDoc="0" locked="0" layoutInCell="1" allowOverlap="1" wp14:anchorId="32059E94" wp14:editId="5D43CCA9">
                    <wp:simplePos x="0" y="0"/>
                    <wp:positionH relativeFrom="page">
                      <wp:posOffset>534670</wp:posOffset>
                    </wp:positionH>
                    <wp:positionV relativeFrom="page">
                      <wp:posOffset>224790</wp:posOffset>
                    </wp:positionV>
                    <wp:extent cx="3200400" cy="17780"/>
                    <wp:effectExtent l="0" t="0" r="0" b="0"/>
                    <wp:wrapNone/>
                    <wp:docPr id="2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7780"/>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23B4E1" id="docshape10" o:spid="_x0000_s1026" style="position:absolute;margin-left:42.1pt;margin-top:17.7pt;width:252pt;height:1.4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" fillcolor="black [3213]" stroked="f">
                    <w10:wrap anchorx="page" anchory="page"/>
                  </v:rect>
                </w:pict>
              </mc:Fallback>
            </mc:AlternateContent>
          </w:r>
          <w:r>
            <w:rPr>
              <w:noProof/>
            </w:rPr>
            <w:drawing>
              <wp:inline distT="0" distB="0" distL="0" distR="0" wp14:anchorId="7439700B" wp14:editId="5C492D7F">
                <wp:extent cx="457200" cy="457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7200" cy="457200"/>
                        </a:xfrm>
                        <a:prstGeom prst="rect">
                          <a:avLst/>
                        </a:prstGeom>
                      </pic:spPr>
                    </pic:pic>
                  </a:graphicData>
                </a:graphic>
              </wp:inline>
            </w:drawing>
          </w:r>
        </w:p>
      </w:tc>
      <w:tc>
        <w:tcPr>
          <w:tcW w:w="4141" w:type="dxa"/>
          <w:vAlign w:val="center"/>
        </w:tcPr>
        <w:p w14:paraId="6F6900EE" w14:textId="02569B32" w:rsidR="00756235" w:rsidRPr="003B19D0" w:rsidRDefault="00756235" w:rsidP="00B6486F">
          <w:pPr>
            <w:spacing w:after="0"/>
            <w:jc w:val="right"/>
            <w:rPr>
              <w:sz w:val="18"/>
              <w:szCs w:val="20"/>
            </w:rPr>
          </w:pPr>
          <w:r>
            <w:rPr>
              <w:sz w:val="18"/>
              <w:szCs w:val="20"/>
            </w:rPr>
            <w:t>Abstract</w:t>
          </w:r>
        </w:p>
      </w:tc>
      <w:tc>
        <w:tcPr>
          <w:tcW w:w="360" w:type="dxa"/>
          <w:vAlign w:val="center"/>
        </w:tcPr>
        <w:p w14:paraId="1E7A1BB0" w14:textId="77AFFAEF" w:rsidR="00756235" w:rsidRDefault="00756235" w:rsidP="00756235">
          <w:pPr>
            <w:spacing w:after="0"/>
            <w:jc w:val="right"/>
            <w:rPr>
              <w:sz w:val="18"/>
              <w:szCs w:val="20"/>
            </w:rPr>
          </w:pPr>
          <w:r w:rsidRPr="00756235">
            <w:rPr>
              <w:sz w:val="18"/>
              <w:szCs w:val="20"/>
            </w:rPr>
            <w:fldChar w:fldCharType="begin"/>
          </w:r>
          <w:r w:rsidRPr="00756235">
            <w:rPr>
              <w:sz w:val="18"/>
              <w:szCs w:val="20"/>
            </w:rPr>
            <w:instrText xml:space="preserve"> PAGE   \* MERGEFORMAT </w:instrText>
          </w:r>
          <w:r w:rsidRPr="00756235">
            <w:rPr>
              <w:sz w:val="18"/>
              <w:szCs w:val="20"/>
            </w:rPr>
            <w:fldChar w:fldCharType="separate"/>
          </w:r>
          <w:r w:rsidRPr="00756235">
            <w:rPr>
              <w:noProof/>
              <w:sz w:val="18"/>
              <w:szCs w:val="20"/>
            </w:rPr>
            <w:t>1</w:t>
          </w:r>
          <w:r w:rsidRPr="00756235">
            <w:rPr>
              <w:noProof/>
              <w:sz w:val="18"/>
              <w:szCs w:val="20"/>
            </w:rPr>
            <w:fldChar w:fldCharType="end"/>
          </w:r>
        </w:p>
      </w:tc>
    </w:tr>
  </w:tbl>
  <w:p w14:paraId="761EC809" w14:textId="57A400D2" w:rsidR="00B87558" w:rsidRDefault="00B87558" w:rsidP="004044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720"/>
      <w:gridCol w:w="7919"/>
      <w:gridCol w:w="721"/>
    </w:tblGrid>
    <w:tr w:rsidR="00840615" w:rsidRPr="008E6BF9" w14:paraId="55261F1F" w14:textId="77777777" w:rsidTr="00C22C2A">
      <w:trPr>
        <w:cantSplit/>
        <w:trHeight w:hRule="exact" w:val="720"/>
      </w:trPr>
      <w:tc>
        <w:tcPr>
          <w:tcW w:w="720" w:type="dxa"/>
          <w:vAlign w:val="center"/>
        </w:tcPr>
        <w:p w14:paraId="5B2FD095" w14:textId="7CAE27DE" w:rsidR="00875D0D" w:rsidRPr="00C22C2A" w:rsidRDefault="00EC114D" w:rsidP="00875D0D">
          <w:pPr>
            <w:spacing w:after="0"/>
            <w:rPr>
              <w:noProof/>
              <w:sz w:val="18"/>
              <w:szCs w:val="20"/>
            </w:rPr>
          </w:pPr>
          <w:r w:rsidRPr="008E6BF9">
            <w:rPr>
              <w:b/>
              <w:bCs/>
              <w:sz w:val="18"/>
              <w:szCs w:val="20"/>
            </w:rPr>
            <w:fldChar w:fldCharType="begin"/>
          </w:r>
          <w:r w:rsidRPr="008E6BF9">
            <w:rPr>
              <w:b/>
              <w:bCs/>
              <w:sz w:val="18"/>
              <w:szCs w:val="20"/>
            </w:rPr>
            <w:instrText xml:space="preserve"> PAGE   \* MERGEFORMAT </w:instrText>
          </w:r>
          <w:r w:rsidRPr="008E6BF9">
            <w:rPr>
              <w:b/>
              <w:bCs/>
              <w:sz w:val="18"/>
              <w:szCs w:val="20"/>
            </w:rPr>
            <w:fldChar w:fldCharType="separate"/>
          </w:r>
          <w:r>
            <w:rPr>
              <w:b/>
              <w:bCs/>
              <w:sz w:val="18"/>
              <w:szCs w:val="20"/>
            </w:rPr>
            <w:t>1</w:t>
          </w:r>
          <w:r w:rsidRPr="008E6BF9">
            <w:rPr>
              <w:b/>
              <w:bCs/>
              <w:noProof/>
              <w:sz w:val="18"/>
              <w:szCs w:val="20"/>
            </w:rPr>
            <w:fldChar w:fldCharType="end"/>
          </w:r>
        </w:p>
      </w:tc>
      <w:tc>
        <w:tcPr>
          <w:tcW w:w="0" w:type="auto"/>
          <w:vAlign w:val="center"/>
        </w:tcPr>
        <w:p w14:paraId="5461D904" w14:textId="256A2A58" w:rsidR="00875D0D" w:rsidRPr="006D4C19" w:rsidRDefault="00425458" w:rsidP="00840615">
          <w:pPr>
            <w:spacing w:after="0"/>
            <w:jc w:val="center"/>
            <w:rPr>
              <w:noProof/>
              <w:sz w:val="18"/>
              <w:szCs w:val="20"/>
            </w:rPr>
          </w:pPr>
          <w:r w:rsidRPr="006D4C19">
            <w:rPr>
              <w:noProof/>
              <w:sz w:val="18"/>
              <w:szCs w:val="18"/>
            </w:rPr>
            <mc:AlternateContent>
              <mc:Choice Requires="wps">
                <w:drawing>
                  <wp:inline distT="0" distB="0" distL="0" distR="0" wp14:anchorId="38D324BF" wp14:editId="05A02F6C">
                    <wp:extent cx="1371600" cy="18288"/>
                    <wp:effectExtent l="0" t="0" r="0" b="0"/>
                    <wp:docPr id="5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643840D8"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r w:rsidRPr="006D4C19">
            <w:rPr>
              <w:sz w:val="18"/>
              <w:szCs w:val="18"/>
            </w:rPr>
            <w:t xml:space="preserve">     </w:t>
          </w:r>
          <w:hyperlink w:anchor="Contents_Page" w:history="1">
            <w:r w:rsidR="00875D0D" w:rsidRPr="006D4C19">
              <w:rPr>
                <w:rStyle w:val="Hyperlink"/>
                <w:color w:val="1F4E79" w:themeColor="accent1" w:themeShade="80"/>
                <w:sz w:val="18"/>
                <w:szCs w:val="18"/>
              </w:rPr>
              <w:t>Return to Contents Page</w:t>
            </w:r>
          </w:hyperlink>
          <w:r w:rsidRPr="006D4C19">
            <w:rPr>
              <w:rStyle w:val="Hyperlink"/>
              <w:color w:val="1F4E79" w:themeColor="accent1" w:themeShade="80"/>
              <w:sz w:val="18"/>
              <w:szCs w:val="18"/>
              <w:u w:val="none"/>
            </w:rPr>
            <w:t xml:space="preserve">     </w:t>
          </w:r>
          <w:r w:rsidRPr="006D4C19">
            <w:rPr>
              <w:noProof/>
              <w:sz w:val="18"/>
              <w:szCs w:val="18"/>
            </w:rPr>
            <mc:AlternateContent>
              <mc:Choice Requires="wps">
                <w:drawing>
                  <wp:inline distT="0" distB="0" distL="0" distR="0" wp14:anchorId="0F4B0521" wp14:editId="267C323E">
                    <wp:extent cx="1371600" cy="18288"/>
                    <wp:effectExtent l="0" t="0" r="0" b="0"/>
                    <wp:docPr id="6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70BD1C32"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p>
      </w:tc>
      <w:tc>
        <w:tcPr>
          <w:tcW w:w="721" w:type="dxa"/>
          <w:vAlign w:val="center"/>
        </w:tcPr>
        <w:p w14:paraId="48CF5614" w14:textId="71C8FE38" w:rsidR="00875D0D" w:rsidRPr="008E6BF9" w:rsidRDefault="00EC114D" w:rsidP="00875D0D">
          <w:pPr>
            <w:spacing w:after="0"/>
            <w:jc w:val="right"/>
            <w:rPr>
              <w:sz w:val="18"/>
              <w:szCs w:val="20"/>
            </w:rPr>
          </w:pPr>
          <w:r w:rsidRPr="009D5A5E">
            <w:rPr>
              <w:noProof/>
              <w:sz w:val="18"/>
              <w:szCs w:val="20"/>
            </w:rPr>
            <w:drawing>
              <wp:inline distT="0" distB="0" distL="0" distR="0" wp14:anchorId="46CD90B2" wp14:editId="5734DB4C">
                <wp:extent cx="457200" cy="457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7200" cy="457200"/>
                        </a:xfrm>
                        <a:prstGeom prst="rect">
                          <a:avLst/>
                        </a:prstGeom>
                      </pic:spPr>
                    </pic:pic>
                  </a:graphicData>
                </a:graphic>
              </wp:inline>
            </w:drawing>
          </w:r>
        </w:p>
      </w:tc>
    </w:tr>
  </w:tbl>
  <w:p w14:paraId="790EF67C" w14:textId="04524D2D" w:rsidR="009B344D" w:rsidRPr="008E6BF9" w:rsidRDefault="009B344D" w:rsidP="008E6BF9">
    <w:pPr>
      <w:spacing w:after="0"/>
      <w:rPr>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CellMar>
        <w:left w:w="0" w:type="dxa"/>
        <w:right w:w="0" w:type="dxa"/>
      </w:tblCellMar>
      <w:tblLook w:val="04A0" w:firstRow="1" w:lastRow="0" w:firstColumn="1" w:lastColumn="0" w:noHBand="0" w:noVBand="1"/>
    </w:tblPr>
    <w:tblGrid>
      <w:gridCol w:w="720"/>
      <w:gridCol w:w="7920"/>
      <w:gridCol w:w="720"/>
    </w:tblGrid>
    <w:tr w:rsidR="00AE36C6" w14:paraId="11E6EDE7" w14:textId="77777777" w:rsidTr="00B36E3D">
      <w:trPr>
        <w:cantSplit/>
        <w:trHeight w:hRule="exact" w:val="720"/>
      </w:trPr>
      <w:tc>
        <w:tcPr>
          <w:tcW w:w="720" w:type="dxa"/>
          <w:vAlign w:val="center"/>
        </w:tcPr>
        <w:p w14:paraId="131C0E94" w14:textId="7A5B8DD9" w:rsidR="00AE36C6" w:rsidRDefault="00AE36C6" w:rsidP="00B6486F">
          <w:pPr>
            <w:spacing w:after="0"/>
          </w:pPr>
          <w:r>
            <w:rPr>
              <w:noProof/>
            </w:rPr>
            <w:drawing>
              <wp:inline distT="0" distB="0" distL="0" distR="0" wp14:anchorId="328F0E3A" wp14:editId="255DB259">
                <wp:extent cx="457200" cy="457200"/>
                <wp:effectExtent l="0" t="0" r="0" b="0"/>
                <wp:docPr id="1350368582" name="Picture 1350368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7200" cy="457200"/>
                        </a:xfrm>
                        <a:prstGeom prst="rect">
                          <a:avLst/>
                        </a:prstGeom>
                      </pic:spPr>
                    </pic:pic>
                  </a:graphicData>
                </a:graphic>
              </wp:inline>
            </w:drawing>
          </w:r>
        </w:p>
      </w:tc>
      <w:tc>
        <w:tcPr>
          <w:tcW w:w="0" w:type="auto"/>
          <w:vAlign w:val="center"/>
        </w:tcPr>
        <w:p w14:paraId="3667F7B1" w14:textId="6519752E" w:rsidR="00AE36C6" w:rsidRPr="003B19D0" w:rsidRDefault="00B36E3D" w:rsidP="00B36E3D">
          <w:pPr>
            <w:spacing w:after="0"/>
            <w:jc w:val="center"/>
            <w:rPr>
              <w:sz w:val="18"/>
              <w:szCs w:val="20"/>
            </w:rPr>
          </w:pPr>
          <w:r w:rsidRPr="006D4C19">
            <w:rPr>
              <w:noProof/>
              <w:sz w:val="18"/>
              <w:szCs w:val="18"/>
            </w:rPr>
            <mc:AlternateContent>
              <mc:Choice Requires="wps">
                <w:drawing>
                  <wp:inline distT="0" distB="0" distL="0" distR="0" wp14:anchorId="1CB156C8" wp14:editId="5A5AEDCD">
                    <wp:extent cx="1371600" cy="18288"/>
                    <wp:effectExtent l="0" t="0" r="0" b="0"/>
                    <wp:docPr id="111782839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3633F10E"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r w:rsidRPr="006D4C19">
            <w:rPr>
              <w:sz w:val="18"/>
              <w:szCs w:val="18"/>
            </w:rPr>
            <w:t xml:space="preserve">     </w:t>
          </w:r>
          <w:hyperlink w:anchor="Contents_Page" w:history="1">
            <w:r w:rsidRPr="006D4C19">
              <w:rPr>
                <w:rStyle w:val="Hyperlink"/>
                <w:color w:val="1F4E79" w:themeColor="accent1" w:themeShade="80"/>
                <w:sz w:val="18"/>
                <w:szCs w:val="18"/>
              </w:rPr>
              <w:t>Return to Contents Page</w:t>
            </w:r>
          </w:hyperlink>
          <w:r w:rsidRPr="006D4C19">
            <w:rPr>
              <w:rStyle w:val="Hyperlink"/>
              <w:color w:val="1F4E79" w:themeColor="accent1" w:themeShade="80"/>
              <w:sz w:val="18"/>
              <w:szCs w:val="18"/>
              <w:u w:val="none"/>
            </w:rPr>
            <w:t xml:space="preserve">     </w:t>
          </w:r>
          <w:r w:rsidRPr="006D4C19">
            <w:rPr>
              <w:noProof/>
              <w:sz w:val="18"/>
              <w:szCs w:val="18"/>
            </w:rPr>
            <mc:AlternateContent>
              <mc:Choice Requires="wps">
                <w:drawing>
                  <wp:inline distT="0" distB="0" distL="0" distR="0" wp14:anchorId="6D61C5AF" wp14:editId="5AE9C036">
                    <wp:extent cx="1371600" cy="18288"/>
                    <wp:effectExtent l="0" t="0" r="0" b="0"/>
                    <wp:docPr id="156000289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3470E5DA"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p>
      </w:tc>
      <w:tc>
        <w:tcPr>
          <w:tcW w:w="720" w:type="dxa"/>
          <w:vAlign w:val="center"/>
        </w:tcPr>
        <w:p w14:paraId="4D96166B" w14:textId="77777777" w:rsidR="00AE36C6" w:rsidRDefault="00AE36C6" w:rsidP="00756235">
          <w:pPr>
            <w:spacing w:after="0"/>
            <w:jc w:val="right"/>
            <w:rPr>
              <w:sz w:val="18"/>
              <w:szCs w:val="20"/>
            </w:rPr>
          </w:pPr>
          <w:r w:rsidRPr="00756235">
            <w:rPr>
              <w:sz w:val="18"/>
              <w:szCs w:val="20"/>
            </w:rPr>
            <w:fldChar w:fldCharType="begin"/>
          </w:r>
          <w:r w:rsidRPr="00756235">
            <w:rPr>
              <w:sz w:val="18"/>
              <w:szCs w:val="20"/>
            </w:rPr>
            <w:instrText xml:space="preserve"> PAGE   \* MERGEFORMAT </w:instrText>
          </w:r>
          <w:r w:rsidRPr="00756235">
            <w:rPr>
              <w:sz w:val="18"/>
              <w:szCs w:val="20"/>
            </w:rPr>
            <w:fldChar w:fldCharType="separate"/>
          </w:r>
          <w:r w:rsidRPr="00756235">
            <w:rPr>
              <w:noProof/>
              <w:sz w:val="18"/>
              <w:szCs w:val="20"/>
            </w:rPr>
            <w:t>1</w:t>
          </w:r>
          <w:r w:rsidRPr="00756235">
            <w:rPr>
              <w:noProof/>
              <w:sz w:val="18"/>
              <w:szCs w:val="20"/>
            </w:rPr>
            <w:fldChar w:fldCharType="end"/>
          </w:r>
        </w:p>
      </w:tc>
    </w:tr>
  </w:tbl>
  <w:p w14:paraId="63416107" w14:textId="77777777" w:rsidR="00AE36C6" w:rsidRDefault="00AE36C6" w:rsidP="004044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720"/>
      <w:gridCol w:w="7919"/>
      <w:gridCol w:w="721"/>
    </w:tblGrid>
    <w:tr w:rsidR="00E065B7" w:rsidRPr="008E6BF9" w14:paraId="3A1DDE49" w14:textId="77777777" w:rsidTr="00C22C2A">
      <w:trPr>
        <w:cantSplit/>
        <w:trHeight w:hRule="exact" w:val="720"/>
      </w:trPr>
      <w:tc>
        <w:tcPr>
          <w:tcW w:w="720" w:type="dxa"/>
          <w:vAlign w:val="center"/>
        </w:tcPr>
        <w:p w14:paraId="32B5887D" w14:textId="724D8ACE" w:rsidR="00E065B7" w:rsidRPr="00C22C2A" w:rsidRDefault="00E065B7" w:rsidP="00E065B7">
          <w:pPr>
            <w:spacing w:after="0"/>
            <w:rPr>
              <w:noProof/>
              <w:sz w:val="18"/>
              <w:szCs w:val="20"/>
            </w:rPr>
          </w:pPr>
          <w:r w:rsidRPr="009D5A5E">
            <w:rPr>
              <w:noProof/>
              <w:sz w:val="18"/>
              <w:szCs w:val="20"/>
            </w:rPr>
            <w:drawing>
              <wp:inline distT="0" distB="0" distL="0" distR="0" wp14:anchorId="23D2E697" wp14:editId="6CE4FC1B">
                <wp:extent cx="457200" cy="457200"/>
                <wp:effectExtent l="0" t="0" r="0" b="0"/>
                <wp:docPr id="2133013602" name="Picture 2133013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7200" cy="457200"/>
                        </a:xfrm>
                        <a:prstGeom prst="rect">
                          <a:avLst/>
                        </a:prstGeom>
                      </pic:spPr>
                    </pic:pic>
                  </a:graphicData>
                </a:graphic>
              </wp:inline>
            </w:drawing>
          </w:r>
        </w:p>
      </w:tc>
      <w:tc>
        <w:tcPr>
          <w:tcW w:w="0" w:type="auto"/>
          <w:vAlign w:val="center"/>
        </w:tcPr>
        <w:p w14:paraId="794203FD" w14:textId="3834CD9C" w:rsidR="00E065B7" w:rsidRPr="006D4C19" w:rsidRDefault="00E065B7" w:rsidP="00E065B7">
          <w:pPr>
            <w:spacing w:after="0"/>
            <w:jc w:val="center"/>
            <w:rPr>
              <w:noProof/>
              <w:sz w:val="18"/>
              <w:szCs w:val="20"/>
            </w:rPr>
          </w:pPr>
        </w:p>
      </w:tc>
      <w:tc>
        <w:tcPr>
          <w:tcW w:w="721" w:type="dxa"/>
          <w:vAlign w:val="center"/>
        </w:tcPr>
        <w:p w14:paraId="74A00648" w14:textId="4AA3B541" w:rsidR="00E065B7" w:rsidRPr="008E6BF9" w:rsidRDefault="00AE36C6" w:rsidP="00E065B7">
          <w:pPr>
            <w:spacing w:after="0"/>
            <w:jc w:val="right"/>
            <w:rPr>
              <w:sz w:val="18"/>
              <w:szCs w:val="20"/>
            </w:rPr>
          </w:pPr>
          <w:r w:rsidRPr="00AE36C6">
            <w:rPr>
              <w:sz w:val="18"/>
              <w:szCs w:val="20"/>
            </w:rPr>
            <w:fldChar w:fldCharType="begin"/>
          </w:r>
          <w:r w:rsidRPr="00AE36C6">
            <w:rPr>
              <w:sz w:val="18"/>
              <w:szCs w:val="20"/>
            </w:rPr>
            <w:instrText xml:space="preserve"> PAGE   \* MERGEFORMAT </w:instrText>
          </w:r>
          <w:r w:rsidRPr="00AE36C6">
            <w:rPr>
              <w:sz w:val="18"/>
              <w:szCs w:val="20"/>
            </w:rPr>
            <w:fldChar w:fldCharType="separate"/>
          </w:r>
          <w:r w:rsidRPr="00AE36C6">
            <w:rPr>
              <w:noProof/>
              <w:sz w:val="18"/>
              <w:szCs w:val="20"/>
            </w:rPr>
            <w:t>1</w:t>
          </w:r>
          <w:r w:rsidRPr="00AE36C6">
            <w:rPr>
              <w:noProof/>
              <w:sz w:val="18"/>
              <w:szCs w:val="20"/>
            </w:rPr>
            <w:fldChar w:fldCharType="end"/>
          </w:r>
        </w:p>
      </w:tc>
    </w:tr>
  </w:tbl>
  <w:p w14:paraId="26E5602D" w14:textId="77777777" w:rsidR="00E065B7" w:rsidRPr="008E6BF9" w:rsidRDefault="00E065B7" w:rsidP="008E6BF9">
    <w:pPr>
      <w:spacing w:after="0"/>
      <w:rPr>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7919"/>
      <w:gridCol w:w="721"/>
    </w:tblGrid>
    <w:tr w:rsidR="00884B2E" w:rsidRPr="008E6BF9" w14:paraId="5E850508" w14:textId="77777777" w:rsidTr="00793B97">
      <w:trPr>
        <w:cantSplit/>
        <w:trHeight w:hRule="exact" w:val="720"/>
      </w:trPr>
      <w:tc>
        <w:tcPr>
          <w:tcW w:w="720" w:type="dxa"/>
          <w:vAlign w:val="center"/>
        </w:tcPr>
        <w:p w14:paraId="69908BA7" w14:textId="38FE9AFD" w:rsidR="00884B2E" w:rsidRPr="008E6BF9" w:rsidRDefault="00EC114D" w:rsidP="00884B2E">
          <w:pPr>
            <w:spacing w:after="0"/>
            <w:rPr>
              <w:noProof/>
              <w:sz w:val="18"/>
              <w:szCs w:val="20"/>
            </w:rPr>
          </w:pPr>
          <w:r w:rsidRPr="009D5A5E">
            <w:rPr>
              <w:noProof/>
              <w:sz w:val="18"/>
              <w:szCs w:val="20"/>
            </w:rPr>
            <w:drawing>
              <wp:inline distT="0" distB="0" distL="0" distR="0" wp14:anchorId="1A8CB6CD" wp14:editId="234D969D">
                <wp:extent cx="45720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7200" cy="457200"/>
                        </a:xfrm>
                        <a:prstGeom prst="rect">
                          <a:avLst/>
                        </a:prstGeom>
                      </pic:spPr>
                    </pic:pic>
                  </a:graphicData>
                </a:graphic>
              </wp:inline>
            </w:drawing>
          </w:r>
        </w:p>
      </w:tc>
      <w:tc>
        <w:tcPr>
          <w:tcW w:w="0" w:type="auto"/>
          <w:vAlign w:val="center"/>
        </w:tcPr>
        <w:p w14:paraId="694A760F" w14:textId="77777777" w:rsidR="00884B2E" w:rsidRPr="006D4C19" w:rsidRDefault="00884B2E" w:rsidP="00884B2E">
          <w:pPr>
            <w:spacing w:after="0"/>
            <w:jc w:val="center"/>
            <w:rPr>
              <w:noProof/>
              <w:sz w:val="18"/>
              <w:szCs w:val="20"/>
            </w:rPr>
          </w:pPr>
          <w:r w:rsidRPr="006D4C19">
            <w:rPr>
              <w:noProof/>
              <w:sz w:val="18"/>
              <w:szCs w:val="18"/>
            </w:rPr>
            <mc:AlternateContent>
              <mc:Choice Requires="wps">
                <w:drawing>
                  <wp:inline distT="0" distB="0" distL="0" distR="0" wp14:anchorId="01F28333" wp14:editId="4F9FEA6F">
                    <wp:extent cx="1371600" cy="18288"/>
                    <wp:effectExtent l="0" t="0" r="0" b="0"/>
                    <wp:docPr id="44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5EA161CD"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r w:rsidRPr="006D4C19">
            <w:rPr>
              <w:sz w:val="18"/>
              <w:szCs w:val="18"/>
            </w:rPr>
            <w:t xml:space="preserve">     </w:t>
          </w:r>
          <w:hyperlink w:anchor="Contents_Page" w:history="1">
            <w:r w:rsidRPr="006D4C19">
              <w:rPr>
                <w:rStyle w:val="Hyperlink"/>
                <w:color w:val="1F4E79" w:themeColor="accent1" w:themeShade="80"/>
                <w:sz w:val="18"/>
                <w:szCs w:val="18"/>
              </w:rPr>
              <w:t>Return to Contents Page</w:t>
            </w:r>
          </w:hyperlink>
          <w:r w:rsidRPr="006D4C19">
            <w:rPr>
              <w:rStyle w:val="Hyperlink"/>
              <w:color w:val="1F4E79" w:themeColor="accent1" w:themeShade="80"/>
              <w:sz w:val="18"/>
              <w:szCs w:val="18"/>
              <w:u w:val="none"/>
            </w:rPr>
            <w:t xml:space="preserve">     </w:t>
          </w:r>
          <w:r w:rsidRPr="006D4C19">
            <w:rPr>
              <w:noProof/>
              <w:sz w:val="18"/>
              <w:szCs w:val="18"/>
            </w:rPr>
            <mc:AlternateContent>
              <mc:Choice Requires="wps">
                <w:drawing>
                  <wp:inline distT="0" distB="0" distL="0" distR="0" wp14:anchorId="44F172ED" wp14:editId="7DD2CD54">
                    <wp:extent cx="1371600" cy="18288"/>
                    <wp:effectExtent l="0" t="0" r="0" b="0"/>
                    <wp:docPr id="45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57CA6BB1"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p>
      </w:tc>
      <w:tc>
        <w:tcPr>
          <w:tcW w:w="721" w:type="dxa"/>
          <w:vAlign w:val="center"/>
        </w:tcPr>
        <w:p w14:paraId="68A008F8" w14:textId="05BBBCCF" w:rsidR="00884B2E" w:rsidRPr="008E6BF9" w:rsidRDefault="00EC114D" w:rsidP="00884B2E">
          <w:pPr>
            <w:spacing w:after="0"/>
            <w:jc w:val="right"/>
            <w:rPr>
              <w:sz w:val="18"/>
              <w:szCs w:val="20"/>
            </w:rPr>
          </w:pPr>
          <w:r w:rsidRPr="008E6BF9">
            <w:rPr>
              <w:b/>
              <w:bCs/>
              <w:sz w:val="18"/>
              <w:szCs w:val="20"/>
            </w:rPr>
            <w:fldChar w:fldCharType="begin"/>
          </w:r>
          <w:r w:rsidRPr="008E6BF9">
            <w:rPr>
              <w:b/>
              <w:bCs/>
              <w:sz w:val="18"/>
              <w:szCs w:val="20"/>
            </w:rPr>
            <w:instrText xml:space="preserve"> PAGE   \* MERGEFORMAT </w:instrText>
          </w:r>
          <w:r w:rsidRPr="008E6BF9">
            <w:rPr>
              <w:b/>
              <w:bCs/>
              <w:sz w:val="18"/>
              <w:szCs w:val="20"/>
            </w:rPr>
            <w:fldChar w:fldCharType="separate"/>
          </w:r>
          <w:r>
            <w:rPr>
              <w:b/>
              <w:bCs/>
              <w:sz w:val="18"/>
              <w:szCs w:val="20"/>
            </w:rPr>
            <w:t>2</w:t>
          </w:r>
          <w:r w:rsidRPr="008E6BF9">
            <w:rPr>
              <w:b/>
              <w:bCs/>
              <w:noProof/>
              <w:sz w:val="18"/>
              <w:szCs w:val="20"/>
            </w:rPr>
            <w:fldChar w:fldCharType="end"/>
          </w:r>
        </w:p>
      </w:tc>
    </w:tr>
  </w:tbl>
  <w:p w14:paraId="0C5EF98A" w14:textId="16D77253" w:rsidR="001603B6" w:rsidRDefault="001603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11520"/>
      <w:gridCol w:w="720"/>
    </w:tblGrid>
    <w:tr w:rsidR="00884B2E" w:rsidRPr="008E6BF9" w14:paraId="4BCCE638" w14:textId="77777777" w:rsidTr="006D4C19">
      <w:trPr>
        <w:trHeight w:hRule="exact" w:val="720"/>
      </w:trPr>
      <w:tc>
        <w:tcPr>
          <w:tcW w:w="720" w:type="dxa"/>
          <w:vAlign w:val="center"/>
        </w:tcPr>
        <w:p w14:paraId="6E2F99D9" w14:textId="2E8AC966" w:rsidR="00884B2E" w:rsidRPr="008E6BF9" w:rsidRDefault="00EC114D" w:rsidP="00884B2E">
          <w:pPr>
            <w:spacing w:after="0"/>
            <w:rPr>
              <w:noProof/>
              <w:sz w:val="18"/>
              <w:szCs w:val="20"/>
            </w:rPr>
          </w:pPr>
          <w:r w:rsidRPr="008E6BF9">
            <w:rPr>
              <w:b/>
              <w:bCs/>
              <w:sz w:val="18"/>
              <w:szCs w:val="20"/>
            </w:rPr>
            <w:fldChar w:fldCharType="begin"/>
          </w:r>
          <w:r w:rsidRPr="008E6BF9">
            <w:rPr>
              <w:b/>
              <w:bCs/>
              <w:sz w:val="18"/>
              <w:szCs w:val="20"/>
            </w:rPr>
            <w:instrText xml:space="preserve"> PAGE   \* MERGEFORMAT </w:instrText>
          </w:r>
          <w:r w:rsidRPr="008E6BF9">
            <w:rPr>
              <w:b/>
              <w:bCs/>
              <w:sz w:val="18"/>
              <w:szCs w:val="20"/>
            </w:rPr>
            <w:fldChar w:fldCharType="separate"/>
          </w:r>
          <w:r>
            <w:rPr>
              <w:b/>
              <w:bCs/>
              <w:sz w:val="18"/>
              <w:szCs w:val="20"/>
            </w:rPr>
            <w:t>3</w:t>
          </w:r>
          <w:r w:rsidRPr="008E6BF9">
            <w:rPr>
              <w:b/>
              <w:bCs/>
              <w:noProof/>
              <w:sz w:val="18"/>
              <w:szCs w:val="20"/>
            </w:rPr>
            <w:fldChar w:fldCharType="end"/>
          </w:r>
        </w:p>
      </w:tc>
      <w:tc>
        <w:tcPr>
          <w:tcW w:w="0" w:type="auto"/>
          <w:tcBorders>
            <w:right w:val="nil"/>
          </w:tcBorders>
          <w:vAlign w:val="center"/>
        </w:tcPr>
        <w:p w14:paraId="332E0B46" w14:textId="77777777" w:rsidR="00884B2E" w:rsidRPr="006D4C19" w:rsidRDefault="00884B2E" w:rsidP="00884B2E">
          <w:pPr>
            <w:spacing w:after="0"/>
            <w:jc w:val="center"/>
            <w:rPr>
              <w:noProof/>
              <w:sz w:val="18"/>
              <w:szCs w:val="20"/>
            </w:rPr>
          </w:pPr>
          <w:r w:rsidRPr="006D4C19">
            <w:rPr>
              <w:noProof/>
              <w:sz w:val="18"/>
              <w:szCs w:val="18"/>
            </w:rPr>
            <mc:AlternateContent>
              <mc:Choice Requires="wps">
                <w:drawing>
                  <wp:inline distT="0" distB="0" distL="0" distR="0" wp14:anchorId="0EA8E19E" wp14:editId="7FE413C1">
                    <wp:extent cx="1371600" cy="18288"/>
                    <wp:effectExtent l="0" t="0" r="0" b="0"/>
                    <wp:docPr id="45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797D34DC"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r w:rsidRPr="006D4C19">
            <w:rPr>
              <w:sz w:val="18"/>
              <w:szCs w:val="18"/>
            </w:rPr>
            <w:t xml:space="preserve">     </w:t>
          </w:r>
          <w:hyperlink w:anchor="Contents_Page" w:history="1">
            <w:r w:rsidRPr="006D4C19">
              <w:rPr>
                <w:rStyle w:val="Hyperlink"/>
                <w:color w:val="1F4E79" w:themeColor="accent1" w:themeShade="80"/>
                <w:sz w:val="18"/>
                <w:szCs w:val="18"/>
              </w:rPr>
              <w:t>Return to Contents Page</w:t>
            </w:r>
          </w:hyperlink>
          <w:r w:rsidRPr="006D4C19">
            <w:rPr>
              <w:rStyle w:val="Hyperlink"/>
              <w:color w:val="1F4E79" w:themeColor="accent1" w:themeShade="80"/>
              <w:sz w:val="18"/>
              <w:szCs w:val="18"/>
              <w:u w:val="none"/>
            </w:rPr>
            <w:t xml:space="preserve">     </w:t>
          </w:r>
          <w:r w:rsidRPr="006D4C19">
            <w:rPr>
              <w:noProof/>
              <w:sz w:val="18"/>
              <w:szCs w:val="18"/>
            </w:rPr>
            <mc:AlternateContent>
              <mc:Choice Requires="wps">
                <w:drawing>
                  <wp:inline distT="0" distB="0" distL="0" distR="0" wp14:anchorId="6BD6DD81" wp14:editId="2CFC8A96">
                    <wp:extent cx="1371600" cy="18288"/>
                    <wp:effectExtent l="0" t="0" r="0" b="0"/>
                    <wp:docPr id="45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568EAD2A"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p>
      </w:tc>
      <w:tc>
        <w:tcPr>
          <w:tcW w:w="720" w:type="dxa"/>
          <w:tcBorders>
            <w:top w:val="nil"/>
            <w:left w:val="nil"/>
            <w:bottom w:val="nil"/>
            <w:right w:val="nil"/>
          </w:tcBorders>
          <w:vAlign w:val="center"/>
        </w:tcPr>
        <w:p w14:paraId="08735692" w14:textId="785D9715" w:rsidR="00884B2E" w:rsidRPr="008E6BF9" w:rsidRDefault="00EC114D" w:rsidP="00884B2E">
          <w:pPr>
            <w:spacing w:after="0"/>
            <w:jc w:val="right"/>
            <w:rPr>
              <w:sz w:val="18"/>
              <w:szCs w:val="20"/>
            </w:rPr>
          </w:pPr>
          <w:r w:rsidRPr="009D5A5E">
            <w:rPr>
              <w:noProof/>
              <w:sz w:val="18"/>
              <w:szCs w:val="20"/>
            </w:rPr>
            <w:drawing>
              <wp:inline distT="0" distB="0" distL="0" distR="0" wp14:anchorId="3979ED80" wp14:editId="15991E7F">
                <wp:extent cx="457200" cy="457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7200" cy="457200"/>
                        </a:xfrm>
                        <a:prstGeom prst="rect">
                          <a:avLst/>
                        </a:prstGeom>
                      </pic:spPr>
                    </pic:pic>
                  </a:graphicData>
                </a:graphic>
              </wp:inline>
            </w:drawing>
          </w:r>
        </w:p>
      </w:tc>
    </w:tr>
  </w:tbl>
  <w:p w14:paraId="6010FFDF" w14:textId="60BC2C79" w:rsidR="00D2666D" w:rsidRPr="000C2F63" w:rsidRDefault="00D2666D" w:rsidP="000C2F63">
    <w:pPr>
      <w:spacing w:after="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17E"/>
    <w:multiLevelType w:val="multilevel"/>
    <w:tmpl w:val="1FE4D6C0"/>
    <w:lvl w:ilvl="0">
      <w:start w:val="1"/>
      <w:numFmt w:val="upperLetter"/>
      <w:lvlText w:val="%1."/>
      <w:lvlJc w:val="left"/>
      <w:pPr>
        <w:tabs>
          <w:tab w:val="num" w:pos="720"/>
        </w:tabs>
        <w:ind w:left="720" w:hanging="360"/>
      </w:pPr>
      <w:rPr>
        <w:b/>
        <w:bCs/>
      </w:rPr>
    </w:lvl>
    <w:lvl w:ilvl="1">
      <w:start w:val="1"/>
      <w:numFmt w:val="decimal"/>
      <w:lvlText w:val="%2."/>
      <w:lvlJc w:val="left"/>
      <w:pPr>
        <w:tabs>
          <w:tab w:val="num" w:pos="1440"/>
        </w:tabs>
        <w:ind w:left="1440" w:hanging="360"/>
      </w:pPr>
      <w:rPr>
        <w:b/>
        <w:bCs/>
      </w:rPr>
    </w:lvl>
    <w:lvl w:ilvl="2">
      <w:start w:val="1"/>
      <w:numFmt w:val="lowerLetter"/>
      <w:lvlText w:val="%3."/>
      <w:lvlJc w:val="left"/>
      <w:pPr>
        <w:tabs>
          <w:tab w:val="num" w:pos="2160"/>
        </w:tabs>
        <w:ind w:left="2160" w:hanging="360"/>
      </w:pPr>
      <w:rPr>
        <w:b/>
        <w:bCs/>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0556B41"/>
    <w:multiLevelType w:val="hybridMultilevel"/>
    <w:tmpl w:val="C2D4E714"/>
    <w:lvl w:ilvl="0" w:tplc="B65EA2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946D9"/>
    <w:multiLevelType w:val="hybridMultilevel"/>
    <w:tmpl w:val="48763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50DB0"/>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01CC2B61"/>
    <w:multiLevelType w:val="hybridMultilevel"/>
    <w:tmpl w:val="0482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2C5AA0"/>
    <w:multiLevelType w:val="hybridMultilevel"/>
    <w:tmpl w:val="EE082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A91483"/>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05096978"/>
    <w:multiLevelType w:val="hybridMultilevel"/>
    <w:tmpl w:val="E10E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0B04EC"/>
    <w:multiLevelType w:val="hybridMultilevel"/>
    <w:tmpl w:val="02E42D94"/>
    <w:lvl w:ilvl="0" w:tplc="FFFFFFFF">
      <w:start w:val="1"/>
      <w:numFmt w:val="bullet"/>
      <w:lvlText w:val=""/>
      <w:lvlJc w:val="left"/>
      <w:pPr>
        <w:ind w:left="720" w:hanging="360"/>
      </w:pPr>
      <w:rPr>
        <w:rFonts w:ascii="Symbol" w:hAnsi="Symbol" w:hint="default"/>
        <w:color w:val="auto"/>
      </w:rPr>
    </w:lvl>
    <w:lvl w:ilvl="1" w:tplc="F4A8564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6E23E18"/>
    <w:multiLevelType w:val="hybridMultilevel"/>
    <w:tmpl w:val="C308C0D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82B1D44"/>
    <w:multiLevelType w:val="hybridMultilevel"/>
    <w:tmpl w:val="BF861CF6"/>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DC11CC"/>
    <w:multiLevelType w:val="hybridMultilevel"/>
    <w:tmpl w:val="29F63678"/>
    <w:lvl w:ilvl="0" w:tplc="1938F9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C61AF3"/>
    <w:multiLevelType w:val="multilevel"/>
    <w:tmpl w:val="C4207B90"/>
    <w:lvl w:ilvl="0">
      <w:start w:val="1"/>
      <w:numFmt w:val="upperLetter"/>
      <w:lvlText w:val="%1."/>
      <w:lvlJc w:val="left"/>
      <w:pPr>
        <w:tabs>
          <w:tab w:val="num" w:pos="720"/>
        </w:tabs>
        <w:ind w:left="720" w:hanging="360"/>
      </w:pPr>
      <w:rPr>
        <w:b/>
        <w:bCs/>
      </w:rPr>
    </w:lvl>
    <w:lvl w:ilvl="1">
      <w:start w:val="1"/>
      <w:numFmt w:val="decimal"/>
      <w:lvlText w:val="%2."/>
      <w:lvlJc w:val="left"/>
      <w:pPr>
        <w:tabs>
          <w:tab w:val="num" w:pos="1440"/>
        </w:tabs>
        <w:ind w:left="1440" w:hanging="360"/>
      </w:pPr>
      <w:rPr>
        <w:b/>
        <w:bCs/>
      </w:rPr>
    </w:lvl>
    <w:lvl w:ilvl="2">
      <w:start w:val="1"/>
      <w:numFmt w:val="lowerLetter"/>
      <w:lvlText w:val="%3."/>
      <w:lvlJc w:val="left"/>
      <w:pPr>
        <w:tabs>
          <w:tab w:val="num" w:pos="2160"/>
        </w:tabs>
        <w:ind w:left="2160" w:hanging="360"/>
      </w:pPr>
      <w:rPr>
        <w:b/>
        <w:bCs/>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09FC2D36"/>
    <w:multiLevelType w:val="hybridMultilevel"/>
    <w:tmpl w:val="462A2CB0"/>
    <w:lvl w:ilvl="0" w:tplc="B65EA26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152D8"/>
    <w:multiLevelType w:val="hybridMultilevel"/>
    <w:tmpl w:val="BDEA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172001"/>
    <w:multiLevelType w:val="hybridMultilevel"/>
    <w:tmpl w:val="507AC6EC"/>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1F25DD"/>
    <w:multiLevelType w:val="multilevel"/>
    <w:tmpl w:val="790C350A"/>
    <w:lvl w:ilvl="0">
      <w:start w:val="1"/>
      <w:numFmt w:val="bullet"/>
      <w:lvlText w:val=""/>
      <w:lvlJc w:val="left"/>
      <w:pPr>
        <w:ind w:left="-360" w:hanging="360"/>
      </w:pPr>
      <w:rPr>
        <w:rFonts w:ascii="Symbol" w:hAnsi="Symbol" w:hint="default"/>
        <w:u w:val="none"/>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lowerRoman"/>
      <w:lvlText w:val="%4."/>
      <w:lvlJc w:val="right"/>
      <w:pPr>
        <w:ind w:left="1800" w:hanging="360"/>
      </w:pPr>
      <w:rPr>
        <w:b w:val="0"/>
        <w:u w:val="none"/>
      </w:rPr>
    </w:lvl>
    <w:lvl w:ilvl="4">
      <w:start w:val="1"/>
      <w:numFmt w:val="decimal"/>
      <w:lvlText w:val="%5)"/>
      <w:lvlJc w:val="left"/>
      <w:pPr>
        <w:ind w:left="2520" w:hanging="360"/>
      </w:pPr>
      <w:rPr>
        <w:b w:val="0"/>
        <w:u w:val="none"/>
      </w:rPr>
    </w:lvl>
    <w:lvl w:ilvl="5">
      <w:start w:val="1"/>
      <w:numFmt w:val="lowerRoman"/>
      <w:lvlText w:val="%6."/>
      <w:lvlJc w:val="right"/>
      <w:pPr>
        <w:ind w:left="3240" w:hanging="360"/>
      </w:pPr>
      <w:rPr>
        <w:u w:val="none"/>
      </w:rPr>
    </w:lvl>
    <w:lvl w:ilvl="6">
      <w:start w:val="1"/>
      <w:numFmt w:val="decimal"/>
      <w:lvlText w:val="%7."/>
      <w:lvlJc w:val="left"/>
      <w:pPr>
        <w:ind w:left="3960" w:hanging="360"/>
      </w:pPr>
      <w:rPr>
        <w:u w:val="none"/>
      </w:rPr>
    </w:lvl>
    <w:lvl w:ilvl="7">
      <w:start w:val="1"/>
      <w:numFmt w:val="lowerLetter"/>
      <w:lvlText w:val="%8."/>
      <w:lvlJc w:val="left"/>
      <w:pPr>
        <w:ind w:left="4680" w:hanging="360"/>
      </w:pPr>
      <w:rPr>
        <w:u w:val="none"/>
      </w:rPr>
    </w:lvl>
    <w:lvl w:ilvl="8">
      <w:start w:val="1"/>
      <w:numFmt w:val="lowerRoman"/>
      <w:lvlText w:val="%9."/>
      <w:lvlJc w:val="right"/>
      <w:pPr>
        <w:ind w:left="5400" w:hanging="360"/>
      </w:pPr>
      <w:rPr>
        <w:u w:val="none"/>
      </w:rPr>
    </w:lvl>
  </w:abstractNum>
  <w:abstractNum w:abstractNumId="17" w15:restartNumberingAfterBreak="0">
    <w:nsid w:val="0E4E7553"/>
    <w:multiLevelType w:val="hybridMultilevel"/>
    <w:tmpl w:val="B4CE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863D3A"/>
    <w:multiLevelType w:val="hybridMultilevel"/>
    <w:tmpl w:val="BF0CB4F2"/>
    <w:lvl w:ilvl="0" w:tplc="29F2AC78">
      <w:start w:val="1"/>
      <w:numFmt w:val="upperLetter"/>
      <w:lvlText w:val="%1."/>
      <w:lvlJc w:val="left"/>
      <w:pPr>
        <w:tabs>
          <w:tab w:val="num" w:pos="720"/>
        </w:tabs>
        <w:ind w:left="720" w:hanging="360"/>
      </w:pPr>
      <w:rPr>
        <w:b/>
        <w:bCs/>
      </w:rPr>
    </w:lvl>
    <w:lvl w:ilvl="1" w:tplc="2C062B48">
      <w:start w:val="1"/>
      <w:numFmt w:val="decimal"/>
      <w:lvlText w:val="%2."/>
      <w:lvlJc w:val="left"/>
      <w:pPr>
        <w:tabs>
          <w:tab w:val="num" w:pos="1440"/>
        </w:tabs>
        <w:ind w:left="1440" w:hanging="360"/>
      </w:pPr>
      <w:rPr>
        <w:b/>
        <w:bCs/>
      </w:rPr>
    </w:lvl>
    <w:lvl w:ilvl="2" w:tplc="27B0E1F6">
      <w:start w:val="1"/>
      <w:numFmt w:val="lowerLetter"/>
      <w:lvlText w:val="%3."/>
      <w:lvlJc w:val="left"/>
      <w:pPr>
        <w:tabs>
          <w:tab w:val="num" w:pos="2160"/>
        </w:tabs>
        <w:ind w:left="2160" w:hanging="360"/>
      </w:pPr>
      <w:rPr>
        <w:b/>
        <w:bCs/>
      </w:rPr>
    </w:lvl>
    <w:lvl w:ilvl="3" w:tplc="3CA4B61C" w:tentative="1">
      <w:start w:val="1"/>
      <w:numFmt w:val="upperLetter"/>
      <w:lvlText w:val="%4."/>
      <w:lvlJc w:val="left"/>
      <w:pPr>
        <w:tabs>
          <w:tab w:val="num" w:pos="2880"/>
        </w:tabs>
        <w:ind w:left="2880" w:hanging="360"/>
      </w:pPr>
    </w:lvl>
    <w:lvl w:ilvl="4" w:tplc="D548BF88" w:tentative="1">
      <w:start w:val="1"/>
      <w:numFmt w:val="upperLetter"/>
      <w:lvlText w:val="%5."/>
      <w:lvlJc w:val="left"/>
      <w:pPr>
        <w:tabs>
          <w:tab w:val="num" w:pos="3600"/>
        </w:tabs>
        <w:ind w:left="3600" w:hanging="360"/>
      </w:pPr>
    </w:lvl>
    <w:lvl w:ilvl="5" w:tplc="50ECE3C4" w:tentative="1">
      <w:start w:val="1"/>
      <w:numFmt w:val="upperLetter"/>
      <w:lvlText w:val="%6."/>
      <w:lvlJc w:val="left"/>
      <w:pPr>
        <w:tabs>
          <w:tab w:val="num" w:pos="4320"/>
        </w:tabs>
        <w:ind w:left="4320" w:hanging="360"/>
      </w:pPr>
    </w:lvl>
    <w:lvl w:ilvl="6" w:tplc="7138F5EC" w:tentative="1">
      <w:start w:val="1"/>
      <w:numFmt w:val="upperLetter"/>
      <w:lvlText w:val="%7."/>
      <w:lvlJc w:val="left"/>
      <w:pPr>
        <w:tabs>
          <w:tab w:val="num" w:pos="5040"/>
        </w:tabs>
        <w:ind w:left="5040" w:hanging="360"/>
      </w:pPr>
    </w:lvl>
    <w:lvl w:ilvl="7" w:tplc="F7E83C7E" w:tentative="1">
      <w:start w:val="1"/>
      <w:numFmt w:val="upperLetter"/>
      <w:lvlText w:val="%8."/>
      <w:lvlJc w:val="left"/>
      <w:pPr>
        <w:tabs>
          <w:tab w:val="num" w:pos="5760"/>
        </w:tabs>
        <w:ind w:left="5760" w:hanging="360"/>
      </w:pPr>
    </w:lvl>
    <w:lvl w:ilvl="8" w:tplc="254639EE" w:tentative="1">
      <w:start w:val="1"/>
      <w:numFmt w:val="upperLetter"/>
      <w:lvlText w:val="%9."/>
      <w:lvlJc w:val="left"/>
      <w:pPr>
        <w:tabs>
          <w:tab w:val="num" w:pos="6480"/>
        </w:tabs>
        <w:ind w:left="6480" w:hanging="360"/>
      </w:pPr>
    </w:lvl>
  </w:abstractNum>
  <w:abstractNum w:abstractNumId="19" w15:restartNumberingAfterBreak="0">
    <w:nsid w:val="13E32696"/>
    <w:multiLevelType w:val="hybridMultilevel"/>
    <w:tmpl w:val="7DD6FAA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5BF0309"/>
    <w:multiLevelType w:val="hybridMultilevel"/>
    <w:tmpl w:val="54AE1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9D3223"/>
    <w:multiLevelType w:val="hybridMultilevel"/>
    <w:tmpl w:val="0D0018FA"/>
    <w:lvl w:ilvl="0" w:tplc="1C707666">
      <w:start w:val="1"/>
      <w:numFmt w:val="decimal"/>
      <w:lvlText w:val="%1."/>
      <w:lvlJc w:val="left"/>
      <w:pPr>
        <w:ind w:left="1440" w:hanging="360"/>
      </w:pPr>
      <w:rPr>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6E05708"/>
    <w:multiLevelType w:val="hybridMultilevel"/>
    <w:tmpl w:val="2594FCF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73A3D14"/>
    <w:multiLevelType w:val="hybridMultilevel"/>
    <w:tmpl w:val="3AC27D9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75D0592"/>
    <w:multiLevelType w:val="hybridMultilevel"/>
    <w:tmpl w:val="9A982938"/>
    <w:lvl w:ilvl="0" w:tplc="FFFFFFFF">
      <w:start w:val="1"/>
      <w:numFmt w:val="decimal"/>
      <w:lvlText w:val="%1."/>
      <w:lvlJc w:val="left"/>
      <w:pPr>
        <w:ind w:left="720" w:hanging="360"/>
      </w:pPr>
      <w:rPr>
        <w:rFonts w:hint="default"/>
        <w:b/>
      </w:r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775204C"/>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184B2038"/>
    <w:multiLevelType w:val="hybridMultilevel"/>
    <w:tmpl w:val="C3F6351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88441A7"/>
    <w:multiLevelType w:val="hybridMultilevel"/>
    <w:tmpl w:val="0582CFC8"/>
    <w:lvl w:ilvl="0" w:tplc="FFFFFFFF">
      <w:start w:val="1"/>
      <w:numFmt w:val="bullet"/>
      <w:lvlText w:val=""/>
      <w:lvlJc w:val="left"/>
      <w:pPr>
        <w:ind w:left="720" w:hanging="360"/>
      </w:pPr>
      <w:rPr>
        <w:rFonts w:ascii="Symbol" w:hAnsi="Symbol" w:hint="default"/>
        <w:color w:val="auto"/>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9370872"/>
    <w:multiLevelType w:val="hybridMultilevel"/>
    <w:tmpl w:val="530A084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9837D34"/>
    <w:multiLevelType w:val="hybridMultilevel"/>
    <w:tmpl w:val="20E2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4E508B"/>
    <w:multiLevelType w:val="hybridMultilevel"/>
    <w:tmpl w:val="45C6225A"/>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A216D0"/>
    <w:multiLevelType w:val="hybridMultilevel"/>
    <w:tmpl w:val="55B8F7DA"/>
    <w:lvl w:ilvl="0" w:tplc="04090001">
      <w:start w:val="1"/>
      <w:numFmt w:val="bullet"/>
      <w:lvlText w:val=""/>
      <w:lvlJc w:val="left"/>
      <w:pPr>
        <w:ind w:left="720" w:hanging="360"/>
      </w:pPr>
      <w:rPr>
        <w:rFonts w:ascii="Symbol" w:hAnsi="Symbol" w:hint="default"/>
      </w:rPr>
    </w:lvl>
    <w:lvl w:ilvl="1" w:tplc="1C707666">
      <w:start w:val="1"/>
      <w:numFmt w:val="decimal"/>
      <w:lvlText w:val="%2."/>
      <w:lvlJc w:val="left"/>
      <w:pPr>
        <w:ind w:left="1440" w:hanging="360"/>
      </w:pPr>
      <w:rPr>
        <w:b/>
        <w:bCs/>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3940D1"/>
    <w:multiLevelType w:val="hybridMultilevel"/>
    <w:tmpl w:val="8206C30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E6946A4"/>
    <w:multiLevelType w:val="hybridMultilevel"/>
    <w:tmpl w:val="8C3C779C"/>
    <w:lvl w:ilvl="0" w:tplc="9D741852">
      <w:start w:val="6"/>
      <w:numFmt w:val="upperLetter"/>
      <w:lvlText w:val="%1."/>
      <w:lvlJc w:val="left"/>
      <w:pPr>
        <w:ind w:left="720" w:hanging="360"/>
      </w:pPr>
      <w:rPr>
        <w:rFonts w:hint="default"/>
        <w:b/>
        <w:bCs/>
        <w:u w:val="none"/>
      </w:rPr>
    </w:lvl>
    <w:lvl w:ilvl="1" w:tplc="0BF40FD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8E5575"/>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5" w15:restartNumberingAfterBreak="0">
    <w:nsid w:val="1E9E584B"/>
    <w:multiLevelType w:val="hybridMultilevel"/>
    <w:tmpl w:val="A240182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1F7B7908"/>
    <w:multiLevelType w:val="hybridMultilevel"/>
    <w:tmpl w:val="E1E22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0C1C77"/>
    <w:multiLevelType w:val="hybridMultilevel"/>
    <w:tmpl w:val="CFCC6A6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00D49E6"/>
    <w:multiLevelType w:val="hybridMultilevel"/>
    <w:tmpl w:val="64BE6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564B0D"/>
    <w:multiLevelType w:val="hybridMultilevel"/>
    <w:tmpl w:val="06B8FE0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40636DF"/>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1" w15:restartNumberingAfterBreak="0">
    <w:nsid w:val="24087E0B"/>
    <w:multiLevelType w:val="hybridMultilevel"/>
    <w:tmpl w:val="F502125C"/>
    <w:lvl w:ilvl="0" w:tplc="FFFFFFFF">
      <w:start w:val="1"/>
      <w:numFmt w:val="bullet"/>
      <w:lvlText w:val=""/>
      <w:lvlJc w:val="left"/>
      <w:pPr>
        <w:ind w:left="720" w:hanging="360"/>
      </w:pPr>
      <w:rPr>
        <w:rFonts w:ascii="Symbol" w:hAnsi="Symbol" w:hint="default"/>
      </w:rPr>
    </w:lvl>
    <w:lvl w:ilvl="1" w:tplc="443AB1CC">
      <w:start w:val="1"/>
      <w:numFmt w:val="decimal"/>
      <w:lvlText w:val="%2."/>
      <w:lvlJc w:val="left"/>
      <w:pPr>
        <w:ind w:left="720" w:hanging="360"/>
      </w:pPr>
      <w:rPr>
        <w:rFonts w:hint="default"/>
        <w:b/>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4D835DC"/>
    <w:multiLevelType w:val="hybridMultilevel"/>
    <w:tmpl w:val="ED9405FE"/>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B55CF9"/>
    <w:multiLevelType w:val="hybridMultilevel"/>
    <w:tmpl w:val="FC6A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954A2B"/>
    <w:multiLevelType w:val="hybridMultilevel"/>
    <w:tmpl w:val="2894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1C0EC8"/>
    <w:multiLevelType w:val="hybridMultilevel"/>
    <w:tmpl w:val="B5E6E2D6"/>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7605418"/>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7" w15:restartNumberingAfterBreak="0">
    <w:nsid w:val="28BB4389"/>
    <w:multiLevelType w:val="hybridMultilevel"/>
    <w:tmpl w:val="2F262F60"/>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94565A5"/>
    <w:multiLevelType w:val="hybridMultilevel"/>
    <w:tmpl w:val="83C209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2ADD0D5D"/>
    <w:multiLevelType w:val="hybridMultilevel"/>
    <w:tmpl w:val="BFFEEEC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2C60253E"/>
    <w:multiLevelType w:val="hybridMultilevel"/>
    <w:tmpl w:val="FB743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F323CF0"/>
    <w:multiLevelType w:val="hybridMultilevel"/>
    <w:tmpl w:val="874877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2F587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FDC3B63"/>
    <w:multiLevelType w:val="hybridMultilevel"/>
    <w:tmpl w:val="64B26858"/>
    <w:lvl w:ilvl="0" w:tplc="82349F04">
      <w:start w:val="1"/>
      <w:numFmt w:val="decimal"/>
      <w:lvlText w:val="%1."/>
      <w:lvlJc w:val="left"/>
      <w:pPr>
        <w:ind w:left="108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07B25AF"/>
    <w:multiLevelType w:val="hybridMultilevel"/>
    <w:tmpl w:val="684234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08E0173"/>
    <w:multiLevelType w:val="hybridMultilevel"/>
    <w:tmpl w:val="8BB8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D76652"/>
    <w:multiLevelType w:val="hybridMultilevel"/>
    <w:tmpl w:val="6D60674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30E57259"/>
    <w:multiLevelType w:val="hybridMultilevel"/>
    <w:tmpl w:val="5D36582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31B81133"/>
    <w:multiLevelType w:val="hybridMultilevel"/>
    <w:tmpl w:val="268E6D52"/>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576E26"/>
    <w:multiLevelType w:val="hybridMultilevel"/>
    <w:tmpl w:val="5A3E816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32C740DD"/>
    <w:multiLevelType w:val="hybridMultilevel"/>
    <w:tmpl w:val="29D06E6A"/>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AF033F"/>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2" w15:restartNumberingAfterBreak="0">
    <w:nsid w:val="36093F71"/>
    <w:multiLevelType w:val="hybridMultilevel"/>
    <w:tmpl w:val="49D0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68A1910"/>
    <w:multiLevelType w:val="hybridMultilevel"/>
    <w:tmpl w:val="61B4A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7BD04B7"/>
    <w:multiLevelType w:val="hybridMultilevel"/>
    <w:tmpl w:val="456E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7BE4555"/>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6" w15:restartNumberingAfterBreak="0">
    <w:nsid w:val="384852A0"/>
    <w:multiLevelType w:val="hybridMultilevel"/>
    <w:tmpl w:val="1E1A375E"/>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89023EE"/>
    <w:multiLevelType w:val="hybridMultilevel"/>
    <w:tmpl w:val="A386C3AE"/>
    <w:lvl w:ilvl="0" w:tplc="1938F916">
      <w:start w:val="1"/>
      <w:numFmt w:val="bullet"/>
      <w:lvlText w:val=""/>
      <w:lvlJc w:val="left"/>
      <w:pPr>
        <w:ind w:left="720" w:hanging="720"/>
      </w:pPr>
      <w:rPr>
        <w:rFonts w:ascii="Symbol" w:hAnsi="Symbol"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9BF23B1"/>
    <w:multiLevelType w:val="hybridMultilevel"/>
    <w:tmpl w:val="1206CF42"/>
    <w:lvl w:ilvl="0" w:tplc="443AB1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A243366"/>
    <w:multiLevelType w:val="multilevel"/>
    <w:tmpl w:val="6454680C"/>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A45191C"/>
    <w:multiLevelType w:val="hybridMultilevel"/>
    <w:tmpl w:val="05001E7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3B3359BE"/>
    <w:multiLevelType w:val="hybridMultilevel"/>
    <w:tmpl w:val="17601EBA"/>
    <w:lvl w:ilvl="0" w:tplc="82349F04">
      <w:start w:val="1"/>
      <w:numFmt w:val="decimal"/>
      <w:lvlText w:val="%1."/>
      <w:lvlJc w:val="left"/>
      <w:pPr>
        <w:ind w:left="108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C182A8C"/>
    <w:multiLevelType w:val="hybridMultilevel"/>
    <w:tmpl w:val="050054A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C9A1C01"/>
    <w:multiLevelType w:val="hybridMultilevel"/>
    <w:tmpl w:val="806C2BA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3CF37720"/>
    <w:multiLevelType w:val="hybridMultilevel"/>
    <w:tmpl w:val="9050E92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b/>
        <w:bCs/>
        <w:color w:val="auto"/>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3D564729"/>
    <w:multiLevelType w:val="hybridMultilevel"/>
    <w:tmpl w:val="107815C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3DE77C7C"/>
    <w:multiLevelType w:val="hybridMultilevel"/>
    <w:tmpl w:val="E84E936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3F5321D4"/>
    <w:multiLevelType w:val="hybridMultilevel"/>
    <w:tmpl w:val="B5E6E2D6"/>
    <w:lvl w:ilvl="0" w:tplc="443AB1CC">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FBA72CD"/>
    <w:multiLevelType w:val="hybridMultilevel"/>
    <w:tmpl w:val="96D84EC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3FDB6CD4"/>
    <w:multiLevelType w:val="hybridMultilevel"/>
    <w:tmpl w:val="B956C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0454756"/>
    <w:multiLevelType w:val="hybridMultilevel"/>
    <w:tmpl w:val="B4ACBEC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40EA0366"/>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360" w:hanging="360"/>
      </w:pPr>
      <w:rPr>
        <w:b w:val="0"/>
        <w:color w:val="auto"/>
        <w:u w:val="none"/>
      </w:rPr>
    </w:lvl>
    <w:lvl w:ilvl="2">
      <w:start w:val="1"/>
      <w:numFmt w:val="lowerLetter"/>
      <w:lvlText w:val="%3."/>
      <w:lvlJc w:val="left"/>
      <w:pPr>
        <w:ind w:left="1080" w:hanging="360"/>
      </w:pPr>
      <w:rPr>
        <w:strike w:val="0"/>
        <w:u w:val="none"/>
      </w:rPr>
    </w:lvl>
    <w:lvl w:ilvl="3">
      <w:start w:val="1"/>
      <w:numFmt w:val="lowerRoman"/>
      <w:lvlText w:val="%4."/>
      <w:lvlJc w:val="right"/>
      <w:pPr>
        <w:ind w:left="1800" w:hanging="360"/>
      </w:pPr>
      <w:rPr>
        <w:b w:val="0"/>
        <w:u w:val="none"/>
      </w:rPr>
    </w:lvl>
    <w:lvl w:ilvl="4">
      <w:start w:val="1"/>
      <w:numFmt w:val="decimal"/>
      <w:lvlText w:val="%5)"/>
      <w:lvlJc w:val="left"/>
      <w:pPr>
        <w:ind w:left="2520" w:hanging="360"/>
      </w:pPr>
      <w:rPr>
        <w:b w:val="0"/>
        <w:u w:val="none"/>
      </w:rPr>
    </w:lvl>
    <w:lvl w:ilvl="5">
      <w:start w:val="1"/>
      <w:numFmt w:val="lowerRoman"/>
      <w:lvlText w:val="%6."/>
      <w:lvlJc w:val="right"/>
      <w:pPr>
        <w:ind w:left="3240" w:hanging="360"/>
      </w:pPr>
      <w:rPr>
        <w:u w:val="none"/>
      </w:rPr>
    </w:lvl>
    <w:lvl w:ilvl="6">
      <w:start w:val="1"/>
      <w:numFmt w:val="decimal"/>
      <w:lvlText w:val="%7."/>
      <w:lvlJc w:val="left"/>
      <w:pPr>
        <w:ind w:left="3960" w:hanging="360"/>
      </w:pPr>
      <w:rPr>
        <w:u w:val="none"/>
      </w:rPr>
    </w:lvl>
    <w:lvl w:ilvl="7">
      <w:start w:val="1"/>
      <w:numFmt w:val="lowerLetter"/>
      <w:lvlText w:val="%8."/>
      <w:lvlJc w:val="left"/>
      <w:pPr>
        <w:ind w:left="4680" w:hanging="360"/>
      </w:pPr>
      <w:rPr>
        <w:u w:val="none"/>
      </w:rPr>
    </w:lvl>
    <w:lvl w:ilvl="8">
      <w:start w:val="1"/>
      <w:numFmt w:val="lowerRoman"/>
      <w:lvlText w:val="%9."/>
      <w:lvlJc w:val="right"/>
      <w:pPr>
        <w:ind w:left="5400" w:hanging="360"/>
      </w:pPr>
      <w:rPr>
        <w:u w:val="none"/>
      </w:rPr>
    </w:lvl>
  </w:abstractNum>
  <w:abstractNum w:abstractNumId="82" w15:restartNumberingAfterBreak="0">
    <w:nsid w:val="41564126"/>
    <w:multiLevelType w:val="multilevel"/>
    <w:tmpl w:val="BD40EF36"/>
    <w:lvl w:ilvl="0">
      <w:start w:val="1"/>
      <w:numFmt w:val="bullet"/>
      <w:lvlText w:val=""/>
      <w:lvlJc w:val="left"/>
      <w:pPr>
        <w:ind w:left="-360" w:hanging="360"/>
      </w:pPr>
      <w:rPr>
        <w:rFonts w:ascii="Symbol" w:hAnsi="Symbol" w:hint="default"/>
        <w:u w:val="none"/>
      </w:rPr>
    </w:lvl>
    <w:lvl w:ilvl="1">
      <w:start w:val="1"/>
      <w:numFmt w:val="bullet"/>
      <w:lvlText w:val=""/>
      <w:lvlJc w:val="left"/>
      <w:pPr>
        <w:ind w:left="360" w:hanging="360"/>
      </w:pPr>
      <w:rPr>
        <w:rFonts w:ascii="Symbol" w:hAnsi="Symbol" w:hint="default"/>
      </w:rPr>
    </w:lvl>
    <w:lvl w:ilvl="2">
      <w:start w:val="1"/>
      <w:numFmt w:val="lowerLetter"/>
      <w:lvlText w:val="%3."/>
      <w:lvlJc w:val="left"/>
      <w:pPr>
        <w:ind w:left="1080" w:hanging="360"/>
      </w:pPr>
      <w:rPr>
        <w:strike w:val="0"/>
        <w:u w:val="none"/>
      </w:rPr>
    </w:lvl>
    <w:lvl w:ilvl="3">
      <w:start w:val="1"/>
      <w:numFmt w:val="lowerRoman"/>
      <w:lvlText w:val="%4."/>
      <w:lvlJc w:val="right"/>
      <w:pPr>
        <w:ind w:left="1800" w:hanging="360"/>
      </w:pPr>
      <w:rPr>
        <w:b w:val="0"/>
        <w:u w:val="none"/>
      </w:rPr>
    </w:lvl>
    <w:lvl w:ilvl="4">
      <w:start w:val="1"/>
      <w:numFmt w:val="decimal"/>
      <w:lvlText w:val="%5)"/>
      <w:lvlJc w:val="left"/>
      <w:pPr>
        <w:ind w:left="2520" w:hanging="360"/>
      </w:pPr>
      <w:rPr>
        <w:b w:val="0"/>
        <w:u w:val="none"/>
      </w:rPr>
    </w:lvl>
    <w:lvl w:ilvl="5">
      <w:start w:val="1"/>
      <w:numFmt w:val="lowerRoman"/>
      <w:lvlText w:val="%6."/>
      <w:lvlJc w:val="right"/>
      <w:pPr>
        <w:ind w:left="3240" w:hanging="360"/>
      </w:pPr>
      <w:rPr>
        <w:u w:val="none"/>
      </w:rPr>
    </w:lvl>
    <w:lvl w:ilvl="6">
      <w:start w:val="1"/>
      <w:numFmt w:val="decimal"/>
      <w:lvlText w:val="%7."/>
      <w:lvlJc w:val="left"/>
      <w:pPr>
        <w:ind w:left="3960" w:hanging="360"/>
      </w:pPr>
      <w:rPr>
        <w:u w:val="none"/>
      </w:rPr>
    </w:lvl>
    <w:lvl w:ilvl="7">
      <w:start w:val="1"/>
      <w:numFmt w:val="lowerLetter"/>
      <w:lvlText w:val="%8."/>
      <w:lvlJc w:val="left"/>
      <w:pPr>
        <w:ind w:left="4680" w:hanging="360"/>
      </w:pPr>
      <w:rPr>
        <w:u w:val="none"/>
      </w:rPr>
    </w:lvl>
    <w:lvl w:ilvl="8">
      <w:start w:val="1"/>
      <w:numFmt w:val="lowerRoman"/>
      <w:lvlText w:val="%9."/>
      <w:lvlJc w:val="right"/>
      <w:pPr>
        <w:ind w:left="5400" w:hanging="360"/>
      </w:pPr>
      <w:rPr>
        <w:u w:val="none"/>
      </w:rPr>
    </w:lvl>
  </w:abstractNum>
  <w:abstractNum w:abstractNumId="83" w15:restartNumberingAfterBreak="0">
    <w:nsid w:val="43AF60D9"/>
    <w:multiLevelType w:val="hybridMultilevel"/>
    <w:tmpl w:val="E4A426CA"/>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40E0DAE"/>
    <w:multiLevelType w:val="hybridMultilevel"/>
    <w:tmpl w:val="CE52A56A"/>
    <w:lvl w:ilvl="0" w:tplc="C2EC802E">
      <w:start w:val="1"/>
      <w:numFmt w:val="bullet"/>
      <w:pStyle w:val="FirstBullet-IHS"/>
      <w:lvlText w:val=""/>
      <w:lvlJc w:val="left"/>
      <w:pPr>
        <w:ind w:left="1180" w:hanging="360"/>
      </w:pPr>
      <w:rPr>
        <w:rFonts w:ascii="Symbol" w:hAnsi="Symbol" w:hint="default"/>
        <w:color w:val="046597"/>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start w:val="1"/>
      <w:numFmt w:val="bullet"/>
      <w:lvlText w:val=""/>
      <w:lvlJc w:val="left"/>
      <w:pPr>
        <w:ind w:left="3340" w:hanging="360"/>
      </w:pPr>
      <w:rPr>
        <w:rFonts w:ascii="Symbol" w:hAnsi="Symbol" w:hint="default"/>
      </w:rPr>
    </w:lvl>
    <w:lvl w:ilvl="4" w:tplc="04090003">
      <w:start w:val="1"/>
      <w:numFmt w:val="bullet"/>
      <w:lvlText w:val="o"/>
      <w:lvlJc w:val="left"/>
      <w:pPr>
        <w:ind w:left="4060" w:hanging="360"/>
      </w:pPr>
      <w:rPr>
        <w:rFonts w:ascii="Courier New" w:hAnsi="Courier New" w:cs="Courier New" w:hint="default"/>
      </w:rPr>
    </w:lvl>
    <w:lvl w:ilvl="5" w:tplc="04090005">
      <w:start w:val="1"/>
      <w:numFmt w:val="bullet"/>
      <w:lvlText w:val=""/>
      <w:lvlJc w:val="left"/>
      <w:pPr>
        <w:ind w:left="4780" w:hanging="360"/>
      </w:pPr>
      <w:rPr>
        <w:rFonts w:ascii="Wingdings" w:hAnsi="Wingdings" w:hint="default"/>
      </w:rPr>
    </w:lvl>
    <w:lvl w:ilvl="6" w:tplc="04090001">
      <w:start w:val="1"/>
      <w:numFmt w:val="bullet"/>
      <w:lvlText w:val=""/>
      <w:lvlJc w:val="left"/>
      <w:pPr>
        <w:ind w:left="5500" w:hanging="360"/>
      </w:pPr>
      <w:rPr>
        <w:rFonts w:ascii="Symbol" w:hAnsi="Symbol" w:hint="default"/>
      </w:rPr>
    </w:lvl>
    <w:lvl w:ilvl="7" w:tplc="04090003">
      <w:start w:val="1"/>
      <w:numFmt w:val="bullet"/>
      <w:lvlText w:val="o"/>
      <w:lvlJc w:val="left"/>
      <w:pPr>
        <w:ind w:left="6220" w:hanging="360"/>
      </w:pPr>
      <w:rPr>
        <w:rFonts w:ascii="Courier New" w:hAnsi="Courier New" w:cs="Courier New" w:hint="default"/>
      </w:rPr>
    </w:lvl>
    <w:lvl w:ilvl="8" w:tplc="04090005">
      <w:start w:val="1"/>
      <w:numFmt w:val="bullet"/>
      <w:lvlText w:val=""/>
      <w:lvlJc w:val="left"/>
      <w:pPr>
        <w:ind w:left="6940" w:hanging="360"/>
      </w:pPr>
      <w:rPr>
        <w:rFonts w:ascii="Wingdings" w:hAnsi="Wingdings" w:hint="default"/>
      </w:rPr>
    </w:lvl>
  </w:abstractNum>
  <w:abstractNum w:abstractNumId="85" w15:restartNumberingAfterBreak="0">
    <w:nsid w:val="4638085A"/>
    <w:multiLevelType w:val="hybridMultilevel"/>
    <w:tmpl w:val="8DEE580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46F73FFA"/>
    <w:multiLevelType w:val="hybridMultilevel"/>
    <w:tmpl w:val="3A9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205071"/>
    <w:multiLevelType w:val="hybridMultilevel"/>
    <w:tmpl w:val="9086E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8257383"/>
    <w:multiLevelType w:val="hybridMultilevel"/>
    <w:tmpl w:val="6086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89D69EE"/>
    <w:multiLevelType w:val="hybridMultilevel"/>
    <w:tmpl w:val="756AEC54"/>
    <w:lvl w:ilvl="0" w:tplc="7F566D3E">
      <w:start w:val="1"/>
      <w:numFmt w:val="upperLetter"/>
      <w:lvlText w:val="%1."/>
      <w:lvlJc w:val="left"/>
      <w:pPr>
        <w:tabs>
          <w:tab w:val="num" w:pos="720"/>
        </w:tabs>
        <w:ind w:left="720" w:hanging="360"/>
      </w:pPr>
      <w:rPr>
        <w:b/>
        <w:bCs/>
      </w:rPr>
    </w:lvl>
    <w:lvl w:ilvl="1" w:tplc="25F81D1A">
      <w:start w:val="1"/>
      <w:numFmt w:val="decimal"/>
      <w:lvlText w:val="%2."/>
      <w:lvlJc w:val="left"/>
      <w:pPr>
        <w:tabs>
          <w:tab w:val="num" w:pos="1440"/>
        </w:tabs>
        <w:ind w:left="1440" w:hanging="360"/>
      </w:pPr>
      <w:rPr>
        <w:b/>
        <w:bCs/>
      </w:rPr>
    </w:lvl>
    <w:lvl w:ilvl="2" w:tplc="D4DCB9AA">
      <w:start w:val="1"/>
      <w:numFmt w:val="lowerLetter"/>
      <w:lvlText w:val="%3."/>
      <w:lvlJc w:val="left"/>
      <w:pPr>
        <w:tabs>
          <w:tab w:val="num" w:pos="2160"/>
        </w:tabs>
        <w:ind w:left="2160" w:hanging="360"/>
      </w:pPr>
      <w:rPr>
        <w:b/>
        <w:bCs/>
      </w:rPr>
    </w:lvl>
    <w:lvl w:ilvl="3" w:tplc="DDE2A87A">
      <w:start w:val="1"/>
      <w:numFmt w:val="decimal"/>
      <w:lvlText w:val="%4."/>
      <w:lvlJc w:val="left"/>
      <w:pPr>
        <w:tabs>
          <w:tab w:val="num" w:pos="2880"/>
        </w:tabs>
        <w:ind w:left="2880" w:hanging="360"/>
      </w:pPr>
      <w:rPr>
        <w:b/>
        <w:bCs/>
      </w:rPr>
    </w:lvl>
    <w:lvl w:ilvl="4" w:tplc="4992DDA8" w:tentative="1">
      <w:start w:val="1"/>
      <w:numFmt w:val="upperLetter"/>
      <w:lvlText w:val="%5."/>
      <w:lvlJc w:val="left"/>
      <w:pPr>
        <w:tabs>
          <w:tab w:val="num" w:pos="3600"/>
        </w:tabs>
        <w:ind w:left="3600" w:hanging="360"/>
      </w:pPr>
    </w:lvl>
    <w:lvl w:ilvl="5" w:tplc="F3107828" w:tentative="1">
      <w:start w:val="1"/>
      <w:numFmt w:val="upperLetter"/>
      <w:lvlText w:val="%6."/>
      <w:lvlJc w:val="left"/>
      <w:pPr>
        <w:tabs>
          <w:tab w:val="num" w:pos="4320"/>
        </w:tabs>
        <w:ind w:left="4320" w:hanging="360"/>
      </w:pPr>
    </w:lvl>
    <w:lvl w:ilvl="6" w:tplc="2842D122" w:tentative="1">
      <w:start w:val="1"/>
      <w:numFmt w:val="upperLetter"/>
      <w:lvlText w:val="%7."/>
      <w:lvlJc w:val="left"/>
      <w:pPr>
        <w:tabs>
          <w:tab w:val="num" w:pos="5040"/>
        </w:tabs>
        <w:ind w:left="5040" w:hanging="360"/>
      </w:pPr>
    </w:lvl>
    <w:lvl w:ilvl="7" w:tplc="A19208D0" w:tentative="1">
      <w:start w:val="1"/>
      <w:numFmt w:val="upperLetter"/>
      <w:lvlText w:val="%8."/>
      <w:lvlJc w:val="left"/>
      <w:pPr>
        <w:tabs>
          <w:tab w:val="num" w:pos="5760"/>
        </w:tabs>
        <w:ind w:left="5760" w:hanging="360"/>
      </w:pPr>
    </w:lvl>
    <w:lvl w:ilvl="8" w:tplc="70481836" w:tentative="1">
      <w:start w:val="1"/>
      <w:numFmt w:val="upperLetter"/>
      <w:lvlText w:val="%9."/>
      <w:lvlJc w:val="left"/>
      <w:pPr>
        <w:tabs>
          <w:tab w:val="num" w:pos="6480"/>
        </w:tabs>
        <w:ind w:left="6480" w:hanging="360"/>
      </w:pPr>
    </w:lvl>
  </w:abstractNum>
  <w:abstractNum w:abstractNumId="90" w15:restartNumberingAfterBreak="0">
    <w:nsid w:val="491978D9"/>
    <w:multiLevelType w:val="hybridMultilevel"/>
    <w:tmpl w:val="BED6D2B4"/>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94341BC"/>
    <w:multiLevelType w:val="hybridMultilevel"/>
    <w:tmpl w:val="665E98F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49712A32"/>
    <w:multiLevelType w:val="hybridMultilevel"/>
    <w:tmpl w:val="F98E7F0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49994737"/>
    <w:multiLevelType w:val="hybridMultilevel"/>
    <w:tmpl w:val="B0CAD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AF2599F"/>
    <w:multiLevelType w:val="hybridMultilevel"/>
    <w:tmpl w:val="65B8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C1E5E7B"/>
    <w:multiLevelType w:val="hybridMultilevel"/>
    <w:tmpl w:val="80FCCFBA"/>
    <w:lvl w:ilvl="0" w:tplc="443AB1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E0E2DAE"/>
    <w:multiLevelType w:val="hybridMultilevel"/>
    <w:tmpl w:val="C114B1BE"/>
    <w:lvl w:ilvl="0" w:tplc="04090001">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EAA1940"/>
    <w:multiLevelType w:val="hybridMultilevel"/>
    <w:tmpl w:val="BB4E486C"/>
    <w:lvl w:ilvl="0" w:tplc="443AB1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EE851F7"/>
    <w:multiLevelType w:val="hybridMultilevel"/>
    <w:tmpl w:val="E118F10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4EEB5DAA"/>
    <w:multiLevelType w:val="hybridMultilevel"/>
    <w:tmpl w:val="1040D840"/>
    <w:lvl w:ilvl="0" w:tplc="1938F9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0940812"/>
    <w:multiLevelType w:val="hybridMultilevel"/>
    <w:tmpl w:val="90FE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17B2F9A"/>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360" w:hanging="360"/>
      </w:pPr>
      <w:rPr>
        <w:b w:val="0"/>
        <w:color w:val="auto"/>
        <w:u w:val="none"/>
      </w:rPr>
    </w:lvl>
    <w:lvl w:ilvl="2">
      <w:start w:val="1"/>
      <w:numFmt w:val="lowerLetter"/>
      <w:lvlText w:val="%3."/>
      <w:lvlJc w:val="left"/>
      <w:pPr>
        <w:ind w:left="1080" w:hanging="360"/>
      </w:pPr>
      <w:rPr>
        <w:strike w:val="0"/>
        <w:u w:val="none"/>
      </w:rPr>
    </w:lvl>
    <w:lvl w:ilvl="3">
      <w:start w:val="1"/>
      <w:numFmt w:val="lowerRoman"/>
      <w:lvlText w:val="%4."/>
      <w:lvlJc w:val="right"/>
      <w:pPr>
        <w:ind w:left="1800" w:hanging="360"/>
      </w:pPr>
      <w:rPr>
        <w:b w:val="0"/>
        <w:u w:val="none"/>
      </w:rPr>
    </w:lvl>
    <w:lvl w:ilvl="4">
      <w:start w:val="1"/>
      <w:numFmt w:val="decimal"/>
      <w:lvlText w:val="%5)"/>
      <w:lvlJc w:val="left"/>
      <w:pPr>
        <w:ind w:left="2520" w:hanging="360"/>
      </w:pPr>
      <w:rPr>
        <w:b w:val="0"/>
        <w:u w:val="none"/>
      </w:rPr>
    </w:lvl>
    <w:lvl w:ilvl="5">
      <w:start w:val="1"/>
      <w:numFmt w:val="lowerRoman"/>
      <w:lvlText w:val="%6."/>
      <w:lvlJc w:val="right"/>
      <w:pPr>
        <w:ind w:left="3240" w:hanging="360"/>
      </w:pPr>
      <w:rPr>
        <w:u w:val="none"/>
      </w:rPr>
    </w:lvl>
    <w:lvl w:ilvl="6">
      <w:start w:val="1"/>
      <w:numFmt w:val="decimal"/>
      <w:lvlText w:val="%7."/>
      <w:lvlJc w:val="left"/>
      <w:pPr>
        <w:ind w:left="3960" w:hanging="360"/>
      </w:pPr>
      <w:rPr>
        <w:u w:val="none"/>
      </w:rPr>
    </w:lvl>
    <w:lvl w:ilvl="7">
      <w:start w:val="1"/>
      <w:numFmt w:val="lowerLetter"/>
      <w:lvlText w:val="%8."/>
      <w:lvlJc w:val="left"/>
      <w:pPr>
        <w:ind w:left="4680" w:hanging="360"/>
      </w:pPr>
      <w:rPr>
        <w:u w:val="none"/>
      </w:rPr>
    </w:lvl>
    <w:lvl w:ilvl="8">
      <w:start w:val="1"/>
      <w:numFmt w:val="lowerRoman"/>
      <w:lvlText w:val="%9."/>
      <w:lvlJc w:val="right"/>
      <w:pPr>
        <w:ind w:left="5400" w:hanging="360"/>
      </w:pPr>
      <w:rPr>
        <w:u w:val="none"/>
      </w:rPr>
    </w:lvl>
  </w:abstractNum>
  <w:abstractNum w:abstractNumId="102" w15:restartNumberingAfterBreak="0">
    <w:nsid w:val="534A105D"/>
    <w:multiLevelType w:val="hybridMultilevel"/>
    <w:tmpl w:val="F76CA0EC"/>
    <w:lvl w:ilvl="0" w:tplc="A0DEDC9C">
      <w:start w:val="1"/>
      <w:numFmt w:val="upperLetter"/>
      <w:lvlText w:val="%1."/>
      <w:lvlJc w:val="left"/>
      <w:pPr>
        <w:tabs>
          <w:tab w:val="num" w:pos="720"/>
        </w:tabs>
        <w:ind w:left="720" w:hanging="360"/>
      </w:pPr>
      <w:rPr>
        <w:b/>
        <w:bCs/>
      </w:rPr>
    </w:lvl>
    <w:lvl w:ilvl="1" w:tplc="02DC2382">
      <w:start w:val="1"/>
      <w:numFmt w:val="decimal"/>
      <w:lvlText w:val="%2."/>
      <w:lvlJc w:val="left"/>
      <w:pPr>
        <w:tabs>
          <w:tab w:val="num" w:pos="1440"/>
        </w:tabs>
        <w:ind w:left="1440" w:hanging="360"/>
      </w:pPr>
      <w:rPr>
        <w:b/>
        <w:bCs/>
      </w:rPr>
    </w:lvl>
    <w:lvl w:ilvl="2" w:tplc="23FE3B5A">
      <w:start w:val="1"/>
      <w:numFmt w:val="lowerLetter"/>
      <w:lvlText w:val="%3."/>
      <w:lvlJc w:val="left"/>
      <w:pPr>
        <w:tabs>
          <w:tab w:val="num" w:pos="2160"/>
        </w:tabs>
        <w:ind w:left="2160" w:hanging="360"/>
      </w:pPr>
      <w:rPr>
        <w:b/>
        <w:bCs/>
      </w:rPr>
    </w:lvl>
    <w:lvl w:ilvl="3" w:tplc="29F62D88" w:tentative="1">
      <w:start w:val="1"/>
      <w:numFmt w:val="upperLetter"/>
      <w:lvlText w:val="%4."/>
      <w:lvlJc w:val="left"/>
      <w:pPr>
        <w:tabs>
          <w:tab w:val="num" w:pos="2880"/>
        </w:tabs>
        <w:ind w:left="2880" w:hanging="360"/>
      </w:pPr>
    </w:lvl>
    <w:lvl w:ilvl="4" w:tplc="44F4B94C" w:tentative="1">
      <w:start w:val="1"/>
      <w:numFmt w:val="upperLetter"/>
      <w:lvlText w:val="%5."/>
      <w:lvlJc w:val="left"/>
      <w:pPr>
        <w:tabs>
          <w:tab w:val="num" w:pos="3600"/>
        </w:tabs>
        <w:ind w:left="3600" w:hanging="360"/>
      </w:pPr>
    </w:lvl>
    <w:lvl w:ilvl="5" w:tplc="37064044" w:tentative="1">
      <w:start w:val="1"/>
      <w:numFmt w:val="upperLetter"/>
      <w:lvlText w:val="%6."/>
      <w:lvlJc w:val="left"/>
      <w:pPr>
        <w:tabs>
          <w:tab w:val="num" w:pos="4320"/>
        </w:tabs>
        <w:ind w:left="4320" w:hanging="360"/>
      </w:pPr>
    </w:lvl>
    <w:lvl w:ilvl="6" w:tplc="EAFA2C2E" w:tentative="1">
      <w:start w:val="1"/>
      <w:numFmt w:val="upperLetter"/>
      <w:lvlText w:val="%7."/>
      <w:lvlJc w:val="left"/>
      <w:pPr>
        <w:tabs>
          <w:tab w:val="num" w:pos="5040"/>
        </w:tabs>
        <w:ind w:left="5040" w:hanging="360"/>
      </w:pPr>
    </w:lvl>
    <w:lvl w:ilvl="7" w:tplc="644AE31C" w:tentative="1">
      <w:start w:val="1"/>
      <w:numFmt w:val="upperLetter"/>
      <w:lvlText w:val="%8."/>
      <w:lvlJc w:val="left"/>
      <w:pPr>
        <w:tabs>
          <w:tab w:val="num" w:pos="5760"/>
        </w:tabs>
        <w:ind w:left="5760" w:hanging="360"/>
      </w:pPr>
    </w:lvl>
    <w:lvl w:ilvl="8" w:tplc="4CF4AB52" w:tentative="1">
      <w:start w:val="1"/>
      <w:numFmt w:val="upperLetter"/>
      <w:lvlText w:val="%9."/>
      <w:lvlJc w:val="left"/>
      <w:pPr>
        <w:tabs>
          <w:tab w:val="num" w:pos="6480"/>
        </w:tabs>
        <w:ind w:left="6480" w:hanging="360"/>
      </w:pPr>
    </w:lvl>
  </w:abstractNum>
  <w:abstractNum w:abstractNumId="103" w15:restartNumberingAfterBreak="0">
    <w:nsid w:val="53552F19"/>
    <w:multiLevelType w:val="hybridMultilevel"/>
    <w:tmpl w:val="3648EE64"/>
    <w:lvl w:ilvl="0" w:tplc="443AB1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4B74028"/>
    <w:multiLevelType w:val="hybridMultilevel"/>
    <w:tmpl w:val="D74AEEA4"/>
    <w:lvl w:ilvl="0" w:tplc="C31204DA">
      <w:start w:val="10"/>
      <w:numFmt w:val="upperLetter"/>
      <w:lvlText w:val="%1."/>
      <w:lvlJc w:val="left"/>
      <w:pPr>
        <w:ind w:left="360" w:hanging="360"/>
      </w:pPr>
      <w:rPr>
        <w:rFonts w:ascii="Arial" w:hAnsi="Arial" w:cs="Arial" w:hint="default"/>
        <w:b/>
        <w:bCs/>
        <w:color w:val="353535"/>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57AE09A0"/>
    <w:multiLevelType w:val="hybridMultilevel"/>
    <w:tmpl w:val="DBC46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A6E07B0"/>
    <w:multiLevelType w:val="hybridMultilevel"/>
    <w:tmpl w:val="30F6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B201AE4"/>
    <w:multiLevelType w:val="multilevel"/>
    <w:tmpl w:val="279E4E08"/>
    <w:lvl w:ilvl="0">
      <w:start w:val="1"/>
      <w:numFmt w:val="bullet"/>
      <w:lvlText w:val=""/>
      <w:lvlJc w:val="left"/>
      <w:pPr>
        <w:ind w:left="540" w:hanging="360"/>
      </w:pPr>
      <w:rPr>
        <w:rFonts w:ascii="Symbol" w:hAnsi="Symbol" w:hint="default"/>
        <w:u w:val="none"/>
      </w:rPr>
    </w:lvl>
    <w:lvl w:ilvl="1">
      <w:start w:val="1"/>
      <w:numFmt w:val="decimal"/>
      <w:lvlText w:val="%2."/>
      <w:lvlJc w:val="left"/>
      <w:pPr>
        <w:ind w:left="1260" w:hanging="360"/>
      </w:pPr>
      <w:rPr>
        <w:b w:val="0"/>
        <w:color w:val="auto"/>
        <w:u w:val="none"/>
      </w:rPr>
    </w:lvl>
    <w:lvl w:ilvl="2">
      <w:start w:val="1"/>
      <w:numFmt w:val="lowerLetter"/>
      <w:lvlText w:val="%3."/>
      <w:lvlJc w:val="left"/>
      <w:pPr>
        <w:ind w:left="1980" w:hanging="360"/>
      </w:pPr>
      <w:rPr>
        <w:strike w:val="0"/>
        <w:u w:val="none"/>
      </w:rPr>
    </w:lvl>
    <w:lvl w:ilvl="3">
      <w:start w:val="1"/>
      <w:numFmt w:val="lowerRoman"/>
      <w:lvlText w:val="%4."/>
      <w:lvlJc w:val="right"/>
      <w:pPr>
        <w:ind w:left="2700" w:hanging="360"/>
      </w:pPr>
      <w:rPr>
        <w:b w:val="0"/>
        <w:u w:val="none"/>
      </w:rPr>
    </w:lvl>
    <w:lvl w:ilvl="4">
      <w:start w:val="1"/>
      <w:numFmt w:val="decimal"/>
      <w:lvlText w:val="%5)"/>
      <w:lvlJc w:val="left"/>
      <w:pPr>
        <w:ind w:left="3420" w:hanging="360"/>
      </w:pPr>
      <w:rPr>
        <w:b w:val="0"/>
        <w:u w:val="none"/>
      </w:rPr>
    </w:lvl>
    <w:lvl w:ilvl="5">
      <w:start w:val="1"/>
      <w:numFmt w:val="lowerRoman"/>
      <w:lvlText w:val="%6."/>
      <w:lvlJc w:val="right"/>
      <w:pPr>
        <w:ind w:left="4140" w:hanging="360"/>
      </w:pPr>
      <w:rPr>
        <w:u w:val="none"/>
      </w:rPr>
    </w:lvl>
    <w:lvl w:ilvl="6">
      <w:start w:val="1"/>
      <w:numFmt w:val="decimal"/>
      <w:lvlText w:val="%7."/>
      <w:lvlJc w:val="left"/>
      <w:pPr>
        <w:ind w:left="4860" w:hanging="360"/>
      </w:pPr>
      <w:rPr>
        <w:u w:val="none"/>
      </w:rPr>
    </w:lvl>
    <w:lvl w:ilvl="7">
      <w:start w:val="1"/>
      <w:numFmt w:val="lowerLetter"/>
      <w:lvlText w:val="%8."/>
      <w:lvlJc w:val="left"/>
      <w:pPr>
        <w:ind w:left="5580" w:hanging="360"/>
      </w:pPr>
      <w:rPr>
        <w:u w:val="none"/>
      </w:rPr>
    </w:lvl>
    <w:lvl w:ilvl="8">
      <w:start w:val="1"/>
      <w:numFmt w:val="lowerRoman"/>
      <w:lvlText w:val="%9."/>
      <w:lvlJc w:val="right"/>
      <w:pPr>
        <w:ind w:left="6300" w:hanging="360"/>
      </w:pPr>
      <w:rPr>
        <w:u w:val="none"/>
      </w:rPr>
    </w:lvl>
  </w:abstractNum>
  <w:abstractNum w:abstractNumId="108" w15:restartNumberingAfterBreak="0">
    <w:nsid w:val="5D0A0E15"/>
    <w:multiLevelType w:val="hybridMultilevel"/>
    <w:tmpl w:val="50123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EBF0013"/>
    <w:multiLevelType w:val="hybridMultilevel"/>
    <w:tmpl w:val="17927A9A"/>
    <w:lvl w:ilvl="0" w:tplc="FAF0638C">
      <w:start w:val="1"/>
      <w:numFmt w:val="upperLetter"/>
      <w:lvlText w:val="%1."/>
      <w:lvlJc w:val="left"/>
      <w:pPr>
        <w:tabs>
          <w:tab w:val="num" w:pos="720"/>
        </w:tabs>
        <w:ind w:left="720" w:hanging="360"/>
      </w:pPr>
      <w:rPr>
        <w:b/>
        <w:bCs/>
      </w:rPr>
    </w:lvl>
    <w:lvl w:ilvl="1" w:tplc="EA3A6518">
      <w:start w:val="1"/>
      <w:numFmt w:val="decimal"/>
      <w:lvlText w:val="%2."/>
      <w:lvlJc w:val="left"/>
      <w:pPr>
        <w:tabs>
          <w:tab w:val="num" w:pos="1440"/>
        </w:tabs>
        <w:ind w:left="1440" w:hanging="360"/>
      </w:pPr>
      <w:rPr>
        <w:b/>
        <w:bCs/>
      </w:rPr>
    </w:lvl>
    <w:lvl w:ilvl="2" w:tplc="F4E24700">
      <w:start w:val="1"/>
      <w:numFmt w:val="lowerLetter"/>
      <w:lvlText w:val="%3."/>
      <w:lvlJc w:val="left"/>
      <w:pPr>
        <w:tabs>
          <w:tab w:val="num" w:pos="2160"/>
        </w:tabs>
        <w:ind w:left="2160" w:hanging="360"/>
      </w:pPr>
      <w:rPr>
        <w:b/>
        <w:bCs/>
      </w:rPr>
    </w:lvl>
    <w:lvl w:ilvl="3" w:tplc="B62C3726" w:tentative="1">
      <w:start w:val="1"/>
      <w:numFmt w:val="upperLetter"/>
      <w:lvlText w:val="%4."/>
      <w:lvlJc w:val="left"/>
      <w:pPr>
        <w:tabs>
          <w:tab w:val="num" w:pos="2880"/>
        </w:tabs>
        <w:ind w:left="2880" w:hanging="360"/>
      </w:pPr>
    </w:lvl>
    <w:lvl w:ilvl="4" w:tplc="27B83CF8" w:tentative="1">
      <w:start w:val="1"/>
      <w:numFmt w:val="upperLetter"/>
      <w:lvlText w:val="%5."/>
      <w:lvlJc w:val="left"/>
      <w:pPr>
        <w:tabs>
          <w:tab w:val="num" w:pos="3600"/>
        </w:tabs>
        <w:ind w:left="3600" w:hanging="360"/>
      </w:pPr>
    </w:lvl>
    <w:lvl w:ilvl="5" w:tplc="418C2E2E" w:tentative="1">
      <w:start w:val="1"/>
      <w:numFmt w:val="upperLetter"/>
      <w:lvlText w:val="%6."/>
      <w:lvlJc w:val="left"/>
      <w:pPr>
        <w:tabs>
          <w:tab w:val="num" w:pos="4320"/>
        </w:tabs>
        <w:ind w:left="4320" w:hanging="360"/>
      </w:pPr>
    </w:lvl>
    <w:lvl w:ilvl="6" w:tplc="1804A672" w:tentative="1">
      <w:start w:val="1"/>
      <w:numFmt w:val="upperLetter"/>
      <w:lvlText w:val="%7."/>
      <w:lvlJc w:val="left"/>
      <w:pPr>
        <w:tabs>
          <w:tab w:val="num" w:pos="5040"/>
        </w:tabs>
        <w:ind w:left="5040" w:hanging="360"/>
      </w:pPr>
    </w:lvl>
    <w:lvl w:ilvl="7" w:tplc="1214FDE6" w:tentative="1">
      <w:start w:val="1"/>
      <w:numFmt w:val="upperLetter"/>
      <w:lvlText w:val="%8."/>
      <w:lvlJc w:val="left"/>
      <w:pPr>
        <w:tabs>
          <w:tab w:val="num" w:pos="5760"/>
        </w:tabs>
        <w:ind w:left="5760" w:hanging="360"/>
      </w:pPr>
    </w:lvl>
    <w:lvl w:ilvl="8" w:tplc="1E8C5F06" w:tentative="1">
      <w:start w:val="1"/>
      <w:numFmt w:val="upperLetter"/>
      <w:lvlText w:val="%9."/>
      <w:lvlJc w:val="left"/>
      <w:pPr>
        <w:tabs>
          <w:tab w:val="num" w:pos="6480"/>
        </w:tabs>
        <w:ind w:left="6480" w:hanging="360"/>
      </w:pPr>
    </w:lvl>
  </w:abstractNum>
  <w:abstractNum w:abstractNumId="110" w15:restartNumberingAfterBreak="0">
    <w:nsid w:val="5F1504B6"/>
    <w:multiLevelType w:val="multilevel"/>
    <w:tmpl w:val="ECEA7B9C"/>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rFonts w:ascii="Symbol" w:hAnsi="Symbol" w:hint="default"/>
        <w:color w:val="auto"/>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1" w15:restartNumberingAfterBreak="0">
    <w:nsid w:val="5F7D117F"/>
    <w:multiLevelType w:val="hybridMultilevel"/>
    <w:tmpl w:val="8EE8CCF4"/>
    <w:lvl w:ilvl="0" w:tplc="82349F04">
      <w:start w:val="1"/>
      <w:numFmt w:val="decimal"/>
      <w:lvlText w:val="%1."/>
      <w:lvlJc w:val="left"/>
      <w:pPr>
        <w:ind w:left="1080" w:hanging="360"/>
      </w:pPr>
      <w:rPr>
        <w:rFonts w:hint="default"/>
        <w:b/>
        <w:bCs/>
        <w:u w:val="none"/>
      </w:rPr>
    </w:lvl>
    <w:lvl w:ilvl="1" w:tplc="309AD47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F7F444F"/>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3" w15:restartNumberingAfterBreak="0">
    <w:nsid w:val="5FD06D66"/>
    <w:multiLevelType w:val="hybridMultilevel"/>
    <w:tmpl w:val="6E22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FD77856"/>
    <w:multiLevelType w:val="hybridMultilevel"/>
    <w:tmpl w:val="9B267D3A"/>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1B82E70"/>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6" w15:restartNumberingAfterBreak="0">
    <w:nsid w:val="622E521A"/>
    <w:multiLevelType w:val="hybridMultilevel"/>
    <w:tmpl w:val="059C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258055A"/>
    <w:multiLevelType w:val="hybridMultilevel"/>
    <w:tmpl w:val="032E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2663901"/>
    <w:multiLevelType w:val="hybridMultilevel"/>
    <w:tmpl w:val="2DFC897A"/>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2D14A87"/>
    <w:multiLevelType w:val="multilevel"/>
    <w:tmpl w:val="64B6F4FA"/>
    <w:lvl w:ilvl="0">
      <w:start w:val="1"/>
      <w:numFmt w:val="upperLetter"/>
      <w:lvlText w:val="%1."/>
      <w:lvlJc w:val="left"/>
      <w:pPr>
        <w:tabs>
          <w:tab w:val="num" w:pos="720"/>
        </w:tabs>
        <w:ind w:left="720" w:hanging="360"/>
      </w:pPr>
      <w:rPr>
        <w:b/>
        <w:bCs/>
      </w:rPr>
    </w:lvl>
    <w:lvl w:ilvl="1">
      <w:start w:val="1"/>
      <w:numFmt w:val="decimal"/>
      <w:lvlText w:val="%2."/>
      <w:lvlJc w:val="left"/>
      <w:pPr>
        <w:tabs>
          <w:tab w:val="num" w:pos="1440"/>
        </w:tabs>
        <w:ind w:left="1440" w:hanging="360"/>
      </w:pPr>
      <w:rPr>
        <w:b/>
        <w:bCs/>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0" w15:restartNumberingAfterBreak="0">
    <w:nsid w:val="634C1CCA"/>
    <w:multiLevelType w:val="hybridMultilevel"/>
    <w:tmpl w:val="2D128D74"/>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41E229C"/>
    <w:multiLevelType w:val="hybridMultilevel"/>
    <w:tmpl w:val="8B1ACB4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643A5A78"/>
    <w:multiLevelType w:val="hybridMultilevel"/>
    <w:tmpl w:val="AFB2BC3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64A0232B"/>
    <w:multiLevelType w:val="hybridMultilevel"/>
    <w:tmpl w:val="F1340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5774E2E"/>
    <w:multiLevelType w:val="hybridMultilevel"/>
    <w:tmpl w:val="6054F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5885EC3"/>
    <w:multiLevelType w:val="multilevel"/>
    <w:tmpl w:val="06C05F4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b/>
        <w:bCs/>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6" w15:restartNumberingAfterBreak="0">
    <w:nsid w:val="66632EA1"/>
    <w:multiLevelType w:val="hybridMultilevel"/>
    <w:tmpl w:val="45FEB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7073BDB"/>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8" w15:restartNumberingAfterBreak="0">
    <w:nsid w:val="672F3CC8"/>
    <w:multiLevelType w:val="hybridMultilevel"/>
    <w:tmpl w:val="6222152A"/>
    <w:lvl w:ilvl="0" w:tplc="542EF4CC">
      <w:start w:val="24"/>
      <w:numFmt w:val="upperLetter"/>
      <w:lvlText w:val="%1."/>
      <w:lvlJc w:val="left"/>
      <w:pPr>
        <w:ind w:left="360" w:hanging="360"/>
      </w:pPr>
      <w:rPr>
        <w:rFonts w:hint="default"/>
        <w:b/>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67E515F8"/>
    <w:multiLevelType w:val="hybridMultilevel"/>
    <w:tmpl w:val="DBD8B1E2"/>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82F2046"/>
    <w:multiLevelType w:val="hybridMultilevel"/>
    <w:tmpl w:val="9FBA3200"/>
    <w:lvl w:ilvl="0" w:tplc="190416C4">
      <w:start w:val="1"/>
      <w:numFmt w:val="upperLetter"/>
      <w:lvlText w:val="%1."/>
      <w:lvlJc w:val="left"/>
      <w:pPr>
        <w:tabs>
          <w:tab w:val="num" w:pos="720"/>
        </w:tabs>
        <w:ind w:left="720" w:hanging="360"/>
      </w:pPr>
    </w:lvl>
    <w:lvl w:ilvl="1" w:tplc="07C45C8C">
      <w:start w:val="1"/>
      <w:numFmt w:val="decimal"/>
      <w:lvlText w:val="%2."/>
      <w:lvlJc w:val="left"/>
      <w:pPr>
        <w:tabs>
          <w:tab w:val="num" w:pos="1440"/>
        </w:tabs>
        <w:ind w:left="1440" w:hanging="360"/>
      </w:pPr>
      <w:rPr>
        <w:b/>
        <w:bCs/>
      </w:rPr>
    </w:lvl>
    <w:lvl w:ilvl="2" w:tplc="908A89FA">
      <w:start w:val="1"/>
      <w:numFmt w:val="lowerLetter"/>
      <w:lvlText w:val="%3."/>
      <w:lvlJc w:val="left"/>
      <w:pPr>
        <w:tabs>
          <w:tab w:val="num" w:pos="2160"/>
        </w:tabs>
        <w:ind w:left="2160" w:hanging="360"/>
      </w:pPr>
      <w:rPr>
        <w:b/>
        <w:bCs/>
      </w:rPr>
    </w:lvl>
    <w:lvl w:ilvl="3" w:tplc="B64ABD9E" w:tentative="1">
      <w:start w:val="1"/>
      <w:numFmt w:val="upperLetter"/>
      <w:lvlText w:val="%4."/>
      <w:lvlJc w:val="left"/>
      <w:pPr>
        <w:tabs>
          <w:tab w:val="num" w:pos="2880"/>
        </w:tabs>
        <w:ind w:left="2880" w:hanging="360"/>
      </w:pPr>
    </w:lvl>
    <w:lvl w:ilvl="4" w:tplc="DD44F82E" w:tentative="1">
      <w:start w:val="1"/>
      <w:numFmt w:val="upperLetter"/>
      <w:lvlText w:val="%5."/>
      <w:lvlJc w:val="left"/>
      <w:pPr>
        <w:tabs>
          <w:tab w:val="num" w:pos="3600"/>
        </w:tabs>
        <w:ind w:left="3600" w:hanging="360"/>
      </w:pPr>
    </w:lvl>
    <w:lvl w:ilvl="5" w:tplc="943EBB96" w:tentative="1">
      <w:start w:val="1"/>
      <w:numFmt w:val="upperLetter"/>
      <w:lvlText w:val="%6."/>
      <w:lvlJc w:val="left"/>
      <w:pPr>
        <w:tabs>
          <w:tab w:val="num" w:pos="4320"/>
        </w:tabs>
        <w:ind w:left="4320" w:hanging="360"/>
      </w:pPr>
    </w:lvl>
    <w:lvl w:ilvl="6" w:tplc="03483526" w:tentative="1">
      <w:start w:val="1"/>
      <w:numFmt w:val="upperLetter"/>
      <w:lvlText w:val="%7."/>
      <w:lvlJc w:val="left"/>
      <w:pPr>
        <w:tabs>
          <w:tab w:val="num" w:pos="5040"/>
        </w:tabs>
        <w:ind w:left="5040" w:hanging="360"/>
      </w:pPr>
    </w:lvl>
    <w:lvl w:ilvl="7" w:tplc="581A31B4" w:tentative="1">
      <w:start w:val="1"/>
      <w:numFmt w:val="upperLetter"/>
      <w:lvlText w:val="%8."/>
      <w:lvlJc w:val="left"/>
      <w:pPr>
        <w:tabs>
          <w:tab w:val="num" w:pos="5760"/>
        </w:tabs>
        <w:ind w:left="5760" w:hanging="360"/>
      </w:pPr>
    </w:lvl>
    <w:lvl w:ilvl="8" w:tplc="18A0F79A" w:tentative="1">
      <w:start w:val="1"/>
      <w:numFmt w:val="upperLetter"/>
      <w:lvlText w:val="%9."/>
      <w:lvlJc w:val="left"/>
      <w:pPr>
        <w:tabs>
          <w:tab w:val="num" w:pos="6480"/>
        </w:tabs>
        <w:ind w:left="6480" w:hanging="360"/>
      </w:pPr>
    </w:lvl>
  </w:abstractNum>
  <w:abstractNum w:abstractNumId="131" w15:restartNumberingAfterBreak="0">
    <w:nsid w:val="68EA1D38"/>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2" w15:restartNumberingAfterBreak="0">
    <w:nsid w:val="69AA6AAA"/>
    <w:multiLevelType w:val="hybridMultilevel"/>
    <w:tmpl w:val="B9A6C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AC83F12"/>
    <w:multiLevelType w:val="hybridMultilevel"/>
    <w:tmpl w:val="ED52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BE63357"/>
    <w:multiLevelType w:val="hybridMultilevel"/>
    <w:tmpl w:val="0C74354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6D9113CC"/>
    <w:multiLevelType w:val="hybridMultilevel"/>
    <w:tmpl w:val="AA66761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36" w15:restartNumberingAfterBreak="0">
    <w:nsid w:val="6DE00960"/>
    <w:multiLevelType w:val="hybridMultilevel"/>
    <w:tmpl w:val="D91A4E66"/>
    <w:lvl w:ilvl="0" w:tplc="0409000F">
      <w:start w:val="1"/>
      <w:numFmt w:val="decimal"/>
      <w:lvlText w:val="%1."/>
      <w:lvlJc w:val="left"/>
      <w:pPr>
        <w:ind w:left="180" w:hanging="360"/>
      </w:pPr>
      <w:rPr>
        <w:rFont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7" w15:restartNumberingAfterBreak="0">
    <w:nsid w:val="6F363968"/>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8" w15:restartNumberingAfterBreak="0">
    <w:nsid w:val="6F4A2C06"/>
    <w:multiLevelType w:val="hybridMultilevel"/>
    <w:tmpl w:val="746A638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6FDD3F84"/>
    <w:multiLevelType w:val="hybridMultilevel"/>
    <w:tmpl w:val="18E8BE4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7027603D"/>
    <w:multiLevelType w:val="hybridMultilevel"/>
    <w:tmpl w:val="834EE0F0"/>
    <w:lvl w:ilvl="0" w:tplc="29F290CA">
      <w:start w:val="1"/>
      <w:numFmt w:val="upperLetter"/>
      <w:lvlText w:val="%1."/>
      <w:lvlJc w:val="left"/>
      <w:pPr>
        <w:tabs>
          <w:tab w:val="num" w:pos="720"/>
        </w:tabs>
        <w:ind w:left="720" w:hanging="360"/>
      </w:pPr>
      <w:rPr>
        <w:b/>
        <w:bCs/>
      </w:rPr>
    </w:lvl>
    <w:lvl w:ilvl="1" w:tplc="DFBCBA4E">
      <w:start w:val="1"/>
      <w:numFmt w:val="decimal"/>
      <w:lvlText w:val="%2."/>
      <w:lvlJc w:val="left"/>
      <w:pPr>
        <w:tabs>
          <w:tab w:val="num" w:pos="1440"/>
        </w:tabs>
        <w:ind w:left="1440" w:hanging="360"/>
      </w:pPr>
      <w:rPr>
        <w:b/>
        <w:bCs/>
      </w:rPr>
    </w:lvl>
    <w:lvl w:ilvl="2" w:tplc="F5846724" w:tentative="1">
      <w:start w:val="1"/>
      <w:numFmt w:val="upperLetter"/>
      <w:lvlText w:val="%3."/>
      <w:lvlJc w:val="left"/>
      <w:pPr>
        <w:tabs>
          <w:tab w:val="num" w:pos="2160"/>
        </w:tabs>
        <w:ind w:left="2160" w:hanging="360"/>
      </w:pPr>
    </w:lvl>
    <w:lvl w:ilvl="3" w:tplc="43882BAE" w:tentative="1">
      <w:start w:val="1"/>
      <w:numFmt w:val="upperLetter"/>
      <w:lvlText w:val="%4."/>
      <w:lvlJc w:val="left"/>
      <w:pPr>
        <w:tabs>
          <w:tab w:val="num" w:pos="2880"/>
        </w:tabs>
        <w:ind w:left="2880" w:hanging="360"/>
      </w:pPr>
    </w:lvl>
    <w:lvl w:ilvl="4" w:tplc="0E54FCA4" w:tentative="1">
      <w:start w:val="1"/>
      <w:numFmt w:val="upperLetter"/>
      <w:lvlText w:val="%5."/>
      <w:lvlJc w:val="left"/>
      <w:pPr>
        <w:tabs>
          <w:tab w:val="num" w:pos="3600"/>
        </w:tabs>
        <w:ind w:left="3600" w:hanging="360"/>
      </w:pPr>
    </w:lvl>
    <w:lvl w:ilvl="5" w:tplc="CF34A446" w:tentative="1">
      <w:start w:val="1"/>
      <w:numFmt w:val="upperLetter"/>
      <w:lvlText w:val="%6."/>
      <w:lvlJc w:val="left"/>
      <w:pPr>
        <w:tabs>
          <w:tab w:val="num" w:pos="4320"/>
        </w:tabs>
        <w:ind w:left="4320" w:hanging="360"/>
      </w:pPr>
    </w:lvl>
    <w:lvl w:ilvl="6" w:tplc="A5E6EA3C" w:tentative="1">
      <w:start w:val="1"/>
      <w:numFmt w:val="upperLetter"/>
      <w:lvlText w:val="%7."/>
      <w:lvlJc w:val="left"/>
      <w:pPr>
        <w:tabs>
          <w:tab w:val="num" w:pos="5040"/>
        </w:tabs>
        <w:ind w:left="5040" w:hanging="360"/>
      </w:pPr>
    </w:lvl>
    <w:lvl w:ilvl="7" w:tplc="BB649ABA" w:tentative="1">
      <w:start w:val="1"/>
      <w:numFmt w:val="upperLetter"/>
      <w:lvlText w:val="%8."/>
      <w:lvlJc w:val="left"/>
      <w:pPr>
        <w:tabs>
          <w:tab w:val="num" w:pos="5760"/>
        </w:tabs>
        <w:ind w:left="5760" w:hanging="360"/>
      </w:pPr>
    </w:lvl>
    <w:lvl w:ilvl="8" w:tplc="3BA0D062" w:tentative="1">
      <w:start w:val="1"/>
      <w:numFmt w:val="upperLetter"/>
      <w:lvlText w:val="%9."/>
      <w:lvlJc w:val="left"/>
      <w:pPr>
        <w:tabs>
          <w:tab w:val="num" w:pos="6480"/>
        </w:tabs>
        <w:ind w:left="6480" w:hanging="360"/>
      </w:pPr>
    </w:lvl>
  </w:abstractNum>
  <w:abstractNum w:abstractNumId="141" w15:restartNumberingAfterBreak="0">
    <w:nsid w:val="702E54DD"/>
    <w:multiLevelType w:val="hybridMultilevel"/>
    <w:tmpl w:val="C9043C0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74D73D02"/>
    <w:multiLevelType w:val="hybridMultilevel"/>
    <w:tmpl w:val="8548BA76"/>
    <w:lvl w:ilvl="0" w:tplc="443AB1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5336EC4"/>
    <w:multiLevelType w:val="hybridMultilevel"/>
    <w:tmpl w:val="49BE4D3A"/>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6520027"/>
    <w:multiLevelType w:val="hybridMultilevel"/>
    <w:tmpl w:val="316A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6834266"/>
    <w:multiLevelType w:val="hybridMultilevel"/>
    <w:tmpl w:val="E8B86FB8"/>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7A4205C"/>
    <w:multiLevelType w:val="hybridMultilevel"/>
    <w:tmpl w:val="4F0ABCF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77B076AF"/>
    <w:multiLevelType w:val="hybridMultilevel"/>
    <w:tmpl w:val="C576CC2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77BD6C60"/>
    <w:multiLevelType w:val="hybridMultilevel"/>
    <w:tmpl w:val="078A74F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78081E9D"/>
    <w:multiLevelType w:val="hybridMultilevel"/>
    <w:tmpl w:val="02443E04"/>
    <w:lvl w:ilvl="0" w:tplc="FFFFFFFF">
      <w:start w:val="1"/>
      <w:numFmt w:val="bullet"/>
      <w:lvlText w:val=""/>
      <w:lvlJc w:val="left"/>
      <w:pPr>
        <w:ind w:left="-540" w:hanging="360"/>
      </w:pPr>
      <w:rPr>
        <w:rFonts w:ascii="Symbol" w:hAnsi="Symbol" w:hint="default"/>
      </w:rPr>
    </w:lvl>
    <w:lvl w:ilvl="1" w:tplc="FFFFFFFF">
      <w:start w:val="1"/>
      <w:numFmt w:val="bullet"/>
      <w:lvlText w:val="o"/>
      <w:lvlJc w:val="left"/>
      <w:pPr>
        <w:ind w:left="180" w:hanging="360"/>
      </w:pPr>
      <w:rPr>
        <w:rFonts w:ascii="Courier New" w:hAnsi="Courier New" w:cs="Courier New" w:hint="default"/>
      </w:rPr>
    </w:lvl>
    <w:lvl w:ilvl="2" w:tplc="04090001">
      <w:start w:val="1"/>
      <w:numFmt w:val="bullet"/>
      <w:lvlText w:val=""/>
      <w:lvlJc w:val="left"/>
      <w:pPr>
        <w:ind w:left="900" w:hanging="360"/>
      </w:pPr>
      <w:rPr>
        <w:rFonts w:ascii="Symbol" w:hAnsi="Symbol" w:hint="default"/>
      </w:rPr>
    </w:lvl>
    <w:lvl w:ilvl="3" w:tplc="FFFFFFFF" w:tentative="1">
      <w:start w:val="1"/>
      <w:numFmt w:val="bullet"/>
      <w:lvlText w:val=""/>
      <w:lvlJc w:val="left"/>
      <w:pPr>
        <w:ind w:left="1620" w:hanging="360"/>
      </w:pPr>
      <w:rPr>
        <w:rFonts w:ascii="Symbol" w:hAnsi="Symbol" w:hint="default"/>
      </w:rPr>
    </w:lvl>
    <w:lvl w:ilvl="4" w:tplc="FFFFFFFF" w:tentative="1">
      <w:start w:val="1"/>
      <w:numFmt w:val="bullet"/>
      <w:lvlText w:val="o"/>
      <w:lvlJc w:val="left"/>
      <w:pPr>
        <w:ind w:left="2340" w:hanging="360"/>
      </w:pPr>
      <w:rPr>
        <w:rFonts w:ascii="Courier New" w:hAnsi="Courier New" w:cs="Courier New" w:hint="default"/>
      </w:rPr>
    </w:lvl>
    <w:lvl w:ilvl="5" w:tplc="FFFFFFFF" w:tentative="1">
      <w:start w:val="1"/>
      <w:numFmt w:val="bullet"/>
      <w:lvlText w:val=""/>
      <w:lvlJc w:val="left"/>
      <w:pPr>
        <w:ind w:left="3060" w:hanging="360"/>
      </w:pPr>
      <w:rPr>
        <w:rFonts w:ascii="Wingdings" w:hAnsi="Wingdings" w:hint="default"/>
      </w:rPr>
    </w:lvl>
    <w:lvl w:ilvl="6" w:tplc="FFFFFFFF" w:tentative="1">
      <w:start w:val="1"/>
      <w:numFmt w:val="bullet"/>
      <w:lvlText w:val=""/>
      <w:lvlJc w:val="left"/>
      <w:pPr>
        <w:ind w:left="3780" w:hanging="360"/>
      </w:pPr>
      <w:rPr>
        <w:rFonts w:ascii="Symbol" w:hAnsi="Symbol" w:hint="default"/>
      </w:rPr>
    </w:lvl>
    <w:lvl w:ilvl="7" w:tplc="FFFFFFFF" w:tentative="1">
      <w:start w:val="1"/>
      <w:numFmt w:val="bullet"/>
      <w:lvlText w:val="o"/>
      <w:lvlJc w:val="left"/>
      <w:pPr>
        <w:ind w:left="4500" w:hanging="360"/>
      </w:pPr>
      <w:rPr>
        <w:rFonts w:ascii="Courier New" w:hAnsi="Courier New" w:cs="Courier New" w:hint="default"/>
      </w:rPr>
    </w:lvl>
    <w:lvl w:ilvl="8" w:tplc="FFFFFFFF" w:tentative="1">
      <w:start w:val="1"/>
      <w:numFmt w:val="bullet"/>
      <w:lvlText w:val=""/>
      <w:lvlJc w:val="left"/>
      <w:pPr>
        <w:ind w:left="5220" w:hanging="360"/>
      </w:pPr>
      <w:rPr>
        <w:rFonts w:ascii="Wingdings" w:hAnsi="Wingdings" w:hint="default"/>
      </w:rPr>
    </w:lvl>
  </w:abstractNum>
  <w:abstractNum w:abstractNumId="150" w15:restartNumberingAfterBreak="0">
    <w:nsid w:val="788B2F5F"/>
    <w:multiLevelType w:val="hybridMultilevel"/>
    <w:tmpl w:val="5ABA21D6"/>
    <w:lvl w:ilvl="0" w:tplc="443AB1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9463D53"/>
    <w:multiLevelType w:val="hybridMultilevel"/>
    <w:tmpl w:val="92A09BF8"/>
    <w:lvl w:ilvl="0" w:tplc="1CD2FE64">
      <w:start w:val="1"/>
      <w:numFmt w:val="upperLetter"/>
      <w:lvlText w:val="%1."/>
      <w:lvlJc w:val="left"/>
      <w:pPr>
        <w:tabs>
          <w:tab w:val="num" w:pos="720"/>
        </w:tabs>
        <w:ind w:left="720" w:hanging="360"/>
      </w:pPr>
      <w:rPr>
        <w:b/>
        <w:bCs/>
      </w:rPr>
    </w:lvl>
    <w:lvl w:ilvl="1" w:tplc="BC20AF6A">
      <w:start w:val="1"/>
      <w:numFmt w:val="decimal"/>
      <w:lvlText w:val="%2."/>
      <w:lvlJc w:val="left"/>
      <w:pPr>
        <w:tabs>
          <w:tab w:val="num" w:pos="1440"/>
        </w:tabs>
        <w:ind w:left="1440" w:hanging="360"/>
      </w:pPr>
      <w:rPr>
        <w:b/>
        <w:bCs/>
      </w:rPr>
    </w:lvl>
    <w:lvl w:ilvl="2" w:tplc="3DA8E6CC" w:tentative="1">
      <w:start w:val="1"/>
      <w:numFmt w:val="upperLetter"/>
      <w:lvlText w:val="%3."/>
      <w:lvlJc w:val="left"/>
      <w:pPr>
        <w:tabs>
          <w:tab w:val="num" w:pos="2160"/>
        </w:tabs>
        <w:ind w:left="2160" w:hanging="360"/>
      </w:pPr>
    </w:lvl>
    <w:lvl w:ilvl="3" w:tplc="ACA81818" w:tentative="1">
      <w:start w:val="1"/>
      <w:numFmt w:val="upperLetter"/>
      <w:lvlText w:val="%4."/>
      <w:lvlJc w:val="left"/>
      <w:pPr>
        <w:tabs>
          <w:tab w:val="num" w:pos="2880"/>
        </w:tabs>
        <w:ind w:left="2880" w:hanging="360"/>
      </w:pPr>
    </w:lvl>
    <w:lvl w:ilvl="4" w:tplc="D8C48342" w:tentative="1">
      <w:start w:val="1"/>
      <w:numFmt w:val="upperLetter"/>
      <w:lvlText w:val="%5."/>
      <w:lvlJc w:val="left"/>
      <w:pPr>
        <w:tabs>
          <w:tab w:val="num" w:pos="3600"/>
        </w:tabs>
        <w:ind w:left="3600" w:hanging="360"/>
      </w:pPr>
    </w:lvl>
    <w:lvl w:ilvl="5" w:tplc="E09A0764" w:tentative="1">
      <w:start w:val="1"/>
      <w:numFmt w:val="upperLetter"/>
      <w:lvlText w:val="%6."/>
      <w:lvlJc w:val="left"/>
      <w:pPr>
        <w:tabs>
          <w:tab w:val="num" w:pos="4320"/>
        </w:tabs>
        <w:ind w:left="4320" w:hanging="360"/>
      </w:pPr>
    </w:lvl>
    <w:lvl w:ilvl="6" w:tplc="E65AAA4A" w:tentative="1">
      <w:start w:val="1"/>
      <w:numFmt w:val="upperLetter"/>
      <w:lvlText w:val="%7."/>
      <w:lvlJc w:val="left"/>
      <w:pPr>
        <w:tabs>
          <w:tab w:val="num" w:pos="5040"/>
        </w:tabs>
        <w:ind w:left="5040" w:hanging="360"/>
      </w:pPr>
    </w:lvl>
    <w:lvl w:ilvl="7" w:tplc="803CE016" w:tentative="1">
      <w:start w:val="1"/>
      <w:numFmt w:val="upperLetter"/>
      <w:lvlText w:val="%8."/>
      <w:lvlJc w:val="left"/>
      <w:pPr>
        <w:tabs>
          <w:tab w:val="num" w:pos="5760"/>
        </w:tabs>
        <w:ind w:left="5760" w:hanging="360"/>
      </w:pPr>
    </w:lvl>
    <w:lvl w:ilvl="8" w:tplc="35C40656" w:tentative="1">
      <w:start w:val="1"/>
      <w:numFmt w:val="upperLetter"/>
      <w:lvlText w:val="%9."/>
      <w:lvlJc w:val="left"/>
      <w:pPr>
        <w:tabs>
          <w:tab w:val="num" w:pos="6480"/>
        </w:tabs>
        <w:ind w:left="6480" w:hanging="360"/>
      </w:pPr>
    </w:lvl>
  </w:abstractNum>
  <w:abstractNum w:abstractNumId="152" w15:restartNumberingAfterBreak="0">
    <w:nsid w:val="7A753E72"/>
    <w:multiLevelType w:val="hybridMultilevel"/>
    <w:tmpl w:val="44A82E3E"/>
    <w:lvl w:ilvl="0" w:tplc="FFFFFFFF">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7BAA71D1"/>
    <w:multiLevelType w:val="hybridMultilevel"/>
    <w:tmpl w:val="AF5613C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4" w15:restartNumberingAfterBreak="0">
    <w:nsid w:val="7C04684E"/>
    <w:multiLevelType w:val="hybridMultilevel"/>
    <w:tmpl w:val="87E0129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7C4B0B62"/>
    <w:multiLevelType w:val="hybridMultilevel"/>
    <w:tmpl w:val="5C3E2A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7C8F6077"/>
    <w:multiLevelType w:val="hybridMultilevel"/>
    <w:tmpl w:val="1B2A74F2"/>
    <w:lvl w:ilvl="0" w:tplc="82349F04">
      <w:start w:val="1"/>
      <w:numFmt w:val="decimal"/>
      <w:lvlText w:val="%1."/>
      <w:lvlJc w:val="left"/>
      <w:pPr>
        <w:ind w:left="108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D962DCC"/>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58" w15:restartNumberingAfterBreak="0">
    <w:nsid w:val="7EAB2E43"/>
    <w:multiLevelType w:val="hybridMultilevel"/>
    <w:tmpl w:val="6D04D2A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15:restartNumberingAfterBreak="0">
    <w:nsid w:val="7EE20206"/>
    <w:multiLevelType w:val="hybridMultilevel"/>
    <w:tmpl w:val="0BB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F2629BA"/>
    <w:multiLevelType w:val="hybridMultilevel"/>
    <w:tmpl w:val="C5F4D9F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1" w15:restartNumberingAfterBreak="0">
    <w:nsid w:val="7FE41968"/>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16cid:durableId="1677003441">
    <w:abstractNumId w:val="113"/>
  </w:num>
  <w:num w:numId="2" w16cid:durableId="1134443734">
    <w:abstractNumId w:val="50"/>
  </w:num>
  <w:num w:numId="3" w16cid:durableId="871962240">
    <w:abstractNumId w:val="116"/>
  </w:num>
  <w:num w:numId="4" w16cid:durableId="92625961">
    <w:abstractNumId w:val="84"/>
  </w:num>
  <w:num w:numId="5" w16cid:durableId="1345936218">
    <w:abstractNumId w:val="87"/>
  </w:num>
  <w:num w:numId="6" w16cid:durableId="914824954">
    <w:abstractNumId w:val="31"/>
  </w:num>
  <w:num w:numId="7" w16cid:durableId="1044258464">
    <w:abstractNumId w:val="21"/>
  </w:num>
  <w:num w:numId="8" w16cid:durableId="84040046">
    <w:abstractNumId w:val="11"/>
  </w:num>
  <w:num w:numId="9" w16cid:durableId="1316762045">
    <w:abstractNumId w:val="129"/>
  </w:num>
  <w:num w:numId="10" w16cid:durableId="314648599">
    <w:abstractNumId w:val="42"/>
  </w:num>
  <w:num w:numId="11" w16cid:durableId="2095978655">
    <w:abstractNumId w:val="66"/>
  </w:num>
  <w:num w:numId="12" w16cid:durableId="716785273">
    <w:abstractNumId w:val="118"/>
  </w:num>
  <w:num w:numId="13" w16cid:durableId="1937400853">
    <w:abstractNumId w:val="99"/>
  </w:num>
  <w:num w:numId="14" w16cid:durableId="1251163993">
    <w:abstractNumId w:val="142"/>
  </w:num>
  <w:num w:numId="15" w16cid:durableId="384960855">
    <w:abstractNumId w:val="10"/>
  </w:num>
  <w:num w:numId="16" w16cid:durableId="91896118">
    <w:abstractNumId w:val="15"/>
  </w:num>
  <w:num w:numId="17" w16cid:durableId="306282403">
    <w:abstractNumId w:val="143"/>
  </w:num>
  <w:num w:numId="18" w16cid:durableId="386682741">
    <w:abstractNumId w:val="67"/>
  </w:num>
  <w:num w:numId="19" w16cid:durableId="1228611559">
    <w:abstractNumId w:val="30"/>
  </w:num>
  <w:num w:numId="20" w16cid:durableId="1476219287">
    <w:abstractNumId w:val="83"/>
  </w:num>
  <w:num w:numId="21" w16cid:durableId="1416897416">
    <w:abstractNumId w:val="114"/>
  </w:num>
  <w:num w:numId="22" w16cid:durableId="1186869049">
    <w:abstractNumId w:val="120"/>
  </w:num>
  <w:num w:numId="23" w16cid:durableId="630018681">
    <w:abstractNumId w:val="47"/>
  </w:num>
  <w:num w:numId="24" w16cid:durableId="175270403">
    <w:abstractNumId w:val="90"/>
  </w:num>
  <w:num w:numId="25" w16cid:durableId="661659167">
    <w:abstractNumId w:val="60"/>
  </w:num>
  <w:num w:numId="26" w16cid:durableId="325517317">
    <w:abstractNumId w:val="145"/>
  </w:num>
  <w:num w:numId="27" w16cid:durableId="1607997881">
    <w:abstractNumId w:val="69"/>
  </w:num>
  <w:num w:numId="28" w16cid:durableId="14494722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81621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675633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6959339">
    <w:abstractNumId w:val="161"/>
  </w:num>
  <w:num w:numId="32" w16cid:durableId="1907378583">
    <w:abstractNumId w:val="131"/>
  </w:num>
  <w:num w:numId="33" w16cid:durableId="332149887">
    <w:abstractNumId w:val="46"/>
  </w:num>
  <w:num w:numId="34" w16cid:durableId="1766732516">
    <w:abstractNumId w:val="3"/>
  </w:num>
  <w:num w:numId="35" w16cid:durableId="1221870509">
    <w:abstractNumId w:val="25"/>
  </w:num>
  <w:num w:numId="36" w16cid:durableId="1545554800">
    <w:abstractNumId w:val="107"/>
  </w:num>
  <w:num w:numId="37" w16cid:durableId="1412005345">
    <w:abstractNumId w:val="6"/>
  </w:num>
  <w:num w:numId="38" w16cid:durableId="475026167">
    <w:abstractNumId w:val="34"/>
  </w:num>
  <w:num w:numId="39" w16cid:durableId="1087381313">
    <w:abstractNumId w:val="81"/>
  </w:num>
  <w:num w:numId="40" w16cid:durableId="500433438">
    <w:abstractNumId w:val="112"/>
  </w:num>
  <w:num w:numId="41" w16cid:durableId="657996952">
    <w:abstractNumId w:val="115"/>
  </w:num>
  <w:num w:numId="42" w16cid:durableId="600257871">
    <w:abstractNumId w:val="101"/>
  </w:num>
  <w:num w:numId="43" w16cid:durableId="47531426">
    <w:abstractNumId w:val="40"/>
  </w:num>
  <w:num w:numId="44" w16cid:durableId="332995197">
    <w:abstractNumId w:val="137"/>
  </w:num>
  <w:num w:numId="45" w16cid:durableId="7953900">
    <w:abstractNumId w:val="127"/>
  </w:num>
  <w:num w:numId="46" w16cid:durableId="4136696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23180677">
    <w:abstractNumId w:val="157"/>
  </w:num>
  <w:num w:numId="48" w16cid:durableId="485323541">
    <w:abstractNumId w:val="61"/>
  </w:num>
  <w:num w:numId="49" w16cid:durableId="1140422591">
    <w:abstractNumId w:val="65"/>
  </w:num>
  <w:num w:numId="50" w16cid:durableId="393237078">
    <w:abstractNumId w:val="144"/>
  </w:num>
  <w:num w:numId="51" w16cid:durableId="41904055">
    <w:abstractNumId w:val="44"/>
  </w:num>
  <w:num w:numId="52" w16cid:durableId="160630589">
    <w:abstractNumId w:val="132"/>
  </w:num>
  <w:num w:numId="53" w16cid:durableId="2023510667">
    <w:abstractNumId w:val="122"/>
  </w:num>
  <w:num w:numId="54" w16cid:durableId="1067994586">
    <w:abstractNumId w:val="37"/>
  </w:num>
  <w:num w:numId="55" w16cid:durableId="668676444">
    <w:abstractNumId w:val="106"/>
  </w:num>
  <w:num w:numId="56" w16cid:durableId="1281500006">
    <w:abstractNumId w:val="63"/>
  </w:num>
  <w:num w:numId="57" w16cid:durableId="2061203112">
    <w:abstractNumId w:val="35"/>
  </w:num>
  <w:num w:numId="58" w16cid:durableId="1654722509">
    <w:abstractNumId w:val="147"/>
  </w:num>
  <w:num w:numId="59" w16cid:durableId="153893427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07020032">
    <w:abstractNumId w:val="29"/>
  </w:num>
  <w:num w:numId="61" w16cid:durableId="2013028747">
    <w:abstractNumId w:val="124"/>
  </w:num>
  <w:num w:numId="62" w16cid:durableId="59716648">
    <w:abstractNumId w:val="22"/>
  </w:num>
  <w:num w:numId="63" w16cid:durableId="1844976327">
    <w:abstractNumId w:val="148"/>
  </w:num>
  <w:num w:numId="64" w16cid:durableId="47455299">
    <w:abstractNumId w:val="72"/>
  </w:num>
  <w:num w:numId="65" w16cid:durableId="751439751">
    <w:abstractNumId w:val="98"/>
  </w:num>
  <w:num w:numId="66" w16cid:durableId="92675486">
    <w:abstractNumId w:val="76"/>
  </w:num>
  <w:num w:numId="67" w16cid:durableId="2041272797">
    <w:abstractNumId w:val="158"/>
  </w:num>
  <w:num w:numId="68" w16cid:durableId="392394594">
    <w:abstractNumId w:val="57"/>
  </w:num>
  <w:num w:numId="69" w16cid:durableId="1779909653">
    <w:abstractNumId w:val="59"/>
  </w:num>
  <w:num w:numId="70" w16cid:durableId="1893997092">
    <w:abstractNumId w:val="13"/>
  </w:num>
  <w:num w:numId="71" w16cid:durableId="888372876">
    <w:abstractNumId w:val="75"/>
  </w:num>
  <w:num w:numId="72" w16cid:durableId="1905413551">
    <w:abstractNumId w:val="39"/>
  </w:num>
  <w:num w:numId="73" w16cid:durableId="941304180">
    <w:abstractNumId w:val="1"/>
  </w:num>
  <w:num w:numId="74" w16cid:durableId="78900710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90371293">
    <w:abstractNumId w:val="86"/>
  </w:num>
  <w:num w:numId="76" w16cid:durableId="2008514148">
    <w:abstractNumId w:val="23"/>
  </w:num>
  <w:num w:numId="77" w16cid:durableId="1147698763">
    <w:abstractNumId w:val="96"/>
  </w:num>
  <w:num w:numId="78" w16cid:durableId="1414662244">
    <w:abstractNumId w:val="152"/>
  </w:num>
  <w:num w:numId="79" w16cid:durableId="1237470697">
    <w:abstractNumId w:val="54"/>
  </w:num>
  <w:num w:numId="80" w16cid:durableId="1826968883">
    <w:abstractNumId w:val="49"/>
  </w:num>
  <w:num w:numId="81" w16cid:durableId="1751804269">
    <w:abstractNumId w:val="105"/>
  </w:num>
  <w:num w:numId="82" w16cid:durableId="116140259">
    <w:abstractNumId w:val="73"/>
  </w:num>
  <w:num w:numId="83" w16cid:durableId="1432966560">
    <w:abstractNumId w:val="32"/>
  </w:num>
  <w:num w:numId="84" w16cid:durableId="2028213781">
    <w:abstractNumId w:val="93"/>
  </w:num>
  <w:num w:numId="85" w16cid:durableId="205725411">
    <w:abstractNumId w:val="91"/>
  </w:num>
  <w:num w:numId="86" w16cid:durableId="221067605">
    <w:abstractNumId w:val="51"/>
  </w:num>
  <w:num w:numId="87" w16cid:durableId="777600387">
    <w:abstractNumId w:val="17"/>
  </w:num>
  <w:num w:numId="88" w16cid:durableId="193425499">
    <w:abstractNumId w:val="53"/>
  </w:num>
  <w:num w:numId="89" w16cid:durableId="692193980">
    <w:abstractNumId w:val="136"/>
  </w:num>
  <w:num w:numId="90" w16cid:durableId="1612668995">
    <w:abstractNumId w:val="88"/>
  </w:num>
  <w:num w:numId="91" w16cid:durableId="1818455311">
    <w:abstractNumId w:val="62"/>
  </w:num>
  <w:num w:numId="92" w16cid:durableId="1293753816">
    <w:abstractNumId w:val="38"/>
  </w:num>
  <w:num w:numId="93" w16cid:durableId="1805930932">
    <w:abstractNumId w:val="155"/>
  </w:num>
  <w:num w:numId="94" w16cid:durableId="1799565013">
    <w:abstractNumId w:val="117"/>
  </w:num>
  <w:num w:numId="95" w16cid:durableId="355693644">
    <w:abstractNumId w:val="126"/>
  </w:num>
  <w:num w:numId="96" w16cid:durableId="1003513263">
    <w:abstractNumId w:val="154"/>
  </w:num>
  <w:num w:numId="97" w16cid:durableId="1807426405">
    <w:abstractNumId w:val="2"/>
  </w:num>
  <w:num w:numId="98" w16cid:durableId="1203253417">
    <w:abstractNumId w:val="7"/>
  </w:num>
  <w:num w:numId="99" w16cid:durableId="331643749">
    <w:abstractNumId w:val="20"/>
  </w:num>
  <w:num w:numId="100" w16cid:durableId="337970873">
    <w:abstractNumId w:val="36"/>
  </w:num>
  <w:num w:numId="101" w16cid:durableId="214246184">
    <w:abstractNumId w:val="92"/>
  </w:num>
  <w:num w:numId="102" w16cid:durableId="1180588473">
    <w:abstractNumId w:val="100"/>
  </w:num>
  <w:num w:numId="103" w16cid:durableId="146363355">
    <w:abstractNumId w:val="85"/>
  </w:num>
  <w:num w:numId="104" w16cid:durableId="1392847327">
    <w:abstractNumId w:val="134"/>
  </w:num>
  <w:num w:numId="105" w16cid:durableId="827982352">
    <w:abstractNumId w:val="108"/>
  </w:num>
  <w:num w:numId="106" w16cid:durableId="968703433">
    <w:abstractNumId w:val="156"/>
  </w:num>
  <w:num w:numId="107" w16cid:durableId="1951694401">
    <w:abstractNumId w:val="160"/>
  </w:num>
  <w:num w:numId="108" w16cid:durableId="1662930743">
    <w:abstractNumId w:val="71"/>
  </w:num>
  <w:num w:numId="109" w16cid:durableId="1302346077">
    <w:abstractNumId w:val="26"/>
  </w:num>
  <w:num w:numId="110" w16cid:durableId="880632475">
    <w:abstractNumId w:val="28"/>
  </w:num>
  <w:num w:numId="111" w16cid:durableId="1771656516">
    <w:abstractNumId w:val="78"/>
  </w:num>
  <w:num w:numId="112" w16cid:durableId="561216679">
    <w:abstractNumId w:val="153"/>
  </w:num>
  <w:num w:numId="113" w16cid:durableId="49118868">
    <w:abstractNumId w:val="80"/>
  </w:num>
  <w:num w:numId="114" w16cid:durableId="487015583">
    <w:abstractNumId w:val="138"/>
  </w:num>
  <w:num w:numId="115" w16cid:durableId="110058644">
    <w:abstractNumId w:val="123"/>
  </w:num>
  <w:num w:numId="116" w16cid:durableId="14579597">
    <w:abstractNumId w:val="19"/>
  </w:num>
  <w:num w:numId="117" w16cid:durableId="877006894">
    <w:abstractNumId w:val="111"/>
  </w:num>
  <w:num w:numId="118" w16cid:durableId="829836070">
    <w:abstractNumId w:val="64"/>
  </w:num>
  <w:num w:numId="119" w16cid:durableId="1647081582">
    <w:abstractNumId w:val="135"/>
  </w:num>
  <w:num w:numId="120" w16cid:durableId="769089336">
    <w:abstractNumId w:val="79"/>
  </w:num>
  <w:num w:numId="121" w16cid:durableId="493448289">
    <w:abstractNumId w:val="149"/>
  </w:num>
  <w:num w:numId="122" w16cid:durableId="1748072887">
    <w:abstractNumId w:val="121"/>
  </w:num>
  <w:num w:numId="123" w16cid:durableId="606043882">
    <w:abstractNumId w:val="56"/>
  </w:num>
  <w:num w:numId="124" w16cid:durableId="1750343637">
    <w:abstractNumId w:val="9"/>
  </w:num>
  <w:num w:numId="125" w16cid:durableId="1691031442">
    <w:abstractNumId w:val="141"/>
  </w:num>
  <w:num w:numId="126" w16cid:durableId="241961241">
    <w:abstractNumId w:val="151"/>
  </w:num>
  <w:num w:numId="127" w16cid:durableId="1049768451">
    <w:abstractNumId w:val="104"/>
  </w:num>
  <w:num w:numId="128" w16cid:durableId="1277446720">
    <w:abstractNumId w:val="102"/>
  </w:num>
  <w:num w:numId="129" w16cid:durableId="1027097359">
    <w:abstractNumId w:val="89"/>
  </w:num>
  <w:num w:numId="130" w16cid:durableId="1465805195">
    <w:abstractNumId w:val="125"/>
  </w:num>
  <w:num w:numId="131" w16cid:durableId="1386566756">
    <w:abstractNumId w:val="33"/>
  </w:num>
  <w:num w:numId="132" w16cid:durableId="1062867772">
    <w:abstractNumId w:val="130"/>
  </w:num>
  <w:num w:numId="133" w16cid:durableId="283999180">
    <w:abstractNumId w:val="128"/>
  </w:num>
  <w:num w:numId="134" w16cid:durableId="278537372">
    <w:abstractNumId w:val="12"/>
  </w:num>
  <w:num w:numId="135" w16cid:durableId="623542059">
    <w:abstractNumId w:val="119"/>
  </w:num>
  <w:num w:numId="136" w16cid:durableId="1736859528">
    <w:abstractNumId w:val="140"/>
  </w:num>
  <w:num w:numId="137" w16cid:durableId="1027801906">
    <w:abstractNumId w:val="109"/>
  </w:num>
  <w:num w:numId="138" w16cid:durableId="1236353448">
    <w:abstractNumId w:val="0"/>
  </w:num>
  <w:num w:numId="139" w16cid:durableId="396515471">
    <w:abstractNumId w:val="18"/>
  </w:num>
  <w:num w:numId="140" w16cid:durableId="160199096">
    <w:abstractNumId w:val="70"/>
  </w:num>
  <w:num w:numId="141" w16cid:durableId="1830094120">
    <w:abstractNumId w:val="4"/>
  </w:num>
  <w:num w:numId="142" w16cid:durableId="234776946">
    <w:abstractNumId w:val="14"/>
  </w:num>
  <w:num w:numId="143" w16cid:durableId="1167936913">
    <w:abstractNumId w:val="133"/>
  </w:num>
  <w:num w:numId="144" w16cid:durableId="243690399">
    <w:abstractNumId w:val="5"/>
  </w:num>
  <w:num w:numId="145" w16cid:durableId="1956012268">
    <w:abstractNumId w:val="139"/>
  </w:num>
  <w:num w:numId="146" w16cid:durableId="1098791888">
    <w:abstractNumId w:val="94"/>
  </w:num>
  <w:num w:numId="147" w16cid:durableId="1079518058">
    <w:abstractNumId w:val="48"/>
  </w:num>
  <w:num w:numId="148" w16cid:durableId="1016686925">
    <w:abstractNumId w:val="159"/>
  </w:num>
  <w:num w:numId="149" w16cid:durableId="2120369482">
    <w:abstractNumId w:val="8"/>
  </w:num>
  <w:num w:numId="150" w16cid:durableId="1393769944">
    <w:abstractNumId w:val="74"/>
  </w:num>
  <w:num w:numId="151" w16cid:durableId="1983148966">
    <w:abstractNumId w:val="27"/>
  </w:num>
  <w:num w:numId="152" w16cid:durableId="1991639185">
    <w:abstractNumId w:val="77"/>
  </w:num>
  <w:num w:numId="153" w16cid:durableId="1552351903">
    <w:abstractNumId w:val="24"/>
  </w:num>
  <w:num w:numId="154" w16cid:durableId="1020624319">
    <w:abstractNumId w:val="45"/>
  </w:num>
  <w:num w:numId="155" w16cid:durableId="1191796643">
    <w:abstractNumId w:val="68"/>
  </w:num>
  <w:num w:numId="156" w16cid:durableId="218983360">
    <w:abstractNumId w:val="150"/>
  </w:num>
  <w:num w:numId="157" w16cid:durableId="286936904">
    <w:abstractNumId w:val="58"/>
  </w:num>
  <w:num w:numId="158" w16cid:durableId="1700887593">
    <w:abstractNumId w:val="110"/>
  </w:num>
  <w:num w:numId="159" w16cid:durableId="419570425">
    <w:abstractNumId w:val="82"/>
  </w:num>
  <w:num w:numId="160" w16cid:durableId="1448233086">
    <w:abstractNumId w:val="16"/>
  </w:num>
  <w:num w:numId="161" w16cid:durableId="222257375">
    <w:abstractNumId w:val="43"/>
  </w:num>
  <w:num w:numId="162" w16cid:durableId="677000780">
    <w:abstractNumId w:val="95"/>
  </w:num>
  <w:num w:numId="163" w16cid:durableId="260262007">
    <w:abstractNumId w:val="103"/>
  </w:num>
  <w:num w:numId="164" w16cid:durableId="1242451312">
    <w:abstractNumId w:val="41"/>
  </w:num>
  <w:num w:numId="165" w16cid:durableId="693652209">
    <w:abstractNumId w:val="97"/>
  </w:num>
  <w:num w:numId="166" w16cid:durableId="841550842">
    <w:abstractNumId w:val="146"/>
  </w:num>
  <w:num w:numId="167" w16cid:durableId="25453388">
    <w:abstractNumId w:val="55"/>
  </w:num>
  <w:num w:numId="168" w16cid:durableId="1676615449">
    <w:abstractNumId w:val="52"/>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3B"/>
    <w:rsid w:val="00021CB4"/>
    <w:rsid w:val="00024B83"/>
    <w:rsid w:val="00031CC0"/>
    <w:rsid w:val="00033861"/>
    <w:rsid w:val="0004039D"/>
    <w:rsid w:val="000426D9"/>
    <w:rsid w:val="00042795"/>
    <w:rsid w:val="00045188"/>
    <w:rsid w:val="00045A82"/>
    <w:rsid w:val="00063D85"/>
    <w:rsid w:val="0006609C"/>
    <w:rsid w:val="00081245"/>
    <w:rsid w:val="0009008A"/>
    <w:rsid w:val="000A5D1F"/>
    <w:rsid w:val="000A6F0F"/>
    <w:rsid w:val="000C2F63"/>
    <w:rsid w:val="000C4EB1"/>
    <w:rsid w:val="000C6CC9"/>
    <w:rsid w:val="000D2421"/>
    <w:rsid w:val="000D6768"/>
    <w:rsid w:val="000D70A3"/>
    <w:rsid w:val="000D7FFC"/>
    <w:rsid w:val="000E058D"/>
    <w:rsid w:val="000E0732"/>
    <w:rsid w:val="000E4994"/>
    <w:rsid w:val="000E592D"/>
    <w:rsid w:val="000F2724"/>
    <w:rsid w:val="000F3D09"/>
    <w:rsid w:val="001125DA"/>
    <w:rsid w:val="00113E87"/>
    <w:rsid w:val="00120292"/>
    <w:rsid w:val="00122C6B"/>
    <w:rsid w:val="00124B2C"/>
    <w:rsid w:val="00124ECC"/>
    <w:rsid w:val="00130E83"/>
    <w:rsid w:val="001337C7"/>
    <w:rsid w:val="00133CF9"/>
    <w:rsid w:val="001356DB"/>
    <w:rsid w:val="00135FBC"/>
    <w:rsid w:val="001472D3"/>
    <w:rsid w:val="00151005"/>
    <w:rsid w:val="001603B6"/>
    <w:rsid w:val="00161FBA"/>
    <w:rsid w:val="00172D8F"/>
    <w:rsid w:val="00174671"/>
    <w:rsid w:val="00174999"/>
    <w:rsid w:val="00174AEE"/>
    <w:rsid w:val="00184B0C"/>
    <w:rsid w:val="001868FB"/>
    <w:rsid w:val="00186ECD"/>
    <w:rsid w:val="00191170"/>
    <w:rsid w:val="00192C3E"/>
    <w:rsid w:val="001A1857"/>
    <w:rsid w:val="001A2A9F"/>
    <w:rsid w:val="001A4749"/>
    <w:rsid w:val="001B3803"/>
    <w:rsid w:val="001C6E97"/>
    <w:rsid w:val="001D1758"/>
    <w:rsid w:val="001D17DA"/>
    <w:rsid w:val="001D44FC"/>
    <w:rsid w:val="001D496B"/>
    <w:rsid w:val="001D78AE"/>
    <w:rsid w:val="001D78C1"/>
    <w:rsid w:val="001D7AFC"/>
    <w:rsid w:val="001E0785"/>
    <w:rsid w:val="001E48A7"/>
    <w:rsid w:val="001E5090"/>
    <w:rsid w:val="001F0A8F"/>
    <w:rsid w:val="001F12D4"/>
    <w:rsid w:val="001F26DF"/>
    <w:rsid w:val="001F2EDA"/>
    <w:rsid w:val="001F59F4"/>
    <w:rsid w:val="0021166F"/>
    <w:rsid w:val="002168EF"/>
    <w:rsid w:val="002202F7"/>
    <w:rsid w:val="0023006B"/>
    <w:rsid w:val="00234A19"/>
    <w:rsid w:val="00247911"/>
    <w:rsid w:val="00250846"/>
    <w:rsid w:val="00251C04"/>
    <w:rsid w:val="002534BC"/>
    <w:rsid w:val="00253C8F"/>
    <w:rsid w:val="00254F22"/>
    <w:rsid w:val="0026113A"/>
    <w:rsid w:val="00261C68"/>
    <w:rsid w:val="00272316"/>
    <w:rsid w:val="00277CEB"/>
    <w:rsid w:val="002804C0"/>
    <w:rsid w:val="00290DC8"/>
    <w:rsid w:val="002A1828"/>
    <w:rsid w:val="002A50BA"/>
    <w:rsid w:val="002A6D28"/>
    <w:rsid w:val="002B12FB"/>
    <w:rsid w:val="002B7A28"/>
    <w:rsid w:val="002C21C2"/>
    <w:rsid w:val="002D6363"/>
    <w:rsid w:val="003046E4"/>
    <w:rsid w:val="00304C5D"/>
    <w:rsid w:val="003060CF"/>
    <w:rsid w:val="00317330"/>
    <w:rsid w:val="00317BC6"/>
    <w:rsid w:val="00323063"/>
    <w:rsid w:val="00325A4D"/>
    <w:rsid w:val="00325DD5"/>
    <w:rsid w:val="00330FD5"/>
    <w:rsid w:val="00335DF1"/>
    <w:rsid w:val="00341FD4"/>
    <w:rsid w:val="00343A8F"/>
    <w:rsid w:val="00357663"/>
    <w:rsid w:val="00362555"/>
    <w:rsid w:val="003638EB"/>
    <w:rsid w:val="00372A97"/>
    <w:rsid w:val="003748E2"/>
    <w:rsid w:val="003751BC"/>
    <w:rsid w:val="00376768"/>
    <w:rsid w:val="00381692"/>
    <w:rsid w:val="00387879"/>
    <w:rsid w:val="00392923"/>
    <w:rsid w:val="003930B5"/>
    <w:rsid w:val="00394A79"/>
    <w:rsid w:val="00395C6B"/>
    <w:rsid w:val="003A71E1"/>
    <w:rsid w:val="003B19D0"/>
    <w:rsid w:val="003C34B8"/>
    <w:rsid w:val="003C7783"/>
    <w:rsid w:val="003D1AB4"/>
    <w:rsid w:val="003D43BA"/>
    <w:rsid w:val="003E255C"/>
    <w:rsid w:val="003F444C"/>
    <w:rsid w:val="003F4C43"/>
    <w:rsid w:val="003F63A2"/>
    <w:rsid w:val="00401F86"/>
    <w:rsid w:val="00404468"/>
    <w:rsid w:val="00405765"/>
    <w:rsid w:val="00407AF4"/>
    <w:rsid w:val="00407F43"/>
    <w:rsid w:val="004129C6"/>
    <w:rsid w:val="00416563"/>
    <w:rsid w:val="00425458"/>
    <w:rsid w:val="00425AEA"/>
    <w:rsid w:val="004267C0"/>
    <w:rsid w:val="0043081D"/>
    <w:rsid w:val="00431452"/>
    <w:rsid w:val="0043459A"/>
    <w:rsid w:val="00435784"/>
    <w:rsid w:val="00442B21"/>
    <w:rsid w:val="00445990"/>
    <w:rsid w:val="00446665"/>
    <w:rsid w:val="00454D84"/>
    <w:rsid w:val="0046697F"/>
    <w:rsid w:val="00474344"/>
    <w:rsid w:val="004752C7"/>
    <w:rsid w:val="00475EC8"/>
    <w:rsid w:val="00477CBC"/>
    <w:rsid w:val="00481A41"/>
    <w:rsid w:val="00484731"/>
    <w:rsid w:val="00487D6D"/>
    <w:rsid w:val="00496202"/>
    <w:rsid w:val="004A2A35"/>
    <w:rsid w:val="004A3187"/>
    <w:rsid w:val="004A5961"/>
    <w:rsid w:val="004B64C5"/>
    <w:rsid w:val="004C1FD6"/>
    <w:rsid w:val="004C749D"/>
    <w:rsid w:val="004C7ADA"/>
    <w:rsid w:val="004D3D1C"/>
    <w:rsid w:val="004D4260"/>
    <w:rsid w:val="004D5594"/>
    <w:rsid w:val="004E3CA0"/>
    <w:rsid w:val="00504D49"/>
    <w:rsid w:val="00506F36"/>
    <w:rsid w:val="00513E24"/>
    <w:rsid w:val="00526AD8"/>
    <w:rsid w:val="0052707C"/>
    <w:rsid w:val="00537A27"/>
    <w:rsid w:val="005538F5"/>
    <w:rsid w:val="00553CF2"/>
    <w:rsid w:val="00557E62"/>
    <w:rsid w:val="0056025A"/>
    <w:rsid w:val="00572499"/>
    <w:rsid w:val="00573CA6"/>
    <w:rsid w:val="00574B65"/>
    <w:rsid w:val="00576123"/>
    <w:rsid w:val="00580E0B"/>
    <w:rsid w:val="005815A8"/>
    <w:rsid w:val="00587DBC"/>
    <w:rsid w:val="00587FED"/>
    <w:rsid w:val="00593BA8"/>
    <w:rsid w:val="005944F1"/>
    <w:rsid w:val="005947BE"/>
    <w:rsid w:val="00595AC7"/>
    <w:rsid w:val="00596350"/>
    <w:rsid w:val="00596BAB"/>
    <w:rsid w:val="005A2F6B"/>
    <w:rsid w:val="005A39FB"/>
    <w:rsid w:val="005A5AC4"/>
    <w:rsid w:val="005B62C3"/>
    <w:rsid w:val="005B68B1"/>
    <w:rsid w:val="005C2D31"/>
    <w:rsid w:val="005C6B1C"/>
    <w:rsid w:val="005C7DE2"/>
    <w:rsid w:val="005D0572"/>
    <w:rsid w:val="005D415A"/>
    <w:rsid w:val="005D4E8A"/>
    <w:rsid w:val="005D640F"/>
    <w:rsid w:val="005D72E9"/>
    <w:rsid w:val="005E3056"/>
    <w:rsid w:val="005E38DE"/>
    <w:rsid w:val="005E5DBF"/>
    <w:rsid w:val="005E7419"/>
    <w:rsid w:val="005F21DF"/>
    <w:rsid w:val="005F3B5E"/>
    <w:rsid w:val="005F79F5"/>
    <w:rsid w:val="00601BEE"/>
    <w:rsid w:val="00605D50"/>
    <w:rsid w:val="00614C1A"/>
    <w:rsid w:val="00621914"/>
    <w:rsid w:val="006244A4"/>
    <w:rsid w:val="00626E37"/>
    <w:rsid w:val="006375CF"/>
    <w:rsid w:val="00637642"/>
    <w:rsid w:val="0065290E"/>
    <w:rsid w:val="00657DF9"/>
    <w:rsid w:val="00660280"/>
    <w:rsid w:val="00662136"/>
    <w:rsid w:val="00673B66"/>
    <w:rsid w:val="00675EE3"/>
    <w:rsid w:val="00676296"/>
    <w:rsid w:val="0067742B"/>
    <w:rsid w:val="00684112"/>
    <w:rsid w:val="0068477C"/>
    <w:rsid w:val="006908CF"/>
    <w:rsid w:val="00694A4B"/>
    <w:rsid w:val="00697DC1"/>
    <w:rsid w:val="006A3309"/>
    <w:rsid w:val="006A3ED6"/>
    <w:rsid w:val="006A6338"/>
    <w:rsid w:val="006A7E06"/>
    <w:rsid w:val="006C402E"/>
    <w:rsid w:val="006D44DB"/>
    <w:rsid w:val="006D4C19"/>
    <w:rsid w:val="006D7ECD"/>
    <w:rsid w:val="006E5910"/>
    <w:rsid w:val="006F1C44"/>
    <w:rsid w:val="006F33C6"/>
    <w:rsid w:val="006F7CC6"/>
    <w:rsid w:val="007041C9"/>
    <w:rsid w:val="00707166"/>
    <w:rsid w:val="007074D3"/>
    <w:rsid w:val="00707D63"/>
    <w:rsid w:val="0071059E"/>
    <w:rsid w:val="00712F33"/>
    <w:rsid w:val="007264E7"/>
    <w:rsid w:val="00733114"/>
    <w:rsid w:val="00756235"/>
    <w:rsid w:val="00756A9E"/>
    <w:rsid w:val="00762137"/>
    <w:rsid w:val="00762A6E"/>
    <w:rsid w:val="007650FE"/>
    <w:rsid w:val="00776AB8"/>
    <w:rsid w:val="00781345"/>
    <w:rsid w:val="00783050"/>
    <w:rsid w:val="00793B97"/>
    <w:rsid w:val="007B5979"/>
    <w:rsid w:val="007C5DC4"/>
    <w:rsid w:val="007D2D4A"/>
    <w:rsid w:val="007F25A3"/>
    <w:rsid w:val="007F2E58"/>
    <w:rsid w:val="007F563D"/>
    <w:rsid w:val="007F769A"/>
    <w:rsid w:val="0081269D"/>
    <w:rsid w:val="00812C4F"/>
    <w:rsid w:val="00816126"/>
    <w:rsid w:val="008174AD"/>
    <w:rsid w:val="0082516D"/>
    <w:rsid w:val="00826A6B"/>
    <w:rsid w:val="00832ADD"/>
    <w:rsid w:val="00833213"/>
    <w:rsid w:val="00837A86"/>
    <w:rsid w:val="00840615"/>
    <w:rsid w:val="0084256E"/>
    <w:rsid w:val="008425B0"/>
    <w:rsid w:val="00843A61"/>
    <w:rsid w:val="00855B1A"/>
    <w:rsid w:val="0086426B"/>
    <w:rsid w:val="00872B29"/>
    <w:rsid w:val="00873C95"/>
    <w:rsid w:val="00875D0D"/>
    <w:rsid w:val="0088333F"/>
    <w:rsid w:val="00884B2E"/>
    <w:rsid w:val="0088697B"/>
    <w:rsid w:val="008970F6"/>
    <w:rsid w:val="00897130"/>
    <w:rsid w:val="008A0FF3"/>
    <w:rsid w:val="008A213B"/>
    <w:rsid w:val="008A50F9"/>
    <w:rsid w:val="008B2D77"/>
    <w:rsid w:val="008B51FF"/>
    <w:rsid w:val="008C14FF"/>
    <w:rsid w:val="008D0648"/>
    <w:rsid w:val="008D426F"/>
    <w:rsid w:val="008E56CB"/>
    <w:rsid w:val="008E593A"/>
    <w:rsid w:val="008E6BF9"/>
    <w:rsid w:val="008E73A6"/>
    <w:rsid w:val="00902237"/>
    <w:rsid w:val="00910C63"/>
    <w:rsid w:val="0091131B"/>
    <w:rsid w:val="00912847"/>
    <w:rsid w:val="009303C5"/>
    <w:rsid w:val="00930D54"/>
    <w:rsid w:val="00937997"/>
    <w:rsid w:val="00940C54"/>
    <w:rsid w:val="00941C21"/>
    <w:rsid w:val="009473AD"/>
    <w:rsid w:val="009508F3"/>
    <w:rsid w:val="009529C5"/>
    <w:rsid w:val="00953EAD"/>
    <w:rsid w:val="00961DE5"/>
    <w:rsid w:val="009642D1"/>
    <w:rsid w:val="00967003"/>
    <w:rsid w:val="00972BD0"/>
    <w:rsid w:val="009859E7"/>
    <w:rsid w:val="009A1DE7"/>
    <w:rsid w:val="009B0FC8"/>
    <w:rsid w:val="009B344D"/>
    <w:rsid w:val="009C6273"/>
    <w:rsid w:val="009C6855"/>
    <w:rsid w:val="009C7018"/>
    <w:rsid w:val="009D3E7C"/>
    <w:rsid w:val="009D5A5E"/>
    <w:rsid w:val="009E5EFD"/>
    <w:rsid w:val="009E678B"/>
    <w:rsid w:val="009F69FA"/>
    <w:rsid w:val="00A01693"/>
    <w:rsid w:val="00A03270"/>
    <w:rsid w:val="00A045FE"/>
    <w:rsid w:val="00A0461D"/>
    <w:rsid w:val="00A0596B"/>
    <w:rsid w:val="00A05E80"/>
    <w:rsid w:val="00A20A27"/>
    <w:rsid w:val="00A21C07"/>
    <w:rsid w:val="00A30FFA"/>
    <w:rsid w:val="00A3320E"/>
    <w:rsid w:val="00A37B2A"/>
    <w:rsid w:val="00A41C21"/>
    <w:rsid w:val="00A426CA"/>
    <w:rsid w:val="00A43646"/>
    <w:rsid w:val="00A46FB0"/>
    <w:rsid w:val="00A50F98"/>
    <w:rsid w:val="00A52008"/>
    <w:rsid w:val="00A52E84"/>
    <w:rsid w:val="00A53E70"/>
    <w:rsid w:val="00A64C31"/>
    <w:rsid w:val="00A66ABB"/>
    <w:rsid w:val="00A67339"/>
    <w:rsid w:val="00A70342"/>
    <w:rsid w:val="00A90B76"/>
    <w:rsid w:val="00A939B0"/>
    <w:rsid w:val="00AA67D2"/>
    <w:rsid w:val="00AA6AB3"/>
    <w:rsid w:val="00AB2B67"/>
    <w:rsid w:val="00AB7939"/>
    <w:rsid w:val="00AC006A"/>
    <w:rsid w:val="00AC2560"/>
    <w:rsid w:val="00AC2F2A"/>
    <w:rsid w:val="00AC3C8E"/>
    <w:rsid w:val="00AD6DEA"/>
    <w:rsid w:val="00AE36C6"/>
    <w:rsid w:val="00AE42D7"/>
    <w:rsid w:val="00AE62A2"/>
    <w:rsid w:val="00AE7684"/>
    <w:rsid w:val="00AF06A0"/>
    <w:rsid w:val="00AF6C58"/>
    <w:rsid w:val="00B006D6"/>
    <w:rsid w:val="00B0456B"/>
    <w:rsid w:val="00B110DD"/>
    <w:rsid w:val="00B13CBD"/>
    <w:rsid w:val="00B1426A"/>
    <w:rsid w:val="00B22D90"/>
    <w:rsid w:val="00B23B6D"/>
    <w:rsid w:val="00B24CE5"/>
    <w:rsid w:val="00B3072B"/>
    <w:rsid w:val="00B33D9B"/>
    <w:rsid w:val="00B36E3D"/>
    <w:rsid w:val="00B40D9B"/>
    <w:rsid w:val="00B42C69"/>
    <w:rsid w:val="00B5107E"/>
    <w:rsid w:val="00B521EA"/>
    <w:rsid w:val="00B52693"/>
    <w:rsid w:val="00B536C6"/>
    <w:rsid w:val="00B57D8B"/>
    <w:rsid w:val="00B61DC0"/>
    <w:rsid w:val="00B622B7"/>
    <w:rsid w:val="00B629CF"/>
    <w:rsid w:val="00B6486F"/>
    <w:rsid w:val="00B6758E"/>
    <w:rsid w:val="00B71D90"/>
    <w:rsid w:val="00B74060"/>
    <w:rsid w:val="00B77AF1"/>
    <w:rsid w:val="00B77AF4"/>
    <w:rsid w:val="00B86C96"/>
    <w:rsid w:val="00B872B5"/>
    <w:rsid w:val="00B87558"/>
    <w:rsid w:val="00BA689E"/>
    <w:rsid w:val="00BB0E05"/>
    <w:rsid w:val="00BB35F5"/>
    <w:rsid w:val="00BB6486"/>
    <w:rsid w:val="00BC1F55"/>
    <w:rsid w:val="00BC2ABE"/>
    <w:rsid w:val="00BC6868"/>
    <w:rsid w:val="00BD21D4"/>
    <w:rsid w:val="00BE7A88"/>
    <w:rsid w:val="00BE7E18"/>
    <w:rsid w:val="00BF5438"/>
    <w:rsid w:val="00BF5651"/>
    <w:rsid w:val="00C01B8C"/>
    <w:rsid w:val="00C02AE8"/>
    <w:rsid w:val="00C0452F"/>
    <w:rsid w:val="00C125CF"/>
    <w:rsid w:val="00C2272C"/>
    <w:rsid w:val="00C22C2A"/>
    <w:rsid w:val="00C303B2"/>
    <w:rsid w:val="00C34309"/>
    <w:rsid w:val="00C40B81"/>
    <w:rsid w:val="00C4444C"/>
    <w:rsid w:val="00C468D9"/>
    <w:rsid w:val="00C51D1D"/>
    <w:rsid w:val="00C524C8"/>
    <w:rsid w:val="00C553C5"/>
    <w:rsid w:val="00C76612"/>
    <w:rsid w:val="00C81E54"/>
    <w:rsid w:val="00C831AA"/>
    <w:rsid w:val="00C83A5B"/>
    <w:rsid w:val="00C94FAB"/>
    <w:rsid w:val="00C9549C"/>
    <w:rsid w:val="00CA0DE6"/>
    <w:rsid w:val="00CB4983"/>
    <w:rsid w:val="00CB5B32"/>
    <w:rsid w:val="00CB6C16"/>
    <w:rsid w:val="00CC01CF"/>
    <w:rsid w:val="00CC45BC"/>
    <w:rsid w:val="00CD3428"/>
    <w:rsid w:val="00CD419D"/>
    <w:rsid w:val="00CF34F0"/>
    <w:rsid w:val="00D07C1E"/>
    <w:rsid w:val="00D15973"/>
    <w:rsid w:val="00D160F4"/>
    <w:rsid w:val="00D16799"/>
    <w:rsid w:val="00D231B0"/>
    <w:rsid w:val="00D23890"/>
    <w:rsid w:val="00D2666D"/>
    <w:rsid w:val="00D26E65"/>
    <w:rsid w:val="00D27223"/>
    <w:rsid w:val="00D331AD"/>
    <w:rsid w:val="00D336FE"/>
    <w:rsid w:val="00D34A55"/>
    <w:rsid w:val="00D42C5A"/>
    <w:rsid w:val="00D44544"/>
    <w:rsid w:val="00D506A7"/>
    <w:rsid w:val="00D534EE"/>
    <w:rsid w:val="00D73216"/>
    <w:rsid w:val="00D74918"/>
    <w:rsid w:val="00D74E25"/>
    <w:rsid w:val="00D755BA"/>
    <w:rsid w:val="00D77396"/>
    <w:rsid w:val="00D800B3"/>
    <w:rsid w:val="00D8231F"/>
    <w:rsid w:val="00D8294A"/>
    <w:rsid w:val="00D84E92"/>
    <w:rsid w:val="00D85C85"/>
    <w:rsid w:val="00D86EA6"/>
    <w:rsid w:val="00DA41D3"/>
    <w:rsid w:val="00DA4A35"/>
    <w:rsid w:val="00DA55E0"/>
    <w:rsid w:val="00DC277F"/>
    <w:rsid w:val="00DD173F"/>
    <w:rsid w:val="00DD6D3B"/>
    <w:rsid w:val="00DE0822"/>
    <w:rsid w:val="00DE0D70"/>
    <w:rsid w:val="00DE3402"/>
    <w:rsid w:val="00DE69BA"/>
    <w:rsid w:val="00DF6B13"/>
    <w:rsid w:val="00E01522"/>
    <w:rsid w:val="00E015AE"/>
    <w:rsid w:val="00E048C2"/>
    <w:rsid w:val="00E05628"/>
    <w:rsid w:val="00E065B7"/>
    <w:rsid w:val="00E07E85"/>
    <w:rsid w:val="00E105DF"/>
    <w:rsid w:val="00E10B35"/>
    <w:rsid w:val="00E31134"/>
    <w:rsid w:val="00E34A34"/>
    <w:rsid w:val="00E35410"/>
    <w:rsid w:val="00E37A7E"/>
    <w:rsid w:val="00E560A3"/>
    <w:rsid w:val="00E563B8"/>
    <w:rsid w:val="00E618C4"/>
    <w:rsid w:val="00E714AF"/>
    <w:rsid w:val="00E715B8"/>
    <w:rsid w:val="00E71A8D"/>
    <w:rsid w:val="00E745C2"/>
    <w:rsid w:val="00E76DB1"/>
    <w:rsid w:val="00E80A35"/>
    <w:rsid w:val="00E80A68"/>
    <w:rsid w:val="00E9387B"/>
    <w:rsid w:val="00EB07D3"/>
    <w:rsid w:val="00EB1DEC"/>
    <w:rsid w:val="00EB2502"/>
    <w:rsid w:val="00EB55DB"/>
    <w:rsid w:val="00EB6949"/>
    <w:rsid w:val="00EB769D"/>
    <w:rsid w:val="00EC114D"/>
    <w:rsid w:val="00EC3DF9"/>
    <w:rsid w:val="00ED339A"/>
    <w:rsid w:val="00EE1A18"/>
    <w:rsid w:val="00EE2AFE"/>
    <w:rsid w:val="00EE2BC3"/>
    <w:rsid w:val="00EE3E5C"/>
    <w:rsid w:val="00EE4BD6"/>
    <w:rsid w:val="00EF0DEC"/>
    <w:rsid w:val="00EF587A"/>
    <w:rsid w:val="00EF6061"/>
    <w:rsid w:val="00F020ED"/>
    <w:rsid w:val="00F142A7"/>
    <w:rsid w:val="00F14D67"/>
    <w:rsid w:val="00F15225"/>
    <w:rsid w:val="00F17274"/>
    <w:rsid w:val="00F3166B"/>
    <w:rsid w:val="00F34999"/>
    <w:rsid w:val="00F37181"/>
    <w:rsid w:val="00F46E06"/>
    <w:rsid w:val="00F47D1F"/>
    <w:rsid w:val="00F514DD"/>
    <w:rsid w:val="00F57732"/>
    <w:rsid w:val="00F62955"/>
    <w:rsid w:val="00F640A4"/>
    <w:rsid w:val="00F73002"/>
    <w:rsid w:val="00F763F6"/>
    <w:rsid w:val="00F77313"/>
    <w:rsid w:val="00F819D1"/>
    <w:rsid w:val="00F82A39"/>
    <w:rsid w:val="00F91ADF"/>
    <w:rsid w:val="00F976D7"/>
    <w:rsid w:val="00F97A1E"/>
    <w:rsid w:val="00FC1834"/>
    <w:rsid w:val="00FC1A9D"/>
    <w:rsid w:val="00FC522C"/>
    <w:rsid w:val="00FD0A8D"/>
    <w:rsid w:val="00FD6025"/>
    <w:rsid w:val="00FE171B"/>
    <w:rsid w:val="00FE6BD7"/>
    <w:rsid w:val="00FF4D51"/>
    <w:rsid w:val="00FF6EC3"/>
    <w:rsid w:val="00FF7C09"/>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B877F"/>
  <w15:docId w15:val="{4A2A8FC9-A476-430B-9B8E-753DF94A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560A3"/>
    <w:pPr>
      <w:spacing w:after="160"/>
    </w:pPr>
    <w:rPr>
      <w:rFonts w:ascii="Arial" w:eastAsia="Arial" w:hAnsi="Arial" w:cs="Arial"/>
      <w:sz w:val="22"/>
      <w:szCs w:val="24"/>
    </w:rPr>
  </w:style>
  <w:style w:type="paragraph" w:styleId="Heading1">
    <w:name w:val="heading 1"/>
    <w:next w:val="Normal"/>
    <w:link w:val="Heading1Char"/>
    <w:uiPriority w:val="9"/>
    <w:qFormat/>
    <w:rsid w:val="00D231B0"/>
    <w:pPr>
      <w:keepNext/>
      <w:spacing w:after="120"/>
      <w:outlineLvl w:val="0"/>
    </w:pPr>
    <w:rPr>
      <w:rFonts w:ascii="Arial" w:eastAsia="Arial" w:hAnsi="Arial" w:cs="Arial"/>
      <w:b/>
      <w:bCs/>
      <w:color w:val="000000" w:themeColor="text1"/>
      <w:kern w:val="32"/>
      <w:sz w:val="44"/>
      <w:szCs w:val="32"/>
    </w:rPr>
  </w:style>
  <w:style w:type="paragraph" w:styleId="Heading2">
    <w:name w:val="heading 2"/>
    <w:next w:val="Normal"/>
    <w:link w:val="Heading2Char"/>
    <w:uiPriority w:val="9"/>
    <w:unhideWhenUsed/>
    <w:qFormat/>
    <w:rsid w:val="00776AB8"/>
    <w:pPr>
      <w:keepNext/>
      <w:keepLines/>
      <w:numPr>
        <w:numId w:val="27"/>
      </w:numPr>
      <w:spacing w:before="480" w:after="120"/>
      <w:ind w:left="432" w:hanging="432"/>
      <w:outlineLvl w:val="1"/>
    </w:pPr>
    <w:rPr>
      <w:rFonts w:ascii="Arial" w:eastAsiaTheme="majorEastAsia" w:hAnsi="Arial" w:cs="Arial"/>
      <w:b/>
      <w:color w:val="000000" w:themeColor="text1"/>
      <w:sz w:val="36"/>
      <w:szCs w:val="36"/>
    </w:rPr>
  </w:style>
  <w:style w:type="paragraph" w:styleId="Heading3">
    <w:name w:val="heading 3"/>
    <w:basedOn w:val="Heading2"/>
    <w:next w:val="Normal"/>
    <w:link w:val="Heading3Char"/>
    <w:uiPriority w:val="9"/>
    <w:unhideWhenUsed/>
    <w:qFormat/>
    <w:rsid w:val="00776AB8"/>
    <w:pPr>
      <w:numPr>
        <w:ilvl w:val="1"/>
      </w:numPr>
      <w:ind w:left="576" w:hanging="576"/>
      <w:outlineLvl w:val="2"/>
    </w:pPr>
    <w:rPr>
      <w:sz w:val="28"/>
      <w:szCs w:val="28"/>
    </w:rPr>
  </w:style>
  <w:style w:type="paragraph" w:styleId="Heading4">
    <w:name w:val="heading 4"/>
    <w:basedOn w:val="Normal"/>
    <w:next w:val="Normal"/>
    <w:link w:val="Heading4Char"/>
    <w:uiPriority w:val="9"/>
    <w:unhideWhenUsed/>
    <w:qFormat/>
    <w:rsid w:val="00D231B0"/>
    <w:pPr>
      <w:keepNext/>
      <w:keepLines/>
      <w:spacing w:before="360" w:after="12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rsid w:val="00FF7C09"/>
    <w:pPr>
      <w:keepNext/>
      <w:keepLines/>
      <w:spacing w:before="40" w:after="240"/>
      <w:outlineLvl w:val="4"/>
    </w:pPr>
    <w:rPr>
      <w:rFonts w:eastAsiaTheme="majorEastAsia"/>
      <w:b/>
      <w:sz w:val="32"/>
    </w:rPr>
  </w:style>
  <w:style w:type="paragraph" w:styleId="Heading6">
    <w:name w:val="heading 6"/>
    <w:basedOn w:val="Normal"/>
    <w:next w:val="Normal"/>
    <w:rsid w:val="00EF7B96"/>
    <w:pPr>
      <w:spacing w:before="24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6AB8"/>
    <w:rPr>
      <w:rFonts w:ascii="Arial" w:eastAsiaTheme="majorEastAsia" w:hAnsi="Arial" w:cs="Arial"/>
      <w:b/>
      <w:color w:val="000000" w:themeColor="text1"/>
      <w:sz w:val="36"/>
      <w:szCs w:val="36"/>
    </w:rPr>
  </w:style>
  <w:style w:type="character" w:customStyle="1" w:styleId="Heading3Char">
    <w:name w:val="Heading 3 Char"/>
    <w:basedOn w:val="DefaultParagraphFont"/>
    <w:link w:val="Heading3"/>
    <w:uiPriority w:val="9"/>
    <w:rsid w:val="00776AB8"/>
    <w:rPr>
      <w:rFonts w:ascii="Arial" w:eastAsiaTheme="majorEastAsia" w:hAnsi="Arial" w:cs="Arial"/>
      <w:b/>
      <w:color w:val="000000" w:themeColor="text1"/>
      <w:sz w:val="28"/>
      <w:szCs w:val="28"/>
    </w:rPr>
  </w:style>
  <w:style w:type="character" w:customStyle="1" w:styleId="Heading5Char">
    <w:name w:val="Heading 5 Char"/>
    <w:basedOn w:val="DefaultParagraphFont"/>
    <w:link w:val="Heading5"/>
    <w:rsid w:val="00FF7C09"/>
    <w:rPr>
      <w:rFonts w:ascii="Arial" w:eastAsiaTheme="majorEastAsia" w:hAnsi="Arial" w:cs="Arial"/>
      <w:b/>
      <w:sz w:val="32"/>
      <w:szCs w:val="24"/>
    </w:rPr>
  </w:style>
  <w:style w:type="paragraph" w:customStyle="1" w:styleId="MainTitle">
    <w:name w:val="Main Title"/>
    <w:basedOn w:val="Normal"/>
    <w:pPr>
      <w:spacing w:before="4120"/>
    </w:pPr>
    <w:rPr>
      <w:b/>
      <w:color w:val="CC0000"/>
      <w:sz w:val="64"/>
    </w:rPr>
  </w:style>
  <w:style w:type="paragraph" w:customStyle="1" w:styleId="SubTitle">
    <w:name w:val="Sub Title"/>
    <w:basedOn w:val="Normal"/>
    <w:rPr>
      <w:b/>
      <w:color w:val="666666"/>
      <w:sz w:val="40"/>
    </w:rPr>
  </w:style>
  <w:style w:type="character" w:customStyle="1" w:styleId="CoverPageProperty">
    <w:name w:val="Cover Page Property"/>
    <w:rPr>
      <w:b/>
      <w:color w:val="666666"/>
      <w:sz w:val="18"/>
    </w:rPr>
  </w:style>
  <w:style w:type="character" w:customStyle="1" w:styleId="BreadCrumbHeader">
    <w:name w:val="Bread Crumb Header"/>
    <w:rPr>
      <w:b/>
      <w:i/>
      <w:color w:val="808080"/>
      <w:sz w:val="18"/>
    </w:rPr>
  </w:style>
  <w:style w:type="character" w:customStyle="1" w:styleId="Description">
    <w:name w:val="Description"/>
    <w:rPr>
      <w:sz w:val="16"/>
    </w:rPr>
  </w:style>
  <w:style w:type="character" w:customStyle="1" w:styleId="DescriptionInTable">
    <w:name w:val="DescriptionInTable"/>
    <w:rPr>
      <w:i/>
      <w:color w:val="808080"/>
      <w:sz w:val="16"/>
    </w:rPr>
  </w:style>
  <w:style w:type="character" w:customStyle="1" w:styleId="Table-Default">
    <w:name w:val="Table - Default"/>
    <w:rPr>
      <w:b w:val="0"/>
      <w:sz w:val="16"/>
    </w:rPr>
  </w:style>
  <w:style w:type="character" w:customStyle="1" w:styleId="Table-Header">
    <w:name w:val="Table - Header"/>
    <w:rPr>
      <w:b/>
      <w:sz w:val="16"/>
    </w:rPr>
  </w:style>
  <w:style w:type="character" w:customStyle="1" w:styleId="Table-Names">
    <w:name w:val="Table - Names"/>
    <w:rPr>
      <w:b/>
      <w:sz w:val="16"/>
    </w:rPr>
  </w:style>
  <w:style w:type="paragraph" w:customStyle="1" w:styleId="BlockTitleParagraph">
    <w:name w:val="Block Title Paragraph"/>
    <w:pPr>
      <w:keepNext/>
      <w:pBdr>
        <w:bottom w:val="single" w:sz="2" w:space="0" w:color="808080"/>
      </w:pBdr>
      <w:spacing w:before="240" w:after="240"/>
    </w:pPr>
    <w:rPr>
      <w:rFonts w:ascii="Arial" w:eastAsia="Arial" w:hAnsi="Arial" w:cs="Arial"/>
      <w:b/>
      <w:color w:val="808080"/>
    </w:rPr>
  </w:style>
  <w:style w:type="character" w:customStyle="1" w:styleId="ProjectName">
    <w:name w:val="Project Name"/>
    <w:rPr>
      <w:b/>
      <w:sz w:val="40"/>
    </w:rPr>
  </w:style>
  <w:style w:type="character" w:customStyle="1" w:styleId="DatabaseList">
    <w:name w:val="Database List"/>
    <w:rPr>
      <w:b/>
      <w:i/>
      <w:sz w:val="28"/>
    </w:rPr>
  </w:style>
  <w:style w:type="character" w:customStyle="1" w:styleId="Details">
    <w:name w:val="Details"/>
    <w:rPr>
      <w:b/>
      <w:sz w:val="24"/>
    </w:rPr>
  </w:style>
  <w:style w:type="character" w:customStyle="1" w:styleId="ScriptNormal">
    <w:name w:val="Script.Normal"/>
    <w:rPr>
      <w:rFonts w:ascii="Courier New" w:eastAsia="Courier New" w:hAnsi="Courier New" w:cs="Courier New"/>
      <w:sz w:val="16"/>
    </w:rPr>
  </w:style>
  <w:style w:type="character" w:customStyle="1" w:styleId="ScriptComment">
    <w:name w:val="Script.Comment"/>
    <w:rPr>
      <w:rFonts w:ascii="Courier New" w:eastAsia="Courier New" w:hAnsi="Courier New" w:cs="Courier New"/>
      <w:color w:val="008000"/>
      <w:sz w:val="16"/>
    </w:rPr>
  </w:style>
  <w:style w:type="character" w:customStyle="1" w:styleId="ScriptOperator">
    <w:name w:val="Script.Operator"/>
    <w:rPr>
      <w:rFonts w:ascii="Courier New" w:eastAsia="Courier New" w:hAnsi="Courier New" w:cs="Courier New"/>
      <w:color w:val="808080"/>
      <w:sz w:val="16"/>
    </w:rPr>
  </w:style>
  <w:style w:type="character" w:customStyle="1" w:styleId="ScriptKeyword">
    <w:name w:val="Script.Keyword"/>
    <w:rPr>
      <w:rFonts w:ascii="Courier New" w:eastAsia="Courier New" w:hAnsi="Courier New" w:cs="Courier New"/>
      <w:color w:val="0000FF"/>
      <w:sz w:val="16"/>
    </w:rPr>
  </w:style>
  <w:style w:type="character" w:customStyle="1" w:styleId="ScriptFunction">
    <w:name w:val="Script.Function"/>
    <w:rPr>
      <w:rFonts w:ascii="Courier New" w:eastAsia="Courier New" w:hAnsi="Courier New" w:cs="Courier New"/>
      <w:color w:val="FF00FF"/>
      <w:sz w:val="16"/>
    </w:rPr>
  </w:style>
  <w:style w:type="character" w:customStyle="1" w:styleId="ScriptSystemView">
    <w:name w:val="Script.SystemView"/>
    <w:rPr>
      <w:rFonts w:ascii="Courier New" w:eastAsia="Courier New" w:hAnsi="Courier New" w:cs="Courier New"/>
      <w:color w:val="0000FF"/>
      <w:sz w:val="16"/>
    </w:rPr>
  </w:style>
  <w:style w:type="character" w:customStyle="1" w:styleId="ScriptString">
    <w:name w:val="Script.String"/>
    <w:rPr>
      <w:rFonts w:ascii="Courier New" w:eastAsia="Courier New" w:hAnsi="Courier New" w:cs="Courier New"/>
      <w:color w:val="FF4500"/>
      <w:sz w:val="16"/>
    </w:rPr>
  </w:style>
  <w:style w:type="character" w:customStyle="1" w:styleId="ScriptStoredProcedure">
    <w:name w:val="Script.StoredProcedure"/>
    <w:rPr>
      <w:rFonts w:ascii="Courier New" w:eastAsia="Courier New" w:hAnsi="Courier New" w:cs="Courier New"/>
      <w:color w:val="8B0000"/>
      <w:sz w:val="16"/>
    </w:rPr>
  </w:style>
  <w:style w:type="paragraph" w:styleId="TOC1">
    <w:name w:val="toc 1"/>
    <w:basedOn w:val="Normal"/>
    <w:next w:val="Normal"/>
    <w:autoRedefine/>
    <w:uiPriority w:val="39"/>
    <w:qFormat/>
    <w:rsid w:val="005E3056"/>
    <w:pPr>
      <w:tabs>
        <w:tab w:val="left" w:pos="720"/>
        <w:tab w:val="right" w:leader="dot" w:pos="10790"/>
      </w:tabs>
      <w:spacing w:before="120"/>
      <w:ind w:left="360" w:hanging="360"/>
    </w:pPr>
    <w:rPr>
      <w:color w:val="000000" w:themeColor="text1"/>
      <w:sz w:val="28"/>
    </w:rPr>
  </w:style>
  <w:style w:type="character" w:styleId="Hyperlink">
    <w:name w:val="Hyperlink"/>
    <w:basedOn w:val="DefaultParagraphFont"/>
    <w:uiPriority w:val="99"/>
    <w:rsid w:val="00EF7B96"/>
    <w:rPr>
      <w:color w:val="0000FF"/>
      <w:u w:val="single"/>
    </w:rPr>
  </w:style>
  <w:style w:type="paragraph" w:styleId="TOC6">
    <w:name w:val="toc 6"/>
    <w:basedOn w:val="Normal"/>
    <w:next w:val="Normal"/>
    <w:autoRedefine/>
    <w:uiPriority w:val="39"/>
    <w:rsid w:val="00805BCE"/>
    <w:pPr>
      <w:ind w:left="1200"/>
    </w:pPr>
  </w:style>
  <w:style w:type="paragraph" w:styleId="Title">
    <w:name w:val="Title"/>
    <w:basedOn w:val="Normal"/>
    <w:next w:val="Normal"/>
    <w:link w:val="TitleChar"/>
    <w:uiPriority w:val="10"/>
    <w:qFormat/>
    <w:rsid w:val="000E058D"/>
    <w:pPr>
      <w:framePr w:w="11280" w:h="840" w:hRule="exact" w:wrap="auto" w:vAnchor="page" w:hAnchor="page" w:x="481" w:y="70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jc w:val="right"/>
    </w:pPr>
    <w:rPr>
      <w:b/>
      <w:noProof/>
      <w:sz w:val="56"/>
      <w:szCs w:val="56"/>
    </w:rPr>
  </w:style>
  <w:style w:type="character" w:customStyle="1" w:styleId="TitleChar">
    <w:name w:val="Title Char"/>
    <w:basedOn w:val="DefaultParagraphFont"/>
    <w:link w:val="Title"/>
    <w:uiPriority w:val="10"/>
    <w:rsid w:val="000E058D"/>
    <w:rPr>
      <w:rFonts w:ascii="Arial" w:eastAsia="Arial" w:hAnsi="Arial" w:cs="Arial"/>
      <w:b/>
      <w:noProof/>
      <w:sz w:val="56"/>
      <w:szCs w:val="56"/>
    </w:rPr>
  </w:style>
  <w:style w:type="paragraph" w:styleId="Subtitle0">
    <w:name w:val="Subtitle"/>
    <w:basedOn w:val="Normal"/>
    <w:next w:val="Normal"/>
    <w:link w:val="SubtitleChar"/>
    <w:qFormat/>
    <w:rsid w:val="00B622B7"/>
    <w:pPr>
      <w:framePr w:w="11280" w:h="600" w:hRule="exact" w:wrap="auto" w:vAnchor="page" w:hAnchor="page" w:x="481" w:y="78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jc w:val="right"/>
    </w:pPr>
    <w:rPr>
      <w:color w:val="575757"/>
      <w:sz w:val="48"/>
      <w:szCs w:val="44"/>
    </w:rPr>
  </w:style>
  <w:style w:type="character" w:customStyle="1" w:styleId="SubtitleChar">
    <w:name w:val="Subtitle Char"/>
    <w:basedOn w:val="DefaultParagraphFont"/>
    <w:link w:val="Subtitle0"/>
    <w:rsid w:val="00B622B7"/>
    <w:rPr>
      <w:rFonts w:ascii="Arial" w:eastAsia="Arial" w:hAnsi="Arial" w:cs="Arial"/>
      <w:color w:val="575757"/>
      <w:sz w:val="48"/>
      <w:szCs w:val="44"/>
    </w:rPr>
  </w:style>
  <w:style w:type="paragraph" w:styleId="TOC2">
    <w:name w:val="toc 2"/>
    <w:basedOn w:val="Normal"/>
    <w:next w:val="Normal"/>
    <w:autoRedefine/>
    <w:uiPriority w:val="39"/>
    <w:unhideWhenUsed/>
    <w:qFormat/>
    <w:rsid w:val="00192C3E"/>
    <w:pPr>
      <w:keepNext/>
      <w:tabs>
        <w:tab w:val="left" w:pos="1080"/>
        <w:tab w:val="right" w:leader="dot" w:pos="10790"/>
      </w:tabs>
      <w:spacing w:before="120"/>
      <w:ind w:left="720" w:hanging="360"/>
    </w:pPr>
    <w:rPr>
      <w:sz w:val="24"/>
    </w:rPr>
  </w:style>
  <w:style w:type="paragraph" w:styleId="Header">
    <w:name w:val="header"/>
    <w:basedOn w:val="Normal"/>
    <w:link w:val="HeaderChar"/>
    <w:uiPriority w:val="99"/>
    <w:unhideWhenUsed/>
    <w:rsid w:val="00E05628"/>
    <w:pPr>
      <w:tabs>
        <w:tab w:val="center" w:pos="4680"/>
        <w:tab w:val="right" w:pos="9360"/>
      </w:tabs>
      <w:spacing w:after="0"/>
    </w:pPr>
  </w:style>
  <w:style w:type="character" w:customStyle="1" w:styleId="HeaderChar">
    <w:name w:val="Header Char"/>
    <w:basedOn w:val="DefaultParagraphFont"/>
    <w:link w:val="Header"/>
    <w:uiPriority w:val="99"/>
    <w:rsid w:val="00E05628"/>
    <w:rPr>
      <w:rFonts w:ascii="Arial" w:eastAsia="Arial" w:hAnsi="Arial" w:cs="Arial"/>
      <w:sz w:val="16"/>
      <w:szCs w:val="24"/>
    </w:rPr>
  </w:style>
  <w:style w:type="paragraph" w:styleId="Footer">
    <w:name w:val="footer"/>
    <w:basedOn w:val="Normal"/>
    <w:link w:val="FooterChar"/>
    <w:uiPriority w:val="99"/>
    <w:unhideWhenUsed/>
    <w:rsid w:val="00E05628"/>
    <w:pPr>
      <w:tabs>
        <w:tab w:val="center" w:pos="4680"/>
        <w:tab w:val="right" w:pos="9360"/>
      </w:tabs>
      <w:spacing w:after="0"/>
    </w:pPr>
  </w:style>
  <w:style w:type="character" w:customStyle="1" w:styleId="FooterChar">
    <w:name w:val="Footer Char"/>
    <w:basedOn w:val="DefaultParagraphFont"/>
    <w:link w:val="Footer"/>
    <w:uiPriority w:val="99"/>
    <w:rsid w:val="00E05628"/>
    <w:rPr>
      <w:rFonts w:ascii="Arial" w:eastAsia="Arial" w:hAnsi="Arial" w:cs="Arial"/>
      <w:sz w:val="16"/>
      <w:szCs w:val="24"/>
    </w:rPr>
  </w:style>
  <w:style w:type="paragraph" w:styleId="TOCHeading">
    <w:name w:val="TOC Heading"/>
    <w:next w:val="Normal"/>
    <w:uiPriority w:val="39"/>
    <w:unhideWhenUsed/>
    <w:qFormat/>
    <w:rsid w:val="00CF34F0"/>
    <w:rPr>
      <w:rFonts w:ascii="Arial" w:eastAsia="Arial" w:hAnsi="Arial" w:cs="Arial"/>
      <w:b/>
      <w:bCs/>
      <w:color w:val="000000" w:themeColor="text1"/>
      <w:kern w:val="32"/>
      <w:sz w:val="44"/>
      <w:szCs w:val="32"/>
    </w:rPr>
  </w:style>
  <w:style w:type="character" w:customStyle="1" w:styleId="Heading4Char">
    <w:name w:val="Heading 4 Char"/>
    <w:basedOn w:val="DefaultParagraphFont"/>
    <w:link w:val="Heading4"/>
    <w:uiPriority w:val="9"/>
    <w:rsid w:val="00D231B0"/>
    <w:rPr>
      <w:rFonts w:ascii="Arial" w:eastAsiaTheme="majorEastAsia" w:hAnsi="Arial" w:cstheme="majorBidi"/>
      <w:b/>
      <w:iCs/>
      <w:color w:val="000000" w:themeColor="text1"/>
      <w:sz w:val="22"/>
      <w:szCs w:val="24"/>
    </w:rPr>
  </w:style>
  <w:style w:type="paragraph" w:styleId="TOC5">
    <w:name w:val="toc 5"/>
    <w:basedOn w:val="Normal"/>
    <w:next w:val="Normal"/>
    <w:autoRedefine/>
    <w:uiPriority w:val="39"/>
    <w:unhideWhenUsed/>
    <w:rsid w:val="00EE3E5C"/>
    <w:pPr>
      <w:spacing w:after="100"/>
      <w:ind w:left="880"/>
    </w:pPr>
  </w:style>
  <w:style w:type="paragraph" w:styleId="BodyText">
    <w:name w:val="Body Text"/>
    <w:basedOn w:val="Normal"/>
    <w:link w:val="BodyTextChar"/>
    <w:uiPriority w:val="1"/>
    <w:unhideWhenUsed/>
    <w:qFormat/>
    <w:rsid w:val="001D496B"/>
    <w:pPr>
      <w:spacing w:after="120"/>
    </w:pPr>
    <w:rPr>
      <w:rFonts w:ascii="Times New Roman" w:hAnsi="Times New Roman"/>
    </w:rPr>
  </w:style>
  <w:style w:type="character" w:customStyle="1" w:styleId="BodyTextChar">
    <w:name w:val="Body Text Char"/>
    <w:basedOn w:val="DefaultParagraphFont"/>
    <w:link w:val="BodyText"/>
    <w:uiPriority w:val="1"/>
    <w:rsid w:val="001D496B"/>
    <w:rPr>
      <w:rFonts w:eastAsia="Arial" w:cs="Arial"/>
      <w:sz w:val="22"/>
      <w:szCs w:val="24"/>
    </w:rPr>
  </w:style>
  <w:style w:type="paragraph" w:styleId="TOC3">
    <w:name w:val="toc 3"/>
    <w:basedOn w:val="Normal"/>
    <w:next w:val="Normal"/>
    <w:autoRedefine/>
    <w:uiPriority w:val="39"/>
    <w:unhideWhenUsed/>
    <w:qFormat/>
    <w:rsid w:val="00330FD5"/>
    <w:pPr>
      <w:tabs>
        <w:tab w:val="right" w:leader="dot" w:pos="10790"/>
      </w:tabs>
      <w:ind w:left="1080" w:hanging="360"/>
    </w:pPr>
    <w:rPr>
      <w:sz w:val="20"/>
    </w:rPr>
  </w:style>
  <w:style w:type="paragraph" w:styleId="ListParagraph">
    <w:name w:val="List Paragraph"/>
    <w:basedOn w:val="Normal"/>
    <w:uiPriority w:val="34"/>
    <w:qFormat/>
    <w:rsid w:val="00F819D1"/>
    <w:pPr>
      <w:widowControl w:val="0"/>
      <w:autoSpaceDE w:val="0"/>
      <w:autoSpaceDN w:val="0"/>
      <w:spacing w:before="120" w:after="120"/>
      <w:ind w:left="748" w:hanging="230"/>
    </w:pPr>
    <w:rPr>
      <w:rFonts w:eastAsia="Calibri" w:cs="Calibri"/>
      <w:szCs w:val="22"/>
    </w:rPr>
  </w:style>
  <w:style w:type="paragraph" w:styleId="TOC4">
    <w:name w:val="toc 4"/>
    <w:basedOn w:val="Normal"/>
    <w:next w:val="Normal"/>
    <w:autoRedefine/>
    <w:uiPriority w:val="39"/>
    <w:unhideWhenUsed/>
    <w:qFormat/>
    <w:rsid w:val="009859E7"/>
    <w:pPr>
      <w:tabs>
        <w:tab w:val="left" w:pos="1890"/>
        <w:tab w:val="right" w:leader="dot" w:pos="10790"/>
      </w:tabs>
      <w:ind w:left="1526" w:hanging="446"/>
    </w:pPr>
    <w:rPr>
      <w:color w:val="00B0F0"/>
      <w:sz w:val="16"/>
    </w:rPr>
  </w:style>
  <w:style w:type="paragraph" w:customStyle="1" w:styleId="TableParagraph">
    <w:name w:val="Table Paragraph"/>
    <w:basedOn w:val="Normal"/>
    <w:uiPriority w:val="1"/>
    <w:rsid w:val="00FC1A9D"/>
    <w:pPr>
      <w:widowControl w:val="0"/>
      <w:autoSpaceDE w:val="0"/>
      <w:autoSpaceDN w:val="0"/>
      <w:spacing w:after="0"/>
    </w:pPr>
    <w:rPr>
      <w:rFonts w:ascii="Calibri" w:eastAsia="Calibri" w:hAnsi="Calibri" w:cs="Calibri"/>
      <w:szCs w:val="22"/>
    </w:rPr>
  </w:style>
  <w:style w:type="character" w:styleId="UnresolvedMention">
    <w:name w:val="Unresolved Mention"/>
    <w:basedOn w:val="DefaultParagraphFont"/>
    <w:uiPriority w:val="99"/>
    <w:semiHidden/>
    <w:unhideWhenUsed/>
    <w:rsid w:val="00FC1A9D"/>
    <w:rPr>
      <w:color w:val="605E5C"/>
      <w:shd w:val="clear" w:color="auto" w:fill="E1DFDD"/>
    </w:rPr>
  </w:style>
  <w:style w:type="character" w:styleId="FollowedHyperlink">
    <w:name w:val="FollowedHyperlink"/>
    <w:basedOn w:val="DefaultParagraphFont"/>
    <w:uiPriority w:val="99"/>
    <w:semiHidden/>
    <w:unhideWhenUsed/>
    <w:rsid w:val="00662136"/>
    <w:rPr>
      <w:color w:val="954F72" w:themeColor="followedHyperlink"/>
      <w:u w:val="single"/>
    </w:rPr>
  </w:style>
  <w:style w:type="paragraph" w:styleId="TOC7">
    <w:name w:val="toc 7"/>
    <w:basedOn w:val="Normal"/>
    <w:next w:val="Normal"/>
    <w:autoRedefine/>
    <w:uiPriority w:val="39"/>
    <w:unhideWhenUsed/>
    <w:rsid w:val="00953EAD"/>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953EAD"/>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953EAD"/>
    <w:pPr>
      <w:spacing w:after="100" w:line="259" w:lineRule="auto"/>
      <w:ind w:left="1760"/>
    </w:pPr>
    <w:rPr>
      <w:rFonts w:asciiTheme="minorHAnsi" w:eastAsiaTheme="minorEastAsia" w:hAnsiTheme="minorHAnsi" w:cstheme="minorBidi"/>
      <w:szCs w:val="22"/>
    </w:rPr>
  </w:style>
  <w:style w:type="table" w:styleId="TableGrid">
    <w:name w:val="Table Grid"/>
    <w:basedOn w:val="TableNormal"/>
    <w:rsid w:val="00B62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qFormat/>
    <w:rsid w:val="001D496B"/>
    <w:pPr>
      <w:spacing w:after="60"/>
    </w:pPr>
    <w:rPr>
      <w:rFonts w:ascii="Arial" w:hAnsi="Arial"/>
      <w:sz w:val="16"/>
      <w:szCs w:val="16"/>
    </w:rPr>
  </w:style>
  <w:style w:type="paragraph" w:customStyle="1" w:styleId="FirstBullet-IHS">
    <w:name w:val="FirstBullet - IHS"/>
    <w:rsid w:val="00972BD0"/>
    <w:pPr>
      <w:numPr>
        <w:numId w:val="4"/>
      </w:numPr>
      <w:spacing w:after="120"/>
      <w:ind w:left="590" w:hanging="230"/>
    </w:pPr>
    <w:rPr>
      <w:rFonts w:ascii="Calibri" w:eastAsiaTheme="minorHAnsi" w:hAnsi="Calibri" w:cs="Arial"/>
      <w:sz w:val="24"/>
      <w:szCs w:val="22"/>
    </w:rPr>
  </w:style>
  <w:style w:type="character" w:customStyle="1" w:styleId="TableTextChar">
    <w:name w:val="Table Text Char"/>
    <w:basedOn w:val="BodyTextChar"/>
    <w:link w:val="TableText"/>
    <w:rsid w:val="001D496B"/>
    <w:rPr>
      <w:rFonts w:ascii="Arial" w:eastAsia="Arial" w:hAnsi="Arial" w:cs="Arial"/>
      <w:sz w:val="16"/>
      <w:szCs w:val="16"/>
    </w:rPr>
  </w:style>
  <w:style w:type="character" w:styleId="CommentReference">
    <w:name w:val="annotation reference"/>
    <w:basedOn w:val="DefaultParagraphFont"/>
    <w:uiPriority w:val="99"/>
    <w:semiHidden/>
    <w:unhideWhenUsed/>
    <w:rsid w:val="003C7783"/>
    <w:rPr>
      <w:sz w:val="16"/>
      <w:szCs w:val="16"/>
    </w:rPr>
  </w:style>
  <w:style w:type="paragraph" w:styleId="CommentText">
    <w:name w:val="annotation text"/>
    <w:basedOn w:val="Normal"/>
    <w:link w:val="CommentTextChar"/>
    <w:uiPriority w:val="99"/>
    <w:unhideWhenUsed/>
    <w:rsid w:val="003C7783"/>
    <w:pPr>
      <w:spacing w:after="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C7783"/>
    <w:rPr>
      <w:rFonts w:asciiTheme="minorHAnsi" w:eastAsiaTheme="minorHAnsi" w:hAnsiTheme="minorHAnsi" w:cstheme="minorBidi"/>
    </w:rPr>
  </w:style>
  <w:style w:type="character" w:customStyle="1" w:styleId="cf01">
    <w:name w:val="cf01"/>
    <w:basedOn w:val="DefaultParagraphFont"/>
    <w:rsid w:val="00B3072B"/>
    <w:rPr>
      <w:rFonts w:ascii="Segoe UI" w:hAnsi="Segoe UI" w:cs="Segoe UI" w:hint="default"/>
      <w:sz w:val="18"/>
      <w:szCs w:val="18"/>
    </w:rPr>
  </w:style>
  <w:style w:type="paragraph" w:styleId="NormalWeb">
    <w:name w:val="Normal (Web)"/>
    <w:basedOn w:val="Normal"/>
    <w:uiPriority w:val="99"/>
    <w:semiHidden/>
    <w:unhideWhenUsed/>
    <w:rsid w:val="009473AD"/>
    <w:pPr>
      <w:spacing w:before="100" w:beforeAutospacing="1" w:after="100" w:afterAutospacing="1"/>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sid w:val="00D231B0"/>
    <w:rPr>
      <w:rFonts w:ascii="Arial" w:eastAsia="Arial" w:hAnsi="Arial" w:cs="Arial"/>
      <w:b/>
      <w:bCs/>
      <w:color w:val="000000" w:themeColor="text1"/>
      <w:kern w:val="32"/>
      <w:sz w:val="44"/>
      <w:szCs w:val="32"/>
    </w:rPr>
  </w:style>
  <w:style w:type="paragraph" w:styleId="NoSpacing">
    <w:name w:val="No Spacing"/>
    <w:link w:val="NoSpacingChar"/>
    <w:uiPriority w:val="1"/>
    <w:rsid w:val="009473A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473AD"/>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9473AD"/>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473AD"/>
    <w:rPr>
      <w:rFonts w:ascii="Segoe UI" w:eastAsiaTheme="minorHAnsi" w:hAnsi="Segoe UI" w:cs="Segoe UI"/>
      <w:sz w:val="18"/>
      <w:szCs w:val="18"/>
    </w:rPr>
  </w:style>
  <w:style w:type="paragraph" w:styleId="CommentSubject">
    <w:name w:val="annotation subject"/>
    <w:basedOn w:val="CommentText"/>
    <w:next w:val="CommentText"/>
    <w:link w:val="CommentSubjectChar"/>
    <w:uiPriority w:val="99"/>
    <w:semiHidden/>
    <w:unhideWhenUsed/>
    <w:rsid w:val="009473AD"/>
    <w:rPr>
      <w:b/>
      <w:bCs/>
    </w:rPr>
  </w:style>
  <w:style w:type="character" w:customStyle="1" w:styleId="CommentSubjectChar">
    <w:name w:val="Comment Subject Char"/>
    <w:basedOn w:val="CommentTextChar"/>
    <w:link w:val="CommentSubject"/>
    <w:uiPriority w:val="99"/>
    <w:semiHidden/>
    <w:rsid w:val="009473AD"/>
    <w:rPr>
      <w:rFonts w:asciiTheme="minorHAnsi" w:eastAsiaTheme="minorHAnsi" w:hAnsiTheme="minorHAnsi" w:cstheme="minorBidi"/>
      <w:b/>
      <w:bCs/>
    </w:rPr>
  </w:style>
  <w:style w:type="paragraph" w:customStyle="1" w:styleId="xmsonormal">
    <w:name w:val="x_msonormal"/>
    <w:basedOn w:val="Normal"/>
    <w:rsid w:val="009473AD"/>
    <w:pPr>
      <w:spacing w:before="100" w:beforeAutospacing="1" w:after="100" w:afterAutospacing="1"/>
    </w:pPr>
    <w:rPr>
      <w:rFonts w:ascii="Times New Roman" w:eastAsia="Times New Roman" w:hAnsi="Times New Roman" w:cs="Times New Roman"/>
      <w:sz w:val="24"/>
    </w:rPr>
  </w:style>
  <w:style w:type="paragraph" w:customStyle="1" w:styleId="xdefault">
    <w:name w:val="x_default"/>
    <w:basedOn w:val="Normal"/>
    <w:rsid w:val="009473AD"/>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37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hyperlink" Target="https://www.ada.org/-/media/project/ada-organization/ada/ada-org/files/publications/cdt/v2019adadentalclaimcompletioninstructions_v3_2022feb.pdf?rev=70d192ad312a47f285487c1d69de4190&amp;hash=8EFBBD50FA335262C463823E1CA83DFE" TargetMode="Externa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hyperlink" Target="https://www.ihs.gov/dra/index.cfm/recordsmanagement/dispositionschedule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mailto:ihs-support@henryscheinone.com" TargetMode="External"/><Relationship Id="rId41" Type="http://schemas.openxmlformats.org/officeDocument/2006/relationships/hyperlink" Target="https://www.ihs.gov/ehr/preparing/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yperlink" Target="https://click.linksynergy.com/deeplink?id=2QzUaswX1as&amp;mid=24542&amp;u1=htg/324956&amp;murl=https%3A%2F%2Fwww.microsoft.com%2Fresources%2Fdocumentation%2Fwindows%2Fxp%2Fall%2Fproddocs%2Fen-us%2Fdefrag_defrag.mspx" TargetMode="External"/><Relationship Id="rId37" Type="http://schemas.openxmlformats.org/officeDocument/2006/relationships/hyperlink" Target="https://www.ada.org/-/media/project/ada-organization/ada/ada-org/files/publications/cdt/v2019adadentalclaimcompletioninstructions_v3_2022feb.pdf?rev=70d192ad312a47f285487c1d69de4190&amp;hash=8EFBBD50FA335262C463823E1CA83DFE" TargetMode="External"/><Relationship Id="rId40" Type="http://schemas.openxmlformats.org/officeDocument/2006/relationships/hyperlink" Target="https://urldefense.us/v3/__https:/www.govinfo.gov/content/pkg/PLAW-115publ59/pdf/PLAW-115publ59.pdf__;!!Og_tST9LxTiQE1I!4RJ3px4D1rt4T4YHEBgUViwix9fUSeEUDdFaO_p88A9EAGOoqisufDD11ZKtDYmFczo$"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image" Target="media/image6.jpeg"/><Relationship Id="rId36" Type="http://schemas.openxmlformats.org/officeDocument/2006/relationships/footer" Target="footer9.xml"/><Relationship Id="rId10" Type="http://schemas.openxmlformats.org/officeDocument/2006/relationships/image" Target="media/image3.png"/><Relationship Id="rId19" Type="http://schemas.openxmlformats.org/officeDocument/2006/relationships/footer" Target="footer3.xml"/><Relationship Id="rId31" Type="http://schemas.openxmlformats.org/officeDocument/2006/relationships/hyperlink" Target="mailto:ihs-support@henryscheinone.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image" Target="media/image7.png"/><Relationship Id="rId35" Type="http://schemas.openxmlformats.org/officeDocument/2006/relationships/footer" Target="footer8.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0.xml"/><Relationship Id="rId38" Type="http://schemas.openxmlformats.org/officeDocument/2006/relationships/hyperlink" Target="https://www.amerihealth.com/pdfs/providers/npi/ub04_for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8527B-0B00-4869-B4F9-87C1D56D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49112</Words>
  <Characters>279943</Characters>
  <Application>Microsoft Office Word</Application>
  <DocSecurity>0</DocSecurity>
  <Lines>2332</Lines>
  <Paragraphs>656</Paragraphs>
  <ScaleCrop>false</ScaleCrop>
  <HeadingPairs>
    <vt:vector size="2" baseType="variant">
      <vt:variant>
        <vt:lpstr>Title</vt:lpstr>
      </vt:variant>
      <vt:variant>
        <vt:i4>1</vt:i4>
      </vt:variant>
    </vt:vector>
  </HeadingPairs>
  <TitlesOfParts>
    <vt:vector size="1" baseType="lpstr">
      <vt:lpstr>IHS Dental Clinic Manager's Handbook</vt:lpstr>
    </vt:vector>
  </TitlesOfParts>
  <Company/>
  <LinksUpToDate>false</LinksUpToDate>
  <CharactersWithSpaces>328399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IHS Dental Clinic Manager's Handbook</dc:title>
  <dc:creator>Winn, Gentry</dc:creator>
  <cp:lastModifiedBy>Gentry Winn</cp:lastModifiedBy>
  <cp:revision>4</cp:revision>
  <cp:lastPrinted>2023-09-21T17:30:00Z</cp:lastPrinted>
  <dcterms:created xsi:type="dcterms:W3CDTF">2023-09-21T17:30:00Z</dcterms:created>
  <dcterms:modified xsi:type="dcterms:W3CDTF">2023-09-21T17:32:00Z</dcterms:modified>
</cp:coreProperties>
</file>