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3B683" w14:textId="19C703E3" w:rsidR="000E058D" w:rsidRDefault="00872B29">
      <w:bookmarkStart w:id="0" w:name="_top"/>
      <w:bookmarkEnd w:id="0"/>
      <w:r w:rsidRPr="000E058D">
        <w:rPr>
          <w:noProof/>
        </w:rPr>
        <w:drawing>
          <wp:anchor distT="0" distB="0" distL="114300" distR="114300" simplePos="0" relativeHeight="251658243" behindDoc="1" locked="0" layoutInCell="0" allowOverlap="1" wp14:anchorId="33D77F29" wp14:editId="2CD01F55">
            <wp:simplePos x="0" y="0"/>
            <wp:positionH relativeFrom="page">
              <wp:posOffset>231775</wp:posOffset>
            </wp:positionH>
            <wp:positionV relativeFrom="page">
              <wp:posOffset>228600</wp:posOffset>
            </wp:positionV>
            <wp:extent cx="7315200" cy="128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315200" cy="1280160"/>
                    </a:xfrm>
                    <a:prstGeom prst="rect">
                      <a:avLst/>
                    </a:prstGeom>
                    <a:noFill/>
                  </pic:spPr>
                </pic:pic>
              </a:graphicData>
            </a:graphic>
            <wp14:sizeRelH relativeFrom="page">
              <wp14:pctWidth>0</wp14:pctWidth>
            </wp14:sizeRelH>
            <wp14:sizeRelV relativeFrom="page">
              <wp14:pctHeight>0</wp14:pctHeight>
            </wp14:sizeRelV>
          </wp:anchor>
        </w:drawing>
      </w:r>
      <w:r w:rsidR="000E058D">
        <w:rPr>
          <w:noProof/>
        </w:rPr>
        <w:drawing>
          <wp:anchor distT="0" distB="0" distL="114300" distR="114300" simplePos="0" relativeHeight="251658241" behindDoc="1" locked="0" layoutInCell="1" allowOverlap="1" wp14:anchorId="4F126DFB" wp14:editId="111207A2">
            <wp:simplePos x="0" y="0"/>
            <wp:positionH relativeFrom="page">
              <wp:posOffset>457200</wp:posOffset>
            </wp:positionH>
            <wp:positionV relativeFrom="page">
              <wp:posOffset>9427210</wp:posOffset>
            </wp:positionV>
            <wp:extent cx="1371600" cy="274320"/>
            <wp:effectExtent l="0" t="0" r="0" b="0"/>
            <wp:wrapThrough wrapText="bothSides">
              <wp:wrapPolygon edited="0">
                <wp:start x="12900" y="0"/>
                <wp:lineTo x="0" y="3000"/>
                <wp:lineTo x="0" y="15000"/>
                <wp:lineTo x="13200" y="19500"/>
                <wp:lineTo x="21300" y="19500"/>
                <wp:lineTo x="21300" y="0"/>
                <wp:lineTo x="12900" y="0"/>
              </wp:wrapPolygon>
            </wp:wrapThrough>
            <wp:docPr id="2" name="Picture 2" descr="Henry Schein One logo_T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Henry Schein One logo_TM-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pic:spPr>
                </pic:pic>
              </a:graphicData>
            </a:graphic>
            <wp14:sizeRelH relativeFrom="page">
              <wp14:pctWidth>0</wp14:pctWidth>
            </wp14:sizeRelH>
            <wp14:sizeRelV relativeFrom="page">
              <wp14:pctHeight>0</wp14:pctHeight>
            </wp14:sizeRelV>
          </wp:anchor>
        </w:drawing>
      </w:r>
      <w:r w:rsidR="00E35410">
        <w:rPr>
          <w:noProof/>
        </w:rPr>
        <mc:AlternateContent>
          <mc:Choice Requires="wps">
            <w:drawing>
              <wp:anchor distT="0" distB="0" distL="114300" distR="114300" simplePos="0" relativeHeight="251658242" behindDoc="0" locked="0" layoutInCell="0" allowOverlap="0" wp14:anchorId="7BBB9655" wp14:editId="577DF029">
                <wp:simplePos x="0" y="0"/>
                <wp:positionH relativeFrom="page">
                  <wp:posOffset>2825115</wp:posOffset>
                </wp:positionH>
                <wp:positionV relativeFrom="page">
                  <wp:posOffset>9443085</wp:posOffset>
                </wp:positionV>
                <wp:extent cx="4533900" cy="266700"/>
                <wp:effectExtent l="5715" t="13335" r="13335" b="5715"/>
                <wp:wrapNone/>
                <wp:docPr id="485"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6700"/>
                        </a:xfrm>
                        <a:prstGeom prst="rect">
                          <a:avLst/>
                        </a:prstGeom>
                        <a:solidFill>
                          <a:srgbClr val="FFFFFF"/>
                        </a:solidFill>
                        <a:ln w="0">
                          <a:solidFill>
                            <a:srgbClr val="FFFFFF"/>
                          </a:solidFill>
                          <a:miter lim="800000"/>
                          <a:headEnd/>
                          <a:tailEnd/>
                        </a:ln>
                      </wps:spPr>
                      <wps:txbx>
                        <w:txbxContent>
                          <w:p w14:paraId="374C5F12" w14:textId="77777777" w:rsidR="00E05628" w:rsidRPr="00B40E10" w:rsidRDefault="00E05628" w:rsidP="000E058D">
                            <w:pPr>
                              <w:jc w:val="right"/>
                              <w:rPr>
                                <w:rFonts w:ascii="Avenir LT Std 35 Light" w:hAnsi="Avenir LT Std 35 Light"/>
                                <w:b/>
                                <w:color w:val="0069AA"/>
                                <w:sz w:val="20"/>
                                <w:szCs w:val="20"/>
                              </w:rPr>
                            </w:pPr>
                            <w:r w:rsidRPr="00B40E10">
                              <w:rPr>
                                <w:rFonts w:ascii="Avenir LT Std 35 Light" w:hAnsi="Avenir LT Std 35 Light"/>
                                <w:b/>
                                <w:color w:val="0069AA"/>
                                <w:sz w:val="20"/>
                                <w:szCs w:val="20"/>
                              </w:rPr>
                              <w:t>www.Dentrix</w:t>
                            </w:r>
                            <w:r>
                              <w:rPr>
                                <w:rFonts w:ascii="Avenir LT Std 35 Light" w:hAnsi="Avenir LT Std 35 Light"/>
                                <w:b/>
                                <w:color w:val="0069AA"/>
                                <w:sz w:val="20"/>
                                <w:szCs w:val="20"/>
                              </w:rPr>
                              <w:t>Enterprise</w:t>
                            </w:r>
                            <w:r w:rsidRPr="00B40E10">
                              <w:rPr>
                                <w:rFonts w:ascii="Avenir LT Std 35 Light" w:hAnsi="Avenir LT Std 35 Light"/>
                                <w:b/>
                                <w:color w:val="0069AA"/>
                                <w:sz w:val="20"/>
                                <w:szCs w:val="20"/>
                              </w:rPr>
                              <w:t>.com</w:t>
                            </w:r>
                            <w:r>
                              <w:rPr>
                                <w:rFonts w:ascii="Avenir LT Std 35 Light" w:hAnsi="Avenir LT Std 35 Light"/>
                                <w:b/>
                                <w:color w:val="0069AA"/>
                                <w:sz w:val="20"/>
                                <w:szCs w:val="20"/>
                              </w:rPr>
                              <w:t xml:space="preserve">  </w:t>
                            </w:r>
                            <w:r w:rsidRPr="00B40E10">
                              <w:rPr>
                                <w:rFonts w:ascii="Avenir LT Std 35 Light" w:hAnsi="Avenir LT Std 35 Light"/>
                                <w:b/>
                                <w:color w:val="0069AA"/>
                                <w:sz w:val="20"/>
                                <w:szCs w:val="20"/>
                              </w:rPr>
                              <w:t xml:space="preserve">|  </w:t>
                            </w:r>
                            <w:bookmarkStart w:id="1" w:name="_Hlk132797446"/>
                            <w:r w:rsidRPr="00FA5048">
                              <w:rPr>
                                <w:rFonts w:ascii="Avenir LT Std 35 Light" w:hAnsi="Avenir LT Std 35 Light"/>
                                <w:b/>
                                <w:color w:val="0069AA"/>
                                <w:sz w:val="20"/>
                                <w:szCs w:val="20"/>
                              </w:rPr>
                              <w:t>800.459.8067</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BB9655" id="_x0000_t202" coordsize="21600,21600" o:spt="202" path="m,l,21600r21600,l21600,xe">
                <v:stroke joinstyle="miter"/>
                <v:path gradientshapeok="t" o:connecttype="rect"/>
              </v:shapetype>
              <v:shape id="Text Box 2970" o:spid="_x0000_s1026" type="#_x0000_t202" style="position:absolute;margin-left:222.45pt;margin-top:743.55pt;width:357pt;height:2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" o:allowincell="f" o:allowoverlap="f" strokecolor="white" strokeweight="0">
                <v:textbox>
                  <w:txbxContent>
                    <w:p w14:paraId="374C5F12" w14:textId="77777777" w:rsidR="00E05628" w:rsidRPr="00B40E10" w:rsidRDefault="00E05628" w:rsidP="000E058D">
                      <w:pPr>
                        <w:jc w:val="right"/>
                        <w:rPr>
                          <w:rFonts w:ascii="Avenir LT Std 35 Light" w:hAnsi="Avenir LT Std 35 Light"/>
                          <w:b/>
                          <w:color w:val="0069AA"/>
                          <w:sz w:val="20"/>
                          <w:szCs w:val="20"/>
                        </w:rPr>
                      </w:pPr>
                      <w:r w:rsidRPr="00B40E10">
                        <w:rPr>
                          <w:rFonts w:ascii="Avenir LT Std 35 Light" w:hAnsi="Avenir LT Std 35 Light"/>
                          <w:b/>
                          <w:color w:val="0069AA"/>
                          <w:sz w:val="20"/>
                          <w:szCs w:val="20"/>
                        </w:rPr>
                        <w:t>www.Dentrix</w:t>
                      </w:r>
                      <w:r>
                        <w:rPr>
                          <w:rFonts w:ascii="Avenir LT Std 35 Light" w:hAnsi="Avenir LT Std 35 Light"/>
                          <w:b/>
                          <w:color w:val="0069AA"/>
                          <w:sz w:val="20"/>
                          <w:szCs w:val="20"/>
                        </w:rPr>
                        <w:t>Enterprise</w:t>
                      </w:r>
                      <w:r w:rsidRPr="00B40E10">
                        <w:rPr>
                          <w:rFonts w:ascii="Avenir LT Std 35 Light" w:hAnsi="Avenir LT Std 35 Light"/>
                          <w:b/>
                          <w:color w:val="0069AA"/>
                          <w:sz w:val="20"/>
                          <w:szCs w:val="20"/>
                        </w:rPr>
                        <w:t>.com</w:t>
                      </w:r>
                      <w:r>
                        <w:rPr>
                          <w:rFonts w:ascii="Avenir LT Std 35 Light" w:hAnsi="Avenir LT Std 35 Light"/>
                          <w:b/>
                          <w:color w:val="0069AA"/>
                          <w:sz w:val="20"/>
                          <w:szCs w:val="20"/>
                        </w:rPr>
                        <w:t xml:space="preserve">  </w:t>
                      </w:r>
                      <w:r w:rsidRPr="00B40E10">
                        <w:rPr>
                          <w:rFonts w:ascii="Avenir LT Std 35 Light" w:hAnsi="Avenir LT Std 35 Light"/>
                          <w:b/>
                          <w:color w:val="0069AA"/>
                          <w:sz w:val="20"/>
                          <w:szCs w:val="20"/>
                        </w:rPr>
                        <w:t xml:space="preserve">|  </w:t>
                      </w:r>
                      <w:bookmarkStart w:id="2" w:name="_Hlk132797446"/>
                      <w:r w:rsidRPr="00FA5048">
                        <w:rPr>
                          <w:rFonts w:ascii="Avenir LT Std 35 Light" w:hAnsi="Avenir LT Std 35 Light"/>
                          <w:b/>
                          <w:color w:val="0069AA"/>
                          <w:sz w:val="20"/>
                          <w:szCs w:val="20"/>
                        </w:rPr>
                        <w:t>800.459.8067</w:t>
                      </w:r>
                      <w:bookmarkEnd w:id="2"/>
                    </w:p>
                  </w:txbxContent>
                </v:textbox>
                <w10:wrap anchorx="page" anchory="page"/>
              </v:shape>
            </w:pict>
          </mc:Fallback>
        </mc:AlternateContent>
      </w:r>
      <w:r w:rsidR="000E058D">
        <w:rPr>
          <w:noProof/>
        </w:rPr>
        <w:drawing>
          <wp:anchor distT="0" distB="0" distL="114300" distR="114300" simplePos="0" relativeHeight="251658240" behindDoc="1" locked="0" layoutInCell="0" allowOverlap="1" wp14:anchorId="66833BD4" wp14:editId="539B2515">
            <wp:simplePos x="0" y="0"/>
            <wp:positionH relativeFrom="page">
              <wp:posOffset>228600</wp:posOffset>
            </wp:positionH>
            <wp:positionV relativeFrom="page">
              <wp:posOffset>228600</wp:posOffset>
            </wp:positionV>
            <wp:extent cx="7326630" cy="1285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6630" cy="1285875"/>
                    </a:xfrm>
                    <a:prstGeom prst="rect">
                      <a:avLst/>
                    </a:prstGeom>
                    <a:noFill/>
                  </pic:spPr>
                </pic:pic>
              </a:graphicData>
            </a:graphic>
            <wp14:sizeRelH relativeFrom="page">
              <wp14:pctWidth>0</wp14:pctWidth>
            </wp14:sizeRelH>
            <wp14:sizeRelV relativeFrom="page">
              <wp14:pctHeight>0</wp14:pctHeight>
            </wp14:sizeRelV>
          </wp:anchor>
        </w:drawing>
      </w:r>
    </w:p>
    <w:p w14:paraId="2B0DA485" w14:textId="1313E2A6" w:rsidR="000E058D" w:rsidRDefault="000E058D"/>
    <w:p w14:paraId="531788C2" w14:textId="2298D458" w:rsidR="000E058D" w:rsidRDefault="000E058D"/>
    <w:p w14:paraId="41E81F38" w14:textId="77777777" w:rsidR="00EB6949" w:rsidRPr="00EB6949" w:rsidRDefault="00EB6949" w:rsidP="00EB6949"/>
    <w:p w14:paraId="4E4465E9" w14:textId="5319E1A7" w:rsidR="00605D50" w:rsidRDefault="00605D50" w:rsidP="00B77AF4">
      <w:pPr>
        <w:pStyle w:val="Title"/>
        <w:framePr w:w="10800" w:h="1664" w:hRule="exact" w:wrap="around" w:x="721" w:y="6265"/>
        <w:pBdr>
          <w:bottom w:val="single" w:sz="24" w:space="1" w:color="auto"/>
        </w:pBdr>
      </w:pPr>
      <w:r>
        <w:t>Indian Health Service (IHS)</w:t>
      </w:r>
      <w:r w:rsidR="00B74060">
        <w:br/>
        <w:t>Dental Clinic Manager’s Handbook</w:t>
      </w:r>
    </w:p>
    <w:p w14:paraId="2F385F92" w14:textId="0D2C6C52" w:rsidR="0071059E" w:rsidRPr="000E058D" w:rsidRDefault="0071059E" w:rsidP="00AF06A0">
      <w:pPr>
        <w:framePr w:w="10800" w:h="475" w:hRule="exact" w:wrap="around" w:vAnchor="page" w:hAnchor="page" w:x="721" w:y="92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rPr>
          <w:sz w:val="32"/>
          <w:szCs w:val="32"/>
        </w:rPr>
      </w:pPr>
      <w:bookmarkStart w:id="3" w:name="_Toc132705791"/>
      <w:r>
        <w:rPr>
          <w:color w:val="575757"/>
          <w:sz w:val="32"/>
          <w:szCs w:val="32"/>
        </w:rPr>
        <w:t xml:space="preserve">Last Updated: </w:t>
      </w:r>
      <w:r w:rsidR="00791491">
        <w:rPr>
          <w:color w:val="575757"/>
          <w:sz w:val="32"/>
          <w:szCs w:val="32"/>
        </w:rPr>
        <w:t>5</w:t>
      </w:r>
      <w:r>
        <w:rPr>
          <w:color w:val="575757"/>
          <w:sz w:val="32"/>
          <w:szCs w:val="32"/>
        </w:rPr>
        <w:t>/</w:t>
      </w:r>
      <w:r w:rsidR="00485010">
        <w:rPr>
          <w:color w:val="575757"/>
          <w:sz w:val="32"/>
          <w:szCs w:val="32"/>
        </w:rPr>
        <w:t>1</w:t>
      </w:r>
      <w:r w:rsidR="00791491">
        <w:rPr>
          <w:color w:val="575757"/>
          <w:sz w:val="32"/>
          <w:szCs w:val="32"/>
        </w:rPr>
        <w:t>5</w:t>
      </w:r>
      <w:r>
        <w:rPr>
          <w:color w:val="575757"/>
          <w:sz w:val="32"/>
          <w:szCs w:val="32"/>
        </w:rPr>
        <w:t>/202</w:t>
      </w:r>
      <w:r w:rsidR="00F95EB9">
        <w:rPr>
          <w:color w:val="575757"/>
          <w:sz w:val="32"/>
          <w:szCs w:val="32"/>
        </w:rPr>
        <w:t>4</w:t>
      </w:r>
    </w:p>
    <w:bookmarkEnd w:id="3"/>
    <w:p w14:paraId="72F57AD8" w14:textId="5C16FB86" w:rsidR="000A5D1F" w:rsidRDefault="00AF06A0" w:rsidP="005A39FB">
      <w:pPr>
        <w:sectPr w:rsidR="000A5D1F" w:rsidSect="00C616BD">
          <w:headerReference w:type="even" r:id="rId14"/>
          <w:pgSz w:w="12240" w:h="15840"/>
          <w:pgMar w:top="1440" w:right="1440" w:bottom="1440" w:left="1440" w:header="708" w:footer="708" w:gutter="0"/>
          <w:cols w:space="708"/>
          <w:docGrid w:linePitch="360"/>
        </w:sectPr>
      </w:pPr>
      <w:r>
        <w:rPr>
          <w:noProof/>
        </w:rPr>
        <w:drawing>
          <wp:anchor distT="0" distB="0" distL="114300" distR="114300" simplePos="0" relativeHeight="251658244" behindDoc="0" locked="0" layoutInCell="1" allowOverlap="1" wp14:anchorId="528C4A9A" wp14:editId="50E09FF7">
            <wp:simplePos x="0" y="0"/>
            <wp:positionH relativeFrom="page">
              <wp:align>center</wp:align>
            </wp:positionH>
            <wp:positionV relativeFrom="page">
              <wp:posOffset>6708227</wp:posOffset>
            </wp:positionV>
            <wp:extent cx="1581912" cy="1581912"/>
            <wp:effectExtent l="0" t="0" r="0" b="0"/>
            <wp:wrapSquare wrapText="bothSides"/>
            <wp:docPr id="471" name="Picture 47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Shape, cir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81912" cy="1581912"/>
                    </a:xfrm>
                    <a:prstGeom prst="rect">
                      <a:avLst/>
                    </a:prstGeom>
                  </pic:spPr>
                </pic:pic>
              </a:graphicData>
            </a:graphic>
            <wp14:sizeRelH relativeFrom="margin">
              <wp14:pctWidth>0</wp14:pctWidth>
            </wp14:sizeRelH>
            <wp14:sizeRelV relativeFrom="margin">
              <wp14:pctHeight>0</wp14:pctHeight>
            </wp14:sizeRelV>
          </wp:anchor>
        </w:drawing>
      </w:r>
    </w:p>
    <w:p w14:paraId="2C461629" w14:textId="29F1BAF8" w:rsidR="003D43BA" w:rsidRDefault="00EE2AFE" w:rsidP="003D43BA">
      <w:pPr>
        <w:pStyle w:val="TOCHeading"/>
      </w:pPr>
      <w:bookmarkStart w:id="4" w:name="Contents_Page"/>
      <w:bookmarkStart w:id="5" w:name="_Toc132705792"/>
      <w:bookmarkStart w:id="6" w:name="_Toc135416585"/>
      <w:bookmarkStart w:id="7" w:name="_Toc135416649"/>
      <w:bookmarkEnd w:id="4"/>
      <w:r>
        <w:lastRenderedPageBreak/>
        <w:t>Contents</w:t>
      </w:r>
      <w:bookmarkEnd w:id="5"/>
      <w:bookmarkEnd w:id="6"/>
      <w:bookmarkEnd w:id="7"/>
    </w:p>
    <w:p w14:paraId="2381E20B" w14:textId="0939D542" w:rsidR="002F364A" w:rsidRDefault="003D43BA">
      <w:pPr>
        <w:pStyle w:val="TOC1"/>
        <w:rPr>
          <w:rFonts w:asciiTheme="minorHAnsi" w:eastAsiaTheme="minorEastAsia" w:hAnsiTheme="minorHAnsi" w:cstheme="minorBidi"/>
          <w:kern w:val="2"/>
          <w:sz w:val="24"/>
          <w14:ligatures w14:val="standardContextual"/>
        </w:rPr>
      </w:pPr>
      <w:r>
        <w:rPr>
          <w:color w:val="000000" w:themeColor="text1"/>
        </w:rPr>
        <w:fldChar w:fldCharType="begin"/>
      </w:r>
      <w:r>
        <w:instrText xml:space="preserve"> TOC \o "1-3" \h \z \u </w:instrText>
      </w:r>
      <w:r>
        <w:rPr>
          <w:color w:val="000000" w:themeColor="text1"/>
        </w:rPr>
        <w:fldChar w:fldCharType="separate"/>
      </w:r>
      <w:hyperlink w:anchor="_Toc166834284" w:history="1">
        <w:r w:rsidR="002F364A" w:rsidRPr="00F3411E">
          <w:rPr>
            <w:rStyle w:val="Hyperlink"/>
          </w:rPr>
          <w:t>Record of Changes</w:t>
        </w:r>
        <w:r w:rsidR="002F364A">
          <w:rPr>
            <w:webHidden/>
          </w:rPr>
          <w:tab/>
        </w:r>
        <w:r w:rsidR="002F364A">
          <w:rPr>
            <w:webHidden/>
          </w:rPr>
          <w:fldChar w:fldCharType="begin"/>
        </w:r>
        <w:r w:rsidR="002F364A">
          <w:rPr>
            <w:webHidden/>
          </w:rPr>
          <w:instrText xml:space="preserve"> PAGEREF _Toc166834284 \h </w:instrText>
        </w:r>
        <w:r w:rsidR="002F364A">
          <w:rPr>
            <w:webHidden/>
          </w:rPr>
        </w:r>
        <w:r w:rsidR="002F364A">
          <w:rPr>
            <w:webHidden/>
          </w:rPr>
          <w:fldChar w:fldCharType="separate"/>
        </w:r>
        <w:r w:rsidR="00562D0E">
          <w:rPr>
            <w:webHidden/>
          </w:rPr>
          <w:t>1</w:t>
        </w:r>
        <w:r w:rsidR="002F364A">
          <w:rPr>
            <w:webHidden/>
          </w:rPr>
          <w:fldChar w:fldCharType="end"/>
        </w:r>
      </w:hyperlink>
    </w:p>
    <w:p w14:paraId="48C97F63" w14:textId="363B25EA" w:rsidR="002F364A" w:rsidRDefault="002F364A">
      <w:pPr>
        <w:pStyle w:val="TOC1"/>
        <w:rPr>
          <w:rFonts w:asciiTheme="minorHAnsi" w:eastAsiaTheme="minorEastAsia" w:hAnsiTheme="minorHAnsi" w:cstheme="minorBidi"/>
          <w:kern w:val="2"/>
          <w:sz w:val="24"/>
          <w14:ligatures w14:val="standardContextual"/>
        </w:rPr>
      </w:pPr>
      <w:hyperlink w:anchor="_Toc166834285" w:history="1">
        <w:r w:rsidRPr="00F3411E">
          <w:rPr>
            <w:rStyle w:val="Hyperlink"/>
          </w:rPr>
          <w:t>Overview</w:t>
        </w:r>
        <w:r>
          <w:rPr>
            <w:webHidden/>
          </w:rPr>
          <w:tab/>
        </w:r>
        <w:r>
          <w:rPr>
            <w:webHidden/>
          </w:rPr>
          <w:fldChar w:fldCharType="begin"/>
        </w:r>
        <w:r>
          <w:rPr>
            <w:webHidden/>
          </w:rPr>
          <w:instrText xml:space="preserve"> PAGEREF _Toc166834285 \h </w:instrText>
        </w:r>
        <w:r>
          <w:rPr>
            <w:webHidden/>
          </w:rPr>
        </w:r>
        <w:r>
          <w:rPr>
            <w:webHidden/>
          </w:rPr>
          <w:fldChar w:fldCharType="separate"/>
        </w:r>
        <w:r w:rsidR="00562D0E">
          <w:rPr>
            <w:webHidden/>
          </w:rPr>
          <w:t>2</w:t>
        </w:r>
        <w:r>
          <w:rPr>
            <w:webHidden/>
          </w:rPr>
          <w:fldChar w:fldCharType="end"/>
        </w:r>
      </w:hyperlink>
    </w:p>
    <w:p w14:paraId="7528C610" w14:textId="724029F6" w:rsidR="002F364A" w:rsidRDefault="002F364A">
      <w:pPr>
        <w:pStyle w:val="TOC1"/>
        <w:rPr>
          <w:rFonts w:asciiTheme="minorHAnsi" w:eastAsiaTheme="minorEastAsia" w:hAnsiTheme="minorHAnsi" w:cstheme="minorBidi"/>
          <w:kern w:val="2"/>
          <w:sz w:val="24"/>
          <w14:ligatures w14:val="standardContextual"/>
        </w:rPr>
      </w:pPr>
      <w:hyperlink w:anchor="_Toc166834286" w:history="1">
        <w:r w:rsidRPr="00F3411E">
          <w:rPr>
            <w:rStyle w:val="Hyperlink"/>
          </w:rPr>
          <w:t>Daily Checklist</w:t>
        </w:r>
        <w:r>
          <w:rPr>
            <w:webHidden/>
          </w:rPr>
          <w:tab/>
        </w:r>
        <w:r>
          <w:rPr>
            <w:webHidden/>
          </w:rPr>
          <w:fldChar w:fldCharType="begin"/>
        </w:r>
        <w:r>
          <w:rPr>
            <w:webHidden/>
          </w:rPr>
          <w:instrText xml:space="preserve"> PAGEREF _Toc166834286 \h </w:instrText>
        </w:r>
        <w:r>
          <w:rPr>
            <w:webHidden/>
          </w:rPr>
        </w:r>
        <w:r>
          <w:rPr>
            <w:webHidden/>
          </w:rPr>
          <w:fldChar w:fldCharType="separate"/>
        </w:r>
        <w:r w:rsidR="00562D0E">
          <w:rPr>
            <w:webHidden/>
          </w:rPr>
          <w:t>3</w:t>
        </w:r>
        <w:r>
          <w:rPr>
            <w:webHidden/>
          </w:rPr>
          <w:fldChar w:fldCharType="end"/>
        </w:r>
      </w:hyperlink>
    </w:p>
    <w:p w14:paraId="3843507E" w14:textId="0C6B5019" w:rsidR="002F364A" w:rsidRDefault="002F364A">
      <w:pPr>
        <w:pStyle w:val="TOC1"/>
        <w:rPr>
          <w:rFonts w:asciiTheme="minorHAnsi" w:eastAsiaTheme="minorEastAsia" w:hAnsiTheme="minorHAnsi" w:cstheme="minorBidi"/>
          <w:kern w:val="2"/>
          <w:sz w:val="24"/>
          <w14:ligatures w14:val="standardContextual"/>
        </w:rPr>
      </w:pPr>
      <w:hyperlink w:anchor="_Toc166834287" w:history="1">
        <w:r w:rsidRPr="00F3411E">
          <w:rPr>
            <w:rStyle w:val="Hyperlink"/>
          </w:rPr>
          <w:t>Weekly Checklist</w:t>
        </w:r>
        <w:r>
          <w:rPr>
            <w:webHidden/>
          </w:rPr>
          <w:tab/>
        </w:r>
        <w:r>
          <w:rPr>
            <w:webHidden/>
          </w:rPr>
          <w:fldChar w:fldCharType="begin"/>
        </w:r>
        <w:r>
          <w:rPr>
            <w:webHidden/>
          </w:rPr>
          <w:instrText xml:space="preserve"> PAGEREF _Toc166834287 \h </w:instrText>
        </w:r>
        <w:r>
          <w:rPr>
            <w:webHidden/>
          </w:rPr>
        </w:r>
        <w:r>
          <w:rPr>
            <w:webHidden/>
          </w:rPr>
          <w:fldChar w:fldCharType="separate"/>
        </w:r>
        <w:r w:rsidR="00562D0E">
          <w:rPr>
            <w:webHidden/>
          </w:rPr>
          <w:t>4</w:t>
        </w:r>
        <w:r>
          <w:rPr>
            <w:webHidden/>
          </w:rPr>
          <w:fldChar w:fldCharType="end"/>
        </w:r>
      </w:hyperlink>
    </w:p>
    <w:p w14:paraId="0973D535" w14:textId="0B90172B" w:rsidR="002F364A" w:rsidRDefault="002F364A">
      <w:pPr>
        <w:pStyle w:val="TOC1"/>
        <w:rPr>
          <w:rFonts w:asciiTheme="minorHAnsi" w:eastAsiaTheme="minorEastAsia" w:hAnsiTheme="minorHAnsi" w:cstheme="minorBidi"/>
          <w:kern w:val="2"/>
          <w:sz w:val="24"/>
          <w14:ligatures w14:val="standardContextual"/>
        </w:rPr>
      </w:pPr>
      <w:hyperlink w:anchor="_Toc166834288" w:history="1">
        <w:r w:rsidRPr="00F3411E">
          <w:rPr>
            <w:rStyle w:val="Hyperlink"/>
          </w:rPr>
          <w:t>Monthly Checklist</w:t>
        </w:r>
        <w:r>
          <w:rPr>
            <w:webHidden/>
          </w:rPr>
          <w:tab/>
        </w:r>
        <w:r>
          <w:rPr>
            <w:webHidden/>
          </w:rPr>
          <w:fldChar w:fldCharType="begin"/>
        </w:r>
        <w:r>
          <w:rPr>
            <w:webHidden/>
          </w:rPr>
          <w:instrText xml:space="preserve"> PAGEREF _Toc166834288 \h </w:instrText>
        </w:r>
        <w:r>
          <w:rPr>
            <w:webHidden/>
          </w:rPr>
        </w:r>
        <w:r>
          <w:rPr>
            <w:webHidden/>
          </w:rPr>
          <w:fldChar w:fldCharType="separate"/>
        </w:r>
        <w:r w:rsidR="00562D0E">
          <w:rPr>
            <w:webHidden/>
          </w:rPr>
          <w:t>6</w:t>
        </w:r>
        <w:r>
          <w:rPr>
            <w:webHidden/>
          </w:rPr>
          <w:fldChar w:fldCharType="end"/>
        </w:r>
      </w:hyperlink>
    </w:p>
    <w:p w14:paraId="3BC70727" w14:textId="6652743E" w:rsidR="002F364A" w:rsidRDefault="002F364A">
      <w:pPr>
        <w:pStyle w:val="TOC1"/>
        <w:rPr>
          <w:rFonts w:asciiTheme="minorHAnsi" w:eastAsiaTheme="minorEastAsia" w:hAnsiTheme="minorHAnsi" w:cstheme="minorBidi"/>
          <w:kern w:val="2"/>
          <w:sz w:val="24"/>
          <w14:ligatures w14:val="standardContextual"/>
        </w:rPr>
      </w:pPr>
      <w:hyperlink w:anchor="_Toc166834289" w:history="1">
        <w:r w:rsidRPr="00F3411E">
          <w:rPr>
            <w:rStyle w:val="Hyperlink"/>
          </w:rPr>
          <w:t>Administrative Checklist</w:t>
        </w:r>
        <w:r>
          <w:rPr>
            <w:webHidden/>
          </w:rPr>
          <w:tab/>
        </w:r>
        <w:r>
          <w:rPr>
            <w:webHidden/>
          </w:rPr>
          <w:fldChar w:fldCharType="begin"/>
        </w:r>
        <w:r>
          <w:rPr>
            <w:webHidden/>
          </w:rPr>
          <w:instrText xml:space="preserve"> PAGEREF _Toc166834289 \h </w:instrText>
        </w:r>
        <w:r>
          <w:rPr>
            <w:webHidden/>
          </w:rPr>
        </w:r>
        <w:r>
          <w:rPr>
            <w:webHidden/>
          </w:rPr>
          <w:fldChar w:fldCharType="separate"/>
        </w:r>
        <w:r w:rsidR="00562D0E">
          <w:rPr>
            <w:webHidden/>
          </w:rPr>
          <w:t>7</w:t>
        </w:r>
        <w:r>
          <w:rPr>
            <w:webHidden/>
          </w:rPr>
          <w:fldChar w:fldCharType="end"/>
        </w:r>
      </w:hyperlink>
    </w:p>
    <w:p w14:paraId="5D6A4626" w14:textId="02FACE9E" w:rsidR="002F364A" w:rsidRDefault="002F364A">
      <w:pPr>
        <w:pStyle w:val="TOC1"/>
        <w:rPr>
          <w:rFonts w:asciiTheme="minorHAnsi" w:eastAsiaTheme="minorEastAsia" w:hAnsiTheme="minorHAnsi" w:cstheme="minorBidi"/>
          <w:kern w:val="2"/>
          <w:sz w:val="24"/>
          <w14:ligatures w14:val="standardContextual"/>
        </w:rPr>
      </w:pPr>
      <w:hyperlink w:anchor="_Toc166834290" w:history="1">
        <w:r w:rsidRPr="00F3411E">
          <w:rPr>
            <w:rStyle w:val="Hyperlink"/>
          </w:rPr>
          <w:t>Annually Checklist</w:t>
        </w:r>
        <w:r>
          <w:rPr>
            <w:webHidden/>
          </w:rPr>
          <w:tab/>
        </w:r>
        <w:r>
          <w:rPr>
            <w:webHidden/>
          </w:rPr>
          <w:fldChar w:fldCharType="begin"/>
        </w:r>
        <w:r>
          <w:rPr>
            <w:webHidden/>
          </w:rPr>
          <w:instrText xml:space="preserve"> PAGEREF _Toc166834290 \h </w:instrText>
        </w:r>
        <w:r>
          <w:rPr>
            <w:webHidden/>
          </w:rPr>
        </w:r>
        <w:r>
          <w:rPr>
            <w:webHidden/>
          </w:rPr>
          <w:fldChar w:fldCharType="separate"/>
        </w:r>
        <w:r w:rsidR="00562D0E">
          <w:rPr>
            <w:webHidden/>
          </w:rPr>
          <w:t>8</w:t>
        </w:r>
        <w:r>
          <w:rPr>
            <w:webHidden/>
          </w:rPr>
          <w:fldChar w:fldCharType="end"/>
        </w:r>
      </w:hyperlink>
    </w:p>
    <w:p w14:paraId="5111F79F" w14:textId="114AD9AE" w:rsidR="002F364A" w:rsidRDefault="002F364A">
      <w:pPr>
        <w:pStyle w:val="TOC1"/>
        <w:rPr>
          <w:rFonts w:asciiTheme="minorHAnsi" w:eastAsiaTheme="minorEastAsia" w:hAnsiTheme="minorHAnsi" w:cstheme="minorBidi"/>
          <w:kern w:val="2"/>
          <w:sz w:val="24"/>
          <w14:ligatures w14:val="standardContextual"/>
        </w:rPr>
      </w:pPr>
      <w:hyperlink w:anchor="_Toc166834291" w:history="1">
        <w:r w:rsidRPr="00F3411E">
          <w:rPr>
            <w:rStyle w:val="Hyperlink"/>
          </w:rPr>
          <w:t>IT Security Protocols</w:t>
        </w:r>
        <w:r>
          <w:rPr>
            <w:webHidden/>
          </w:rPr>
          <w:tab/>
        </w:r>
        <w:r>
          <w:rPr>
            <w:webHidden/>
          </w:rPr>
          <w:fldChar w:fldCharType="begin"/>
        </w:r>
        <w:r>
          <w:rPr>
            <w:webHidden/>
          </w:rPr>
          <w:instrText xml:space="preserve"> PAGEREF _Toc166834291 \h </w:instrText>
        </w:r>
        <w:r>
          <w:rPr>
            <w:webHidden/>
          </w:rPr>
        </w:r>
        <w:r>
          <w:rPr>
            <w:webHidden/>
          </w:rPr>
          <w:fldChar w:fldCharType="separate"/>
        </w:r>
        <w:r w:rsidR="00562D0E">
          <w:rPr>
            <w:webHidden/>
          </w:rPr>
          <w:t>9</w:t>
        </w:r>
        <w:r>
          <w:rPr>
            <w:webHidden/>
          </w:rPr>
          <w:fldChar w:fldCharType="end"/>
        </w:r>
      </w:hyperlink>
    </w:p>
    <w:p w14:paraId="3955641B" w14:textId="7946A1D4" w:rsidR="002F364A" w:rsidRDefault="002F364A">
      <w:pPr>
        <w:pStyle w:val="TOC2"/>
        <w:rPr>
          <w:rFonts w:asciiTheme="minorHAnsi" w:eastAsiaTheme="minorEastAsia" w:hAnsiTheme="minorHAnsi" w:cstheme="minorBidi"/>
          <w:noProof/>
          <w:kern w:val="2"/>
          <w14:ligatures w14:val="standardContextual"/>
        </w:rPr>
      </w:pPr>
      <w:hyperlink w:anchor="_Toc166834292"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Systems Administration</w:t>
        </w:r>
        <w:r>
          <w:rPr>
            <w:noProof/>
            <w:webHidden/>
          </w:rPr>
          <w:tab/>
        </w:r>
        <w:r>
          <w:rPr>
            <w:noProof/>
            <w:webHidden/>
          </w:rPr>
          <w:fldChar w:fldCharType="begin"/>
        </w:r>
        <w:r>
          <w:rPr>
            <w:noProof/>
            <w:webHidden/>
          </w:rPr>
          <w:instrText xml:space="preserve"> PAGEREF _Toc166834292 \h </w:instrText>
        </w:r>
        <w:r>
          <w:rPr>
            <w:noProof/>
            <w:webHidden/>
          </w:rPr>
        </w:r>
        <w:r>
          <w:rPr>
            <w:noProof/>
            <w:webHidden/>
          </w:rPr>
          <w:fldChar w:fldCharType="separate"/>
        </w:r>
        <w:r w:rsidR="00562D0E">
          <w:rPr>
            <w:noProof/>
            <w:webHidden/>
          </w:rPr>
          <w:t>9</w:t>
        </w:r>
        <w:r>
          <w:rPr>
            <w:noProof/>
            <w:webHidden/>
          </w:rPr>
          <w:fldChar w:fldCharType="end"/>
        </w:r>
      </w:hyperlink>
    </w:p>
    <w:p w14:paraId="1BEE3561" w14:textId="18955660"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3" w:history="1">
        <w:r w:rsidRPr="00F3411E">
          <w:rPr>
            <w:rStyle w:val="Hyperlink"/>
            <w:noProof/>
          </w:rPr>
          <w:t>1.1.</w:t>
        </w:r>
        <w:r>
          <w:rPr>
            <w:rFonts w:asciiTheme="minorHAnsi" w:eastAsiaTheme="minorEastAsia" w:hAnsiTheme="minorHAnsi" w:cstheme="minorBidi"/>
            <w:noProof/>
            <w:kern w:val="2"/>
            <w:sz w:val="24"/>
            <w14:ligatures w14:val="standardContextual"/>
          </w:rPr>
          <w:tab/>
        </w:r>
        <w:r w:rsidRPr="00F3411E">
          <w:rPr>
            <w:rStyle w:val="Hyperlink"/>
            <w:noProof/>
          </w:rPr>
          <w:t>Nightly Backup Verification</w:t>
        </w:r>
        <w:r>
          <w:rPr>
            <w:noProof/>
            <w:webHidden/>
          </w:rPr>
          <w:tab/>
        </w:r>
        <w:r>
          <w:rPr>
            <w:noProof/>
            <w:webHidden/>
          </w:rPr>
          <w:fldChar w:fldCharType="begin"/>
        </w:r>
        <w:r>
          <w:rPr>
            <w:noProof/>
            <w:webHidden/>
          </w:rPr>
          <w:instrText xml:space="preserve"> PAGEREF _Toc166834293 \h </w:instrText>
        </w:r>
        <w:r>
          <w:rPr>
            <w:noProof/>
            <w:webHidden/>
          </w:rPr>
        </w:r>
        <w:r>
          <w:rPr>
            <w:noProof/>
            <w:webHidden/>
          </w:rPr>
          <w:fldChar w:fldCharType="separate"/>
        </w:r>
        <w:r w:rsidR="00562D0E">
          <w:rPr>
            <w:noProof/>
            <w:webHidden/>
          </w:rPr>
          <w:t>9</w:t>
        </w:r>
        <w:r>
          <w:rPr>
            <w:noProof/>
            <w:webHidden/>
          </w:rPr>
          <w:fldChar w:fldCharType="end"/>
        </w:r>
      </w:hyperlink>
    </w:p>
    <w:p w14:paraId="1C828E5A" w14:textId="30C2F491"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4" w:history="1">
        <w:r w:rsidRPr="00F3411E">
          <w:rPr>
            <w:rStyle w:val="Hyperlink"/>
            <w:noProof/>
          </w:rPr>
          <w:t>1.2.</w:t>
        </w:r>
        <w:r>
          <w:rPr>
            <w:rFonts w:asciiTheme="minorHAnsi" w:eastAsiaTheme="minorEastAsia" w:hAnsiTheme="minorHAnsi" w:cstheme="minorBidi"/>
            <w:noProof/>
            <w:kern w:val="2"/>
            <w:sz w:val="24"/>
            <w14:ligatures w14:val="standardContextual"/>
          </w:rPr>
          <w:tab/>
        </w:r>
        <w:r w:rsidRPr="00F3411E">
          <w:rPr>
            <w:rStyle w:val="Hyperlink"/>
            <w:noProof/>
          </w:rPr>
          <w:t>EDR and Image Server Backup Folders</w:t>
        </w:r>
        <w:r>
          <w:rPr>
            <w:noProof/>
            <w:webHidden/>
          </w:rPr>
          <w:tab/>
        </w:r>
        <w:r>
          <w:rPr>
            <w:noProof/>
            <w:webHidden/>
          </w:rPr>
          <w:fldChar w:fldCharType="begin"/>
        </w:r>
        <w:r>
          <w:rPr>
            <w:noProof/>
            <w:webHidden/>
          </w:rPr>
          <w:instrText xml:space="preserve"> PAGEREF _Toc166834294 \h </w:instrText>
        </w:r>
        <w:r>
          <w:rPr>
            <w:noProof/>
            <w:webHidden/>
          </w:rPr>
        </w:r>
        <w:r>
          <w:rPr>
            <w:noProof/>
            <w:webHidden/>
          </w:rPr>
          <w:fldChar w:fldCharType="separate"/>
        </w:r>
        <w:r w:rsidR="00562D0E">
          <w:rPr>
            <w:noProof/>
            <w:webHidden/>
          </w:rPr>
          <w:t>9</w:t>
        </w:r>
        <w:r>
          <w:rPr>
            <w:noProof/>
            <w:webHidden/>
          </w:rPr>
          <w:fldChar w:fldCharType="end"/>
        </w:r>
      </w:hyperlink>
    </w:p>
    <w:p w14:paraId="579BCA71" w14:textId="5ACCDDE9"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5" w:history="1">
        <w:r w:rsidRPr="00F3411E">
          <w:rPr>
            <w:rStyle w:val="Hyperlink"/>
            <w:noProof/>
          </w:rPr>
          <w:t>1.3.</w:t>
        </w:r>
        <w:r>
          <w:rPr>
            <w:rFonts w:asciiTheme="minorHAnsi" w:eastAsiaTheme="minorEastAsia" w:hAnsiTheme="minorHAnsi" w:cstheme="minorBidi"/>
            <w:noProof/>
            <w:kern w:val="2"/>
            <w:sz w:val="24"/>
            <w14:ligatures w14:val="standardContextual"/>
          </w:rPr>
          <w:tab/>
        </w:r>
        <w:r w:rsidRPr="00F3411E">
          <w:rPr>
            <w:rStyle w:val="Hyperlink"/>
            <w:noProof/>
          </w:rPr>
          <w:t>Data Recovery</w:t>
        </w:r>
        <w:r>
          <w:rPr>
            <w:noProof/>
            <w:webHidden/>
          </w:rPr>
          <w:tab/>
        </w:r>
        <w:r>
          <w:rPr>
            <w:noProof/>
            <w:webHidden/>
          </w:rPr>
          <w:fldChar w:fldCharType="begin"/>
        </w:r>
        <w:r>
          <w:rPr>
            <w:noProof/>
            <w:webHidden/>
          </w:rPr>
          <w:instrText xml:space="preserve"> PAGEREF _Toc166834295 \h </w:instrText>
        </w:r>
        <w:r>
          <w:rPr>
            <w:noProof/>
            <w:webHidden/>
          </w:rPr>
        </w:r>
        <w:r>
          <w:rPr>
            <w:noProof/>
            <w:webHidden/>
          </w:rPr>
          <w:fldChar w:fldCharType="separate"/>
        </w:r>
        <w:r w:rsidR="00562D0E">
          <w:rPr>
            <w:noProof/>
            <w:webHidden/>
          </w:rPr>
          <w:t>10</w:t>
        </w:r>
        <w:r>
          <w:rPr>
            <w:noProof/>
            <w:webHidden/>
          </w:rPr>
          <w:fldChar w:fldCharType="end"/>
        </w:r>
      </w:hyperlink>
    </w:p>
    <w:p w14:paraId="0EB2304A" w14:textId="00B0B2EB"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6" w:history="1">
        <w:r w:rsidRPr="00F3411E">
          <w:rPr>
            <w:rStyle w:val="Hyperlink"/>
            <w:noProof/>
          </w:rPr>
          <w:t>1.4.</w:t>
        </w:r>
        <w:r>
          <w:rPr>
            <w:rFonts w:asciiTheme="minorHAnsi" w:eastAsiaTheme="minorEastAsia" w:hAnsiTheme="minorHAnsi" w:cstheme="minorBidi"/>
            <w:noProof/>
            <w:kern w:val="2"/>
            <w:sz w:val="24"/>
            <w14:ligatures w14:val="standardContextual"/>
          </w:rPr>
          <w:tab/>
        </w:r>
        <w:r w:rsidRPr="00F3411E">
          <w:rPr>
            <w:rStyle w:val="Hyperlink"/>
            <w:noProof/>
          </w:rPr>
          <w:t>SQL Maintenance Plans</w:t>
        </w:r>
        <w:r>
          <w:rPr>
            <w:noProof/>
            <w:webHidden/>
          </w:rPr>
          <w:tab/>
        </w:r>
        <w:r>
          <w:rPr>
            <w:noProof/>
            <w:webHidden/>
          </w:rPr>
          <w:fldChar w:fldCharType="begin"/>
        </w:r>
        <w:r>
          <w:rPr>
            <w:noProof/>
            <w:webHidden/>
          </w:rPr>
          <w:instrText xml:space="preserve"> PAGEREF _Toc166834296 \h </w:instrText>
        </w:r>
        <w:r>
          <w:rPr>
            <w:noProof/>
            <w:webHidden/>
          </w:rPr>
        </w:r>
        <w:r>
          <w:rPr>
            <w:noProof/>
            <w:webHidden/>
          </w:rPr>
          <w:fldChar w:fldCharType="separate"/>
        </w:r>
        <w:r w:rsidR="00562D0E">
          <w:rPr>
            <w:noProof/>
            <w:webHidden/>
          </w:rPr>
          <w:t>10</w:t>
        </w:r>
        <w:r>
          <w:rPr>
            <w:noProof/>
            <w:webHidden/>
          </w:rPr>
          <w:fldChar w:fldCharType="end"/>
        </w:r>
      </w:hyperlink>
    </w:p>
    <w:p w14:paraId="64F33530" w14:textId="667F6E9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7" w:history="1">
        <w:r w:rsidRPr="00F3411E">
          <w:rPr>
            <w:rStyle w:val="Hyperlink"/>
            <w:noProof/>
            <w:lang w:bidi="en-US"/>
          </w:rPr>
          <w:t>1.5.</w:t>
        </w:r>
        <w:r>
          <w:rPr>
            <w:rFonts w:asciiTheme="minorHAnsi" w:eastAsiaTheme="minorEastAsia" w:hAnsiTheme="minorHAnsi" w:cstheme="minorBidi"/>
            <w:noProof/>
            <w:kern w:val="2"/>
            <w:sz w:val="24"/>
            <w14:ligatures w14:val="standardContextual"/>
          </w:rPr>
          <w:tab/>
        </w:r>
        <w:r w:rsidRPr="00F3411E">
          <w:rPr>
            <w:rStyle w:val="Hyperlink"/>
            <w:noProof/>
          </w:rPr>
          <w:t>Windows Updates/Patches</w:t>
        </w:r>
        <w:r>
          <w:rPr>
            <w:noProof/>
            <w:webHidden/>
          </w:rPr>
          <w:tab/>
        </w:r>
        <w:r>
          <w:rPr>
            <w:noProof/>
            <w:webHidden/>
          </w:rPr>
          <w:fldChar w:fldCharType="begin"/>
        </w:r>
        <w:r>
          <w:rPr>
            <w:noProof/>
            <w:webHidden/>
          </w:rPr>
          <w:instrText xml:space="preserve"> PAGEREF _Toc166834297 \h </w:instrText>
        </w:r>
        <w:r>
          <w:rPr>
            <w:noProof/>
            <w:webHidden/>
          </w:rPr>
        </w:r>
        <w:r>
          <w:rPr>
            <w:noProof/>
            <w:webHidden/>
          </w:rPr>
          <w:fldChar w:fldCharType="separate"/>
        </w:r>
        <w:r w:rsidR="00562D0E">
          <w:rPr>
            <w:noProof/>
            <w:webHidden/>
          </w:rPr>
          <w:t>12</w:t>
        </w:r>
        <w:r>
          <w:rPr>
            <w:noProof/>
            <w:webHidden/>
          </w:rPr>
          <w:fldChar w:fldCharType="end"/>
        </w:r>
      </w:hyperlink>
    </w:p>
    <w:p w14:paraId="614C5604" w14:textId="630B667F"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8" w:history="1">
        <w:r w:rsidRPr="00F3411E">
          <w:rPr>
            <w:rStyle w:val="Hyperlink"/>
            <w:rFonts w:eastAsia="Calibri"/>
            <w:noProof/>
            <w:lang w:bidi="en-US"/>
          </w:rPr>
          <w:t>1.6.</w:t>
        </w:r>
        <w:r>
          <w:rPr>
            <w:rFonts w:asciiTheme="minorHAnsi" w:eastAsiaTheme="minorEastAsia" w:hAnsiTheme="minorHAnsi" w:cstheme="minorBidi"/>
            <w:noProof/>
            <w:kern w:val="2"/>
            <w:sz w:val="24"/>
            <w14:ligatures w14:val="standardContextual"/>
          </w:rPr>
          <w:tab/>
        </w:r>
        <w:r w:rsidRPr="00F3411E">
          <w:rPr>
            <w:rStyle w:val="Hyperlink"/>
            <w:noProof/>
          </w:rPr>
          <w:t>Windows System Logs</w:t>
        </w:r>
        <w:r>
          <w:rPr>
            <w:noProof/>
            <w:webHidden/>
          </w:rPr>
          <w:tab/>
        </w:r>
        <w:r>
          <w:rPr>
            <w:noProof/>
            <w:webHidden/>
          </w:rPr>
          <w:fldChar w:fldCharType="begin"/>
        </w:r>
        <w:r>
          <w:rPr>
            <w:noProof/>
            <w:webHidden/>
          </w:rPr>
          <w:instrText xml:space="preserve"> PAGEREF _Toc166834298 \h </w:instrText>
        </w:r>
        <w:r>
          <w:rPr>
            <w:noProof/>
            <w:webHidden/>
          </w:rPr>
        </w:r>
        <w:r>
          <w:rPr>
            <w:noProof/>
            <w:webHidden/>
          </w:rPr>
          <w:fldChar w:fldCharType="separate"/>
        </w:r>
        <w:r w:rsidR="00562D0E">
          <w:rPr>
            <w:noProof/>
            <w:webHidden/>
          </w:rPr>
          <w:t>12</w:t>
        </w:r>
        <w:r>
          <w:rPr>
            <w:noProof/>
            <w:webHidden/>
          </w:rPr>
          <w:fldChar w:fldCharType="end"/>
        </w:r>
      </w:hyperlink>
    </w:p>
    <w:p w14:paraId="488CC0A7" w14:textId="79EC95C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299" w:history="1">
        <w:r w:rsidRPr="00F3411E">
          <w:rPr>
            <w:rStyle w:val="Hyperlink"/>
            <w:rFonts w:eastAsia="Calibri"/>
            <w:noProof/>
            <w:lang w:bidi="en-US"/>
          </w:rPr>
          <w:t>1.7.</w:t>
        </w:r>
        <w:r>
          <w:rPr>
            <w:rFonts w:asciiTheme="minorHAnsi" w:eastAsiaTheme="minorEastAsia" w:hAnsiTheme="minorHAnsi" w:cstheme="minorBidi"/>
            <w:noProof/>
            <w:kern w:val="2"/>
            <w:sz w:val="24"/>
            <w14:ligatures w14:val="standardContextual"/>
          </w:rPr>
          <w:tab/>
        </w:r>
        <w:r w:rsidRPr="00F3411E">
          <w:rPr>
            <w:rStyle w:val="Hyperlink"/>
            <w:noProof/>
          </w:rPr>
          <w:t>Hard/Virtual Drive Maintenance</w:t>
        </w:r>
        <w:r>
          <w:rPr>
            <w:noProof/>
            <w:webHidden/>
          </w:rPr>
          <w:tab/>
        </w:r>
        <w:r>
          <w:rPr>
            <w:noProof/>
            <w:webHidden/>
          </w:rPr>
          <w:fldChar w:fldCharType="begin"/>
        </w:r>
        <w:r>
          <w:rPr>
            <w:noProof/>
            <w:webHidden/>
          </w:rPr>
          <w:instrText xml:space="preserve"> PAGEREF _Toc166834299 \h </w:instrText>
        </w:r>
        <w:r>
          <w:rPr>
            <w:noProof/>
            <w:webHidden/>
          </w:rPr>
        </w:r>
        <w:r>
          <w:rPr>
            <w:noProof/>
            <w:webHidden/>
          </w:rPr>
          <w:fldChar w:fldCharType="separate"/>
        </w:r>
        <w:r w:rsidR="00562D0E">
          <w:rPr>
            <w:noProof/>
            <w:webHidden/>
          </w:rPr>
          <w:t>12</w:t>
        </w:r>
        <w:r>
          <w:rPr>
            <w:noProof/>
            <w:webHidden/>
          </w:rPr>
          <w:fldChar w:fldCharType="end"/>
        </w:r>
      </w:hyperlink>
    </w:p>
    <w:p w14:paraId="5AC7A168" w14:textId="02DC047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0" w:history="1">
        <w:r w:rsidRPr="00F3411E">
          <w:rPr>
            <w:rStyle w:val="Hyperlink"/>
            <w:rFonts w:eastAsia="Times New Roman"/>
            <w:noProof/>
          </w:rPr>
          <w:t>1.8.</w:t>
        </w:r>
        <w:r>
          <w:rPr>
            <w:rFonts w:asciiTheme="minorHAnsi" w:eastAsiaTheme="minorEastAsia" w:hAnsiTheme="minorHAnsi" w:cstheme="minorBidi"/>
            <w:noProof/>
            <w:kern w:val="2"/>
            <w:sz w:val="24"/>
            <w14:ligatures w14:val="standardContextual"/>
          </w:rPr>
          <w:tab/>
        </w:r>
        <w:r w:rsidRPr="00F3411E">
          <w:rPr>
            <w:rStyle w:val="Hyperlink"/>
            <w:noProof/>
          </w:rPr>
          <w:t>Antivirus Scans</w:t>
        </w:r>
        <w:r>
          <w:rPr>
            <w:noProof/>
            <w:webHidden/>
          </w:rPr>
          <w:tab/>
        </w:r>
        <w:r>
          <w:rPr>
            <w:noProof/>
            <w:webHidden/>
          </w:rPr>
          <w:fldChar w:fldCharType="begin"/>
        </w:r>
        <w:r>
          <w:rPr>
            <w:noProof/>
            <w:webHidden/>
          </w:rPr>
          <w:instrText xml:space="preserve"> PAGEREF _Toc166834300 \h </w:instrText>
        </w:r>
        <w:r>
          <w:rPr>
            <w:noProof/>
            <w:webHidden/>
          </w:rPr>
        </w:r>
        <w:r>
          <w:rPr>
            <w:noProof/>
            <w:webHidden/>
          </w:rPr>
          <w:fldChar w:fldCharType="separate"/>
        </w:r>
        <w:r w:rsidR="00562D0E">
          <w:rPr>
            <w:noProof/>
            <w:webHidden/>
          </w:rPr>
          <w:t>13</w:t>
        </w:r>
        <w:r>
          <w:rPr>
            <w:noProof/>
            <w:webHidden/>
          </w:rPr>
          <w:fldChar w:fldCharType="end"/>
        </w:r>
      </w:hyperlink>
    </w:p>
    <w:p w14:paraId="3787EB59" w14:textId="4296A13A" w:rsidR="002F364A" w:rsidRDefault="002F364A">
      <w:pPr>
        <w:pStyle w:val="TOC2"/>
        <w:rPr>
          <w:rFonts w:asciiTheme="minorHAnsi" w:eastAsiaTheme="minorEastAsia" w:hAnsiTheme="minorHAnsi" w:cstheme="minorBidi"/>
          <w:noProof/>
          <w:kern w:val="2"/>
          <w14:ligatures w14:val="standardContextual"/>
        </w:rPr>
      </w:pPr>
      <w:hyperlink w:anchor="_Toc166834301"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General Firewall Rules</w:t>
        </w:r>
        <w:r>
          <w:rPr>
            <w:noProof/>
            <w:webHidden/>
          </w:rPr>
          <w:tab/>
        </w:r>
        <w:r>
          <w:rPr>
            <w:noProof/>
            <w:webHidden/>
          </w:rPr>
          <w:fldChar w:fldCharType="begin"/>
        </w:r>
        <w:r>
          <w:rPr>
            <w:noProof/>
            <w:webHidden/>
          </w:rPr>
          <w:instrText xml:space="preserve"> PAGEREF _Toc166834301 \h </w:instrText>
        </w:r>
        <w:r>
          <w:rPr>
            <w:noProof/>
            <w:webHidden/>
          </w:rPr>
        </w:r>
        <w:r>
          <w:rPr>
            <w:noProof/>
            <w:webHidden/>
          </w:rPr>
          <w:fldChar w:fldCharType="separate"/>
        </w:r>
        <w:r w:rsidR="00562D0E">
          <w:rPr>
            <w:noProof/>
            <w:webHidden/>
          </w:rPr>
          <w:t>13</w:t>
        </w:r>
        <w:r>
          <w:rPr>
            <w:noProof/>
            <w:webHidden/>
          </w:rPr>
          <w:fldChar w:fldCharType="end"/>
        </w:r>
      </w:hyperlink>
    </w:p>
    <w:p w14:paraId="745C83A1" w14:textId="404A0B32"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2" w:history="1">
        <w:r w:rsidRPr="00F3411E">
          <w:rPr>
            <w:rStyle w:val="Hyperlink"/>
            <w:rFonts w:eastAsia="Calibri"/>
            <w:noProof/>
            <w:lang w:bidi="en-US"/>
          </w:rPr>
          <w:t>2.1.</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Block traffic by default and monitor user access</w:t>
        </w:r>
        <w:r>
          <w:rPr>
            <w:noProof/>
            <w:webHidden/>
          </w:rPr>
          <w:tab/>
        </w:r>
        <w:r>
          <w:rPr>
            <w:noProof/>
            <w:webHidden/>
          </w:rPr>
          <w:fldChar w:fldCharType="begin"/>
        </w:r>
        <w:r>
          <w:rPr>
            <w:noProof/>
            <w:webHidden/>
          </w:rPr>
          <w:instrText xml:space="preserve"> PAGEREF _Toc166834302 \h </w:instrText>
        </w:r>
        <w:r>
          <w:rPr>
            <w:noProof/>
            <w:webHidden/>
          </w:rPr>
        </w:r>
        <w:r>
          <w:rPr>
            <w:noProof/>
            <w:webHidden/>
          </w:rPr>
          <w:fldChar w:fldCharType="separate"/>
        </w:r>
        <w:r w:rsidR="00562D0E">
          <w:rPr>
            <w:noProof/>
            <w:webHidden/>
          </w:rPr>
          <w:t>13</w:t>
        </w:r>
        <w:r>
          <w:rPr>
            <w:noProof/>
            <w:webHidden/>
          </w:rPr>
          <w:fldChar w:fldCharType="end"/>
        </w:r>
      </w:hyperlink>
    </w:p>
    <w:p w14:paraId="1C32B093" w14:textId="50F90511"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3" w:history="1">
        <w:r w:rsidRPr="00F3411E">
          <w:rPr>
            <w:rStyle w:val="Hyperlink"/>
            <w:rFonts w:eastAsia="Calibri"/>
            <w:noProof/>
            <w:lang w:bidi="en-US"/>
          </w:rPr>
          <w:t>2.2.</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Establish a firewall configuration change plan</w:t>
        </w:r>
        <w:r>
          <w:rPr>
            <w:noProof/>
            <w:webHidden/>
          </w:rPr>
          <w:tab/>
        </w:r>
        <w:r>
          <w:rPr>
            <w:noProof/>
            <w:webHidden/>
          </w:rPr>
          <w:fldChar w:fldCharType="begin"/>
        </w:r>
        <w:r>
          <w:rPr>
            <w:noProof/>
            <w:webHidden/>
          </w:rPr>
          <w:instrText xml:space="preserve"> PAGEREF _Toc166834303 \h </w:instrText>
        </w:r>
        <w:r>
          <w:rPr>
            <w:noProof/>
            <w:webHidden/>
          </w:rPr>
        </w:r>
        <w:r>
          <w:rPr>
            <w:noProof/>
            <w:webHidden/>
          </w:rPr>
          <w:fldChar w:fldCharType="separate"/>
        </w:r>
        <w:r w:rsidR="00562D0E">
          <w:rPr>
            <w:noProof/>
            <w:webHidden/>
          </w:rPr>
          <w:t>13</w:t>
        </w:r>
        <w:r>
          <w:rPr>
            <w:noProof/>
            <w:webHidden/>
          </w:rPr>
          <w:fldChar w:fldCharType="end"/>
        </w:r>
      </w:hyperlink>
    </w:p>
    <w:p w14:paraId="5FACBF42" w14:textId="623E4C42"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4" w:history="1">
        <w:r w:rsidRPr="00F3411E">
          <w:rPr>
            <w:rStyle w:val="Hyperlink"/>
            <w:rFonts w:eastAsia="Calibri"/>
            <w:noProof/>
            <w:lang w:bidi="en-US"/>
          </w:rPr>
          <w:t>2.3.</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Optimize the firewall rules of your network</w:t>
        </w:r>
        <w:r>
          <w:rPr>
            <w:noProof/>
            <w:webHidden/>
          </w:rPr>
          <w:tab/>
        </w:r>
        <w:r>
          <w:rPr>
            <w:noProof/>
            <w:webHidden/>
          </w:rPr>
          <w:fldChar w:fldCharType="begin"/>
        </w:r>
        <w:r>
          <w:rPr>
            <w:noProof/>
            <w:webHidden/>
          </w:rPr>
          <w:instrText xml:space="preserve"> PAGEREF _Toc166834304 \h </w:instrText>
        </w:r>
        <w:r>
          <w:rPr>
            <w:noProof/>
            <w:webHidden/>
          </w:rPr>
        </w:r>
        <w:r>
          <w:rPr>
            <w:noProof/>
            <w:webHidden/>
          </w:rPr>
          <w:fldChar w:fldCharType="separate"/>
        </w:r>
        <w:r w:rsidR="00562D0E">
          <w:rPr>
            <w:noProof/>
            <w:webHidden/>
          </w:rPr>
          <w:t>14</w:t>
        </w:r>
        <w:r>
          <w:rPr>
            <w:noProof/>
            <w:webHidden/>
          </w:rPr>
          <w:fldChar w:fldCharType="end"/>
        </w:r>
      </w:hyperlink>
    </w:p>
    <w:p w14:paraId="0132283D" w14:textId="2A6DD6F9"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5" w:history="1">
        <w:r w:rsidRPr="00F3411E">
          <w:rPr>
            <w:rStyle w:val="Hyperlink"/>
            <w:rFonts w:eastAsia="Calibri"/>
            <w:noProof/>
            <w:lang w:bidi="en-US"/>
          </w:rPr>
          <w:t>2.4.</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Update your firewall software regularly</w:t>
        </w:r>
        <w:r>
          <w:rPr>
            <w:noProof/>
            <w:webHidden/>
          </w:rPr>
          <w:tab/>
        </w:r>
        <w:r>
          <w:rPr>
            <w:noProof/>
            <w:webHidden/>
          </w:rPr>
          <w:fldChar w:fldCharType="begin"/>
        </w:r>
        <w:r>
          <w:rPr>
            <w:noProof/>
            <w:webHidden/>
          </w:rPr>
          <w:instrText xml:space="preserve"> PAGEREF _Toc166834305 \h </w:instrText>
        </w:r>
        <w:r>
          <w:rPr>
            <w:noProof/>
            <w:webHidden/>
          </w:rPr>
        </w:r>
        <w:r>
          <w:rPr>
            <w:noProof/>
            <w:webHidden/>
          </w:rPr>
          <w:fldChar w:fldCharType="separate"/>
        </w:r>
        <w:r w:rsidR="00562D0E">
          <w:rPr>
            <w:noProof/>
            <w:webHidden/>
          </w:rPr>
          <w:t>14</w:t>
        </w:r>
        <w:r>
          <w:rPr>
            <w:noProof/>
            <w:webHidden/>
          </w:rPr>
          <w:fldChar w:fldCharType="end"/>
        </w:r>
      </w:hyperlink>
    </w:p>
    <w:p w14:paraId="7C3E56CA" w14:textId="001EB96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6" w:history="1">
        <w:r w:rsidRPr="00F3411E">
          <w:rPr>
            <w:rStyle w:val="Hyperlink"/>
            <w:rFonts w:eastAsia="Calibri"/>
            <w:noProof/>
            <w:lang w:bidi="en-US"/>
          </w:rPr>
          <w:t>2.5.</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Conduct regular firewall security audits</w:t>
        </w:r>
        <w:r>
          <w:rPr>
            <w:noProof/>
            <w:webHidden/>
          </w:rPr>
          <w:tab/>
        </w:r>
        <w:r>
          <w:rPr>
            <w:noProof/>
            <w:webHidden/>
          </w:rPr>
          <w:fldChar w:fldCharType="begin"/>
        </w:r>
        <w:r>
          <w:rPr>
            <w:noProof/>
            <w:webHidden/>
          </w:rPr>
          <w:instrText xml:space="preserve"> PAGEREF _Toc166834306 \h </w:instrText>
        </w:r>
        <w:r>
          <w:rPr>
            <w:noProof/>
            <w:webHidden/>
          </w:rPr>
        </w:r>
        <w:r>
          <w:rPr>
            <w:noProof/>
            <w:webHidden/>
          </w:rPr>
          <w:fldChar w:fldCharType="separate"/>
        </w:r>
        <w:r w:rsidR="00562D0E">
          <w:rPr>
            <w:noProof/>
            <w:webHidden/>
          </w:rPr>
          <w:t>14</w:t>
        </w:r>
        <w:r>
          <w:rPr>
            <w:noProof/>
            <w:webHidden/>
          </w:rPr>
          <w:fldChar w:fldCharType="end"/>
        </w:r>
      </w:hyperlink>
    </w:p>
    <w:p w14:paraId="7E949125" w14:textId="738E8B2B" w:rsidR="002F364A" w:rsidRDefault="002F364A">
      <w:pPr>
        <w:pStyle w:val="TOC2"/>
        <w:rPr>
          <w:rFonts w:asciiTheme="minorHAnsi" w:eastAsiaTheme="minorEastAsia" w:hAnsiTheme="minorHAnsi" w:cstheme="minorBidi"/>
          <w:noProof/>
          <w:kern w:val="2"/>
          <w14:ligatures w14:val="standardContextual"/>
        </w:rPr>
      </w:pPr>
      <w:hyperlink w:anchor="_Toc166834307" w:history="1">
        <w:r w:rsidRPr="00F3411E">
          <w:rPr>
            <w:rStyle w:val="Hyperlink"/>
            <w:rFonts w:eastAsia="Calibri"/>
            <w:noProof/>
            <w:lang w:bidi="en-US"/>
          </w:rPr>
          <w:t>3.</w:t>
        </w:r>
        <w:r>
          <w:rPr>
            <w:rFonts w:asciiTheme="minorHAnsi" w:eastAsiaTheme="minorEastAsia" w:hAnsiTheme="minorHAnsi" w:cstheme="minorBidi"/>
            <w:noProof/>
            <w:kern w:val="2"/>
            <w14:ligatures w14:val="standardContextual"/>
          </w:rPr>
          <w:tab/>
        </w:r>
        <w:r w:rsidRPr="00F3411E">
          <w:rPr>
            <w:rStyle w:val="Hyperlink"/>
            <w:noProof/>
          </w:rPr>
          <w:t>Incident</w:t>
        </w:r>
        <w:r w:rsidRPr="00F3411E">
          <w:rPr>
            <w:rStyle w:val="Hyperlink"/>
            <w:rFonts w:ascii="Calibri" w:eastAsia="Calibri" w:hAnsi="Calibri" w:cs="Calibri"/>
            <w:noProof/>
            <w:lang w:bidi="en-US"/>
          </w:rPr>
          <w:t xml:space="preserve"> </w:t>
        </w:r>
        <w:r w:rsidRPr="00F3411E">
          <w:rPr>
            <w:rStyle w:val="Hyperlink"/>
            <w:noProof/>
          </w:rPr>
          <w:t>Response and Log Review Protocol</w:t>
        </w:r>
        <w:r>
          <w:rPr>
            <w:noProof/>
            <w:webHidden/>
          </w:rPr>
          <w:tab/>
        </w:r>
        <w:r>
          <w:rPr>
            <w:noProof/>
            <w:webHidden/>
          </w:rPr>
          <w:fldChar w:fldCharType="begin"/>
        </w:r>
        <w:r>
          <w:rPr>
            <w:noProof/>
            <w:webHidden/>
          </w:rPr>
          <w:instrText xml:space="preserve"> PAGEREF _Toc166834307 \h </w:instrText>
        </w:r>
        <w:r>
          <w:rPr>
            <w:noProof/>
            <w:webHidden/>
          </w:rPr>
        </w:r>
        <w:r>
          <w:rPr>
            <w:noProof/>
            <w:webHidden/>
          </w:rPr>
          <w:fldChar w:fldCharType="separate"/>
        </w:r>
        <w:r w:rsidR="00562D0E">
          <w:rPr>
            <w:noProof/>
            <w:webHidden/>
          </w:rPr>
          <w:t>15</w:t>
        </w:r>
        <w:r>
          <w:rPr>
            <w:noProof/>
            <w:webHidden/>
          </w:rPr>
          <w:fldChar w:fldCharType="end"/>
        </w:r>
      </w:hyperlink>
    </w:p>
    <w:p w14:paraId="2491374C" w14:textId="7C4291C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8" w:history="1">
        <w:r w:rsidRPr="00F3411E">
          <w:rPr>
            <w:rStyle w:val="Hyperlink"/>
            <w:rFonts w:eastAsia="Calibri"/>
            <w:noProof/>
            <w:lang w:bidi="en-US"/>
          </w:rPr>
          <w:t>3.1.</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Information System Contingency Plan (ISCP)</w:t>
        </w:r>
        <w:r>
          <w:rPr>
            <w:noProof/>
            <w:webHidden/>
          </w:rPr>
          <w:tab/>
        </w:r>
        <w:r>
          <w:rPr>
            <w:noProof/>
            <w:webHidden/>
          </w:rPr>
          <w:fldChar w:fldCharType="begin"/>
        </w:r>
        <w:r>
          <w:rPr>
            <w:noProof/>
            <w:webHidden/>
          </w:rPr>
          <w:instrText xml:space="preserve"> PAGEREF _Toc166834308 \h </w:instrText>
        </w:r>
        <w:r>
          <w:rPr>
            <w:noProof/>
            <w:webHidden/>
          </w:rPr>
        </w:r>
        <w:r>
          <w:rPr>
            <w:noProof/>
            <w:webHidden/>
          </w:rPr>
          <w:fldChar w:fldCharType="separate"/>
        </w:r>
        <w:r w:rsidR="00562D0E">
          <w:rPr>
            <w:noProof/>
            <w:webHidden/>
          </w:rPr>
          <w:t>15</w:t>
        </w:r>
        <w:r>
          <w:rPr>
            <w:noProof/>
            <w:webHidden/>
          </w:rPr>
          <w:fldChar w:fldCharType="end"/>
        </w:r>
      </w:hyperlink>
    </w:p>
    <w:p w14:paraId="72032603" w14:textId="5717842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09" w:history="1">
        <w:r w:rsidRPr="00F3411E">
          <w:rPr>
            <w:rStyle w:val="Hyperlink"/>
            <w:rFonts w:eastAsia="Calibri"/>
            <w:noProof/>
            <w:lang w:bidi="en-US"/>
          </w:rPr>
          <w:t>3.2.</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Security Alerts</w:t>
        </w:r>
        <w:r>
          <w:rPr>
            <w:noProof/>
            <w:webHidden/>
          </w:rPr>
          <w:tab/>
        </w:r>
        <w:r>
          <w:rPr>
            <w:noProof/>
            <w:webHidden/>
          </w:rPr>
          <w:fldChar w:fldCharType="begin"/>
        </w:r>
        <w:r>
          <w:rPr>
            <w:noProof/>
            <w:webHidden/>
          </w:rPr>
          <w:instrText xml:space="preserve"> PAGEREF _Toc166834309 \h </w:instrText>
        </w:r>
        <w:r>
          <w:rPr>
            <w:noProof/>
            <w:webHidden/>
          </w:rPr>
        </w:r>
        <w:r>
          <w:rPr>
            <w:noProof/>
            <w:webHidden/>
          </w:rPr>
          <w:fldChar w:fldCharType="separate"/>
        </w:r>
        <w:r w:rsidR="00562D0E">
          <w:rPr>
            <w:noProof/>
            <w:webHidden/>
          </w:rPr>
          <w:t>16</w:t>
        </w:r>
        <w:r>
          <w:rPr>
            <w:noProof/>
            <w:webHidden/>
          </w:rPr>
          <w:fldChar w:fldCharType="end"/>
        </w:r>
      </w:hyperlink>
    </w:p>
    <w:p w14:paraId="7DD64543" w14:textId="7541DD7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0" w:history="1">
        <w:r w:rsidRPr="00F3411E">
          <w:rPr>
            <w:rStyle w:val="Hyperlink"/>
            <w:rFonts w:eastAsia="Calibri"/>
            <w:noProof/>
            <w:lang w:bidi="en-US"/>
          </w:rPr>
          <w:t>3.3.</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EDR Audit Logs</w:t>
        </w:r>
        <w:r>
          <w:rPr>
            <w:noProof/>
            <w:webHidden/>
          </w:rPr>
          <w:tab/>
        </w:r>
        <w:r>
          <w:rPr>
            <w:noProof/>
            <w:webHidden/>
          </w:rPr>
          <w:fldChar w:fldCharType="begin"/>
        </w:r>
        <w:r>
          <w:rPr>
            <w:noProof/>
            <w:webHidden/>
          </w:rPr>
          <w:instrText xml:space="preserve"> PAGEREF _Toc166834310 \h </w:instrText>
        </w:r>
        <w:r>
          <w:rPr>
            <w:noProof/>
            <w:webHidden/>
          </w:rPr>
        </w:r>
        <w:r>
          <w:rPr>
            <w:noProof/>
            <w:webHidden/>
          </w:rPr>
          <w:fldChar w:fldCharType="separate"/>
        </w:r>
        <w:r w:rsidR="00562D0E">
          <w:rPr>
            <w:noProof/>
            <w:webHidden/>
          </w:rPr>
          <w:t>16</w:t>
        </w:r>
        <w:r>
          <w:rPr>
            <w:noProof/>
            <w:webHidden/>
          </w:rPr>
          <w:fldChar w:fldCharType="end"/>
        </w:r>
      </w:hyperlink>
    </w:p>
    <w:p w14:paraId="202C0511" w14:textId="05C6C33F"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1" w:history="1">
        <w:r w:rsidRPr="00F3411E">
          <w:rPr>
            <w:rStyle w:val="Hyperlink"/>
            <w:rFonts w:eastAsia="Calibri"/>
            <w:noProof/>
            <w:lang w:bidi="en-US"/>
          </w:rPr>
          <w:t>3.4.</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PHI/PII Breaches</w:t>
        </w:r>
        <w:r>
          <w:rPr>
            <w:noProof/>
            <w:webHidden/>
          </w:rPr>
          <w:tab/>
        </w:r>
        <w:r>
          <w:rPr>
            <w:noProof/>
            <w:webHidden/>
          </w:rPr>
          <w:fldChar w:fldCharType="begin"/>
        </w:r>
        <w:r>
          <w:rPr>
            <w:noProof/>
            <w:webHidden/>
          </w:rPr>
          <w:instrText xml:space="preserve"> PAGEREF _Toc166834311 \h </w:instrText>
        </w:r>
        <w:r>
          <w:rPr>
            <w:noProof/>
            <w:webHidden/>
          </w:rPr>
        </w:r>
        <w:r>
          <w:rPr>
            <w:noProof/>
            <w:webHidden/>
          </w:rPr>
          <w:fldChar w:fldCharType="separate"/>
        </w:r>
        <w:r w:rsidR="00562D0E">
          <w:rPr>
            <w:noProof/>
            <w:webHidden/>
          </w:rPr>
          <w:t>16</w:t>
        </w:r>
        <w:r>
          <w:rPr>
            <w:noProof/>
            <w:webHidden/>
          </w:rPr>
          <w:fldChar w:fldCharType="end"/>
        </w:r>
      </w:hyperlink>
    </w:p>
    <w:p w14:paraId="53CB1C0A" w14:textId="014FDBC5" w:rsidR="002F364A" w:rsidRDefault="002F364A">
      <w:pPr>
        <w:pStyle w:val="TOC2"/>
        <w:rPr>
          <w:rFonts w:asciiTheme="minorHAnsi" w:eastAsiaTheme="minorEastAsia" w:hAnsiTheme="minorHAnsi" w:cstheme="minorBidi"/>
          <w:noProof/>
          <w:kern w:val="2"/>
          <w14:ligatures w14:val="standardContextual"/>
        </w:rPr>
      </w:pPr>
      <w:hyperlink w:anchor="_Toc166834312" w:history="1">
        <w:r w:rsidRPr="00F3411E">
          <w:rPr>
            <w:rStyle w:val="Hyperlink"/>
            <w:rFonts w:eastAsia="Calibri"/>
            <w:noProof/>
            <w:lang w:bidi="en-US"/>
          </w:rPr>
          <w:t>4.</w:t>
        </w:r>
        <w:r>
          <w:rPr>
            <w:rFonts w:asciiTheme="minorHAnsi" w:eastAsiaTheme="minorEastAsia" w:hAnsiTheme="minorHAnsi" w:cstheme="minorBidi"/>
            <w:noProof/>
            <w:kern w:val="2"/>
            <w14:ligatures w14:val="standardContextual"/>
          </w:rPr>
          <w:tab/>
        </w:r>
        <w:r w:rsidRPr="00F3411E">
          <w:rPr>
            <w:rStyle w:val="Hyperlink"/>
            <w:rFonts w:eastAsia="Calibri"/>
            <w:noProof/>
            <w:lang w:bidi="en-US"/>
          </w:rPr>
          <w:t>Potential Security Penalties and HIPAA Fines</w:t>
        </w:r>
        <w:r>
          <w:rPr>
            <w:noProof/>
            <w:webHidden/>
          </w:rPr>
          <w:tab/>
        </w:r>
        <w:r>
          <w:rPr>
            <w:noProof/>
            <w:webHidden/>
          </w:rPr>
          <w:fldChar w:fldCharType="begin"/>
        </w:r>
        <w:r>
          <w:rPr>
            <w:noProof/>
            <w:webHidden/>
          </w:rPr>
          <w:instrText xml:space="preserve"> PAGEREF _Toc166834312 \h </w:instrText>
        </w:r>
        <w:r>
          <w:rPr>
            <w:noProof/>
            <w:webHidden/>
          </w:rPr>
        </w:r>
        <w:r>
          <w:rPr>
            <w:noProof/>
            <w:webHidden/>
          </w:rPr>
          <w:fldChar w:fldCharType="separate"/>
        </w:r>
        <w:r w:rsidR="00562D0E">
          <w:rPr>
            <w:noProof/>
            <w:webHidden/>
          </w:rPr>
          <w:t>16</w:t>
        </w:r>
        <w:r>
          <w:rPr>
            <w:noProof/>
            <w:webHidden/>
          </w:rPr>
          <w:fldChar w:fldCharType="end"/>
        </w:r>
      </w:hyperlink>
    </w:p>
    <w:p w14:paraId="31FF94AF" w14:textId="1E17ECD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3" w:history="1">
        <w:r w:rsidRPr="00F3411E">
          <w:rPr>
            <w:rStyle w:val="Hyperlink"/>
            <w:noProof/>
            <w:lang w:bidi="en-US"/>
          </w:rPr>
          <w:t>4.1.</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Penalties for HIPAA Violations (PII/PHI Breaches)</w:t>
        </w:r>
        <w:r>
          <w:rPr>
            <w:noProof/>
            <w:webHidden/>
          </w:rPr>
          <w:tab/>
        </w:r>
        <w:r>
          <w:rPr>
            <w:noProof/>
            <w:webHidden/>
          </w:rPr>
          <w:fldChar w:fldCharType="begin"/>
        </w:r>
        <w:r>
          <w:rPr>
            <w:noProof/>
            <w:webHidden/>
          </w:rPr>
          <w:instrText xml:space="preserve"> PAGEREF _Toc166834313 \h </w:instrText>
        </w:r>
        <w:r>
          <w:rPr>
            <w:noProof/>
            <w:webHidden/>
          </w:rPr>
        </w:r>
        <w:r>
          <w:rPr>
            <w:noProof/>
            <w:webHidden/>
          </w:rPr>
          <w:fldChar w:fldCharType="separate"/>
        </w:r>
        <w:r w:rsidR="00562D0E">
          <w:rPr>
            <w:noProof/>
            <w:webHidden/>
          </w:rPr>
          <w:t>16</w:t>
        </w:r>
        <w:r>
          <w:rPr>
            <w:noProof/>
            <w:webHidden/>
          </w:rPr>
          <w:fldChar w:fldCharType="end"/>
        </w:r>
      </w:hyperlink>
    </w:p>
    <w:p w14:paraId="34F7CA60" w14:textId="2743733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4" w:history="1">
        <w:r w:rsidRPr="00F3411E">
          <w:rPr>
            <w:rStyle w:val="Hyperlink"/>
            <w:rFonts w:eastAsia="Calibri"/>
            <w:noProof/>
            <w:lang w:bidi="en-US"/>
          </w:rPr>
          <w:t>4.2.</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False Claims Act</w:t>
        </w:r>
        <w:r>
          <w:rPr>
            <w:noProof/>
            <w:webHidden/>
          </w:rPr>
          <w:tab/>
        </w:r>
        <w:r>
          <w:rPr>
            <w:noProof/>
            <w:webHidden/>
          </w:rPr>
          <w:fldChar w:fldCharType="begin"/>
        </w:r>
        <w:r>
          <w:rPr>
            <w:noProof/>
            <w:webHidden/>
          </w:rPr>
          <w:instrText xml:space="preserve"> PAGEREF _Toc166834314 \h </w:instrText>
        </w:r>
        <w:r>
          <w:rPr>
            <w:noProof/>
            <w:webHidden/>
          </w:rPr>
        </w:r>
        <w:r>
          <w:rPr>
            <w:noProof/>
            <w:webHidden/>
          </w:rPr>
          <w:fldChar w:fldCharType="separate"/>
        </w:r>
        <w:r w:rsidR="00562D0E">
          <w:rPr>
            <w:noProof/>
            <w:webHidden/>
          </w:rPr>
          <w:t>17</w:t>
        </w:r>
        <w:r>
          <w:rPr>
            <w:noProof/>
            <w:webHidden/>
          </w:rPr>
          <w:fldChar w:fldCharType="end"/>
        </w:r>
      </w:hyperlink>
    </w:p>
    <w:p w14:paraId="211BA5AF" w14:textId="02B6D1F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5" w:history="1">
        <w:r w:rsidRPr="00F3411E">
          <w:rPr>
            <w:rStyle w:val="Hyperlink"/>
            <w:noProof/>
            <w:lang w:bidi="en-US"/>
          </w:rPr>
          <w:t>4.3.</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Data breaches</w:t>
        </w:r>
        <w:r>
          <w:rPr>
            <w:noProof/>
            <w:webHidden/>
          </w:rPr>
          <w:tab/>
        </w:r>
        <w:r>
          <w:rPr>
            <w:noProof/>
            <w:webHidden/>
          </w:rPr>
          <w:fldChar w:fldCharType="begin"/>
        </w:r>
        <w:r>
          <w:rPr>
            <w:noProof/>
            <w:webHidden/>
          </w:rPr>
          <w:instrText xml:space="preserve"> PAGEREF _Toc166834315 \h </w:instrText>
        </w:r>
        <w:r>
          <w:rPr>
            <w:noProof/>
            <w:webHidden/>
          </w:rPr>
        </w:r>
        <w:r>
          <w:rPr>
            <w:noProof/>
            <w:webHidden/>
          </w:rPr>
          <w:fldChar w:fldCharType="separate"/>
        </w:r>
        <w:r w:rsidR="00562D0E">
          <w:rPr>
            <w:noProof/>
            <w:webHidden/>
          </w:rPr>
          <w:t>17</w:t>
        </w:r>
        <w:r>
          <w:rPr>
            <w:noProof/>
            <w:webHidden/>
          </w:rPr>
          <w:fldChar w:fldCharType="end"/>
        </w:r>
      </w:hyperlink>
    </w:p>
    <w:p w14:paraId="3CAFF820" w14:textId="60C754BF"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6" w:history="1">
        <w:r w:rsidRPr="00F3411E">
          <w:rPr>
            <w:rStyle w:val="Hyperlink"/>
            <w:noProof/>
            <w:lang w:bidi="en-US"/>
          </w:rPr>
          <w:t>4.4.</w:t>
        </w:r>
        <w:r>
          <w:rPr>
            <w:rFonts w:asciiTheme="minorHAnsi" w:eastAsiaTheme="minorEastAsia" w:hAnsiTheme="minorHAnsi" w:cstheme="minorBidi"/>
            <w:noProof/>
            <w:kern w:val="2"/>
            <w:sz w:val="24"/>
            <w14:ligatures w14:val="standardContextual"/>
          </w:rPr>
          <w:tab/>
        </w:r>
        <w:r w:rsidRPr="00F3411E">
          <w:rPr>
            <w:rStyle w:val="Hyperlink"/>
            <w:rFonts w:eastAsia="Calibri"/>
            <w:noProof/>
            <w:lang w:bidi="en-US"/>
          </w:rPr>
          <w:t>Cost of remediation of breaches/incidents</w:t>
        </w:r>
        <w:r>
          <w:rPr>
            <w:noProof/>
            <w:webHidden/>
          </w:rPr>
          <w:tab/>
        </w:r>
        <w:r>
          <w:rPr>
            <w:noProof/>
            <w:webHidden/>
          </w:rPr>
          <w:fldChar w:fldCharType="begin"/>
        </w:r>
        <w:r>
          <w:rPr>
            <w:noProof/>
            <w:webHidden/>
          </w:rPr>
          <w:instrText xml:space="preserve"> PAGEREF _Toc166834316 \h </w:instrText>
        </w:r>
        <w:r>
          <w:rPr>
            <w:noProof/>
            <w:webHidden/>
          </w:rPr>
        </w:r>
        <w:r>
          <w:rPr>
            <w:noProof/>
            <w:webHidden/>
          </w:rPr>
          <w:fldChar w:fldCharType="separate"/>
        </w:r>
        <w:r w:rsidR="00562D0E">
          <w:rPr>
            <w:noProof/>
            <w:webHidden/>
          </w:rPr>
          <w:t>17</w:t>
        </w:r>
        <w:r>
          <w:rPr>
            <w:noProof/>
            <w:webHidden/>
          </w:rPr>
          <w:fldChar w:fldCharType="end"/>
        </w:r>
      </w:hyperlink>
    </w:p>
    <w:p w14:paraId="45CEBD64" w14:textId="72429002" w:rsidR="002F364A" w:rsidRDefault="002F364A">
      <w:pPr>
        <w:pStyle w:val="TOC1"/>
        <w:rPr>
          <w:rFonts w:asciiTheme="minorHAnsi" w:eastAsiaTheme="minorEastAsia" w:hAnsiTheme="minorHAnsi" w:cstheme="minorBidi"/>
          <w:kern w:val="2"/>
          <w:sz w:val="24"/>
          <w14:ligatures w14:val="standardContextual"/>
        </w:rPr>
      </w:pPr>
      <w:hyperlink w:anchor="_Toc166834317" w:history="1">
        <w:r w:rsidRPr="00F3411E">
          <w:rPr>
            <w:rStyle w:val="Hyperlink"/>
          </w:rPr>
          <w:t>Schedule Optimization</w:t>
        </w:r>
        <w:r>
          <w:rPr>
            <w:webHidden/>
          </w:rPr>
          <w:tab/>
        </w:r>
        <w:r>
          <w:rPr>
            <w:webHidden/>
          </w:rPr>
          <w:fldChar w:fldCharType="begin"/>
        </w:r>
        <w:r>
          <w:rPr>
            <w:webHidden/>
          </w:rPr>
          <w:instrText xml:space="preserve"> PAGEREF _Toc166834317 \h </w:instrText>
        </w:r>
        <w:r>
          <w:rPr>
            <w:webHidden/>
          </w:rPr>
        </w:r>
        <w:r>
          <w:rPr>
            <w:webHidden/>
          </w:rPr>
          <w:fldChar w:fldCharType="separate"/>
        </w:r>
        <w:r w:rsidR="00562D0E">
          <w:rPr>
            <w:webHidden/>
          </w:rPr>
          <w:t>19</w:t>
        </w:r>
        <w:r>
          <w:rPr>
            <w:webHidden/>
          </w:rPr>
          <w:fldChar w:fldCharType="end"/>
        </w:r>
      </w:hyperlink>
    </w:p>
    <w:p w14:paraId="27447009" w14:textId="3031270B" w:rsidR="002F364A" w:rsidRDefault="002F364A">
      <w:pPr>
        <w:pStyle w:val="TOC2"/>
        <w:rPr>
          <w:rFonts w:asciiTheme="minorHAnsi" w:eastAsiaTheme="minorEastAsia" w:hAnsiTheme="minorHAnsi" w:cstheme="minorBidi"/>
          <w:noProof/>
          <w:kern w:val="2"/>
          <w14:ligatures w14:val="standardContextual"/>
        </w:rPr>
      </w:pPr>
      <w:hyperlink w:anchor="_Toc166834318"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Scheduling Templates</w:t>
        </w:r>
        <w:r>
          <w:rPr>
            <w:noProof/>
            <w:webHidden/>
          </w:rPr>
          <w:tab/>
        </w:r>
        <w:r>
          <w:rPr>
            <w:noProof/>
            <w:webHidden/>
          </w:rPr>
          <w:fldChar w:fldCharType="begin"/>
        </w:r>
        <w:r>
          <w:rPr>
            <w:noProof/>
            <w:webHidden/>
          </w:rPr>
          <w:instrText xml:space="preserve"> PAGEREF _Toc166834318 \h </w:instrText>
        </w:r>
        <w:r>
          <w:rPr>
            <w:noProof/>
            <w:webHidden/>
          </w:rPr>
        </w:r>
        <w:r>
          <w:rPr>
            <w:noProof/>
            <w:webHidden/>
          </w:rPr>
          <w:fldChar w:fldCharType="separate"/>
        </w:r>
        <w:r w:rsidR="00562D0E">
          <w:rPr>
            <w:noProof/>
            <w:webHidden/>
          </w:rPr>
          <w:t>19</w:t>
        </w:r>
        <w:r>
          <w:rPr>
            <w:noProof/>
            <w:webHidden/>
          </w:rPr>
          <w:fldChar w:fldCharType="end"/>
        </w:r>
      </w:hyperlink>
    </w:p>
    <w:p w14:paraId="078AC06C" w14:textId="4DBF3BA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19" w:history="1">
        <w:r w:rsidRPr="00F3411E">
          <w:rPr>
            <w:rStyle w:val="Hyperlink"/>
            <w:noProof/>
          </w:rPr>
          <w:t>1.1.</w:t>
        </w:r>
        <w:r>
          <w:rPr>
            <w:rFonts w:asciiTheme="minorHAnsi" w:eastAsiaTheme="minorEastAsia" w:hAnsiTheme="minorHAnsi" w:cstheme="minorBidi"/>
            <w:noProof/>
            <w:kern w:val="2"/>
            <w:sz w:val="24"/>
            <w14:ligatures w14:val="standardContextual"/>
          </w:rPr>
          <w:tab/>
        </w:r>
        <w:r w:rsidRPr="00F3411E">
          <w:rPr>
            <w:rStyle w:val="Hyperlink"/>
            <w:noProof/>
          </w:rPr>
          <w:t>Maintaining Schedule Accuracy</w:t>
        </w:r>
        <w:r>
          <w:rPr>
            <w:noProof/>
            <w:webHidden/>
          </w:rPr>
          <w:tab/>
        </w:r>
        <w:r>
          <w:rPr>
            <w:noProof/>
            <w:webHidden/>
          </w:rPr>
          <w:fldChar w:fldCharType="begin"/>
        </w:r>
        <w:r>
          <w:rPr>
            <w:noProof/>
            <w:webHidden/>
          </w:rPr>
          <w:instrText xml:space="preserve"> PAGEREF _Toc166834319 \h </w:instrText>
        </w:r>
        <w:r>
          <w:rPr>
            <w:noProof/>
            <w:webHidden/>
          </w:rPr>
        </w:r>
        <w:r>
          <w:rPr>
            <w:noProof/>
            <w:webHidden/>
          </w:rPr>
          <w:fldChar w:fldCharType="separate"/>
        </w:r>
        <w:r w:rsidR="00562D0E">
          <w:rPr>
            <w:noProof/>
            <w:webHidden/>
          </w:rPr>
          <w:t>19</w:t>
        </w:r>
        <w:r>
          <w:rPr>
            <w:noProof/>
            <w:webHidden/>
          </w:rPr>
          <w:fldChar w:fldCharType="end"/>
        </w:r>
      </w:hyperlink>
    </w:p>
    <w:p w14:paraId="710496B8" w14:textId="5E42DEE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0" w:history="1">
        <w:r w:rsidRPr="00F3411E">
          <w:rPr>
            <w:rStyle w:val="Hyperlink"/>
            <w:noProof/>
          </w:rPr>
          <w:t>1.2.</w:t>
        </w:r>
        <w:r>
          <w:rPr>
            <w:rFonts w:asciiTheme="minorHAnsi" w:eastAsiaTheme="minorEastAsia" w:hAnsiTheme="minorHAnsi" w:cstheme="minorBidi"/>
            <w:noProof/>
            <w:kern w:val="2"/>
            <w:sz w:val="24"/>
            <w14:ligatures w14:val="standardContextual"/>
          </w:rPr>
          <w:tab/>
        </w:r>
        <w:r w:rsidRPr="00F3411E">
          <w:rPr>
            <w:rStyle w:val="Hyperlink"/>
            <w:noProof/>
          </w:rPr>
          <w:t>Procedure Times</w:t>
        </w:r>
        <w:r>
          <w:rPr>
            <w:noProof/>
            <w:webHidden/>
          </w:rPr>
          <w:tab/>
        </w:r>
        <w:r>
          <w:rPr>
            <w:noProof/>
            <w:webHidden/>
          </w:rPr>
          <w:fldChar w:fldCharType="begin"/>
        </w:r>
        <w:r>
          <w:rPr>
            <w:noProof/>
            <w:webHidden/>
          </w:rPr>
          <w:instrText xml:space="preserve"> PAGEREF _Toc166834320 \h </w:instrText>
        </w:r>
        <w:r>
          <w:rPr>
            <w:noProof/>
            <w:webHidden/>
          </w:rPr>
        </w:r>
        <w:r>
          <w:rPr>
            <w:noProof/>
            <w:webHidden/>
          </w:rPr>
          <w:fldChar w:fldCharType="separate"/>
        </w:r>
        <w:r w:rsidR="00562D0E">
          <w:rPr>
            <w:noProof/>
            <w:webHidden/>
          </w:rPr>
          <w:t>21</w:t>
        </w:r>
        <w:r>
          <w:rPr>
            <w:noProof/>
            <w:webHidden/>
          </w:rPr>
          <w:fldChar w:fldCharType="end"/>
        </w:r>
      </w:hyperlink>
    </w:p>
    <w:p w14:paraId="5817067B" w14:textId="0BE5513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1" w:history="1">
        <w:r w:rsidRPr="00F3411E">
          <w:rPr>
            <w:rStyle w:val="Hyperlink"/>
            <w:noProof/>
          </w:rPr>
          <w:t>1.3.</w:t>
        </w:r>
        <w:r>
          <w:rPr>
            <w:rFonts w:asciiTheme="minorHAnsi" w:eastAsiaTheme="minorEastAsia" w:hAnsiTheme="minorHAnsi" w:cstheme="minorBidi"/>
            <w:noProof/>
            <w:kern w:val="2"/>
            <w:sz w:val="24"/>
            <w14:ligatures w14:val="standardContextual"/>
          </w:rPr>
          <w:tab/>
        </w:r>
        <w:r w:rsidRPr="00F3411E">
          <w:rPr>
            <w:rStyle w:val="Hyperlink"/>
            <w:noProof/>
          </w:rPr>
          <w:t>Perfect Day Scheduling</w:t>
        </w:r>
        <w:r>
          <w:rPr>
            <w:noProof/>
            <w:webHidden/>
          </w:rPr>
          <w:tab/>
        </w:r>
        <w:r>
          <w:rPr>
            <w:noProof/>
            <w:webHidden/>
          </w:rPr>
          <w:fldChar w:fldCharType="begin"/>
        </w:r>
        <w:r>
          <w:rPr>
            <w:noProof/>
            <w:webHidden/>
          </w:rPr>
          <w:instrText xml:space="preserve"> PAGEREF _Toc166834321 \h </w:instrText>
        </w:r>
        <w:r>
          <w:rPr>
            <w:noProof/>
            <w:webHidden/>
          </w:rPr>
        </w:r>
        <w:r>
          <w:rPr>
            <w:noProof/>
            <w:webHidden/>
          </w:rPr>
          <w:fldChar w:fldCharType="separate"/>
        </w:r>
        <w:r w:rsidR="00562D0E">
          <w:rPr>
            <w:noProof/>
            <w:webHidden/>
          </w:rPr>
          <w:t>21</w:t>
        </w:r>
        <w:r>
          <w:rPr>
            <w:noProof/>
            <w:webHidden/>
          </w:rPr>
          <w:fldChar w:fldCharType="end"/>
        </w:r>
      </w:hyperlink>
    </w:p>
    <w:p w14:paraId="06607D6B" w14:textId="24DD0C30" w:rsidR="002F364A" w:rsidRDefault="002F364A">
      <w:pPr>
        <w:pStyle w:val="TOC2"/>
        <w:rPr>
          <w:rFonts w:asciiTheme="minorHAnsi" w:eastAsiaTheme="minorEastAsia" w:hAnsiTheme="minorHAnsi" w:cstheme="minorBidi"/>
          <w:noProof/>
          <w:kern w:val="2"/>
          <w14:ligatures w14:val="standardContextual"/>
        </w:rPr>
      </w:pPr>
      <w:hyperlink w:anchor="_Toc166834322"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Appointment Management</w:t>
        </w:r>
        <w:r>
          <w:rPr>
            <w:noProof/>
            <w:webHidden/>
          </w:rPr>
          <w:tab/>
        </w:r>
        <w:r>
          <w:rPr>
            <w:noProof/>
            <w:webHidden/>
          </w:rPr>
          <w:fldChar w:fldCharType="begin"/>
        </w:r>
        <w:r>
          <w:rPr>
            <w:noProof/>
            <w:webHidden/>
          </w:rPr>
          <w:instrText xml:space="preserve"> PAGEREF _Toc166834322 \h </w:instrText>
        </w:r>
        <w:r>
          <w:rPr>
            <w:noProof/>
            <w:webHidden/>
          </w:rPr>
        </w:r>
        <w:r>
          <w:rPr>
            <w:noProof/>
            <w:webHidden/>
          </w:rPr>
          <w:fldChar w:fldCharType="separate"/>
        </w:r>
        <w:r w:rsidR="00562D0E">
          <w:rPr>
            <w:noProof/>
            <w:webHidden/>
          </w:rPr>
          <w:t>23</w:t>
        </w:r>
        <w:r>
          <w:rPr>
            <w:noProof/>
            <w:webHidden/>
          </w:rPr>
          <w:fldChar w:fldCharType="end"/>
        </w:r>
      </w:hyperlink>
    </w:p>
    <w:p w14:paraId="3EB83874" w14:textId="014C6D6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3" w:history="1">
        <w:r w:rsidRPr="00F3411E">
          <w:rPr>
            <w:rStyle w:val="Hyperlink"/>
            <w:noProof/>
          </w:rPr>
          <w:t>2.1.</w:t>
        </w:r>
        <w:r>
          <w:rPr>
            <w:rFonts w:asciiTheme="minorHAnsi" w:eastAsiaTheme="minorEastAsia" w:hAnsiTheme="minorHAnsi" w:cstheme="minorBidi"/>
            <w:noProof/>
            <w:kern w:val="2"/>
            <w:sz w:val="24"/>
            <w14:ligatures w14:val="standardContextual"/>
          </w:rPr>
          <w:tab/>
        </w:r>
        <w:r w:rsidRPr="00F3411E">
          <w:rPr>
            <w:rStyle w:val="Hyperlink"/>
            <w:noProof/>
          </w:rPr>
          <w:t>Broken Appointments</w:t>
        </w:r>
        <w:r>
          <w:rPr>
            <w:noProof/>
            <w:webHidden/>
          </w:rPr>
          <w:tab/>
        </w:r>
        <w:r>
          <w:rPr>
            <w:noProof/>
            <w:webHidden/>
          </w:rPr>
          <w:fldChar w:fldCharType="begin"/>
        </w:r>
        <w:r>
          <w:rPr>
            <w:noProof/>
            <w:webHidden/>
          </w:rPr>
          <w:instrText xml:space="preserve"> PAGEREF _Toc166834323 \h </w:instrText>
        </w:r>
        <w:r>
          <w:rPr>
            <w:noProof/>
            <w:webHidden/>
          </w:rPr>
        </w:r>
        <w:r>
          <w:rPr>
            <w:noProof/>
            <w:webHidden/>
          </w:rPr>
          <w:fldChar w:fldCharType="separate"/>
        </w:r>
        <w:r w:rsidR="00562D0E">
          <w:rPr>
            <w:noProof/>
            <w:webHidden/>
          </w:rPr>
          <w:t>23</w:t>
        </w:r>
        <w:r>
          <w:rPr>
            <w:noProof/>
            <w:webHidden/>
          </w:rPr>
          <w:fldChar w:fldCharType="end"/>
        </w:r>
      </w:hyperlink>
    </w:p>
    <w:p w14:paraId="3C5A9807" w14:textId="646163B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4" w:history="1">
        <w:r w:rsidRPr="00F3411E">
          <w:rPr>
            <w:rStyle w:val="Hyperlink"/>
            <w:noProof/>
          </w:rPr>
          <w:t>2.2.</w:t>
        </w:r>
        <w:r>
          <w:rPr>
            <w:rFonts w:asciiTheme="minorHAnsi" w:eastAsiaTheme="minorEastAsia" w:hAnsiTheme="minorHAnsi" w:cstheme="minorBidi"/>
            <w:noProof/>
            <w:kern w:val="2"/>
            <w:sz w:val="24"/>
            <w14:ligatures w14:val="standardContextual"/>
          </w:rPr>
          <w:tab/>
        </w:r>
        <w:r w:rsidRPr="00F3411E">
          <w:rPr>
            <w:rStyle w:val="Hyperlink"/>
            <w:noProof/>
          </w:rPr>
          <w:t>Wait/Will Call</w:t>
        </w:r>
        <w:r>
          <w:rPr>
            <w:noProof/>
            <w:webHidden/>
          </w:rPr>
          <w:tab/>
        </w:r>
        <w:r>
          <w:rPr>
            <w:noProof/>
            <w:webHidden/>
          </w:rPr>
          <w:fldChar w:fldCharType="begin"/>
        </w:r>
        <w:r>
          <w:rPr>
            <w:noProof/>
            <w:webHidden/>
          </w:rPr>
          <w:instrText xml:space="preserve"> PAGEREF _Toc166834324 \h </w:instrText>
        </w:r>
        <w:r>
          <w:rPr>
            <w:noProof/>
            <w:webHidden/>
          </w:rPr>
        </w:r>
        <w:r>
          <w:rPr>
            <w:noProof/>
            <w:webHidden/>
          </w:rPr>
          <w:fldChar w:fldCharType="separate"/>
        </w:r>
        <w:r w:rsidR="00562D0E">
          <w:rPr>
            <w:noProof/>
            <w:webHidden/>
          </w:rPr>
          <w:t>23</w:t>
        </w:r>
        <w:r>
          <w:rPr>
            <w:noProof/>
            <w:webHidden/>
          </w:rPr>
          <w:fldChar w:fldCharType="end"/>
        </w:r>
      </w:hyperlink>
    </w:p>
    <w:p w14:paraId="7A870EDE" w14:textId="01933F2E"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5" w:history="1">
        <w:r w:rsidRPr="00F3411E">
          <w:rPr>
            <w:rStyle w:val="Hyperlink"/>
            <w:noProof/>
          </w:rPr>
          <w:t>2.3.</w:t>
        </w:r>
        <w:r>
          <w:rPr>
            <w:rFonts w:asciiTheme="minorHAnsi" w:eastAsiaTheme="minorEastAsia" w:hAnsiTheme="minorHAnsi" w:cstheme="minorBidi"/>
            <w:noProof/>
            <w:kern w:val="2"/>
            <w:sz w:val="24"/>
            <w14:ligatures w14:val="standardContextual"/>
          </w:rPr>
          <w:tab/>
        </w:r>
        <w:r w:rsidRPr="00F3411E">
          <w:rPr>
            <w:rStyle w:val="Hyperlink"/>
            <w:noProof/>
          </w:rPr>
          <w:t>Rescheduling Appointments</w:t>
        </w:r>
        <w:r>
          <w:rPr>
            <w:noProof/>
            <w:webHidden/>
          </w:rPr>
          <w:tab/>
        </w:r>
        <w:r>
          <w:rPr>
            <w:noProof/>
            <w:webHidden/>
          </w:rPr>
          <w:fldChar w:fldCharType="begin"/>
        </w:r>
        <w:r>
          <w:rPr>
            <w:noProof/>
            <w:webHidden/>
          </w:rPr>
          <w:instrText xml:space="preserve"> PAGEREF _Toc166834325 \h </w:instrText>
        </w:r>
        <w:r>
          <w:rPr>
            <w:noProof/>
            <w:webHidden/>
          </w:rPr>
        </w:r>
        <w:r>
          <w:rPr>
            <w:noProof/>
            <w:webHidden/>
          </w:rPr>
          <w:fldChar w:fldCharType="separate"/>
        </w:r>
        <w:r w:rsidR="00562D0E">
          <w:rPr>
            <w:noProof/>
            <w:webHidden/>
          </w:rPr>
          <w:t>24</w:t>
        </w:r>
        <w:r>
          <w:rPr>
            <w:noProof/>
            <w:webHidden/>
          </w:rPr>
          <w:fldChar w:fldCharType="end"/>
        </w:r>
      </w:hyperlink>
    </w:p>
    <w:p w14:paraId="2A52620C" w14:textId="4B7D422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6" w:history="1">
        <w:r w:rsidRPr="00F3411E">
          <w:rPr>
            <w:rStyle w:val="Hyperlink"/>
            <w:noProof/>
          </w:rPr>
          <w:t>2.4.</w:t>
        </w:r>
        <w:r>
          <w:rPr>
            <w:rFonts w:asciiTheme="minorHAnsi" w:eastAsiaTheme="minorEastAsia" w:hAnsiTheme="minorHAnsi" w:cstheme="minorBidi"/>
            <w:noProof/>
            <w:kern w:val="2"/>
            <w:sz w:val="24"/>
            <w14:ligatures w14:val="standardContextual"/>
          </w:rPr>
          <w:tab/>
        </w:r>
        <w:r w:rsidRPr="00F3411E">
          <w:rPr>
            <w:rStyle w:val="Hyperlink"/>
            <w:noProof/>
          </w:rPr>
          <w:t>ASAP/Open/Fixed Schedule</w:t>
        </w:r>
        <w:r>
          <w:rPr>
            <w:noProof/>
            <w:webHidden/>
          </w:rPr>
          <w:tab/>
        </w:r>
        <w:r>
          <w:rPr>
            <w:noProof/>
            <w:webHidden/>
          </w:rPr>
          <w:fldChar w:fldCharType="begin"/>
        </w:r>
        <w:r>
          <w:rPr>
            <w:noProof/>
            <w:webHidden/>
          </w:rPr>
          <w:instrText xml:space="preserve"> PAGEREF _Toc166834326 \h </w:instrText>
        </w:r>
        <w:r>
          <w:rPr>
            <w:noProof/>
            <w:webHidden/>
          </w:rPr>
        </w:r>
        <w:r>
          <w:rPr>
            <w:noProof/>
            <w:webHidden/>
          </w:rPr>
          <w:fldChar w:fldCharType="separate"/>
        </w:r>
        <w:r w:rsidR="00562D0E">
          <w:rPr>
            <w:noProof/>
            <w:webHidden/>
          </w:rPr>
          <w:t>24</w:t>
        </w:r>
        <w:r>
          <w:rPr>
            <w:noProof/>
            <w:webHidden/>
          </w:rPr>
          <w:fldChar w:fldCharType="end"/>
        </w:r>
      </w:hyperlink>
    </w:p>
    <w:p w14:paraId="35882287" w14:textId="2C568695" w:rsidR="002F364A" w:rsidRDefault="002F364A">
      <w:pPr>
        <w:pStyle w:val="TOC2"/>
        <w:rPr>
          <w:rFonts w:asciiTheme="minorHAnsi" w:eastAsiaTheme="minorEastAsia" w:hAnsiTheme="minorHAnsi" w:cstheme="minorBidi"/>
          <w:noProof/>
          <w:kern w:val="2"/>
          <w14:ligatures w14:val="standardContextual"/>
        </w:rPr>
      </w:pPr>
      <w:hyperlink w:anchor="_Toc166834327"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Patient Communication</w:t>
        </w:r>
        <w:r>
          <w:rPr>
            <w:noProof/>
            <w:webHidden/>
          </w:rPr>
          <w:tab/>
        </w:r>
        <w:r>
          <w:rPr>
            <w:noProof/>
            <w:webHidden/>
          </w:rPr>
          <w:fldChar w:fldCharType="begin"/>
        </w:r>
        <w:r>
          <w:rPr>
            <w:noProof/>
            <w:webHidden/>
          </w:rPr>
          <w:instrText xml:space="preserve"> PAGEREF _Toc166834327 \h </w:instrText>
        </w:r>
        <w:r>
          <w:rPr>
            <w:noProof/>
            <w:webHidden/>
          </w:rPr>
        </w:r>
        <w:r>
          <w:rPr>
            <w:noProof/>
            <w:webHidden/>
          </w:rPr>
          <w:fldChar w:fldCharType="separate"/>
        </w:r>
        <w:r w:rsidR="00562D0E">
          <w:rPr>
            <w:noProof/>
            <w:webHidden/>
          </w:rPr>
          <w:t>25</w:t>
        </w:r>
        <w:r>
          <w:rPr>
            <w:noProof/>
            <w:webHidden/>
          </w:rPr>
          <w:fldChar w:fldCharType="end"/>
        </w:r>
      </w:hyperlink>
    </w:p>
    <w:p w14:paraId="42A1696A" w14:textId="5851241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8" w:history="1">
        <w:r w:rsidRPr="00F3411E">
          <w:rPr>
            <w:rStyle w:val="Hyperlink"/>
            <w:noProof/>
          </w:rPr>
          <w:t>3.1.</w:t>
        </w:r>
        <w:r>
          <w:rPr>
            <w:rFonts w:asciiTheme="minorHAnsi" w:eastAsiaTheme="minorEastAsia" w:hAnsiTheme="minorHAnsi" w:cstheme="minorBidi"/>
            <w:noProof/>
            <w:kern w:val="2"/>
            <w:sz w:val="24"/>
            <w14:ligatures w14:val="standardContextual"/>
          </w:rPr>
          <w:tab/>
        </w:r>
        <w:r w:rsidRPr="00F3411E">
          <w:rPr>
            <w:rStyle w:val="Hyperlink"/>
            <w:noProof/>
          </w:rPr>
          <w:t>Manual Communication</w:t>
        </w:r>
        <w:r>
          <w:rPr>
            <w:noProof/>
            <w:webHidden/>
          </w:rPr>
          <w:tab/>
        </w:r>
        <w:r>
          <w:rPr>
            <w:noProof/>
            <w:webHidden/>
          </w:rPr>
          <w:fldChar w:fldCharType="begin"/>
        </w:r>
        <w:r>
          <w:rPr>
            <w:noProof/>
            <w:webHidden/>
          </w:rPr>
          <w:instrText xml:space="preserve"> PAGEREF _Toc166834328 \h </w:instrText>
        </w:r>
        <w:r>
          <w:rPr>
            <w:noProof/>
            <w:webHidden/>
          </w:rPr>
        </w:r>
        <w:r>
          <w:rPr>
            <w:noProof/>
            <w:webHidden/>
          </w:rPr>
          <w:fldChar w:fldCharType="separate"/>
        </w:r>
        <w:r w:rsidR="00562D0E">
          <w:rPr>
            <w:noProof/>
            <w:webHidden/>
          </w:rPr>
          <w:t>25</w:t>
        </w:r>
        <w:r>
          <w:rPr>
            <w:noProof/>
            <w:webHidden/>
          </w:rPr>
          <w:fldChar w:fldCharType="end"/>
        </w:r>
      </w:hyperlink>
    </w:p>
    <w:p w14:paraId="4555CF37" w14:textId="194EDFB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29" w:history="1">
        <w:r w:rsidRPr="00F3411E">
          <w:rPr>
            <w:rStyle w:val="Hyperlink"/>
            <w:noProof/>
          </w:rPr>
          <w:t>3.2.</w:t>
        </w:r>
        <w:r>
          <w:rPr>
            <w:rFonts w:asciiTheme="minorHAnsi" w:eastAsiaTheme="minorEastAsia" w:hAnsiTheme="minorHAnsi" w:cstheme="minorBidi"/>
            <w:noProof/>
            <w:kern w:val="2"/>
            <w:sz w:val="24"/>
            <w14:ligatures w14:val="standardContextual"/>
          </w:rPr>
          <w:tab/>
        </w:r>
        <w:r w:rsidRPr="00F3411E">
          <w:rPr>
            <w:rStyle w:val="Hyperlink"/>
            <w:noProof/>
          </w:rPr>
          <w:t>Appointment Lists</w:t>
        </w:r>
        <w:r>
          <w:rPr>
            <w:noProof/>
            <w:webHidden/>
          </w:rPr>
          <w:tab/>
        </w:r>
        <w:r>
          <w:rPr>
            <w:noProof/>
            <w:webHidden/>
          </w:rPr>
          <w:fldChar w:fldCharType="begin"/>
        </w:r>
        <w:r>
          <w:rPr>
            <w:noProof/>
            <w:webHidden/>
          </w:rPr>
          <w:instrText xml:space="preserve"> PAGEREF _Toc166834329 \h </w:instrText>
        </w:r>
        <w:r>
          <w:rPr>
            <w:noProof/>
            <w:webHidden/>
          </w:rPr>
        </w:r>
        <w:r>
          <w:rPr>
            <w:noProof/>
            <w:webHidden/>
          </w:rPr>
          <w:fldChar w:fldCharType="separate"/>
        </w:r>
        <w:r w:rsidR="00562D0E">
          <w:rPr>
            <w:noProof/>
            <w:webHidden/>
          </w:rPr>
          <w:t>26</w:t>
        </w:r>
        <w:r>
          <w:rPr>
            <w:noProof/>
            <w:webHidden/>
          </w:rPr>
          <w:fldChar w:fldCharType="end"/>
        </w:r>
      </w:hyperlink>
    </w:p>
    <w:p w14:paraId="07FB444E" w14:textId="5A477FEF"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0" w:history="1">
        <w:r w:rsidRPr="00F3411E">
          <w:rPr>
            <w:rStyle w:val="Hyperlink"/>
            <w:noProof/>
          </w:rPr>
          <w:t>3.3.</w:t>
        </w:r>
        <w:r>
          <w:rPr>
            <w:rFonts w:asciiTheme="minorHAnsi" w:eastAsiaTheme="minorEastAsia" w:hAnsiTheme="minorHAnsi" w:cstheme="minorBidi"/>
            <w:noProof/>
            <w:kern w:val="2"/>
            <w:sz w:val="24"/>
            <w14:ligatures w14:val="standardContextual"/>
          </w:rPr>
          <w:tab/>
        </w:r>
        <w:r w:rsidRPr="00F3411E">
          <w:rPr>
            <w:rStyle w:val="Hyperlink"/>
            <w:noProof/>
          </w:rPr>
          <w:t>Automated Campaigns</w:t>
        </w:r>
        <w:r>
          <w:rPr>
            <w:noProof/>
            <w:webHidden/>
          </w:rPr>
          <w:tab/>
        </w:r>
        <w:r>
          <w:rPr>
            <w:noProof/>
            <w:webHidden/>
          </w:rPr>
          <w:fldChar w:fldCharType="begin"/>
        </w:r>
        <w:r>
          <w:rPr>
            <w:noProof/>
            <w:webHidden/>
          </w:rPr>
          <w:instrText xml:space="preserve"> PAGEREF _Toc166834330 \h </w:instrText>
        </w:r>
        <w:r>
          <w:rPr>
            <w:noProof/>
            <w:webHidden/>
          </w:rPr>
        </w:r>
        <w:r>
          <w:rPr>
            <w:noProof/>
            <w:webHidden/>
          </w:rPr>
          <w:fldChar w:fldCharType="separate"/>
        </w:r>
        <w:r w:rsidR="00562D0E">
          <w:rPr>
            <w:noProof/>
            <w:webHidden/>
          </w:rPr>
          <w:t>26</w:t>
        </w:r>
        <w:r>
          <w:rPr>
            <w:noProof/>
            <w:webHidden/>
          </w:rPr>
          <w:fldChar w:fldCharType="end"/>
        </w:r>
      </w:hyperlink>
    </w:p>
    <w:p w14:paraId="4D781736" w14:textId="247C72D4" w:rsidR="002F364A" w:rsidRDefault="002F364A">
      <w:pPr>
        <w:pStyle w:val="TOC1"/>
        <w:rPr>
          <w:rFonts w:asciiTheme="minorHAnsi" w:eastAsiaTheme="minorEastAsia" w:hAnsiTheme="minorHAnsi" w:cstheme="minorBidi"/>
          <w:kern w:val="2"/>
          <w:sz w:val="24"/>
          <w14:ligatures w14:val="standardContextual"/>
        </w:rPr>
      </w:pPr>
      <w:hyperlink w:anchor="_Toc166834331" w:history="1">
        <w:r w:rsidRPr="00F3411E">
          <w:rPr>
            <w:rStyle w:val="Hyperlink"/>
          </w:rPr>
          <w:t>Patient Records Management</w:t>
        </w:r>
        <w:r>
          <w:rPr>
            <w:webHidden/>
          </w:rPr>
          <w:tab/>
        </w:r>
        <w:r>
          <w:rPr>
            <w:webHidden/>
          </w:rPr>
          <w:fldChar w:fldCharType="begin"/>
        </w:r>
        <w:r>
          <w:rPr>
            <w:webHidden/>
          </w:rPr>
          <w:instrText xml:space="preserve"> PAGEREF _Toc166834331 \h </w:instrText>
        </w:r>
        <w:r>
          <w:rPr>
            <w:webHidden/>
          </w:rPr>
        </w:r>
        <w:r>
          <w:rPr>
            <w:webHidden/>
          </w:rPr>
          <w:fldChar w:fldCharType="separate"/>
        </w:r>
        <w:r w:rsidR="00562D0E">
          <w:rPr>
            <w:webHidden/>
          </w:rPr>
          <w:t>27</w:t>
        </w:r>
        <w:r>
          <w:rPr>
            <w:webHidden/>
          </w:rPr>
          <w:fldChar w:fldCharType="end"/>
        </w:r>
      </w:hyperlink>
    </w:p>
    <w:p w14:paraId="131F5946" w14:textId="28166C06" w:rsidR="002F364A" w:rsidRDefault="002F364A">
      <w:pPr>
        <w:pStyle w:val="TOC2"/>
        <w:rPr>
          <w:rFonts w:asciiTheme="minorHAnsi" w:eastAsiaTheme="minorEastAsia" w:hAnsiTheme="minorHAnsi" w:cstheme="minorBidi"/>
          <w:noProof/>
          <w:kern w:val="2"/>
          <w14:ligatures w14:val="standardContextual"/>
        </w:rPr>
      </w:pPr>
      <w:hyperlink w:anchor="_Toc166834332" w:history="1">
        <w:r w:rsidRPr="00F3411E">
          <w:rPr>
            <w:rStyle w:val="Hyperlink"/>
            <w:noProof/>
            <w:lang w:val="en"/>
          </w:rPr>
          <w:t>1.</w:t>
        </w:r>
        <w:r>
          <w:rPr>
            <w:rFonts w:asciiTheme="minorHAnsi" w:eastAsiaTheme="minorEastAsia" w:hAnsiTheme="minorHAnsi" w:cstheme="minorBidi"/>
            <w:noProof/>
            <w:kern w:val="2"/>
            <w14:ligatures w14:val="standardContextual"/>
          </w:rPr>
          <w:tab/>
        </w:r>
        <w:r w:rsidRPr="00F3411E">
          <w:rPr>
            <w:rStyle w:val="Hyperlink"/>
            <w:noProof/>
            <w:lang w:val="en"/>
          </w:rPr>
          <w:t>Patient Forms</w:t>
        </w:r>
        <w:r>
          <w:rPr>
            <w:noProof/>
            <w:webHidden/>
          </w:rPr>
          <w:tab/>
        </w:r>
        <w:r>
          <w:rPr>
            <w:noProof/>
            <w:webHidden/>
          </w:rPr>
          <w:fldChar w:fldCharType="begin"/>
        </w:r>
        <w:r>
          <w:rPr>
            <w:noProof/>
            <w:webHidden/>
          </w:rPr>
          <w:instrText xml:space="preserve"> PAGEREF _Toc166834332 \h </w:instrText>
        </w:r>
        <w:r>
          <w:rPr>
            <w:noProof/>
            <w:webHidden/>
          </w:rPr>
        </w:r>
        <w:r>
          <w:rPr>
            <w:noProof/>
            <w:webHidden/>
          </w:rPr>
          <w:fldChar w:fldCharType="separate"/>
        </w:r>
        <w:r w:rsidR="00562D0E">
          <w:rPr>
            <w:noProof/>
            <w:webHidden/>
          </w:rPr>
          <w:t>27</w:t>
        </w:r>
        <w:r>
          <w:rPr>
            <w:noProof/>
            <w:webHidden/>
          </w:rPr>
          <w:fldChar w:fldCharType="end"/>
        </w:r>
      </w:hyperlink>
    </w:p>
    <w:p w14:paraId="34B08010" w14:textId="13C68A4B"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3" w:history="1">
        <w:r w:rsidRPr="00F3411E">
          <w:rPr>
            <w:rStyle w:val="Hyperlink"/>
            <w:noProof/>
            <w:lang w:val="en"/>
          </w:rPr>
          <w:t>1.1.</w:t>
        </w:r>
        <w:r>
          <w:rPr>
            <w:rFonts w:asciiTheme="minorHAnsi" w:eastAsiaTheme="minorEastAsia" w:hAnsiTheme="minorHAnsi" w:cstheme="minorBidi"/>
            <w:noProof/>
            <w:kern w:val="2"/>
            <w:sz w:val="24"/>
            <w14:ligatures w14:val="standardContextual"/>
          </w:rPr>
          <w:tab/>
        </w:r>
        <w:r w:rsidRPr="00F3411E">
          <w:rPr>
            <w:rStyle w:val="Hyperlink"/>
            <w:noProof/>
            <w:lang w:val="en"/>
          </w:rPr>
          <w:t>Quick Letters</w:t>
        </w:r>
        <w:r>
          <w:rPr>
            <w:noProof/>
            <w:webHidden/>
          </w:rPr>
          <w:tab/>
        </w:r>
        <w:r>
          <w:rPr>
            <w:noProof/>
            <w:webHidden/>
          </w:rPr>
          <w:fldChar w:fldCharType="begin"/>
        </w:r>
        <w:r>
          <w:rPr>
            <w:noProof/>
            <w:webHidden/>
          </w:rPr>
          <w:instrText xml:space="preserve"> PAGEREF _Toc166834333 \h </w:instrText>
        </w:r>
        <w:r>
          <w:rPr>
            <w:noProof/>
            <w:webHidden/>
          </w:rPr>
        </w:r>
        <w:r>
          <w:rPr>
            <w:noProof/>
            <w:webHidden/>
          </w:rPr>
          <w:fldChar w:fldCharType="separate"/>
        </w:r>
        <w:r w:rsidR="00562D0E">
          <w:rPr>
            <w:noProof/>
            <w:webHidden/>
          </w:rPr>
          <w:t>27</w:t>
        </w:r>
        <w:r>
          <w:rPr>
            <w:noProof/>
            <w:webHidden/>
          </w:rPr>
          <w:fldChar w:fldCharType="end"/>
        </w:r>
      </w:hyperlink>
    </w:p>
    <w:p w14:paraId="722DB10A" w14:textId="14D6EB7F"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4" w:history="1">
        <w:r w:rsidRPr="00F3411E">
          <w:rPr>
            <w:rStyle w:val="Hyperlink"/>
            <w:noProof/>
            <w:lang w:val="en"/>
          </w:rPr>
          <w:t>1.2.</w:t>
        </w:r>
        <w:r>
          <w:rPr>
            <w:rFonts w:asciiTheme="minorHAnsi" w:eastAsiaTheme="minorEastAsia" w:hAnsiTheme="minorHAnsi" w:cstheme="minorBidi"/>
            <w:noProof/>
            <w:kern w:val="2"/>
            <w:sz w:val="24"/>
            <w14:ligatures w14:val="standardContextual"/>
          </w:rPr>
          <w:tab/>
        </w:r>
        <w:r w:rsidRPr="00F3411E">
          <w:rPr>
            <w:rStyle w:val="Hyperlink"/>
            <w:noProof/>
            <w:lang w:val="en"/>
          </w:rPr>
          <w:t>Consent Forms</w:t>
        </w:r>
        <w:r>
          <w:rPr>
            <w:noProof/>
            <w:webHidden/>
          </w:rPr>
          <w:tab/>
        </w:r>
        <w:r>
          <w:rPr>
            <w:noProof/>
            <w:webHidden/>
          </w:rPr>
          <w:fldChar w:fldCharType="begin"/>
        </w:r>
        <w:r>
          <w:rPr>
            <w:noProof/>
            <w:webHidden/>
          </w:rPr>
          <w:instrText xml:space="preserve"> PAGEREF _Toc166834334 \h </w:instrText>
        </w:r>
        <w:r>
          <w:rPr>
            <w:noProof/>
            <w:webHidden/>
          </w:rPr>
        </w:r>
        <w:r>
          <w:rPr>
            <w:noProof/>
            <w:webHidden/>
          </w:rPr>
          <w:fldChar w:fldCharType="separate"/>
        </w:r>
        <w:r w:rsidR="00562D0E">
          <w:rPr>
            <w:noProof/>
            <w:webHidden/>
          </w:rPr>
          <w:t>27</w:t>
        </w:r>
        <w:r>
          <w:rPr>
            <w:noProof/>
            <w:webHidden/>
          </w:rPr>
          <w:fldChar w:fldCharType="end"/>
        </w:r>
      </w:hyperlink>
    </w:p>
    <w:p w14:paraId="5DEDB48F" w14:textId="0C31621A"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5" w:history="1">
        <w:r w:rsidRPr="00F3411E">
          <w:rPr>
            <w:rStyle w:val="Hyperlink"/>
            <w:noProof/>
            <w:lang w:val="en"/>
          </w:rPr>
          <w:t>1.3.</w:t>
        </w:r>
        <w:r>
          <w:rPr>
            <w:rFonts w:asciiTheme="minorHAnsi" w:eastAsiaTheme="minorEastAsia" w:hAnsiTheme="minorHAnsi" w:cstheme="minorBidi"/>
            <w:noProof/>
            <w:kern w:val="2"/>
            <w:sz w:val="24"/>
            <w14:ligatures w14:val="standardContextual"/>
          </w:rPr>
          <w:tab/>
        </w:r>
        <w:r w:rsidRPr="00F3411E">
          <w:rPr>
            <w:rStyle w:val="Hyperlink"/>
            <w:noProof/>
            <w:lang w:val="en"/>
          </w:rPr>
          <w:t>Questionnaires</w:t>
        </w:r>
        <w:r>
          <w:rPr>
            <w:noProof/>
            <w:webHidden/>
          </w:rPr>
          <w:tab/>
        </w:r>
        <w:r>
          <w:rPr>
            <w:noProof/>
            <w:webHidden/>
          </w:rPr>
          <w:fldChar w:fldCharType="begin"/>
        </w:r>
        <w:r>
          <w:rPr>
            <w:noProof/>
            <w:webHidden/>
          </w:rPr>
          <w:instrText xml:space="preserve"> PAGEREF _Toc166834335 \h </w:instrText>
        </w:r>
        <w:r>
          <w:rPr>
            <w:noProof/>
            <w:webHidden/>
          </w:rPr>
        </w:r>
        <w:r>
          <w:rPr>
            <w:noProof/>
            <w:webHidden/>
          </w:rPr>
          <w:fldChar w:fldCharType="separate"/>
        </w:r>
        <w:r w:rsidR="00562D0E">
          <w:rPr>
            <w:noProof/>
            <w:webHidden/>
          </w:rPr>
          <w:t>27</w:t>
        </w:r>
        <w:r>
          <w:rPr>
            <w:noProof/>
            <w:webHidden/>
          </w:rPr>
          <w:fldChar w:fldCharType="end"/>
        </w:r>
      </w:hyperlink>
    </w:p>
    <w:p w14:paraId="0334A965" w14:textId="0E62C857" w:rsidR="002F364A" w:rsidRDefault="002F364A">
      <w:pPr>
        <w:pStyle w:val="TOC2"/>
        <w:rPr>
          <w:rFonts w:asciiTheme="minorHAnsi" w:eastAsiaTheme="minorEastAsia" w:hAnsiTheme="minorHAnsi" w:cstheme="minorBidi"/>
          <w:noProof/>
          <w:kern w:val="2"/>
          <w14:ligatures w14:val="standardContextual"/>
        </w:rPr>
      </w:pPr>
      <w:hyperlink w:anchor="_Toc166834336"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Patient/Household File</w:t>
        </w:r>
        <w:r>
          <w:rPr>
            <w:noProof/>
            <w:webHidden/>
          </w:rPr>
          <w:tab/>
        </w:r>
        <w:r>
          <w:rPr>
            <w:noProof/>
            <w:webHidden/>
          </w:rPr>
          <w:fldChar w:fldCharType="begin"/>
        </w:r>
        <w:r>
          <w:rPr>
            <w:noProof/>
            <w:webHidden/>
          </w:rPr>
          <w:instrText xml:space="preserve"> PAGEREF _Toc166834336 \h </w:instrText>
        </w:r>
        <w:r>
          <w:rPr>
            <w:noProof/>
            <w:webHidden/>
          </w:rPr>
        </w:r>
        <w:r>
          <w:rPr>
            <w:noProof/>
            <w:webHidden/>
          </w:rPr>
          <w:fldChar w:fldCharType="separate"/>
        </w:r>
        <w:r w:rsidR="00562D0E">
          <w:rPr>
            <w:noProof/>
            <w:webHidden/>
          </w:rPr>
          <w:t>28</w:t>
        </w:r>
        <w:r>
          <w:rPr>
            <w:noProof/>
            <w:webHidden/>
          </w:rPr>
          <w:fldChar w:fldCharType="end"/>
        </w:r>
      </w:hyperlink>
    </w:p>
    <w:p w14:paraId="16533A32" w14:textId="3594F4FA"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7" w:history="1">
        <w:r w:rsidRPr="00F3411E">
          <w:rPr>
            <w:rStyle w:val="Hyperlink"/>
            <w:noProof/>
          </w:rPr>
          <w:t>2.1.</w:t>
        </w:r>
        <w:r>
          <w:rPr>
            <w:rFonts w:asciiTheme="minorHAnsi" w:eastAsiaTheme="minorEastAsia" w:hAnsiTheme="minorHAnsi" w:cstheme="minorBidi"/>
            <w:noProof/>
            <w:kern w:val="2"/>
            <w:sz w:val="24"/>
            <w14:ligatures w14:val="standardContextual"/>
          </w:rPr>
          <w:tab/>
        </w:r>
        <w:r w:rsidRPr="00F3411E">
          <w:rPr>
            <w:rStyle w:val="Hyperlink"/>
            <w:noProof/>
          </w:rPr>
          <w:t>Patient Information</w:t>
        </w:r>
        <w:r>
          <w:rPr>
            <w:noProof/>
            <w:webHidden/>
          </w:rPr>
          <w:tab/>
        </w:r>
        <w:r>
          <w:rPr>
            <w:noProof/>
            <w:webHidden/>
          </w:rPr>
          <w:fldChar w:fldCharType="begin"/>
        </w:r>
        <w:r>
          <w:rPr>
            <w:noProof/>
            <w:webHidden/>
          </w:rPr>
          <w:instrText xml:space="preserve"> PAGEREF _Toc166834337 \h </w:instrText>
        </w:r>
        <w:r>
          <w:rPr>
            <w:noProof/>
            <w:webHidden/>
          </w:rPr>
        </w:r>
        <w:r>
          <w:rPr>
            <w:noProof/>
            <w:webHidden/>
          </w:rPr>
          <w:fldChar w:fldCharType="separate"/>
        </w:r>
        <w:r w:rsidR="00562D0E">
          <w:rPr>
            <w:noProof/>
            <w:webHidden/>
          </w:rPr>
          <w:t>28</w:t>
        </w:r>
        <w:r>
          <w:rPr>
            <w:noProof/>
            <w:webHidden/>
          </w:rPr>
          <w:fldChar w:fldCharType="end"/>
        </w:r>
      </w:hyperlink>
    </w:p>
    <w:p w14:paraId="11EC53FB" w14:textId="079BE925"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8" w:history="1">
        <w:r w:rsidRPr="00F3411E">
          <w:rPr>
            <w:rStyle w:val="Hyperlink"/>
            <w:noProof/>
          </w:rPr>
          <w:t>2.2.</w:t>
        </w:r>
        <w:r>
          <w:rPr>
            <w:rFonts w:asciiTheme="minorHAnsi" w:eastAsiaTheme="minorEastAsia" w:hAnsiTheme="minorHAnsi" w:cstheme="minorBidi"/>
            <w:noProof/>
            <w:kern w:val="2"/>
            <w:sz w:val="24"/>
            <w14:ligatures w14:val="standardContextual"/>
          </w:rPr>
          <w:tab/>
        </w:r>
        <w:r w:rsidRPr="00F3411E">
          <w:rPr>
            <w:rStyle w:val="Hyperlink"/>
            <w:noProof/>
          </w:rPr>
          <w:t>Continuing Care</w:t>
        </w:r>
        <w:r>
          <w:rPr>
            <w:noProof/>
            <w:webHidden/>
          </w:rPr>
          <w:tab/>
        </w:r>
        <w:r>
          <w:rPr>
            <w:noProof/>
            <w:webHidden/>
          </w:rPr>
          <w:fldChar w:fldCharType="begin"/>
        </w:r>
        <w:r>
          <w:rPr>
            <w:noProof/>
            <w:webHidden/>
          </w:rPr>
          <w:instrText xml:space="preserve"> PAGEREF _Toc166834338 \h </w:instrText>
        </w:r>
        <w:r>
          <w:rPr>
            <w:noProof/>
            <w:webHidden/>
          </w:rPr>
        </w:r>
        <w:r>
          <w:rPr>
            <w:noProof/>
            <w:webHidden/>
          </w:rPr>
          <w:fldChar w:fldCharType="separate"/>
        </w:r>
        <w:r w:rsidR="00562D0E">
          <w:rPr>
            <w:noProof/>
            <w:webHidden/>
          </w:rPr>
          <w:t>29</w:t>
        </w:r>
        <w:r>
          <w:rPr>
            <w:noProof/>
            <w:webHidden/>
          </w:rPr>
          <w:fldChar w:fldCharType="end"/>
        </w:r>
      </w:hyperlink>
    </w:p>
    <w:p w14:paraId="325E7710" w14:textId="0F51589E"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39" w:history="1">
        <w:r w:rsidRPr="00F3411E">
          <w:rPr>
            <w:rStyle w:val="Hyperlink"/>
            <w:noProof/>
          </w:rPr>
          <w:t>2.3.</w:t>
        </w:r>
        <w:r>
          <w:rPr>
            <w:rFonts w:asciiTheme="minorHAnsi" w:eastAsiaTheme="minorEastAsia" w:hAnsiTheme="minorHAnsi" w:cstheme="minorBidi"/>
            <w:noProof/>
            <w:kern w:val="2"/>
            <w:sz w:val="24"/>
            <w14:ligatures w14:val="standardContextual"/>
          </w:rPr>
          <w:tab/>
        </w:r>
        <w:r w:rsidRPr="00F3411E">
          <w:rPr>
            <w:rStyle w:val="Hyperlink"/>
            <w:noProof/>
          </w:rPr>
          <w:t>Referral Information</w:t>
        </w:r>
        <w:r>
          <w:rPr>
            <w:noProof/>
            <w:webHidden/>
          </w:rPr>
          <w:tab/>
        </w:r>
        <w:r>
          <w:rPr>
            <w:noProof/>
            <w:webHidden/>
          </w:rPr>
          <w:fldChar w:fldCharType="begin"/>
        </w:r>
        <w:r>
          <w:rPr>
            <w:noProof/>
            <w:webHidden/>
          </w:rPr>
          <w:instrText xml:space="preserve"> PAGEREF _Toc166834339 \h </w:instrText>
        </w:r>
        <w:r>
          <w:rPr>
            <w:noProof/>
            <w:webHidden/>
          </w:rPr>
        </w:r>
        <w:r>
          <w:rPr>
            <w:noProof/>
            <w:webHidden/>
          </w:rPr>
          <w:fldChar w:fldCharType="separate"/>
        </w:r>
        <w:r w:rsidR="00562D0E">
          <w:rPr>
            <w:noProof/>
            <w:webHidden/>
          </w:rPr>
          <w:t>30</w:t>
        </w:r>
        <w:r>
          <w:rPr>
            <w:noProof/>
            <w:webHidden/>
          </w:rPr>
          <w:fldChar w:fldCharType="end"/>
        </w:r>
      </w:hyperlink>
    </w:p>
    <w:p w14:paraId="6D0A6119" w14:textId="1CC5D7AB" w:rsidR="002F364A" w:rsidRDefault="002F364A">
      <w:pPr>
        <w:pStyle w:val="TOC2"/>
        <w:rPr>
          <w:rFonts w:asciiTheme="minorHAnsi" w:eastAsiaTheme="minorEastAsia" w:hAnsiTheme="minorHAnsi" w:cstheme="minorBidi"/>
          <w:noProof/>
          <w:kern w:val="2"/>
          <w14:ligatures w14:val="standardContextual"/>
        </w:rPr>
      </w:pPr>
      <w:hyperlink w:anchor="_Toc166834340"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Patient Financial and Billing Information</w:t>
        </w:r>
        <w:r>
          <w:rPr>
            <w:noProof/>
            <w:webHidden/>
          </w:rPr>
          <w:tab/>
        </w:r>
        <w:r>
          <w:rPr>
            <w:noProof/>
            <w:webHidden/>
          </w:rPr>
          <w:fldChar w:fldCharType="begin"/>
        </w:r>
        <w:r>
          <w:rPr>
            <w:noProof/>
            <w:webHidden/>
          </w:rPr>
          <w:instrText xml:space="preserve"> PAGEREF _Toc166834340 \h </w:instrText>
        </w:r>
        <w:r>
          <w:rPr>
            <w:noProof/>
            <w:webHidden/>
          </w:rPr>
        </w:r>
        <w:r>
          <w:rPr>
            <w:noProof/>
            <w:webHidden/>
          </w:rPr>
          <w:fldChar w:fldCharType="separate"/>
        </w:r>
        <w:r w:rsidR="00562D0E">
          <w:rPr>
            <w:noProof/>
            <w:webHidden/>
          </w:rPr>
          <w:t>30</w:t>
        </w:r>
        <w:r>
          <w:rPr>
            <w:noProof/>
            <w:webHidden/>
          </w:rPr>
          <w:fldChar w:fldCharType="end"/>
        </w:r>
      </w:hyperlink>
    </w:p>
    <w:p w14:paraId="423BF671" w14:textId="3D43DDC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1" w:history="1">
        <w:r w:rsidRPr="00F3411E">
          <w:rPr>
            <w:rStyle w:val="Hyperlink"/>
            <w:noProof/>
          </w:rPr>
          <w:t>3.1.</w:t>
        </w:r>
        <w:r>
          <w:rPr>
            <w:rFonts w:asciiTheme="minorHAnsi" w:eastAsiaTheme="minorEastAsia" w:hAnsiTheme="minorHAnsi" w:cstheme="minorBidi"/>
            <w:noProof/>
            <w:kern w:val="2"/>
            <w:sz w:val="24"/>
            <w14:ligatures w14:val="standardContextual"/>
          </w:rPr>
          <w:tab/>
        </w:r>
        <w:r w:rsidRPr="00F3411E">
          <w:rPr>
            <w:rStyle w:val="Hyperlink"/>
            <w:noProof/>
          </w:rPr>
          <w:t>Billing Types</w:t>
        </w:r>
        <w:r>
          <w:rPr>
            <w:noProof/>
            <w:webHidden/>
          </w:rPr>
          <w:tab/>
        </w:r>
        <w:r>
          <w:rPr>
            <w:noProof/>
            <w:webHidden/>
          </w:rPr>
          <w:fldChar w:fldCharType="begin"/>
        </w:r>
        <w:r>
          <w:rPr>
            <w:noProof/>
            <w:webHidden/>
          </w:rPr>
          <w:instrText xml:space="preserve"> PAGEREF _Toc166834341 \h </w:instrText>
        </w:r>
        <w:r>
          <w:rPr>
            <w:noProof/>
            <w:webHidden/>
          </w:rPr>
        </w:r>
        <w:r>
          <w:rPr>
            <w:noProof/>
            <w:webHidden/>
          </w:rPr>
          <w:fldChar w:fldCharType="separate"/>
        </w:r>
        <w:r w:rsidR="00562D0E">
          <w:rPr>
            <w:noProof/>
            <w:webHidden/>
          </w:rPr>
          <w:t>30</w:t>
        </w:r>
        <w:r>
          <w:rPr>
            <w:noProof/>
            <w:webHidden/>
          </w:rPr>
          <w:fldChar w:fldCharType="end"/>
        </w:r>
      </w:hyperlink>
    </w:p>
    <w:p w14:paraId="116A185B" w14:textId="60423372"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2" w:history="1">
        <w:r w:rsidRPr="00F3411E">
          <w:rPr>
            <w:rStyle w:val="Hyperlink"/>
            <w:noProof/>
          </w:rPr>
          <w:t>3.2.</w:t>
        </w:r>
        <w:r>
          <w:rPr>
            <w:rFonts w:asciiTheme="minorHAnsi" w:eastAsiaTheme="minorEastAsia" w:hAnsiTheme="minorHAnsi" w:cstheme="minorBidi"/>
            <w:noProof/>
            <w:kern w:val="2"/>
            <w:sz w:val="24"/>
            <w14:ligatures w14:val="standardContextual"/>
          </w:rPr>
          <w:tab/>
        </w:r>
        <w:r w:rsidRPr="00F3411E">
          <w:rPr>
            <w:rStyle w:val="Hyperlink"/>
            <w:noProof/>
          </w:rPr>
          <w:t>Insurance</w:t>
        </w:r>
        <w:r>
          <w:rPr>
            <w:noProof/>
            <w:webHidden/>
          </w:rPr>
          <w:tab/>
        </w:r>
        <w:r>
          <w:rPr>
            <w:noProof/>
            <w:webHidden/>
          </w:rPr>
          <w:fldChar w:fldCharType="begin"/>
        </w:r>
        <w:r>
          <w:rPr>
            <w:noProof/>
            <w:webHidden/>
          </w:rPr>
          <w:instrText xml:space="preserve"> PAGEREF _Toc166834342 \h </w:instrText>
        </w:r>
        <w:r>
          <w:rPr>
            <w:noProof/>
            <w:webHidden/>
          </w:rPr>
        </w:r>
        <w:r>
          <w:rPr>
            <w:noProof/>
            <w:webHidden/>
          </w:rPr>
          <w:fldChar w:fldCharType="separate"/>
        </w:r>
        <w:r w:rsidR="00562D0E">
          <w:rPr>
            <w:noProof/>
            <w:webHidden/>
          </w:rPr>
          <w:t>31</w:t>
        </w:r>
        <w:r>
          <w:rPr>
            <w:noProof/>
            <w:webHidden/>
          </w:rPr>
          <w:fldChar w:fldCharType="end"/>
        </w:r>
      </w:hyperlink>
    </w:p>
    <w:p w14:paraId="2E352397" w14:textId="67EBE374" w:rsidR="002F364A" w:rsidRDefault="002F364A">
      <w:pPr>
        <w:pStyle w:val="TOC2"/>
        <w:rPr>
          <w:rFonts w:asciiTheme="minorHAnsi" w:eastAsiaTheme="minorEastAsia" w:hAnsiTheme="minorHAnsi" w:cstheme="minorBidi"/>
          <w:noProof/>
          <w:kern w:val="2"/>
          <w14:ligatures w14:val="standardContextual"/>
        </w:rPr>
      </w:pPr>
      <w:hyperlink w:anchor="_Toc166834343" w:history="1">
        <w:r w:rsidRPr="00F3411E">
          <w:rPr>
            <w:rStyle w:val="Hyperlink"/>
            <w:noProof/>
          </w:rPr>
          <w:t>4.</w:t>
        </w:r>
        <w:r>
          <w:rPr>
            <w:rFonts w:asciiTheme="minorHAnsi" w:eastAsiaTheme="minorEastAsia" w:hAnsiTheme="minorHAnsi" w:cstheme="minorBidi"/>
            <w:noProof/>
            <w:kern w:val="2"/>
            <w14:ligatures w14:val="standardContextual"/>
          </w:rPr>
          <w:tab/>
        </w:r>
        <w:r w:rsidRPr="00F3411E">
          <w:rPr>
            <w:rStyle w:val="Hyperlink"/>
            <w:noProof/>
          </w:rPr>
          <w:t>Administrative/Patient Notes</w:t>
        </w:r>
        <w:r>
          <w:rPr>
            <w:noProof/>
            <w:webHidden/>
          </w:rPr>
          <w:tab/>
        </w:r>
        <w:r>
          <w:rPr>
            <w:noProof/>
            <w:webHidden/>
          </w:rPr>
          <w:fldChar w:fldCharType="begin"/>
        </w:r>
        <w:r>
          <w:rPr>
            <w:noProof/>
            <w:webHidden/>
          </w:rPr>
          <w:instrText xml:space="preserve"> PAGEREF _Toc166834343 \h </w:instrText>
        </w:r>
        <w:r>
          <w:rPr>
            <w:noProof/>
            <w:webHidden/>
          </w:rPr>
        </w:r>
        <w:r>
          <w:rPr>
            <w:noProof/>
            <w:webHidden/>
          </w:rPr>
          <w:fldChar w:fldCharType="separate"/>
        </w:r>
        <w:r w:rsidR="00562D0E">
          <w:rPr>
            <w:noProof/>
            <w:webHidden/>
          </w:rPr>
          <w:t>32</w:t>
        </w:r>
        <w:r>
          <w:rPr>
            <w:noProof/>
            <w:webHidden/>
          </w:rPr>
          <w:fldChar w:fldCharType="end"/>
        </w:r>
      </w:hyperlink>
    </w:p>
    <w:p w14:paraId="47A32B1A" w14:textId="1279224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4" w:history="1">
        <w:r w:rsidRPr="00F3411E">
          <w:rPr>
            <w:rStyle w:val="Hyperlink"/>
            <w:noProof/>
          </w:rPr>
          <w:t>4.1.</w:t>
        </w:r>
        <w:r>
          <w:rPr>
            <w:rFonts w:asciiTheme="minorHAnsi" w:eastAsiaTheme="minorEastAsia" w:hAnsiTheme="minorHAnsi" w:cstheme="minorBidi"/>
            <w:noProof/>
            <w:kern w:val="2"/>
            <w:sz w:val="24"/>
            <w14:ligatures w14:val="standardContextual"/>
          </w:rPr>
          <w:tab/>
        </w:r>
        <w:r w:rsidRPr="00F3411E">
          <w:rPr>
            <w:rStyle w:val="Hyperlink"/>
            <w:noProof/>
          </w:rPr>
          <w:t>Office Journal</w:t>
        </w:r>
        <w:r>
          <w:rPr>
            <w:noProof/>
            <w:webHidden/>
          </w:rPr>
          <w:tab/>
        </w:r>
        <w:r>
          <w:rPr>
            <w:noProof/>
            <w:webHidden/>
          </w:rPr>
          <w:fldChar w:fldCharType="begin"/>
        </w:r>
        <w:r>
          <w:rPr>
            <w:noProof/>
            <w:webHidden/>
          </w:rPr>
          <w:instrText xml:space="preserve"> PAGEREF _Toc166834344 \h </w:instrText>
        </w:r>
        <w:r>
          <w:rPr>
            <w:noProof/>
            <w:webHidden/>
          </w:rPr>
        </w:r>
        <w:r>
          <w:rPr>
            <w:noProof/>
            <w:webHidden/>
          </w:rPr>
          <w:fldChar w:fldCharType="separate"/>
        </w:r>
        <w:r w:rsidR="00562D0E">
          <w:rPr>
            <w:noProof/>
            <w:webHidden/>
          </w:rPr>
          <w:t>32</w:t>
        </w:r>
        <w:r>
          <w:rPr>
            <w:noProof/>
            <w:webHidden/>
          </w:rPr>
          <w:fldChar w:fldCharType="end"/>
        </w:r>
      </w:hyperlink>
    </w:p>
    <w:p w14:paraId="59B956B7" w14:textId="40370812"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5" w:history="1">
        <w:r w:rsidRPr="00F3411E">
          <w:rPr>
            <w:rStyle w:val="Hyperlink"/>
            <w:noProof/>
          </w:rPr>
          <w:t>4.2.</w:t>
        </w:r>
        <w:r>
          <w:rPr>
            <w:rFonts w:asciiTheme="minorHAnsi" w:eastAsiaTheme="minorEastAsia" w:hAnsiTheme="minorHAnsi" w:cstheme="minorBidi"/>
            <w:noProof/>
            <w:kern w:val="2"/>
            <w:sz w:val="24"/>
            <w14:ligatures w14:val="standardContextual"/>
          </w:rPr>
          <w:tab/>
        </w:r>
        <w:r w:rsidRPr="00F3411E">
          <w:rPr>
            <w:rStyle w:val="Hyperlink"/>
            <w:noProof/>
          </w:rPr>
          <w:t>Patient Note</w:t>
        </w:r>
        <w:r>
          <w:rPr>
            <w:noProof/>
            <w:webHidden/>
          </w:rPr>
          <w:tab/>
        </w:r>
        <w:r>
          <w:rPr>
            <w:noProof/>
            <w:webHidden/>
          </w:rPr>
          <w:fldChar w:fldCharType="begin"/>
        </w:r>
        <w:r>
          <w:rPr>
            <w:noProof/>
            <w:webHidden/>
          </w:rPr>
          <w:instrText xml:space="preserve"> PAGEREF _Toc166834345 \h </w:instrText>
        </w:r>
        <w:r>
          <w:rPr>
            <w:noProof/>
            <w:webHidden/>
          </w:rPr>
        </w:r>
        <w:r>
          <w:rPr>
            <w:noProof/>
            <w:webHidden/>
          </w:rPr>
          <w:fldChar w:fldCharType="separate"/>
        </w:r>
        <w:r w:rsidR="00562D0E">
          <w:rPr>
            <w:noProof/>
            <w:webHidden/>
          </w:rPr>
          <w:t>32</w:t>
        </w:r>
        <w:r>
          <w:rPr>
            <w:noProof/>
            <w:webHidden/>
          </w:rPr>
          <w:fldChar w:fldCharType="end"/>
        </w:r>
      </w:hyperlink>
    </w:p>
    <w:p w14:paraId="36409541" w14:textId="420B45E5"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6" w:history="1">
        <w:r w:rsidRPr="00F3411E">
          <w:rPr>
            <w:rStyle w:val="Hyperlink"/>
            <w:noProof/>
          </w:rPr>
          <w:t>4.3.</w:t>
        </w:r>
        <w:r>
          <w:rPr>
            <w:rFonts w:asciiTheme="minorHAnsi" w:eastAsiaTheme="minorEastAsia" w:hAnsiTheme="minorHAnsi" w:cstheme="minorBidi"/>
            <w:noProof/>
            <w:kern w:val="2"/>
            <w:sz w:val="24"/>
            <w14:ligatures w14:val="standardContextual"/>
          </w:rPr>
          <w:tab/>
        </w:r>
        <w:r w:rsidRPr="00F3411E">
          <w:rPr>
            <w:rStyle w:val="Hyperlink"/>
            <w:noProof/>
          </w:rPr>
          <w:t>Decision Support</w:t>
        </w:r>
        <w:r>
          <w:rPr>
            <w:noProof/>
            <w:webHidden/>
          </w:rPr>
          <w:tab/>
        </w:r>
        <w:r>
          <w:rPr>
            <w:noProof/>
            <w:webHidden/>
          </w:rPr>
          <w:fldChar w:fldCharType="begin"/>
        </w:r>
        <w:r>
          <w:rPr>
            <w:noProof/>
            <w:webHidden/>
          </w:rPr>
          <w:instrText xml:space="preserve"> PAGEREF _Toc166834346 \h </w:instrText>
        </w:r>
        <w:r>
          <w:rPr>
            <w:noProof/>
            <w:webHidden/>
          </w:rPr>
        </w:r>
        <w:r>
          <w:rPr>
            <w:noProof/>
            <w:webHidden/>
          </w:rPr>
          <w:fldChar w:fldCharType="separate"/>
        </w:r>
        <w:r w:rsidR="00562D0E">
          <w:rPr>
            <w:noProof/>
            <w:webHidden/>
          </w:rPr>
          <w:t>32</w:t>
        </w:r>
        <w:r>
          <w:rPr>
            <w:noProof/>
            <w:webHidden/>
          </w:rPr>
          <w:fldChar w:fldCharType="end"/>
        </w:r>
      </w:hyperlink>
    </w:p>
    <w:p w14:paraId="66AAB23B" w14:textId="22265E8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7" w:history="1">
        <w:r w:rsidRPr="00F3411E">
          <w:rPr>
            <w:rStyle w:val="Hyperlink"/>
            <w:noProof/>
          </w:rPr>
          <w:t>4.4.</w:t>
        </w:r>
        <w:r>
          <w:rPr>
            <w:rFonts w:asciiTheme="minorHAnsi" w:eastAsiaTheme="minorEastAsia" w:hAnsiTheme="minorHAnsi" w:cstheme="minorBidi"/>
            <w:noProof/>
            <w:kern w:val="2"/>
            <w:sz w:val="24"/>
            <w14:ligatures w14:val="standardContextual"/>
          </w:rPr>
          <w:tab/>
        </w:r>
        <w:r w:rsidRPr="00F3411E">
          <w:rPr>
            <w:rStyle w:val="Hyperlink"/>
            <w:noProof/>
          </w:rPr>
          <w:t>Document Storage</w:t>
        </w:r>
        <w:r>
          <w:rPr>
            <w:noProof/>
            <w:webHidden/>
          </w:rPr>
          <w:tab/>
        </w:r>
        <w:r>
          <w:rPr>
            <w:noProof/>
            <w:webHidden/>
          </w:rPr>
          <w:fldChar w:fldCharType="begin"/>
        </w:r>
        <w:r>
          <w:rPr>
            <w:noProof/>
            <w:webHidden/>
          </w:rPr>
          <w:instrText xml:space="preserve"> PAGEREF _Toc166834347 \h </w:instrText>
        </w:r>
        <w:r>
          <w:rPr>
            <w:noProof/>
            <w:webHidden/>
          </w:rPr>
        </w:r>
        <w:r>
          <w:rPr>
            <w:noProof/>
            <w:webHidden/>
          </w:rPr>
          <w:fldChar w:fldCharType="separate"/>
        </w:r>
        <w:r w:rsidR="00562D0E">
          <w:rPr>
            <w:noProof/>
            <w:webHidden/>
          </w:rPr>
          <w:t>33</w:t>
        </w:r>
        <w:r>
          <w:rPr>
            <w:noProof/>
            <w:webHidden/>
          </w:rPr>
          <w:fldChar w:fldCharType="end"/>
        </w:r>
      </w:hyperlink>
    </w:p>
    <w:p w14:paraId="3D84768C" w14:textId="3F13D1D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48" w:history="1">
        <w:r w:rsidRPr="00F3411E">
          <w:rPr>
            <w:rStyle w:val="Hyperlink"/>
            <w:noProof/>
          </w:rPr>
          <w:t>4.5.</w:t>
        </w:r>
        <w:r>
          <w:rPr>
            <w:rFonts w:asciiTheme="minorHAnsi" w:eastAsiaTheme="minorEastAsia" w:hAnsiTheme="minorHAnsi" w:cstheme="minorBidi"/>
            <w:noProof/>
            <w:kern w:val="2"/>
            <w:sz w:val="24"/>
            <w14:ligatures w14:val="standardContextual"/>
          </w:rPr>
          <w:tab/>
        </w:r>
        <w:r w:rsidRPr="00F3411E">
          <w:rPr>
            <w:rStyle w:val="Hyperlink"/>
            <w:noProof/>
          </w:rPr>
          <w:t>Patient Online Access (FUTURE)</w:t>
        </w:r>
        <w:r>
          <w:rPr>
            <w:noProof/>
            <w:webHidden/>
          </w:rPr>
          <w:tab/>
        </w:r>
        <w:r>
          <w:rPr>
            <w:noProof/>
            <w:webHidden/>
          </w:rPr>
          <w:fldChar w:fldCharType="begin"/>
        </w:r>
        <w:r>
          <w:rPr>
            <w:noProof/>
            <w:webHidden/>
          </w:rPr>
          <w:instrText xml:space="preserve"> PAGEREF _Toc166834348 \h </w:instrText>
        </w:r>
        <w:r>
          <w:rPr>
            <w:noProof/>
            <w:webHidden/>
          </w:rPr>
        </w:r>
        <w:r>
          <w:rPr>
            <w:noProof/>
            <w:webHidden/>
          </w:rPr>
          <w:fldChar w:fldCharType="separate"/>
        </w:r>
        <w:r w:rsidR="00562D0E">
          <w:rPr>
            <w:noProof/>
            <w:webHidden/>
          </w:rPr>
          <w:t>35</w:t>
        </w:r>
        <w:r>
          <w:rPr>
            <w:noProof/>
            <w:webHidden/>
          </w:rPr>
          <w:fldChar w:fldCharType="end"/>
        </w:r>
      </w:hyperlink>
    </w:p>
    <w:p w14:paraId="1DC4AF08" w14:textId="5C162E84" w:rsidR="002F364A" w:rsidRDefault="002F364A">
      <w:pPr>
        <w:pStyle w:val="TOC1"/>
        <w:rPr>
          <w:rFonts w:asciiTheme="minorHAnsi" w:eastAsiaTheme="minorEastAsia" w:hAnsiTheme="minorHAnsi" w:cstheme="minorBidi"/>
          <w:kern w:val="2"/>
          <w:sz w:val="24"/>
          <w14:ligatures w14:val="standardContextual"/>
        </w:rPr>
      </w:pPr>
      <w:hyperlink w:anchor="_Toc166834349" w:history="1">
        <w:r w:rsidRPr="00F3411E">
          <w:rPr>
            <w:rStyle w:val="Hyperlink"/>
          </w:rPr>
          <w:t>Clinical Records Management</w:t>
        </w:r>
        <w:r>
          <w:rPr>
            <w:webHidden/>
          </w:rPr>
          <w:tab/>
        </w:r>
        <w:r>
          <w:rPr>
            <w:webHidden/>
          </w:rPr>
          <w:fldChar w:fldCharType="begin"/>
        </w:r>
        <w:r>
          <w:rPr>
            <w:webHidden/>
          </w:rPr>
          <w:instrText xml:space="preserve"> PAGEREF _Toc166834349 \h </w:instrText>
        </w:r>
        <w:r>
          <w:rPr>
            <w:webHidden/>
          </w:rPr>
        </w:r>
        <w:r>
          <w:rPr>
            <w:webHidden/>
          </w:rPr>
          <w:fldChar w:fldCharType="separate"/>
        </w:r>
        <w:r w:rsidR="00562D0E">
          <w:rPr>
            <w:webHidden/>
          </w:rPr>
          <w:t>36</w:t>
        </w:r>
        <w:r>
          <w:rPr>
            <w:webHidden/>
          </w:rPr>
          <w:fldChar w:fldCharType="end"/>
        </w:r>
      </w:hyperlink>
    </w:p>
    <w:p w14:paraId="1D7B750A" w14:textId="4CCD5E1C" w:rsidR="002F364A" w:rsidRDefault="002F364A">
      <w:pPr>
        <w:pStyle w:val="TOC2"/>
        <w:rPr>
          <w:rFonts w:asciiTheme="minorHAnsi" w:eastAsiaTheme="minorEastAsia" w:hAnsiTheme="minorHAnsi" w:cstheme="minorBidi"/>
          <w:noProof/>
          <w:kern w:val="2"/>
          <w14:ligatures w14:val="standardContextual"/>
        </w:rPr>
      </w:pPr>
      <w:hyperlink w:anchor="_Toc166834350"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Clinical Records Accuracy</w:t>
        </w:r>
        <w:r>
          <w:rPr>
            <w:noProof/>
            <w:webHidden/>
          </w:rPr>
          <w:tab/>
        </w:r>
        <w:r>
          <w:rPr>
            <w:noProof/>
            <w:webHidden/>
          </w:rPr>
          <w:fldChar w:fldCharType="begin"/>
        </w:r>
        <w:r>
          <w:rPr>
            <w:noProof/>
            <w:webHidden/>
          </w:rPr>
          <w:instrText xml:space="preserve"> PAGEREF _Toc166834350 \h </w:instrText>
        </w:r>
        <w:r>
          <w:rPr>
            <w:noProof/>
            <w:webHidden/>
          </w:rPr>
        </w:r>
        <w:r>
          <w:rPr>
            <w:noProof/>
            <w:webHidden/>
          </w:rPr>
          <w:fldChar w:fldCharType="separate"/>
        </w:r>
        <w:r w:rsidR="00562D0E">
          <w:rPr>
            <w:noProof/>
            <w:webHidden/>
          </w:rPr>
          <w:t>36</w:t>
        </w:r>
        <w:r>
          <w:rPr>
            <w:noProof/>
            <w:webHidden/>
          </w:rPr>
          <w:fldChar w:fldCharType="end"/>
        </w:r>
      </w:hyperlink>
    </w:p>
    <w:p w14:paraId="2445BDC7" w14:textId="0407C1A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1" w:history="1">
        <w:r w:rsidRPr="00F3411E">
          <w:rPr>
            <w:rStyle w:val="Hyperlink"/>
            <w:noProof/>
          </w:rPr>
          <w:t>1.1.</w:t>
        </w:r>
        <w:r>
          <w:rPr>
            <w:rFonts w:asciiTheme="minorHAnsi" w:eastAsiaTheme="minorEastAsia" w:hAnsiTheme="minorHAnsi" w:cstheme="minorBidi"/>
            <w:noProof/>
            <w:kern w:val="2"/>
            <w:sz w:val="24"/>
            <w14:ligatures w14:val="standardContextual"/>
          </w:rPr>
          <w:tab/>
        </w:r>
        <w:r w:rsidRPr="00F3411E">
          <w:rPr>
            <w:rStyle w:val="Hyperlink"/>
            <w:noProof/>
          </w:rPr>
          <w:t>Coding</w:t>
        </w:r>
        <w:r>
          <w:rPr>
            <w:noProof/>
            <w:webHidden/>
          </w:rPr>
          <w:tab/>
        </w:r>
        <w:r>
          <w:rPr>
            <w:noProof/>
            <w:webHidden/>
          </w:rPr>
          <w:fldChar w:fldCharType="begin"/>
        </w:r>
        <w:r>
          <w:rPr>
            <w:noProof/>
            <w:webHidden/>
          </w:rPr>
          <w:instrText xml:space="preserve"> PAGEREF _Toc166834351 \h </w:instrText>
        </w:r>
        <w:r>
          <w:rPr>
            <w:noProof/>
            <w:webHidden/>
          </w:rPr>
        </w:r>
        <w:r>
          <w:rPr>
            <w:noProof/>
            <w:webHidden/>
          </w:rPr>
          <w:fldChar w:fldCharType="separate"/>
        </w:r>
        <w:r w:rsidR="00562D0E">
          <w:rPr>
            <w:noProof/>
            <w:webHidden/>
          </w:rPr>
          <w:t>36</w:t>
        </w:r>
        <w:r>
          <w:rPr>
            <w:noProof/>
            <w:webHidden/>
          </w:rPr>
          <w:fldChar w:fldCharType="end"/>
        </w:r>
      </w:hyperlink>
    </w:p>
    <w:p w14:paraId="228E372A" w14:textId="6C53D00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2" w:history="1">
        <w:r w:rsidRPr="00F3411E">
          <w:rPr>
            <w:rStyle w:val="Hyperlink"/>
            <w:noProof/>
          </w:rPr>
          <w:t>1.2.</w:t>
        </w:r>
        <w:r>
          <w:rPr>
            <w:rFonts w:asciiTheme="minorHAnsi" w:eastAsiaTheme="minorEastAsia" w:hAnsiTheme="minorHAnsi" w:cstheme="minorBidi"/>
            <w:noProof/>
            <w:kern w:val="2"/>
            <w:sz w:val="24"/>
            <w14:ligatures w14:val="standardContextual"/>
          </w:rPr>
          <w:tab/>
        </w:r>
        <w:r w:rsidRPr="00F3411E">
          <w:rPr>
            <w:rStyle w:val="Hyperlink"/>
            <w:noProof/>
          </w:rPr>
          <w:t>Clinical Notes</w:t>
        </w:r>
        <w:r>
          <w:rPr>
            <w:noProof/>
            <w:webHidden/>
          </w:rPr>
          <w:tab/>
        </w:r>
        <w:r>
          <w:rPr>
            <w:noProof/>
            <w:webHidden/>
          </w:rPr>
          <w:fldChar w:fldCharType="begin"/>
        </w:r>
        <w:r>
          <w:rPr>
            <w:noProof/>
            <w:webHidden/>
          </w:rPr>
          <w:instrText xml:space="preserve"> PAGEREF _Toc166834352 \h </w:instrText>
        </w:r>
        <w:r>
          <w:rPr>
            <w:noProof/>
            <w:webHidden/>
          </w:rPr>
        </w:r>
        <w:r>
          <w:rPr>
            <w:noProof/>
            <w:webHidden/>
          </w:rPr>
          <w:fldChar w:fldCharType="separate"/>
        </w:r>
        <w:r w:rsidR="00562D0E">
          <w:rPr>
            <w:noProof/>
            <w:webHidden/>
          </w:rPr>
          <w:t>37</w:t>
        </w:r>
        <w:r>
          <w:rPr>
            <w:noProof/>
            <w:webHidden/>
          </w:rPr>
          <w:fldChar w:fldCharType="end"/>
        </w:r>
      </w:hyperlink>
    </w:p>
    <w:p w14:paraId="44E6FEC1" w14:textId="461C4D8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3" w:history="1">
        <w:r w:rsidRPr="00F3411E">
          <w:rPr>
            <w:rStyle w:val="Hyperlink"/>
            <w:noProof/>
          </w:rPr>
          <w:t>1.3.</w:t>
        </w:r>
        <w:r>
          <w:rPr>
            <w:rFonts w:asciiTheme="minorHAnsi" w:eastAsiaTheme="minorEastAsia" w:hAnsiTheme="minorHAnsi" w:cstheme="minorBidi"/>
            <w:noProof/>
            <w:kern w:val="2"/>
            <w:sz w:val="24"/>
            <w14:ligatures w14:val="standardContextual"/>
          </w:rPr>
          <w:tab/>
        </w:r>
        <w:r w:rsidRPr="00F3411E">
          <w:rPr>
            <w:rStyle w:val="Hyperlink"/>
            <w:noProof/>
          </w:rPr>
          <w:t>Perio Charting</w:t>
        </w:r>
        <w:r>
          <w:rPr>
            <w:noProof/>
            <w:webHidden/>
          </w:rPr>
          <w:tab/>
        </w:r>
        <w:r>
          <w:rPr>
            <w:noProof/>
            <w:webHidden/>
          </w:rPr>
          <w:fldChar w:fldCharType="begin"/>
        </w:r>
        <w:r>
          <w:rPr>
            <w:noProof/>
            <w:webHidden/>
          </w:rPr>
          <w:instrText xml:space="preserve"> PAGEREF _Toc166834353 \h </w:instrText>
        </w:r>
        <w:r>
          <w:rPr>
            <w:noProof/>
            <w:webHidden/>
          </w:rPr>
        </w:r>
        <w:r>
          <w:rPr>
            <w:noProof/>
            <w:webHidden/>
          </w:rPr>
          <w:fldChar w:fldCharType="separate"/>
        </w:r>
        <w:r w:rsidR="00562D0E">
          <w:rPr>
            <w:noProof/>
            <w:webHidden/>
          </w:rPr>
          <w:t>38</w:t>
        </w:r>
        <w:r>
          <w:rPr>
            <w:noProof/>
            <w:webHidden/>
          </w:rPr>
          <w:fldChar w:fldCharType="end"/>
        </w:r>
      </w:hyperlink>
    </w:p>
    <w:p w14:paraId="6CC80A4D" w14:textId="3358FFC5"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4" w:history="1">
        <w:r w:rsidRPr="00F3411E">
          <w:rPr>
            <w:rStyle w:val="Hyperlink"/>
            <w:noProof/>
          </w:rPr>
          <w:t>1.4.</w:t>
        </w:r>
        <w:r>
          <w:rPr>
            <w:rFonts w:asciiTheme="minorHAnsi" w:eastAsiaTheme="minorEastAsia" w:hAnsiTheme="minorHAnsi" w:cstheme="minorBidi"/>
            <w:noProof/>
            <w:kern w:val="2"/>
            <w:sz w:val="24"/>
            <w14:ligatures w14:val="standardContextual"/>
          </w:rPr>
          <w:tab/>
        </w:r>
        <w:r w:rsidRPr="00F3411E">
          <w:rPr>
            <w:rStyle w:val="Hyperlink"/>
            <w:noProof/>
          </w:rPr>
          <w:t>Supporting Documentation</w:t>
        </w:r>
        <w:r>
          <w:rPr>
            <w:noProof/>
            <w:webHidden/>
          </w:rPr>
          <w:tab/>
        </w:r>
        <w:r>
          <w:rPr>
            <w:noProof/>
            <w:webHidden/>
          </w:rPr>
          <w:fldChar w:fldCharType="begin"/>
        </w:r>
        <w:r>
          <w:rPr>
            <w:noProof/>
            <w:webHidden/>
          </w:rPr>
          <w:instrText xml:space="preserve"> PAGEREF _Toc166834354 \h </w:instrText>
        </w:r>
        <w:r>
          <w:rPr>
            <w:noProof/>
            <w:webHidden/>
          </w:rPr>
        </w:r>
        <w:r>
          <w:rPr>
            <w:noProof/>
            <w:webHidden/>
          </w:rPr>
          <w:fldChar w:fldCharType="separate"/>
        </w:r>
        <w:r w:rsidR="00562D0E">
          <w:rPr>
            <w:noProof/>
            <w:webHidden/>
          </w:rPr>
          <w:t>40</w:t>
        </w:r>
        <w:r>
          <w:rPr>
            <w:noProof/>
            <w:webHidden/>
          </w:rPr>
          <w:fldChar w:fldCharType="end"/>
        </w:r>
      </w:hyperlink>
    </w:p>
    <w:p w14:paraId="51402428" w14:textId="09AFC21A" w:rsidR="002F364A" w:rsidRDefault="002F364A">
      <w:pPr>
        <w:pStyle w:val="TOC2"/>
        <w:rPr>
          <w:rFonts w:asciiTheme="minorHAnsi" w:eastAsiaTheme="minorEastAsia" w:hAnsiTheme="minorHAnsi" w:cstheme="minorBidi"/>
          <w:noProof/>
          <w:kern w:val="2"/>
          <w14:ligatures w14:val="standardContextual"/>
        </w:rPr>
      </w:pPr>
      <w:hyperlink w:anchor="_Toc166834355"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Treatment Planning</w:t>
        </w:r>
        <w:r>
          <w:rPr>
            <w:noProof/>
            <w:webHidden/>
          </w:rPr>
          <w:tab/>
        </w:r>
        <w:r>
          <w:rPr>
            <w:noProof/>
            <w:webHidden/>
          </w:rPr>
          <w:fldChar w:fldCharType="begin"/>
        </w:r>
        <w:r>
          <w:rPr>
            <w:noProof/>
            <w:webHidden/>
          </w:rPr>
          <w:instrText xml:space="preserve"> PAGEREF _Toc166834355 \h </w:instrText>
        </w:r>
        <w:r>
          <w:rPr>
            <w:noProof/>
            <w:webHidden/>
          </w:rPr>
        </w:r>
        <w:r>
          <w:rPr>
            <w:noProof/>
            <w:webHidden/>
          </w:rPr>
          <w:fldChar w:fldCharType="separate"/>
        </w:r>
        <w:r w:rsidR="00562D0E">
          <w:rPr>
            <w:noProof/>
            <w:webHidden/>
          </w:rPr>
          <w:t>41</w:t>
        </w:r>
        <w:r>
          <w:rPr>
            <w:noProof/>
            <w:webHidden/>
          </w:rPr>
          <w:fldChar w:fldCharType="end"/>
        </w:r>
      </w:hyperlink>
    </w:p>
    <w:p w14:paraId="24B7F9DC" w14:textId="0508D67E"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6" w:history="1">
        <w:r w:rsidRPr="00F3411E">
          <w:rPr>
            <w:rStyle w:val="Hyperlink"/>
            <w:noProof/>
          </w:rPr>
          <w:t>2.1.</w:t>
        </w:r>
        <w:r>
          <w:rPr>
            <w:rFonts w:asciiTheme="minorHAnsi" w:eastAsiaTheme="minorEastAsia" w:hAnsiTheme="minorHAnsi" w:cstheme="minorBidi"/>
            <w:noProof/>
            <w:kern w:val="2"/>
            <w:sz w:val="24"/>
            <w14:ligatures w14:val="standardContextual"/>
          </w:rPr>
          <w:tab/>
        </w:r>
        <w:r w:rsidRPr="00F3411E">
          <w:rPr>
            <w:rStyle w:val="Hyperlink"/>
            <w:noProof/>
          </w:rPr>
          <w:t>Case Visit Order</w:t>
        </w:r>
        <w:r>
          <w:rPr>
            <w:noProof/>
            <w:webHidden/>
          </w:rPr>
          <w:tab/>
        </w:r>
        <w:r>
          <w:rPr>
            <w:noProof/>
            <w:webHidden/>
          </w:rPr>
          <w:fldChar w:fldCharType="begin"/>
        </w:r>
        <w:r>
          <w:rPr>
            <w:noProof/>
            <w:webHidden/>
          </w:rPr>
          <w:instrText xml:space="preserve"> PAGEREF _Toc166834356 \h </w:instrText>
        </w:r>
        <w:r>
          <w:rPr>
            <w:noProof/>
            <w:webHidden/>
          </w:rPr>
        </w:r>
        <w:r>
          <w:rPr>
            <w:noProof/>
            <w:webHidden/>
          </w:rPr>
          <w:fldChar w:fldCharType="separate"/>
        </w:r>
        <w:r w:rsidR="00562D0E">
          <w:rPr>
            <w:noProof/>
            <w:webHidden/>
          </w:rPr>
          <w:t>41</w:t>
        </w:r>
        <w:r>
          <w:rPr>
            <w:noProof/>
            <w:webHidden/>
          </w:rPr>
          <w:fldChar w:fldCharType="end"/>
        </w:r>
      </w:hyperlink>
    </w:p>
    <w:p w14:paraId="40F932E8" w14:textId="498490F5"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7" w:history="1">
        <w:r w:rsidRPr="00F3411E">
          <w:rPr>
            <w:rStyle w:val="Hyperlink"/>
            <w:noProof/>
          </w:rPr>
          <w:t>2.2.</w:t>
        </w:r>
        <w:r>
          <w:rPr>
            <w:rFonts w:asciiTheme="minorHAnsi" w:eastAsiaTheme="minorEastAsia" w:hAnsiTheme="minorHAnsi" w:cstheme="minorBidi"/>
            <w:noProof/>
            <w:kern w:val="2"/>
            <w:sz w:val="24"/>
            <w14:ligatures w14:val="standardContextual"/>
          </w:rPr>
          <w:tab/>
        </w:r>
        <w:r w:rsidRPr="00F3411E">
          <w:rPr>
            <w:rStyle w:val="Hyperlink"/>
            <w:noProof/>
          </w:rPr>
          <w:t>Alternate Treatment Options</w:t>
        </w:r>
        <w:r>
          <w:rPr>
            <w:noProof/>
            <w:webHidden/>
          </w:rPr>
          <w:tab/>
        </w:r>
        <w:r>
          <w:rPr>
            <w:noProof/>
            <w:webHidden/>
          </w:rPr>
          <w:fldChar w:fldCharType="begin"/>
        </w:r>
        <w:r>
          <w:rPr>
            <w:noProof/>
            <w:webHidden/>
          </w:rPr>
          <w:instrText xml:space="preserve"> PAGEREF _Toc166834357 \h </w:instrText>
        </w:r>
        <w:r>
          <w:rPr>
            <w:noProof/>
            <w:webHidden/>
          </w:rPr>
        </w:r>
        <w:r>
          <w:rPr>
            <w:noProof/>
            <w:webHidden/>
          </w:rPr>
          <w:fldChar w:fldCharType="separate"/>
        </w:r>
        <w:r w:rsidR="00562D0E">
          <w:rPr>
            <w:noProof/>
            <w:webHidden/>
          </w:rPr>
          <w:t>41</w:t>
        </w:r>
        <w:r>
          <w:rPr>
            <w:noProof/>
            <w:webHidden/>
          </w:rPr>
          <w:fldChar w:fldCharType="end"/>
        </w:r>
      </w:hyperlink>
    </w:p>
    <w:p w14:paraId="3322BAC9" w14:textId="5E135A3A"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8" w:history="1">
        <w:r w:rsidRPr="00F3411E">
          <w:rPr>
            <w:rStyle w:val="Hyperlink"/>
            <w:noProof/>
          </w:rPr>
          <w:t>2.3.</w:t>
        </w:r>
        <w:r>
          <w:rPr>
            <w:rFonts w:asciiTheme="minorHAnsi" w:eastAsiaTheme="minorEastAsia" w:hAnsiTheme="minorHAnsi" w:cstheme="minorBidi"/>
            <w:noProof/>
            <w:kern w:val="2"/>
            <w:sz w:val="24"/>
            <w14:ligatures w14:val="standardContextual"/>
          </w:rPr>
          <w:tab/>
        </w:r>
        <w:r w:rsidRPr="00F3411E">
          <w:rPr>
            <w:rStyle w:val="Hyperlink"/>
            <w:noProof/>
          </w:rPr>
          <w:t>Document Treatment Status</w:t>
        </w:r>
        <w:r>
          <w:rPr>
            <w:noProof/>
            <w:webHidden/>
          </w:rPr>
          <w:tab/>
        </w:r>
        <w:r>
          <w:rPr>
            <w:noProof/>
            <w:webHidden/>
          </w:rPr>
          <w:fldChar w:fldCharType="begin"/>
        </w:r>
        <w:r>
          <w:rPr>
            <w:noProof/>
            <w:webHidden/>
          </w:rPr>
          <w:instrText xml:space="preserve"> PAGEREF _Toc166834358 \h </w:instrText>
        </w:r>
        <w:r>
          <w:rPr>
            <w:noProof/>
            <w:webHidden/>
          </w:rPr>
        </w:r>
        <w:r>
          <w:rPr>
            <w:noProof/>
            <w:webHidden/>
          </w:rPr>
          <w:fldChar w:fldCharType="separate"/>
        </w:r>
        <w:r w:rsidR="00562D0E">
          <w:rPr>
            <w:noProof/>
            <w:webHidden/>
          </w:rPr>
          <w:t>42</w:t>
        </w:r>
        <w:r>
          <w:rPr>
            <w:noProof/>
            <w:webHidden/>
          </w:rPr>
          <w:fldChar w:fldCharType="end"/>
        </w:r>
      </w:hyperlink>
    </w:p>
    <w:p w14:paraId="566475F4" w14:textId="733EF000"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59" w:history="1">
        <w:r w:rsidRPr="00F3411E">
          <w:rPr>
            <w:rStyle w:val="Hyperlink"/>
            <w:noProof/>
          </w:rPr>
          <w:t>2.4.</w:t>
        </w:r>
        <w:r>
          <w:rPr>
            <w:rFonts w:asciiTheme="minorHAnsi" w:eastAsiaTheme="minorEastAsia" w:hAnsiTheme="minorHAnsi" w:cstheme="minorBidi"/>
            <w:noProof/>
            <w:kern w:val="2"/>
            <w:sz w:val="24"/>
            <w14:ligatures w14:val="standardContextual"/>
          </w:rPr>
          <w:tab/>
        </w:r>
        <w:r w:rsidRPr="00F3411E">
          <w:rPr>
            <w:rStyle w:val="Hyperlink"/>
            <w:noProof/>
          </w:rPr>
          <w:t>Consent Forms</w:t>
        </w:r>
        <w:r>
          <w:rPr>
            <w:noProof/>
            <w:webHidden/>
          </w:rPr>
          <w:tab/>
        </w:r>
        <w:r>
          <w:rPr>
            <w:noProof/>
            <w:webHidden/>
          </w:rPr>
          <w:fldChar w:fldCharType="begin"/>
        </w:r>
        <w:r>
          <w:rPr>
            <w:noProof/>
            <w:webHidden/>
          </w:rPr>
          <w:instrText xml:space="preserve"> PAGEREF _Toc166834359 \h </w:instrText>
        </w:r>
        <w:r>
          <w:rPr>
            <w:noProof/>
            <w:webHidden/>
          </w:rPr>
        </w:r>
        <w:r>
          <w:rPr>
            <w:noProof/>
            <w:webHidden/>
          </w:rPr>
          <w:fldChar w:fldCharType="separate"/>
        </w:r>
        <w:r w:rsidR="00562D0E">
          <w:rPr>
            <w:noProof/>
            <w:webHidden/>
          </w:rPr>
          <w:t>42</w:t>
        </w:r>
        <w:r>
          <w:rPr>
            <w:noProof/>
            <w:webHidden/>
          </w:rPr>
          <w:fldChar w:fldCharType="end"/>
        </w:r>
      </w:hyperlink>
    </w:p>
    <w:p w14:paraId="670DEFAC" w14:textId="5F375A58" w:rsidR="002F364A" w:rsidRDefault="002F364A">
      <w:pPr>
        <w:pStyle w:val="TOC2"/>
        <w:rPr>
          <w:rFonts w:asciiTheme="minorHAnsi" w:eastAsiaTheme="minorEastAsia" w:hAnsiTheme="minorHAnsi" w:cstheme="minorBidi"/>
          <w:noProof/>
          <w:kern w:val="2"/>
          <w14:ligatures w14:val="standardContextual"/>
        </w:rPr>
      </w:pPr>
      <w:hyperlink w:anchor="_Toc166834360"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Clinical Setup Integrity</w:t>
        </w:r>
        <w:r>
          <w:rPr>
            <w:noProof/>
            <w:webHidden/>
          </w:rPr>
          <w:tab/>
        </w:r>
        <w:r>
          <w:rPr>
            <w:noProof/>
            <w:webHidden/>
          </w:rPr>
          <w:fldChar w:fldCharType="begin"/>
        </w:r>
        <w:r>
          <w:rPr>
            <w:noProof/>
            <w:webHidden/>
          </w:rPr>
          <w:instrText xml:space="preserve"> PAGEREF _Toc166834360 \h </w:instrText>
        </w:r>
        <w:r>
          <w:rPr>
            <w:noProof/>
            <w:webHidden/>
          </w:rPr>
        </w:r>
        <w:r>
          <w:rPr>
            <w:noProof/>
            <w:webHidden/>
          </w:rPr>
          <w:fldChar w:fldCharType="separate"/>
        </w:r>
        <w:r w:rsidR="00562D0E">
          <w:rPr>
            <w:noProof/>
            <w:webHidden/>
          </w:rPr>
          <w:t>42</w:t>
        </w:r>
        <w:r>
          <w:rPr>
            <w:noProof/>
            <w:webHidden/>
          </w:rPr>
          <w:fldChar w:fldCharType="end"/>
        </w:r>
      </w:hyperlink>
    </w:p>
    <w:p w14:paraId="1CB0981E" w14:textId="1A12010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1" w:history="1">
        <w:r w:rsidRPr="00F3411E">
          <w:rPr>
            <w:rStyle w:val="Hyperlink"/>
            <w:noProof/>
          </w:rPr>
          <w:t>3.1.</w:t>
        </w:r>
        <w:r>
          <w:rPr>
            <w:rFonts w:asciiTheme="minorHAnsi" w:eastAsiaTheme="minorEastAsia" w:hAnsiTheme="minorHAnsi" w:cstheme="minorBidi"/>
            <w:noProof/>
            <w:kern w:val="2"/>
            <w:sz w:val="24"/>
            <w14:ligatures w14:val="standardContextual"/>
          </w:rPr>
          <w:tab/>
        </w:r>
        <w:r w:rsidRPr="00F3411E">
          <w:rPr>
            <w:rStyle w:val="Hyperlink"/>
            <w:noProof/>
          </w:rPr>
          <w:t>Maintaining Coding Connected Features</w:t>
        </w:r>
        <w:r>
          <w:rPr>
            <w:noProof/>
            <w:webHidden/>
          </w:rPr>
          <w:tab/>
        </w:r>
        <w:r>
          <w:rPr>
            <w:noProof/>
            <w:webHidden/>
          </w:rPr>
          <w:fldChar w:fldCharType="begin"/>
        </w:r>
        <w:r>
          <w:rPr>
            <w:noProof/>
            <w:webHidden/>
          </w:rPr>
          <w:instrText xml:space="preserve"> PAGEREF _Toc166834361 \h </w:instrText>
        </w:r>
        <w:r>
          <w:rPr>
            <w:noProof/>
            <w:webHidden/>
          </w:rPr>
        </w:r>
        <w:r>
          <w:rPr>
            <w:noProof/>
            <w:webHidden/>
          </w:rPr>
          <w:fldChar w:fldCharType="separate"/>
        </w:r>
        <w:r w:rsidR="00562D0E">
          <w:rPr>
            <w:noProof/>
            <w:webHidden/>
          </w:rPr>
          <w:t>43</w:t>
        </w:r>
        <w:r>
          <w:rPr>
            <w:noProof/>
            <w:webHidden/>
          </w:rPr>
          <w:fldChar w:fldCharType="end"/>
        </w:r>
      </w:hyperlink>
    </w:p>
    <w:p w14:paraId="3DC86953" w14:textId="6C51E86E"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2" w:history="1">
        <w:r w:rsidRPr="00F3411E">
          <w:rPr>
            <w:rStyle w:val="Hyperlink"/>
            <w:noProof/>
          </w:rPr>
          <w:t>3.2.</w:t>
        </w:r>
        <w:r>
          <w:rPr>
            <w:rFonts w:asciiTheme="minorHAnsi" w:eastAsiaTheme="minorEastAsia" w:hAnsiTheme="minorHAnsi" w:cstheme="minorBidi"/>
            <w:noProof/>
            <w:kern w:val="2"/>
            <w:sz w:val="24"/>
            <w14:ligatures w14:val="standardContextual"/>
          </w:rPr>
          <w:tab/>
        </w:r>
        <w:r w:rsidRPr="00F3411E">
          <w:rPr>
            <w:rStyle w:val="Hyperlink"/>
            <w:noProof/>
          </w:rPr>
          <w:t>Maintaining Code Sets and Access</w:t>
        </w:r>
        <w:r>
          <w:rPr>
            <w:noProof/>
            <w:webHidden/>
          </w:rPr>
          <w:tab/>
        </w:r>
        <w:r>
          <w:rPr>
            <w:noProof/>
            <w:webHidden/>
          </w:rPr>
          <w:fldChar w:fldCharType="begin"/>
        </w:r>
        <w:r>
          <w:rPr>
            <w:noProof/>
            <w:webHidden/>
          </w:rPr>
          <w:instrText xml:space="preserve"> PAGEREF _Toc166834362 \h </w:instrText>
        </w:r>
        <w:r>
          <w:rPr>
            <w:noProof/>
            <w:webHidden/>
          </w:rPr>
        </w:r>
        <w:r>
          <w:rPr>
            <w:noProof/>
            <w:webHidden/>
          </w:rPr>
          <w:fldChar w:fldCharType="separate"/>
        </w:r>
        <w:r w:rsidR="00562D0E">
          <w:rPr>
            <w:noProof/>
            <w:webHidden/>
          </w:rPr>
          <w:t>43</w:t>
        </w:r>
        <w:r>
          <w:rPr>
            <w:noProof/>
            <w:webHidden/>
          </w:rPr>
          <w:fldChar w:fldCharType="end"/>
        </w:r>
      </w:hyperlink>
    </w:p>
    <w:p w14:paraId="4C7D785B" w14:textId="6EBD53F9" w:rsidR="002F364A" w:rsidRDefault="002F364A">
      <w:pPr>
        <w:pStyle w:val="TOC1"/>
        <w:rPr>
          <w:rFonts w:asciiTheme="minorHAnsi" w:eastAsiaTheme="minorEastAsia" w:hAnsiTheme="minorHAnsi" w:cstheme="minorBidi"/>
          <w:kern w:val="2"/>
          <w:sz w:val="24"/>
          <w14:ligatures w14:val="standardContextual"/>
        </w:rPr>
      </w:pPr>
      <w:hyperlink w:anchor="_Toc166834363" w:history="1">
        <w:r w:rsidRPr="00F3411E">
          <w:rPr>
            <w:rStyle w:val="Hyperlink"/>
          </w:rPr>
          <w:t>Revenue Cycle Management</w:t>
        </w:r>
        <w:r>
          <w:rPr>
            <w:webHidden/>
          </w:rPr>
          <w:tab/>
        </w:r>
        <w:r>
          <w:rPr>
            <w:webHidden/>
          </w:rPr>
          <w:fldChar w:fldCharType="begin"/>
        </w:r>
        <w:r>
          <w:rPr>
            <w:webHidden/>
          </w:rPr>
          <w:instrText xml:space="preserve"> PAGEREF _Toc166834363 \h </w:instrText>
        </w:r>
        <w:r>
          <w:rPr>
            <w:webHidden/>
          </w:rPr>
        </w:r>
        <w:r>
          <w:rPr>
            <w:webHidden/>
          </w:rPr>
          <w:fldChar w:fldCharType="separate"/>
        </w:r>
        <w:r w:rsidR="00562D0E">
          <w:rPr>
            <w:webHidden/>
          </w:rPr>
          <w:t>45</w:t>
        </w:r>
        <w:r>
          <w:rPr>
            <w:webHidden/>
          </w:rPr>
          <w:fldChar w:fldCharType="end"/>
        </w:r>
      </w:hyperlink>
    </w:p>
    <w:p w14:paraId="047F27C9" w14:textId="1ACCF9A0" w:rsidR="002F364A" w:rsidRDefault="002F364A">
      <w:pPr>
        <w:pStyle w:val="TOC2"/>
        <w:rPr>
          <w:rFonts w:asciiTheme="minorHAnsi" w:eastAsiaTheme="minorEastAsia" w:hAnsiTheme="minorHAnsi" w:cstheme="minorBidi"/>
          <w:noProof/>
          <w:kern w:val="2"/>
          <w14:ligatures w14:val="standardContextual"/>
        </w:rPr>
      </w:pPr>
      <w:hyperlink w:anchor="_Toc166834364"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Insurance Plan Setup and Maintenance</w:t>
        </w:r>
        <w:r>
          <w:rPr>
            <w:noProof/>
            <w:webHidden/>
          </w:rPr>
          <w:tab/>
        </w:r>
        <w:r>
          <w:rPr>
            <w:noProof/>
            <w:webHidden/>
          </w:rPr>
          <w:fldChar w:fldCharType="begin"/>
        </w:r>
        <w:r>
          <w:rPr>
            <w:noProof/>
            <w:webHidden/>
          </w:rPr>
          <w:instrText xml:space="preserve"> PAGEREF _Toc166834364 \h </w:instrText>
        </w:r>
        <w:r>
          <w:rPr>
            <w:noProof/>
            <w:webHidden/>
          </w:rPr>
        </w:r>
        <w:r>
          <w:rPr>
            <w:noProof/>
            <w:webHidden/>
          </w:rPr>
          <w:fldChar w:fldCharType="separate"/>
        </w:r>
        <w:r w:rsidR="00562D0E">
          <w:rPr>
            <w:noProof/>
            <w:webHidden/>
          </w:rPr>
          <w:t>45</w:t>
        </w:r>
        <w:r>
          <w:rPr>
            <w:noProof/>
            <w:webHidden/>
          </w:rPr>
          <w:fldChar w:fldCharType="end"/>
        </w:r>
      </w:hyperlink>
    </w:p>
    <w:p w14:paraId="1D25ECA4" w14:textId="0E3147E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5" w:history="1">
        <w:r w:rsidRPr="00F3411E">
          <w:rPr>
            <w:rStyle w:val="Hyperlink"/>
            <w:noProof/>
          </w:rPr>
          <w:t>1.1.</w:t>
        </w:r>
        <w:r>
          <w:rPr>
            <w:rFonts w:asciiTheme="minorHAnsi" w:eastAsiaTheme="minorEastAsia" w:hAnsiTheme="minorHAnsi" w:cstheme="minorBidi"/>
            <w:noProof/>
            <w:kern w:val="2"/>
            <w:sz w:val="24"/>
            <w14:ligatures w14:val="standardContextual"/>
          </w:rPr>
          <w:tab/>
        </w:r>
        <w:r w:rsidRPr="00F3411E">
          <w:rPr>
            <w:rStyle w:val="Hyperlink"/>
            <w:noProof/>
          </w:rPr>
          <w:t>Insurance Data</w:t>
        </w:r>
        <w:r>
          <w:rPr>
            <w:noProof/>
            <w:webHidden/>
          </w:rPr>
          <w:tab/>
        </w:r>
        <w:r>
          <w:rPr>
            <w:noProof/>
            <w:webHidden/>
          </w:rPr>
          <w:fldChar w:fldCharType="begin"/>
        </w:r>
        <w:r>
          <w:rPr>
            <w:noProof/>
            <w:webHidden/>
          </w:rPr>
          <w:instrText xml:space="preserve"> PAGEREF _Toc166834365 \h </w:instrText>
        </w:r>
        <w:r>
          <w:rPr>
            <w:noProof/>
            <w:webHidden/>
          </w:rPr>
        </w:r>
        <w:r>
          <w:rPr>
            <w:noProof/>
            <w:webHidden/>
          </w:rPr>
          <w:fldChar w:fldCharType="separate"/>
        </w:r>
        <w:r w:rsidR="00562D0E">
          <w:rPr>
            <w:noProof/>
            <w:webHidden/>
          </w:rPr>
          <w:t>46</w:t>
        </w:r>
        <w:r>
          <w:rPr>
            <w:noProof/>
            <w:webHidden/>
          </w:rPr>
          <w:fldChar w:fldCharType="end"/>
        </w:r>
      </w:hyperlink>
    </w:p>
    <w:p w14:paraId="52F3FFE8" w14:textId="79E52BA1"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6" w:history="1">
        <w:r w:rsidRPr="00F3411E">
          <w:rPr>
            <w:rStyle w:val="Hyperlink"/>
            <w:noProof/>
          </w:rPr>
          <w:t>1.2.</w:t>
        </w:r>
        <w:r>
          <w:rPr>
            <w:rFonts w:asciiTheme="minorHAnsi" w:eastAsiaTheme="minorEastAsia" w:hAnsiTheme="minorHAnsi" w:cstheme="minorBidi"/>
            <w:noProof/>
            <w:kern w:val="2"/>
            <w:sz w:val="24"/>
            <w14:ligatures w14:val="standardContextual"/>
          </w:rPr>
          <w:tab/>
        </w:r>
        <w:r w:rsidRPr="00F3411E">
          <w:rPr>
            <w:rStyle w:val="Hyperlink"/>
            <w:noProof/>
          </w:rPr>
          <w:t>Insurance Plan Claim Settings (Dental Form):</w:t>
        </w:r>
        <w:r>
          <w:rPr>
            <w:noProof/>
            <w:webHidden/>
          </w:rPr>
          <w:tab/>
        </w:r>
        <w:r>
          <w:rPr>
            <w:noProof/>
            <w:webHidden/>
          </w:rPr>
          <w:fldChar w:fldCharType="begin"/>
        </w:r>
        <w:r>
          <w:rPr>
            <w:noProof/>
            <w:webHidden/>
          </w:rPr>
          <w:instrText xml:space="preserve"> PAGEREF _Toc166834366 \h </w:instrText>
        </w:r>
        <w:r>
          <w:rPr>
            <w:noProof/>
            <w:webHidden/>
          </w:rPr>
        </w:r>
        <w:r>
          <w:rPr>
            <w:noProof/>
            <w:webHidden/>
          </w:rPr>
          <w:fldChar w:fldCharType="separate"/>
        </w:r>
        <w:r w:rsidR="00562D0E">
          <w:rPr>
            <w:noProof/>
            <w:webHidden/>
          </w:rPr>
          <w:t>48</w:t>
        </w:r>
        <w:r>
          <w:rPr>
            <w:noProof/>
            <w:webHidden/>
          </w:rPr>
          <w:fldChar w:fldCharType="end"/>
        </w:r>
      </w:hyperlink>
    </w:p>
    <w:p w14:paraId="75AD4730" w14:textId="723D5BA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7" w:history="1">
        <w:r w:rsidRPr="00F3411E">
          <w:rPr>
            <w:rStyle w:val="Hyperlink"/>
            <w:noProof/>
          </w:rPr>
          <w:t>1.3.</w:t>
        </w:r>
        <w:r>
          <w:rPr>
            <w:rFonts w:asciiTheme="minorHAnsi" w:eastAsiaTheme="minorEastAsia" w:hAnsiTheme="minorHAnsi" w:cstheme="minorBidi"/>
            <w:noProof/>
            <w:kern w:val="2"/>
            <w:sz w:val="24"/>
            <w14:ligatures w14:val="standardContextual"/>
          </w:rPr>
          <w:tab/>
        </w:r>
        <w:r w:rsidRPr="00F3411E">
          <w:rPr>
            <w:rStyle w:val="Hyperlink"/>
            <w:noProof/>
          </w:rPr>
          <w:t>Insurance Plan Claim Settings (Medical Form):</w:t>
        </w:r>
        <w:r>
          <w:rPr>
            <w:noProof/>
            <w:webHidden/>
          </w:rPr>
          <w:tab/>
        </w:r>
        <w:r>
          <w:rPr>
            <w:noProof/>
            <w:webHidden/>
          </w:rPr>
          <w:fldChar w:fldCharType="begin"/>
        </w:r>
        <w:r>
          <w:rPr>
            <w:noProof/>
            <w:webHidden/>
          </w:rPr>
          <w:instrText xml:space="preserve"> PAGEREF _Toc166834367 \h </w:instrText>
        </w:r>
        <w:r>
          <w:rPr>
            <w:noProof/>
            <w:webHidden/>
          </w:rPr>
        </w:r>
        <w:r>
          <w:rPr>
            <w:noProof/>
            <w:webHidden/>
          </w:rPr>
          <w:fldChar w:fldCharType="separate"/>
        </w:r>
        <w:r w:rsidR="00562D0E">
          <w:rPr>
            <w:noProof/>
            <w:webHidden/>
          </w:rPr>
          <w:t>49</w:t>
        </w:r>
        <w:r>
          <w:rPr>
            <w:noProof/>
            <w:webHidden/>
          </w:rPr>
          <w:fldChar w:fldCharType="end"/>
        </w:r>
      </w:hyperlink>
    </w:p>
    <w:p w14:paraId="1390E976" w14:textId="64E0B900"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68" w:history="1">
        <w:r w:rsidRPr="00F3411E">
          <w:rPr>
            <w:rStyle w:val="Hyperlink"/>
            <w:noProof/>
          </w:rPr>
          <w:t>1.4.</w:t>
        </w:r>
        <w:r>
          <w:rPr>
            <w:rFonts w:asciiTheme="minorHAnsi" w:eastAsiaTheme="minorEastAsia" w:hAnsiTheme="minorHAnsi" w:cstheme="minorBidi"/>
            <w:noProof/>
            <w:kern w:val="2"/>
            <w:sz w:val="24"/>
            <w14:ligatures w14:val="standardContextual"/>
          </w:rPr>
          <w:tab/>
        </w:r>
        <w:r w:rsidRPr="00F3411E">
          <w:rPr>
            <w:rStyle w:val="Hyperlink"/>
            <w:noProof/>
          </w:rPr>
          <w:t>Insurance Coverage and Estimates</w:t>
        </w:r>
        <w:r>
          <w:rPr>
            <w:noProof/>
            <w:webHidden/>
          </w:rPr>
          <w:tab/>
        </w:r>
        <w:r>
          <w:rPr>
            <w:noProof/>
            <w:webHidden/>
          </w:rPr>
          <w:fldChar w:fldCharType="begin"/>
        </w:r>
        <w:r>
          <w:rPr>
            <w:noProof/>
            <w:webHidden/>
          </w:rPr>
          <w:instrText xml:space="preserve"> PAGEREF _Toc166834368 \h </w:instrText>
        </w:r>
        <w:r>
          <w:rPr>
            <w:noProof/>
            <w:webHidden/>
          </w:rPr>
        </w:r>
        <w:r>
          <w:rPr>
            <w:noProof/>
            <w:webHidden/>
          </w:rPr>
          <w:fldChar w:fldCharType="separate"/>
        </w:r>
        <w:r w:rsidR="00562D0E">
          <w:rPr>
            <w:noProof/>
            <w:webHidden/>
          </w:rPr>
          <w:t>50</w:t>
        </w:r>
        <w:r>
          <w:rPr>
            <w:noProof/>
            <w:webHidden/>
          </w:rPr>
          <w:fldChar w:fldCharType="end"/>
        </w:r>
      </w:hyperlink>
    </w:p>
    <w:p w14:paraId="3959126F" w14:textId="7BE03698" w:rsidR="002F364A" w:rsidRDefault="002F364A">
      <w:pPr>
        <w:pStyle w:val="TOC2"/>
        <w:rPr>
          <w:rFonts w:asciiTheme="minorHAnsi" w:eastAsiaTheme="minorEastAsia" w:hAnsiTheme="minorHAnsi" w:cstheme="minorBidi"/>
          <w:noProof/>
          <w:kern w:val="2"/>
          <w14:ligatures w14:val="standardContextual"/>
        </w:rPr>
      </w:pPr>
      <w:hyperlink w:anchor="_Toc166834369" w:history="1">
        <w:r w:rsidRPr="00F3411E">
          <w:rPr>
            <w:rStyle w:val="Hyperlink"/>
            <w:bCs/>
            <w:noProof/>
          </w:rPr>
          <w:t>2.</w:t>
        </w:r>
        <w:r>
          <w:rPr>
            <w:rFonts w:asciiTheme="minorHAnsi" w:eastAsiaTheme="minorEastAsia" w:hAnsiTheme="minorHAnsi" w:cstheme="minorBidi"/>
            <w:noProof/>
            <w:kern w:val="2"/>
            <w14:ligatures w14:val="standardContextual"/>
          </w:rPr>
          <w:tab/>
        </w:r>
        <w:r w:rsidRPr="00F3411E">
          <w:rPr>
            <w:rStyle w:val="Hyperlink"/>
            <w:noProof/>
          </w:rPr>
          <w:t>Claim Management</w:t>
        </w:r>
        <w:r>
          <w:rPr>
            <w:noProof/>
            <w:webHidden/>
          </w:rPr>
          <w:tab/>
        </w:r>
        <w:r>
          <w:rPr>
            <w:noProof/>
            <w:webHidden/>
          </w:rPr>
          <w:fldChar w:fldCharType="begin"/>
        </w:r>
        <w:r>
          <w:rPr>
            <w:noProof/>
            <w:webHidden/>
          </w:rPr>
          <w:instrText xml:space="preserve"> PAGEREF _Toc166834369 \h </w:instrText>
        </w:r>
        <w:r>
          <w:rPr>
            <w:noProof/>
            <w:webHidden/>
          </w:rPr>
        </w:r>
        <w:r>
          <w:rPr>
            <w:noProof/>
            <w:webHidden/>
          </w:rPr>
          <w:fldChar w:fldCharType="separate"/>
        </w:r>
        <w:r w:rsidR="00562D0E">
          <w:rPr>
            <w:noProof/>
            <w:webHidden/>
          </w:rPr>
          <w:t>51</w:t>
        </w:r>
        <w:r>
          <w:rPr>
            <w:noProof/>
            <w:webHidden/>
          </w:rPr>
          <w:fldChar w:fldCharType="end"/>
        </w:r>
      </w:hyperlink>
    </w:p>
    <w:p w14:paraId="2924F981" w14:textId="57E2BC32"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0" w:history="1">
        <w:r w:rsidRPr="00F3411E">
          <w:rPr>
            <w:rStyle w:val="Hyperlink"/>
            <w:noProof/>
          </w:rPr>
          <w:t>2.1.</w:t>
        </w:r>
        <w:r>
          <w:rPr>
            <w:rFonts w:asciiTheme="minorHAnsi" w:eastAsiaTheme="minorEastAsia" w:hAnsiTheme="minorHAnsi" w:cstheme="minorBidi"/>
            <w:noProof/>
            <w:kern w:val="2"/>
            <w:sz w:val="24"/>
            <w14:ligatures w14:val="standardContextual"/>
          </w:rPr>
          <w:tab/>
        </w:r>
        <w:r w:rsidRPr="00F3411E">
          <w:rPr>
            <w:rStyle w:val="Hyperlink"/>
            <w:noProof/>
          </w:rPr>
          <w:t>Claim Submission</w:t>
        </w:r>
        <w:r>
          <w:rPr>
            <w:noProof/>
            <w:webHidden/>
          </w:rPr>
          <w:tab/>
        </w:r>
        <w:r>
          <w:rPr>
            <w:noProof/>
            <w:webHidden/>
          </w:rPr>
          <w:fldChar w:fldCharType="begin"/>
        </w:r>
        <w:r>
          <w:rPr>
            <w:noProof/>
            <w:webHidden/>
          </w:rPr>
          <w:instrText xml:space="preserve"> PAGEREF _Toc166834370 \h </w:instrText>
        </w:r>
        <w:r>
          <w:rPr>
            <w:noProof/>
            <w:webHidden/>
          </w:rPr>
        </w:r>
        <w:r>
          <w:rPr>
            <w:noProof/>
            <w:webHidden/>
          </w:rPr>
          <w:fldChar w:fldCharType="separate"/>
        </w:r>
        <w:r w:rsidR="00562D0E">
          <w:rPr>
            <w:noProof/>
            <w:webHidden/>
          </w:rPr>
          <w:t>52</w:t>
        </w:r>
        <w:r>
          <w:rPr>
            <w:noProof/>
            <w:webHidden/>
          </w:rPr>
          <w:fldChar w:fldCharType="end"/>
        </w:r>
      </w:hyperlink>
    </w:p>
    <w:p w14:paraId="0A8480CA" w14:textId="20FC246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1" w:history="1">
        <w:r w:rsidRPr="00F3411E">
          <w:rPr>
            <w:rStyle w:val="Hyperlink"/>
            <w:noProof/>
          </w:rPr>
          <w:t>2.2.</w:t>
        </w:r>
        <w:r>
          <w:rPr>
            <w:rFonts w:asciiTheme="minorHAnsi" w:eastAsiaTheme="minorEastAsia" w:hAnsiTheme="minorHAnsi" w:cstheme="minorBidi"/>
            <w:noProof/>
            <w:kern w:val="2"/>
            <w:sz w:val="24"/>
            <w14:ligatures w14:val="standardContextual"/>
          </w:rPr>
          <w:tab/>
        </w:r>
        <w:r w:rsidRPr="00F3411E">
          <w:rPr>
            <w:rStyle w:val="Hyperlink"/>
            <w:noProof/>
          </w:rPr>
          <w:t>Claim Tracking</w:t>
        </w:r>
        <w:r>
          <w:rPr>
            <w:noProof/>
            <w:webHidden/>
          </w:rPr>
          <w:tab/>
        </w:r>
        <w:r>
          <w:rPr>
            <w:noProof/>
            <w:webHidden/>
          </w:rPr>
          <w:fldChar w:fldCharType="begin"/>
        </w:r>
        <w:r>
          <w:rPr>
            <w:noProof/>
            <w:webHidden/>
          </w:rPr>
          <w:instrText xml:space="preserve"> PAGEREF _Toc166834371 \h </w:instrText>
        </w:r>
        <w:r>
          <w:rPr>
            <w:noProof/>
            <w:webHidden/>
          </w:rPr>
        </w:r>
        <w:r>
          <w:rPr>
            <w:noProof/>
            <w:webHidden/>
          </w:rPr>
          <w:fldChar w:fldCharType="separate"/>
        </w:r>
        <w:r w:rsidR="00562D0E">
          <w:rPr>
            <w:noProof/>
            <w:webHidden/>
          </w:rPr>
          <w:t>53</w:t>
        </w:r>
        <w:r>
          <w:rPr>
            <w:noProof/>
            <w:webHidden/>
          </w:rPr>
          <w:fldChar w:fldCharType="end"/>
        </w:r>
      </w:hyperlink>
    </w:p>
    <w:p w14:paraId="184D7E55" w14:textId="137CB39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2" w:history="1">
        <w:r w:rsidRPr="00F3411E">
          <w:rPr>
            <w:rStyle w:val="Hyperlink"/>
            <w:noProof/>
          </w:rPr>
          <w:t>2.3.</w:t>
        </w:r>
        <w:r>
          <w:rPr>
            <w:rFonts w:asciiTheme="minorHAnsi" w:eastAsiaTheme="minorEastAsia" w:hAnsiTheme="minorHAnsi" w:cstheme="minorBidi"/>
            <w:noProof/>
            <w:kern w:val="2"/>
            <w:sz w:val="24"/>
            <w14:ligatures w14:val="standardContextual"/>
          </w:rPr>
          <w:tab/>
        </w:r>
        <w:r w:rsidRPr="00F3411E">
          <w:rPr>
            <w:rStyle w:val="Hyperlink"/>
            <w:noProof/>
          </w:rPr>
          <w:t>Claim Payments</w:t>
        </w:r>
        <w:r>
          <w:rPr>
            <w:noProof/>
            <w:webHidden/>
          </w:rPr>
          <w:tab/>
        </w:r>
        <w:r>
          <w:rPr>
            <w:noProof/>
            <w:webHidden/>
          </w:rPr>
          <w:fldChar w:fldCharType="begin"/>
        </w:r>
        <w:r>
          <w:rPr>
            <w:noProof/>
            <w:webHidden/>
          </w:rPr>
          <w:instrText xml:space="preserve"> PAGEREF _Toc166834372 \h </w:instrText>
        </w:r>
        <w:r>
          <w:rPr>
            <w:noProof/>
            <w:webHidden/>
          </w:rPr>
        </w:r>
        <w:r>
          <w:rPr>
            <w:noProof/>
            <w:webHidden/>
          </w:rPr>
          <w:fldChar w:fldCharType="separate"/>
        </w:r>
        <w:r w:rsidR="00562D0E">
          <w:rPr>
            <w:noProof/>
            <w:webHidden/>
          </w:rPr>
          <w:t>54</w:t>
        </w:r>
        <w:r>
          <w:rPr>
            <w:noProof/>
            <w:webHidden/>
          </w:rPr>
          <w:fldChar w:fldCharType="end"/>
        </w:r>
      </w:hyperlink>
    </w:p>
    <w:p w14:paraId="6FF43826" w14:textId="1AF5F16A" w:rsidR="002F364A" w:rsidRDefault="002F364A">
      <w:pPr>
        <w:pStyle w:val="TOC2"/>
        <w:rPr>
          <w:rFonts w:asciiTheme="minorHAnsi" w:eastAsiaTheme="minorEastAsia" w:hAnsiTheme="minorHAnsi" w:cstheme="minorBidi"/>
          <w:noProof/>
          <w:kern w:val="2"/>
          <w14:ligatures w14:val="standardContextual"/>
        </w:rPr>
      </w:pPr>
      <w:hyperlink w:anchor="_Toc166834373"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Posting Payments</w:t>
        </w:r>
        <w:r>
          <w:rPr>
            <w:noProof/>
            <w:webHidden/>
          </w:rPr>
          <w:tab/>
        </w:r>
        <w:r>
          <w:rPr>
            <w:noProof/>
            <w:webHidden/>
          </w:rPr>
          <w:fldChar w:fldCharType="begin"/>
        </w:r>
        <w:r>
          <w:rPr>
            <w:noProof/>
            <w:webHidden/>
          </w:rPr>
          <w:instrText xml:space="preserve"> PAGEREF _Toc166834373 \h </w:instrText>
        </w:r>
        <w:r>
          <w:rPr>
            <w:noProof/>
            <w:webHidden/>
          </w:rPr>
        </w:r>
        <w:r>
          <w:rPr>
            <w:noProof/>
            <w:webHidden/>
          </w:rPr>
          <w:fldChar w:fldCharType="separate"/>
        </w:r>
        <w:r w:rsidR="00562D0E">
          <w:rPr>
            <w:noProof/>
            <w:webHidden/>
          </w:rPr>
          <w:t>55</w:t>
        </w:r>
        <w:r>
          <w:rPr>
            <w:noProof/>
            <w:webHidden/>
          </w:rPr>
          <w:fldChar w:fldCharType="end"/>
        </w:r>
      </w:hyperlink>
    </w:p>
    <w:p w14:paraId="071B0FA1" w14:textId="4018CAF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4" w:history="1">
        <w:r w:rsidRPr="00F3411E">
          <w:rPr>
            <w:rStyle w:val="Hyperlink"/>
            <w:noProof/>
          </w:rPr>
          <w:t>3.1.</w:t>
        </w:r>
        <w:r>
          <w:rPr>
            <w:rFonts w:asciiTheme="minorHAnsi" w:eastAsiaTheme="minorEastAsia" w:hAnsiTheme="minorHAnsi" w:cstheme="minorBidi"/>
            <w:noProof/>
            <w:kern w:val="2"/>
            <w:sz w:val="24"/>
            <w14:ligatures w14:val="standardContextual"/>
          </w:rPr>
          <w:tab/>
        </w:r>
        <w:r w:rsidRPr="00F3411E">
          <w:rPr>
            <w:rStyle w:val="Hyperlink"/>
            <w:noProof/>
          </w:rPr>
          <w:t>Patient Payments</w:t>
        </w:r>
        <w:r>
          <w:rPr>
            <w:noProof/>
            <w:webHidden/>
          </w:rPr>
          <w:tab/>
        </w:r>
        <w:r>
          <w:rPr>
            <w:noProof/>
            <w:webHidden/>
          </w:rPr>
          <w:fldChar w:fldCharType="begin"/>
        </w:r>
        <w:r>
          <w:rPr>
            <w:noProof/>
            <w:webHidden/>
          </w:rPr>
          <w:instrText xml:space="preserve"> PAGEREF _Toc166834374 \h </w:instrText>
        </w:r>
        <w:r>
          <w:rPr>
            <w:noProof/>
            <w:webHidden/>
          </w:rPr>
        </w:r>
        <w:r>
          <w:rPr>
            <w:noProof/>
            <w:webHidden/>
          </w:rPr>
          <w:fldChar w:fldCharType="separate"/>
        </w:r>
        <w:r w:rsidR="00562D0E">
          <w:rPr>
            <w:noProof/>
            <w:webHidden/>
          </w:rPr>
          <w:t>55</w:t>
        </w:r>
        <w:r>
          <w:rPr>
            <w:noProof/>
            <w:webHidden/>
          </w:rPr>
          <w:fldChar w:fldCharType="end"/>
        </w:r>
      </w:hyperlink>
    </w:p>
    <w:p w14:paraId="343356DA" w14:textId="2534213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5" w:history="1">
        <w:r w:rsidRPr="00F3411E">
          <w:rPr>
            <w:rStyle w:val="Hyperlink"/>
            <w:noProof/>
          </w:rPr>
          <w:t>3.2.</w:t>
        </w:r>
        <w:r>
          <w:rPr>
            <w:rFonts w:asciiTheme="minorHAnsi" w:eastAsiaTheme="minorEastAsia" w:hAnsiTheme="minorHAnsi" w:cstheme="minorBidi"/>
            <w:noProof/>
            <w:kern w:val="2"/>
            <w:sz w:val="24"/>
            <w14:ligatures w14:val="standardContextual"/>
          </w:rPr>
          <w:tab/>
        </w:r>
        <w:r w:rsidRPr="00F3411E">
          <w:rPr>
            <w:rStyle w:val="Hyperlink"/>
            <w:noProof/>
          </w:rPr>
          <w:t>Adjustments</w:t>
        </w:r>
        <w:r>
          <w:rPr>
            <w:noProof/>
            <w:webHidden/>
          </w:rPr>
          <w:tab/>
        </w:r>
        <w:r>
          <w:rPr>
            <w:noProof/>
            <w:webHidden/>
          </w:rPr>
          <w:fldChar w:fldCharType="begin"/>
        </w:r>
        <w:r>
          <w:rPr>
            <w:noProof/>
            <w:webHidden/>
          </w:rPr>
          <w:instrText xml:space="preserve"> PAGEREF _Toc166834375 \h </w:instrText>
        </w:r>
        <w:r>
          <w:rPr>
            <w:noProof/>
            <w:webHidden/>
          </w:rPr>
        </w:r>
        <w:r>
          <w:rPr>
            <w:noProof/>
            <w:webHidden/>
          </w:rPr>
          <w:fldChar w:fldCharType="separate"/>
        </w:r>
        <w:r w:rsidR="00562D0E">
          <w:rPr>
            <w:noProof/>
            <w:webHidden/>
          </w:rPr>
          <w:t>56</w:t>
        </w:r>
        <w:r>
          <w:rPr>
            <w:noProof/>
            <w:webHidden/>
          </w:rPr>
          <w:fldChar w:fldCharType="end"/>
        </w:r>
      </w:hyperlink>
    </w:p>
    <w:p w14:paraId="3097A7FD" w14:textId="6243083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6" w:history="1">
        <w:r w:rsidRPr="00F3411E">
          <w:rPr>
            <w:rStyle w:val="Hyperlink"/>
            <w:noProof/>
          </w:rPr>
          <w:t>3.3.</w:t>
        </w:r>
        <w:r>
          <w:rPr>
            <w:rFonts w:asciiTheme="minorHAnsi" w:eastAsiaTheme="minorEastAsia" w:hAnsiTheme="minorHAnsi" w:cstheme="minorBidi"/>
            <w:noProof/>
            <w:kern w:val="2"/>
            <w:sz w:val="24"/>
            <w14:ligatures w14:val="standardContextual"/>
          </w:rPr>
          <w:tab/>
        </w:r>
        <w:r w:rsidRPr="00F3411E">
          <w:rPr>
            <w:rStyle w:val="Hyperlink"/>
            <w:noProof/>
          </w:rPr>
          <w:t>Suspended Credits</w:t>
        </w:r>
        <w:r>
          <w:rPr>
            <w:noProof/>
            <w:webHidden/>
          </w:rPr>
          <w:tab/>
        </w:r>
        <w:r>
          <w:rPr>
            <w:noProof/>
            <w:webHidden/>
          </w:rPr>
          <w:fldChar w:fldCharType="begin"/>
        </w:r>
        <w:r>
          <w:rPr>
            <w:noProof/>
            <w:webHidden/>
          </w:rPr>
          <w:instrText xml:space="preserve"> PAGEREF _Toc166834376 \h </w:instrText>
        </w:r>
        <w:r>
          <w:rPr>
            <w:noProof/>
            <w:webHidden/>
          </w:rPr>
        </w:r>
        <w:r>
          <w:rPr>
            <w:noProof/>
            <w:webHidden/>
          </w:rPr>
          <w:fldChar w:fldCharType="separate"/>
        </w:r>
        <w:r w:rsidR="00562D0E">
          <w:rPr>
            <w:noProof/>
            <w:webHidden/>
          </w:rPr>
          <w:t>57</w:t>
        </w:r>
        <w:r>
          <w:rPr>
            <w:noProof/>
            <w:webHidden/>
          </w:rPr>
          <w:fldChar w:fldCharType="end"/>
        </w:r>
      </w:hyperlink>
    </w:p>
    <w:p w14:paraId="451450A1" w14:textId="2D9B1A8B" w:rsidR="002F364A" w:rsidRDefault="002F364A">
      <w:pPr>
        <w:pStyle w:val="TOC2"/>
        <w:rPr>
          <w:rFonts w:asciiTheme="minorHAnsi" w:eastAsiaTheme="minorEastAsia" w:hAnsiTheme="minorHAnsi" w:cstheme="minorBidi"/>
          <w:noProof/>
          <w:kern w:val="2"/>
          <w14:ligatures w14:val="standardContextual"/>
        </w:rPr>
      </w:pPr>
      <w:hyperlink w:anchor="_Toc166834377" w:history="1">
        <w:r w:rsidRPr="00F3411E">
          <w:rPr>
            <w:rStyle w:val="Hyperlink"/>
            <w:noProof/>
          </w:rPr>
          <w:t>4.</w:t>
        </w:r>
        <w:r>
          <w:rPr>
            <w:rFonts w:asciiTheme="minorHAnsi" w:eastAsiaTheme="minorEastAsia" w:hAnsiTheme="minorHAnsi" w:cstheme="minorBidi"/>
            <w:noProof/>
            <w:kern w:val="2"/>
            <w14:ligatures w14:val="standardContextual"/>
          </w:rPr>
          <w:tab/>
        </w:r>
        <w:r w:rsidRPr="00F3411E">
          <w:rPr>
            <w:rStyle w:val="Hyperlink"/>
            <w:noProof/>
          </w:rPr>
          <w:t>Maintaining Insurance Database and Fees</w:t>
        </w:r>
        <w:r>
          <w:rPr>
            <w:noProof/>
            <w:webHidden/>
          </w:rPr>
          <w:tab/>
        </w:r>
        <w:r>
          <w:rPr>
            <w:noProof/>
            <w:webHidden/>
          </w:rPr>
          <w:fldChar w:fldCharType="begin"/>
        </w:r>
        <w:r>
          <w:rPr>
            <w:noProof/>
            <w:webHidden/>
          </w:rPr>
          <w:instrText xml:space="preserve"> PAGEREF _Toc166834377 \h </w:instrText>
        </w:r>
        <w:r>
          <w:rPr>
            <w:noProof/>
            <w:webHidden/>
          </w:rPr>
        </w:r>
        <w:r>
          <w:rPr>
            <w:noProof/>
            <w:webHidden/>
          </w:rPr>
          <w:fldChar w:fldCharType="separate"/>
        </w:r>
        <w:r w:rsidR="00562D0E">
          <w:rPr>
            <w:noProof/>
            <w:webHidden/>
          </w:rPr>
          <w:t>57</w:t>
        </w:r>
        <w:r>
          <w:rPr>
            <w:noProof/>
            <w:webHidden/>
          </w:rPr>
          <w:fldChar w:fldCharType="end"/>
        </w:r>
      </w:hyperlink>
    </w:p>
    <w:p w14:paraId="37660169" w14:textId="28ED656A"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8" w:history="1">
        <w:r w:rsidRPr="00F3411E">
          <w:rPr>
            <w:rStyle w:val="Hyperlink"/>
            <w:noProof/>
          </w:rPr>
          <w:t>4.1.</w:t>
        </w:r>
        <w:r>
          <w:rPr>
            <w:rFonts w:asciiTheme="minorHAnsi" w:eastAsiaTheme="minorEastAsia" w:hAnsiTheme="minorHAnsi" w:cstheme="minorBidi"/>
            <w:noProof/>
            <w:kern w:val="2"/>
            <w:sz w:val="24"/>
            <w14:ligatures w14:val="standardContextual"/>
          </w:rPr>
          <w:tab/>
        </w:r>
        <w:r w:rsidRPr="00F3411E">
          <w:rPr>
            <w:rStyle w:val="Hyperlink"/>
            <w:noProof/>
          </w:rPr>
          <w:t>Insurance Reference Utilities</w:t>
        </w:r>
        <w:r>
          <w:rPr>
            <w:noProof/>
            <w:webHidden/>
          </w:rPr>
          <w:tab/>
        </w:r>
        <w:r>
          <w:rPr>
            <w:noProof/>
            <w:webHidden/>
          </w:rPr>
          <w:fldChar w:fldCharType="begin"/>
        </w:r>
        <w:r>
          <w:rPr>
            <w:noProof/>
            <w:webHidden/>
          </w:rPr>
          <w:instrText xml:space="preserve"> PAGEREF _Toc166834378 \h </w:instrText>
        </w:r>
        <w:r>
          <w:rPr>
            <w:noProof/>
            <w:webHidden/>
          </w:rPr>
        </w:r>
        <w:r>
          <w:rPr>
            <w:noProof/>
            <w:webHidden/>
          </w:rPr>
          <w:fldChar w:fldCharType="separate"/>
        </w:r>
        <w:r w:rsidR="00562D0E">
          <w:rPr>
            <w:noProof/>
            <w:webHidden/>
          </w:rPr>
          <w:t>57</w:t>
        </w:r>
        <w:r>
          <w:rPr>
            <w:noProof/>
            <w:webHidden/>
          </w:rPr>
          <w:fldChar w:fldCharType="end"/>
        </w:r>
      </w:hyperlink>
    </w:p>
    <w:p w14:paraId="5F50F993" w14:textId="7537913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79" w:history="1">
        <w:r w:rsidRPr="00F3411E">
          <w:rPr>
            <w:rStyle w:val="Hyperlink"/>
            <w:noProof/>
          </w:rPr>
          <w:t>4.2.</w:t>
        </w:r>
        <w:r>
          <w:rPr>
            <w:rFonts w:asciiTheme="minorHAnsi" w:eastAsiaTheme="minorEastAsia" w:hAnsiTheme="minorHAnsi" w:cstheme="minorBidi"/>
            <w:noProof/>
            <w:kern w:val="2"/>
            <w:sz w:val="24"/>
            <w14:ligatures w14:val="standardContextual"/>
          </w:rPr>
          <w:tab/>
        </w:r>
        <w:r w:rsidRPr="00F3411E">
          <w:rPr>
            <w:rStyle w:val="Hyperlink"/>
            <w:noProof/>
          </w:rPr>
          <w:t>Fee Schedule Maintenance</w:t>
        </w:r>
        <w:r>
          <w:rPr>
            <w:noProof/>
            <w:webHidden/>
          </w:rPr>
          <w:tab/>
        </w:r>
        <w:r>
          <w:rPr>
            <w:noProof/>
            <w:webHidden/>
          </w:rPr>
          <w:fldChar w:fldCharType="begin"/>
        </w:r>
        <w:r>
          <w:rPr>
            <w:noProof/>
            <w:webHidden/>
          </w:rPr>
          <w:instrText xml:space="preserve"> PAGEREF _Toc166834379 \h </w:instrText>
        </w:r>
        <w:r>
          <w:rPr>
            <w:noProof/>
            <w:webHidden/>
          </w:rPr>
        </w:r>
        <w:r>
          <w:rPr>
            <w:noProof/>
            <w:webHidden/>
          </w:rPr>
          <w:fldChar w:fldCharType="separate"/>
        </w:r>
        <w:r w:rsidR="00562D0E">
          <w:rPr>
            <w:noProof/>
            <w:webHidden/>
          </w:rPr>
          <w:t>58</w:t>
        </w:r>
        <w:r>
          <w:rPr>
            <w:noProof/>
            <w:webHidden/>
          </w:rPr>
          <w:fldChar w:fldCharType="end"/>
        </w:r>
      </w:hyperlink>
    </w:p>
    <w:p w14:paraId="408373D7" w14:textId="797F0AB4" w:rsidR="002F364A" w:rsidRDefault="002F364A">
      <w:pPr>
        <w:pStyle w:val="TOC2"/>
        <w:rPr>
          <w:rFonts w:asciiTheme="minorHAnsi" w:eastAsiaTheme="minorEastAsia" w:hAnsiTheme="minorHAnsi" w:cstheme="minorBidi"/>
          <w:noProof/>
          <w:kern w:val="2"/>
          <w14:ligatures w14:val="standardContextual"/>
        </w:rPr>
      </w:pPr>
      <w:hyperlink w:anchor="_Toc166834380" w:history="1">
        <w:r w:rsidRPr="00F3411E">
          <w:rPr>
            <w:rStyle w:val="Hyperlink"/>
            <w:rFonts w:eastAsia="Times New Roman"/>
            <w:noProof/>
          </w:rPr>
          <w:t>5.</w:t>
        </w:r>
        <w:r>
          <w:rPr>
            <w:rFonts w:asciiTheme="minorHAnsi" w:eastAsiaTheme="minorEastAsia" w:hAnsiTheme="minorHAnsi" w:cstheme="minorBidi"/>
            <w:noProof/>
            <w:kern w:val="2"/>
            <w14:ligatures w14:val="standardContextual"/>
          </w:rPr>
          <w:tab/>
        </w:r>
        <w:r w:rsidRPr="00F3411E">
          <w:rPr>
            <w:rStyle w:val="Hyperlink"/>
            <w:rFonts w:eastAsia="Times New Roman"/>
            <w:noProof/>
          </w:rPr>
          <w:t>Implementing a Revenue Cycle Program</w:t>
        </w:r>
        <w:r>
          <w:rPr>
            <w:noProof/>
            <w:webHidden/>
          </w:rPr>
          <w:tab/>
        </w:r>
        <w:r>
          <w:rPr>
            <w:noProof/>
            <w:webHidden/>
          </w:rPr>
          <w:fldChar w:fldCharType="begin"/>
        </w:r>
        <w:r>
          <w:rPr>
            <w:noProof/>
            <w:webHidden/>
          </w:rPr>
          <w:instrText xml:space="preserve"> PAGEREF _Toc166834380 \h </w:instrText>
        </w:r>
        <w:r>
          <w:rPr>
            <w:noProof/>
            <w:webHidden/>
          </w:rPr>
        </w:r>
        <w:r>
          <w:rPr>
            <w:noProof/>
            <w:webHidden/>
          </w:rPr>
          <w:fldChar w:fldCharType="separate"/>
        </w:r>
        <w:r w:rsidR="00562D0E">
          <w:rPr>
            <w:noProof/>
            <w:webHidden/>
          </w:rPr>
          <w:t>59</w:t>
        </w:r>
        <w:r>
          <w:rPr>
            <w:noProof/>
            <w:webHidden/>
          </w:rPr>
          <w:fldChar w:fldCharType="end"/>
        </w:r>
      </w:hyperlink>
    </w:p>
    <w:p w14:paraId="0DFFC71D" w14:textId="0C07F03F" w:rsidR="002F364A" w:rsidRDefault="002F364A">
      <w:pPr>
        <w:pStyle w:val="TOC2"/>
        <w:rPr>
          <w:rFonts w:asciiTheme="minorHAnsi" w:eastAsiaTheme="minorEastAsia" w:hAnsiTheme="minorHAnsi" w:cstheme="minorBidi"/>
          <w:noProof/>
          <w:kern w:val="2"/>
          <w14:ligatures w14:val="standardContextual"/>
        </w:rPr>
      </w:pPr>
      <w:hyperlink w:anchor="_Toc166834381" w:history="1">
        <w:r w:rsidRPr="00F3411E">
          <w:rPr>
            <w:rStyle w:val="Hyperlink"/>
            <w:rFonts w:eastAsia="Times New Roman"/>
            <w:noProof/>
          </w:rPr>
          <w:t>6.</w:t>
        </w:r>
        <w:r>
          <w:rPr>
            <w:rFonts w:asciiTheme="minorHAnsi" w:eastAsiaTheme="minorEastAsia" w:hAnsiTheme="minorHAnsi" w:cstheme="minorBidi"/>
            <w:noProof/>
            <w:kern w:val="2"/>
            <w14:ligatures w14:val="standardContextual"/>
          </w:rPr>
          <w:tab/>
        </w:r>
        <w:r w:rsidRPr="00F3411E">
          <w:rPr>
            <w:rStyle w:val="Hyperlink"/>
            <w:rFonts w:eastAsia="Times New Roman"/>
            <w:noProof/>
          </w:rPr>
          <w:t>Fee Schedule Guidance</w:t>
        </w:r>
        <w:r>
          <w:rPr>
            <w:noProof/>
            <w:webHidden/>
          </w:rPr>
          <w:tab/>
        </w:r>
        <w:r>
          <w:rPr>
            <w:noProof/>
            <w:webHidden/>
          </w:rPr>
          <w:fldChar w:fldCharType="begin"/>
        </w:r>
        <w:r>
          <w:rPr>
            <w:noProof/>
            <w:webHidden/>
          </w:rPr>
          <w:instrText xml:space="preserve"> PAGEREF _Toc166834381 \h </w:instrText>
        </w:r>
        <w:r>
          <w:rPr>
            <w:noProof/>
            <w:webHidden/>
          </w:rPr>
        </w:r>
        <w:r>
          <w:rPr>
            <w:noProof/>
            <w:webHidden/>
          </w:rPr>
          <w:fldChar w:fldCharType="separate"/>
        </w:r>
        <w:r w:rsidR="00562D0E">
          <w:rPr>
            <w:noProof/>
            <w:webHidden/>
          </w:rPr>
          <w:t>60</w:t>
        </w:r>
        <w:r>
          <w:rPr>
            <w:noProof/>
            <w:webHidden/>
          </w:rPr>
          <w:fldChar w:fldCharType="end"/>
        </w:r>
      </w:hyperlink>
    </w:p>
    <w:p w14:paraId="28866C5E" w14:textId="1A2B627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2" w:history="1">
        <w:r w:rsidRPr="00F3411E">
          <w:rPr>
            <w:rStyle w:val="Hyperlink"/>
            <w:rFonts w:eastAsia="Times New Roman"/>
            <w:noProof/>
          </w:rPr>
          <w:t>6.1.</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UCR vs Master Fee Schedule</w:t>
        </w:r>
        <w:r>
          <w:rPr>
            <w:noProof/>
            <w:webHidden/>
          </w:rPr>
          <w:tab/>
        </w:r>
        <w:r>
          <w:rPr>
            <w:noProof/>
            <w:webHidden/>
          </w:rPr>
          <w:fldChar w:fldCharType="begin"/>
        </w:r>
        <w:r>
          <w:rPr>
            <w:noProof/>
            <w:webHidden/>
          </w:rPr>
          <w:instrText xml:space="preserve"> PAGEREF _Toc166834382 \h </w:instrText>
        </w:r>
        <w:r>
          <w:rPr>
            <w:noProof/>
            <w:webHidden/>
          </w:rPr>
        </w:r>
        <w:r>
          <w:rPr>
            <w:noProof/>
            <w:webHidden/>
          </w:rPr>
          <w:fldChar w:fldCharType="separate"/>
        </w:r>
        <w:r w:rsidR="00562D0E">
          <w:rPr>
            <w:noProof/>
            <w:webHidden/>
          </w:rPr>
          <w:t>60</w:t>
        </w:r>
        <w:r>
          <w:rPr>
            <w:noProof/>
            <w:webHidden/>
          </w:rPr>
          <w:fldChar w:fldCharType="end"/>
        </w:r>
      </w:hyperlink>
    </w:p>
    <w:p w14:paraId="47F81AE7" w14:textId="4E91BE1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3" w:history="1">
        <w:r w:rsidRPr="00F3411E">
          <w:rPr>
            <w:rStyle w:val="Hyperlink"/>
            <w:rFonts w:eastAsia="Times New Roman"/>
            <w:noProof/>
          </w:rPr>
          <w:t>6.2.</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Using Fee Schedules in Dentrix Enterprise</w:t>
        </w:r>
        <w:r>
          <w:rPr>
            <w:noProof/>
            <w:webHidden/>
          </w:rPr>
          <w:tab/>
        </w:r>
        <w:r>
          <w:rPr>
            <w:noProof/>
            <w:webHidden/>
          </w:rPr>
          <w:fldChar w:fldCharType="begin"/>
        </w:r>
        <w:r>
          <w:rPr>
            <w:noProof/>
            <w:webHidden/>
          </w:rPr>
          <w:instrText xml:space="preserve"> PAGEREF _Toc166834383 \h </w:instrText>
        </w:r>
        <w:r>
          <w:rPr>
            <w:noProof/>
            <w:webHidden/>
          </w:rPr>
        </w:r>
        <w:r>
          <w:rPr>
            <w:noProof/>
            <w:webHidden/>
          </w:rPr>
          <w:fldChar w:fldCharType="separate"/>
        </w:r>
        <w:r w:rsidR="00562D0E">
          <w:rPr>
            <w:noProof/>
            <w:webHidden/>
          </w:rPr>
          <w:t>61</w:t>
        </w:r>
        <w:r>
          <w:rPr>
            <w:noProof/>
            <w:webHidden/>
          </w:rPr>
          <w:fldChar w:fldCharType="end"/>
        </w:r>
      </w:hyperlink>
    </w:p>
    <w:p w14:paraId="142CF812" w14:textId="58BC5DF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4" w:history="1">
        <w:r w:rsidRPr="00F3411E">
          <w:rPr>
            <w:rStyle w:val="Hyperlink"/>
            <w:rFonts w:eastAsia="Times New Roman"/>
            <w:noProof/>
          </w:rPr>
          <w:t>6.3.</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Considerations and Factors for Creating a Master Fee Schedule</w:t>
        </w:r>
        <w:r>
          <w:rPr>
            <w:noProof/>
            <w:webHidden/>
          </w:rPr>
          <w:tab/>
        </w:r>
        <w:r>
          <w:rPr>
            <w:noProof/>
            <w:webHidden/>
          </w:rPr>
          <w:fldChar w:fldCharType="begin"/>
        </w:r>
        <w:r>
          <w:rPr>
            <w:noProof/>
            <w:webHidden/>
          </w:rPr>
          <w:instrText xml:space="preserve"> PAGEREF _Toc166834384 \h </w:instrText>
        </w:r>
        <w:r>
          <w:rPr>
            <w:noProof/>
            <w:webHidden/>
          </w:rPr>
        </w:r>
        <w:r>
          <w:rPr>
            <w:noProof/>
            <w:webHidden/>
          </w:rPr>
          <w:fldChar w:fldCharType="separate"/>
        </w:r>
        <w:r w:rsidR="00562D0E">
          <w:rPr>
            <w:noProof/>
            <w:webHidden/>
          </w:rPr>
          <w:t>62</w:t>
        </w:r>
        <w:r>
          <w:rPr>
            <w:noProof/>
            <w:webHidden/>
          </w:rPr>
          <w:fldChar w:fldCharType="end"/>
        </w:r>
      </w:hyperlink>
    </w:p>
    <w:p w14:paraId="1C359073" w14:textId="6D60554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5" w:history="1">
        <w:r w:rsidRPr="00F3411E">
          <w:rPr>
            <w:rStyle w:val="Hyperlink"/>
            <w:rFonts w:eastAsia="Times New Roman"/>
            <w:noProof/>
          </w:rPr>
          <w:t>6.4.</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Reasons Why the Dental Clinic Might Use One Fee Schedule</w:t>
        </w:r>
        <w:r>
          <w:rPr>
            <w:noProof/>
            <w:webHidden/>
          </w:rPr>
          <w:tab/>
        </w:r>
        <w:r>
          <w:rPr>
            <w:noProof/>
            <w:webHidden/>
          </w:rPr>
          <w:fldChar w:fldCharType="begin"/>
        </w:r>
        <w:r>
          <w:rPr>
            <w:noProof/>
            <w:webHidden/>
          </w:rPr>
          <w:instrText xml:space="preserve"> PAGEREF _Toc166834385 \h </w:instrText>
        </w:r>
        <w:r>
          <w:rPr>
            <w:noProof/>
            <w:webHidden/>
          </w:rPr>
        </w:r>
        <w:r>
          <w:rPr>
            <w:noProof/>
            <w:webHidden/>
          </w:rPr>
          <w:fldChar w:fldCharType="separate"/>
        </w:r>
        <w:r w:rsidR="00562D0E">
          <w:rPr>
            <w:noProof/>
            <w:webHidden/>
          </w:rPr>
          <w:t>63</w:t>
        </w:r>
        <w:r>
          <w:rPr>
            <w:noProof/>
            <w:webHidden/>
          </w:rPr>
          <w:fldChar w:fldCharType="end"/>
        </w:r>
      </w:hyperlink>
    </w:p>
    <w:p w14:paraId="4DF3514F" w14:textId="49151D2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6" w:history="1">
        <w:r w:rsidRPr="00F3411E">
          <w:rPr>
            <w:rStyle w:val="Hyperlink"/>
            <w:rFonts w:eastAsia="Times New Roman"/>
            <w:noProof/>
          </w:rPr>
          <w:t>6.5.</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Determining If One or More Fee Schedules is Needed to Support Clinic Billing</w:t>
        </w:r>
        <w:r>
          <w:rPr>
            <w:noProof/>
            <w:webHidden/>
          </w:rPr>
          <w:tab/>
        </w:r>
        <w:r>
          <w:rPr>
            <w:noProof/>
            <w:webHidden/>
          </w:rPr>
          <w:fldChar w:fldCharType="begin"/>
        </w:r>
        <w:r>
          <w:rPr>
            <w:noProof/>
            <w:webHidden/>
          </w:rPr>
          <w:instrText xml:space="preserve"> PAGEREF _Toc166834386 \h </w:instrText>
        </w:r>
        <w:r>
          <w:rPr>
            <w:noProof/>
            <w:webHidden/>
          </w:rPr>
        </w:r>
        <w:r>
          <w:rPr>
            <w:noProof/>
            <w:webHidden/>
          </w:rPr>
          <w:fldChar w:fldCharType="separate"/>
        </w:r>
        <w:r w:rsidR="00562D0E">
          <w:rPr>
            <w:noProof/>
            <w:webHidden/>
          </w:rPr>
          <w:t>64</w:t>
        </w:r>
        <w:r>
          <w:rPr>
            <w:noProof/>
            <w:webHidden/>
          </w:rPr>
          <w:fldChar w:fldCharType="end"/>
        </w:r>
      </w:hyperlink>
    </w:p>
    <w:p w14:paraId="0A83331F" w14:textId="6C9AFDDE"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7" w:history="1">
        <w:r w:rsidRPr="00F3411E">
          <w:rPr>
            <w:rStyle w:val="Hyperlink"/>
            <w:rFonts w:eastAsia="Times New Roman"/>
            <w:noProof/>
          </w:rPr>
          <w:t>6.6.</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Determining the Need for Procedure Fee Charges in the Encounter Rate Billing Workflow</w:t>
        </w:r>
        <w:r>
          <w:rPr>
            <w:noProof/>
            <w:webHidden/>
          </w:rPr>
          <w:tab/>
        </w:r>
        <w:r>
          <w:rPr>
            <w:noProof/>
            <w:webHidden/>
          </w:rPr>
          <w:fldChar w:fldCharType="begin"/>
        </w:r>
        <w:r>
          <w:rPr>
            <w:noProof/>
            <w:webHidden/>
          </w:rPr>
          <w:instrText xml:space="preserve"> PAGEREF _Toc166834387 \h </w:instrText>
        </w:r>
        <w:r>
          <w:rPr>
            <w:noProof/>
            <w:webHidden/>
          </w:rPr>
        </w:r>
        <w:r>
          <w:rPr>
            <w:noProof/>
            <w:webHidden/>
          </w:rPr>
          <w:fldChar w:fldCharType="separate"/>
        </w:r>
        <w:r w:rsidR="00562D0E">
          <w:rPr>
            <w:noProof/>
            <w:webHidden/>
          </w:rPr>
          <w:t>64</w:t>
        </w:r>
        <w:r>
          <w:rPr>
            <w:noProof/>
            <w:webHidden/>
          </w:rPr>
          <w:fldChar w:fldCharType="end"/>
        </w:r>
      </w:hyperlink>
    </w:p>
    <w:p w14:paraId="664CE38F" w14:textId="4DCD3E8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88" w:history="1">
        <w:r w:rsidRPr="00F3411E">
          <w:rPr>
            <w:rStyle w:val="Hyperlink"/>
            <w:rFonts w:eastAsia="Times New Roman"/>
            <w:noProof/>
          </w:rPr>
          <w:t>6.7.</w:t>
        </w:r>
        <w:r>
          <w:rPr>
            <w:rFonts w:asciiTheme="minorHAnsi" w:eastAsiaTheme="minorEastAsia" w:hAnsiTheme="minorHAnsi" w:cstheme="minorBidi"/>
            <w:noProof/>
            <w:kern w:val="2"/>
            <w:sz w:val="24"/>
            <w14:ligatures w14:val="standardContextual"/>
          </w:rPr>
          <w:tab/>
        </w:r>
        <w:r w:rsidRPr="00F3411E">
          <w:rPr>
            <w:rStyle w:val="Hyperlink"/>
            <w:rFonts w:eastAsia="Times New Roman"/>
            <w:noProof/>
          </w:rPr>
          <w:t>Clinic Manager Worksheet: Determining the Need for Multiple Fee Schedules</w:t>
        </w:r>
        <w:r>
          <w:rPr>
            <w:noProof/>
            <w:webHidden/>
          </w:rPr>
          <w:tab/>
        </w:r>
        <w:r>
          <w:rPr>
            <w:noProof/>
            <w:webHidden/>
          </w:rPr>
          <w:fldChar w:fldCharType="begin"/>
        </w:r>
        <w:r>
          <w:rPr>
            <w:noProof/>
            <w:webHidden/>
          </w:rPr>
          <w:instrText xml:space="preserve"> PAGEREF _Toc166834388 \h </w:instrText>
        </w:r>
        <w:r>
          <w:rPr>
            <w:noProof/>
            <w:webHidden/>
          </w:rPr>
        </w:r>
        <w:r>
          <w:rPr>
            <w:noProof/>
            <w:webHidden/>
          </w:rPr>
          <w:fldChar w:fldCharType="separate"/>
        </w:r>
        <w:r w:rsidR="00562D0E">
          <w:rPr>
            <w:noProof/>
            <w:webHidden/>
          </w:rPr>
          <w:t>65</w:t>
        </w:r>
        <w:r>
          <w:rPr>
            <w:noProof/>
            <w:webHidden/>
          </w:rPr>
          <w:fldChar w:fldCharType="end"/>
        </w:r>
      </w:hyperlink>
    </w:p>
    <w:p w14:paraId="2EC2C0BD" w14:textId="44E77346" w:rsidR="002F364A" w:rsidRDefault="002F364A">
      <w:pPr>
        <w:pStyle w:val="TOC1"/>
        <w:rPr>
          <w:rFonts w:asciiTheme="minorHAnsi" w:eastAsiaTheme="minorEastAsia" w:hAnsiTheme="minorHAnsi" w:cstheme="minorBidi"/>
          <w:kern w:val="2"/>
          <w:sz w:val="24"/>
          <w14:ligatures w14:val="standardContextual"/>
        </w:rPr>
      </w:pPr>
      <w:hyperlink w:anchor="_Toc166834389" w:history="1">
        <w:r w:rsidRPr="00F3411E">
          <w:rPr>
            <w:rStyle w:val="Hyperlink"/>
            <w:lang w:val="en"/>
          </w:rPr>
          <w:t>Database Design</w:t>
        </w:r>
        <w:r>
          <w:rPr>
            <w:webHidden/>
          </w:rPr>
          <w:tab/>
        </w:r>
        <w:r>
          <w:rPr>
            <w:webHidden/>
          </w:rPr>
          <w:fldChar w:fldCharType="begin"/>
        </w:r>
        <w:r>
          <w:rPr>
            <w:webHidden/>
          </w:rPr>
          <w:instrText xml:space="preserve"> PAGEREF _Toc166834389 \h </w:instrText>
        </w:r>
        <w:r>
          <w:rPr>
            <w:webHidden/>
          </w:rPr>
        </w:r>
        <w:r>
          <w:rPr>
            <w:webHidden/>
          </w:rPr>
          <w:fldChar w:fldCharType="separate"/>
        </w:r>
        <w:r w:rsidR="00562D0E">
          <w:rPr>
            <w:webHidden/>
          </w:rPr>
          <w:t>67</w:t>
        </w:r>
        <w:r>
          <w:rPr>
            <w:webHidden/>
          </w:rPr>
          <w:fldChar w:fldCharType="end"/>
        </w:r>
      </w:hyperlink>
    </w:p>
    <w:p w14:paraId="0068D9B2" w14:textId="2EDCFD18" w:rsidR="002F364A" w:rsidRDefault="002F364A">
      <w:pPr>
        <w:pStyle w:val="TOC2"/>
        <w:rPr>
          <w:rFonts w:asciiTheme="minorHAnsi" w:eastAsiaTheme="minorEastAsia" w:hAnsiTheme="minorHAnsi" w:cstheme="minorBidi"/>
          <w:noProof/>
          <w:kern w:val="2"/>
          <w14:ligatures w14:val="standardContextual"/>
        </w:rPr>
      </w:pPr>
      <w:hyperlink w:anchor="_Toc166834390"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Enterprise Setup</w:t>
        </w:r>
        <w:r>
          <w:rPr>
            <w:noProof/>
            <w:webHidden/>
          </w:rPr>
          <w:tab/>
        </w:r>
        <w:r>
          <w:rPr>
            <w:noProof/>
            <w:webHidden/>
          </w:rPr>
          <w:fldChar w:fldCharType="begin"/>
        </w:r>
        <w:r>
          <w:rPr>
            <w:noProof/>
            <w:webHidden/>
          </w:rPr>
          <w:instrText xml:space="preserve"> PAGEREF _Toc166834390 \h </w:instrText>
        </w:r>
        <w:r>
          <w:rPr>
            <w:noProof/>
            <w:webHidden/>
          </w:rPr>
        </w:r>
        <w:r>
          <w:rPr>
            <w:noProof/>
            <w:webHidden/>
          </w:rPr>
          <w:fldChar w:fldCharType="separate"/>
        </w:r>
        <w:r w:rsidR="00562D0E">
          <w:rPr>
            <w:noProof/>
            <w:webHidden/>
          </w:rPr>
          <w:t>67</w:t>
        </w:r>
        <w:r>
          <w:rPr>
            <w:noProof/>
            <w:webHidden/>
          </w:rPr>
          <w:fldChar w:fldCharType="end"/>
        </w:r>
      </w:hyperlink>
    </w:p>
    <w:p w14:paraId="51743CA2" w14:textId="15D4D450"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1" w:history="1">
        <w:r w:rsidRPr="00F3411E">
          <w:rPr>
            <w:rStyle w:val="Hyperlink"/>
            <w:noProof/>
          </w:rPr>
          <w:t>1.1.</w:t>
        </w:r>
        <w:r>
          <w:rPr>
            <w:rFonts w:asciiTheme="minorHAnsi" w:eastAsiaTheme="minorEastAsia" w:hAnsiTheme="minorHAnsi" w:cstheme="minorBidi"/>
            <w:noProof/>
            <w:kern w:val="2"/>
            <w:sz w:val="24"/>
            <w14:ligatures w14:val="standardContextual"/>
          </w:rPr>
          <w:tab/>
        </w:r>
        <w:r w:rsidRPr="00F3411E">
          <w:rPr>
            <w:rStyle w:val="Hyperlink"/>
            <w:noProof/>
          </w:rPr>
          <w:t>Clinic Information – Clinic Settings Tab</w:t>
        </w:r>
        <w:r>
          <w:rPr>
            <w:noProof/>
            <w:webHidden/>
          </w:rPr>
          <w:tab/>
        </w:r>
        <w:r>
          <w:rPr>
            <w:noProof/>
            <w:webHidden/>
          </w:rPr>
          <w:fldChar w:fldCharType="begin"/>
        </w:r>
        <w:r>
          <w:rPr>
            <w:noProof/>
            <w:webHidden/>
          </w:rPr>
          <w:instrText xml:space="preserve"> PAGEREF _Toc166834391 \h </w:instrText>
        </w:r>
        <w:r>
          <w:rPr>
            <w:noProof/>
            <w:webHidden/>
          </w:rPr>
        </w:r>
        <w:r>
          <w:rPr>
            <w:noProof/>
            <w:webHidden/>
          </w:rPr>
          <w:fldChar w:fldCharType="separate"/>
        </w:r>
        <w:r w:rsidR="00562D0E">
          <w:rPr>
            <w:noProof/>
            <w:webHidden/>
          </w:rPr>
          <w:t>68</w:t>
        </w:r>
        <w:r>
          <w:rPr>
            <w:noProof/>
            <w:webHidden/>
          </w:rPr>
          <w:fldChar w:fldCharType="end"/>
        </w:r>
      </w:hyperlink>
    </w:p>
    <w:p w14:paraId="7346EAD1" w14:textId="11F9B43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2" w:history="1">
        <w:r w:rsidRPr="00F3411E">
          <w:rPr>
            <w:rStyle w:val="Hyperlink"/>
            <w:noProof/>
          </w:rPr>
          <w:t>1.2.</w:t>
        </w:r>
        <w:r>
          <w:rPr>
            <w:rFonts w:asciiTheme="minorHAnsi" w:eastAsiaTheme="minorEastAsia" w:hAnsiTheme="minorHAnsi" w:cstheme="minorBidi"/>
            <w:noProof/>
            <w:kern w:val="2"/>
            <w:sz w:val="24"/>
            <w14:ligatures w14:val="standardContextual"/>
          </w:rPr>
          <w:tab/>
        </w:r>
        <w:r w:rsidRPr="00F3411E">
          <w:rPr>
            <w:rStyle w:val="Hyperlink"/>
            <w:noProof/>
          </w:rPr>
          <w:t>Clinic Information – Organization Settings Tab</w:t>
        </w:r>
        <w:r>
          <w:rPr>
            <w:noProof/>
            <w:webHidden/>
          </w:rPr>
          <w:tab/>
        </w:r>
        <w:r>
          <w:rPr>
            <w:noProof/>
            <w:webHidden/>
          </w:rPr>
          <w:fldChar w:fldCharType="begin"/>
        </w:r>
        <w:r>
          <w:rPr>
            <w:noProof/>
            <w:webHidden/>
          </w:rPr>
          <w:instrText xml:space="preserve"> PAGEREF _Toc166834392 \h </w:instrText>
        </w:r>
        <w:r>
          <w:rPr>
            <w:noProof/>
            <w:webHidden/>
          </w:rPr>
        </w:r>
        <w:r>
          <w:rPr>
            <w:noProof/>
            <w:webHidden/>
          </w:rPr>
          <w:fldChar w:fldCharType="separate"/>
        </w:r>
        <w:r w:rsidR="00562D0E">
          <w:rPr>
            <w:noProof/>
            <w:webHidden/>
          </w:rPr>
          <w:t>72</w:t>
        </w:r>
        <w:r>
          <w:rPr>
            <w:noProof/>
            <w:webHidden/>
          </w:rPr>
          <w:fldChar w:fldCharType="end"/>
        </w:r>
      </w:hyperlink>
    </w:p>
    <w:p w14:paraId="02AB4599" w14:textId="5312DCEA"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3" w:history="1">
        <w:r w:rsidRPr="00F3411E">
          <w:rPr>
            <w:rStyle w:val="Hyperlink"/>
            <w:noProof/>
          </w:rPr>
          <w:t>1.3.</w:t>
        </w:r>
        <w:r>
          <w:rPr>
            <w:rFonts w:asciiTheme="minorHAnsi" w:eastAsiaTheme="minorEastAsia" w:hAnsiTheme="minorHAnsi" w:cstheme="minorBidi"/>
            <w:noProof/>
            <w:kern w:val="2"/>
            <w:sz w:val="24"/>
            <w14:ligatures w14:val="standardContextual"/>
          </w:rPr>
          <w:tab/>
        </w:r>
        <w:r w:rsidRPr="00F3411E">
          <w:rPr>
            <w:rStyle w:val="Hyperlink"/>
            <w:noProof/>
          </w:rPr>
          <w:t>Clinic Information - Subscriptions Tab</w:t>
        </w:r>
        <w:r>
          <w:rPr>
            <w:noProof/>
            <w:webHidden/>
          </w:rPr>
          <w:tab/>
        </w:r>
        <w:r>
          <w:rPr>
            <w:noProof/>
            <w:webHidden/>
          </w:rPr>
          <w:fldChar w:fldCharType="begin"/>
        </w:r>
        <w:r>
          <w:rPr>
            <w:noProof/>
            <w:webHidden/>
          </w:rPr>
          <w:instrText xml:space="preserve"> PAGEREF _Toc166834393 \h </w:instrText>
        </w:r>
        <w:r>
          <w:rPr>
            <w:noProof/>
            <w:webHidden/>
          </w:rPr>
        </w:r>
        <w:r>
          <w:rPr>
            <w:noProof/>
            <w:webHidden/>
          </w:rPr>
          <w:fldChar w:fldCharType="separate"/>
        </w:r>
        <w:r w:rsidR="00562D0E">
          <w:rPr>
            <w:noProof/>
            <w:webHidden/>
          </w:rPr>
          <w:t>74</w:t>
        </w:r>
        <w:r>
          <w:rPr>
            <w:noProof/>
            <w:webHidden/>
          </w:rPr>
          <w:fldChar w:fldCharType="end"/>
        </w:r>
      </w:hyperlink>
    </w:p>
    <w:p w14:paraId="7F99A0D2" w14:textId="61B19E55" w:rsidR="002F364A" w:rsidRDefault="002F364A">
      <w:pPr>
        <w:pStyle w:val="TOC2"/>
        <w:rPr>
          <w:rFonts w:asciiTheme="minorHAnsi" w:eastAsiaTheme="minorEastAsia" w:hAnsiTheme="minorHAnsi" w:cstheme="minorBidi"/>
          <w:noProof/>
          <w:kern w:val="2"/>
          <w14:ligatures w14:val="standardContextual"/>
        </w:rPr>
      </w:pPr>
      <w:hyperlink w:anchor="_Toc166834394"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Clinic Resource Setup</w:t>
        </w:r>
        <w:r>
          <w:rPr>
            <w:noProof/>
            <w:webHidden/>
          </w:rPr>
          <w:tab/>
        </w:r>
        <w:r>
          <w:rPr>
            <w:noProof/>
            <w:webHidden/>
          </w:rPr>
          <w:fldChar w:fldCharType="begin"/>
        </w:r>
        <w:r>
          <w:rPr>
            <w:noProof/>
            <w:webHidden/>
          </w:rPr>
          <w:instrText xml:space="preserve"> PAGEREF _Toc166834394 \h </w:instrText>
        </w:r>
        <w:r>
          <w:rPr>
            <w:noProof/>
            <w:webHidden/>
          </w:rPr>
        </w:r>
        <w:r>
          <w:rPr>
            <w:noProof/>
            <w:webHidden/>
          </w:rPr>
          <w:fldChar w:fldCharType="separate"/>
        </w:r>
        <w:r w:rsidR="00562D0E">
          <w:rPr>
            <w:noProof/>
            <w:webHidden/>
          </w:rPr>
          <w:t>75</w:t>
        </w:r>
        <w:r>
          <w:rPr>
            <w:noProof/>
            <w:webHidden/>
          </w:rPr>
          <w:fldChar w:fldCharType="end"/>
        </w:r>
      </w:hyperlink>
    </w:p>
    <w:p w14:paraId="43BB98DE" w14:textId="78B3266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5" w:history="1">
        <w:r w:rsidRPr="00F3411E">
          <w:rPr>
            <w:rStyle w:val="Hyperlink"/>
            <w:noProof/>
          </w:rPr>
          <w:t>2.1.</w:t>
        </w:r>
        <w:r>
          <w:rPr>
            <w:rFonts w:asciiTheme="minorHAnsi" w:eastAsiaTheme="minorEastAsia" w:hAnsiTheme="minorHAnsi" w:cstheme="minorBidi"/>
            <w:noProof/>
            <w:kern w:val="2"/>
            <w:sz w:val="24"/>
            <w14:ligatures w14:val="standardContextual"/>
          </w:rPr>
          <w:tab/>
        </w:r>
        <w:r w:rsidRPr="00F3411E">
          <w:rPr>
            <w:rStyle w:val="Hyperlink"/>
            <w:noProof/>
          </w:rPr>
          <w:t>Provider Setup</w:t>
        </w:r>
        <w:r>
          <w:rPr>
            <w:noProof/>
            <w:webHidden/>
          </w:rPr>
          <w:tab/>
        </w:r>
        <w:r>
          <w:rPr>
            <w:noProof/>
            <w:webHidden/>
          </w:rPr>
          <w:fldChar w:fldCharType="begin"/>
        </w:r>
        <w:r>
          <w:rPr>
            <w:noProof/>
            <w:webHidden/>
          </w:rPr>
          <w:instrText xml:space="preserve"> PAGEREF _Toc166834395 \h </w:instrText>
        </w:r>
        <w:r>
          <w:rPr>
            <w:noProof/>
            <w:webHidden/>
          </w:rPr>
        </w:r>
        <w:r>
          <w:rPr>
            <w:noProof/>
            <w:webHidden/>
          </w:rPr>
          <w:fldChar w:fldCharType="separate"/>
        </w:r>
        <w:r w:rsidR="00562D0E">
          <w:rPr>
            <w:noProof/>
            <w:webHidden/>
          </w:rPr>
          <w:t>75</w:t>
        </w:r>
        <w:r>
          <w:rPr>
            <w:noProof/>
            <w:webHidden/>
          </w:rPr>
          <w:fldChar w:fldCharType="end"/>
        </w:r>
      </w:hyperlink>
    </w:p>
    <w:p w14:paraId="0EE461E1" w14:textId="2EE95B16"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6" w:history="1">
        <w:r w:rsidRPr="00F3411E">
          <w:rPr>
            <w:rStyle w:val="Hyperlink"/>
            <w:noProof/>
          </w:rPr>
          <w:t>2.2.</w:t>
        </w:r>
        <w:r>
          <w:rPr>
            <w:rFonts w:asciiTheme="minorHAnsi" w:eastAsiaTheme="minorEastAsia" w:hAnsiTheme="minorHAnsi" w:cstheme="minorBidi"/>
            <w:noProof/>
            <w:kern w:val="2"/>
            <w:sz w:val="24"/>
            <w14:ligatures w14:val="standardContextual"/>
          </w:rPr>
          <w:tab/>
        </w:r>
        <w:r w:rsidRPr="00F3411E">
          <w:rPr>
            <w:rStyle w:val="Hyperlink"/>
            <w:noProof/>
          </w:rPr>
          <w:t>Staff Setup</w:t>
        </w:r>
        <w:r>
          <w:rPr>
            <w:noProof/>
            <w:webHidden/>
          </w:rPr>
          <w:tab/>
        </w:r>
        <w:r>
          <w:rPr>
            <w:noProof/>
            <w:webHidden/>
          </w:rPr>
          <w:fldChar w:fldCharType="begin"/>
        </w:r>
        <w:r>
          <w:rPr>
            <w:noProof/>
            <w:webHidden/>
          </w:rPr>
          <w:instrText xml:space="preserve"> PAGEREF _Toc166834396 \h </w:instrText>
        </w:r>
        <w:r>
          <w:rPr>
            <w:noProof/>
            <w:webHidden/>
          </w:rPr>
        </w:r>
        <w:r>
          <w:rPr>
            <w:noProof/>
            <w:webHidden/>
          </w:rPr>
          <w:fldChar w:fldCharType="separate"/>
        </w:r>
        <w:r w:rsidR="00562D0E">
          <w:rPr>
            <w:noProof/>
            <w:webHidden/>
          </w:rPr>
          <w:t>77</w:t>
        </w:r>
        <w:r>
          <w:rPr>
            <w:noProof/>
            <w:webHidden/>
          </w:rPr>
          <w:fldChar w:fldCharType="end"/>
        </w:r>
      </w:hyperlink>
    </w:p>
    <w:p w14:paraId="6A8BB76C" w14:textId="55F2D7F1"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7" w:history="1">
        <w:r w:rsidRPr="00F3411E">
          <w:rPr>
            <w:rStyle w:val="Hyperlink"/>
            <w:noProof/>
          </w:rPr>
          <w:t>2.3.</w:t>
        </w:r>
        <w:r>
          <w:rPr>
            <w:rFonts w:asciiTheme="minorHAnsi" w:eastAsiaTheme="minorEastAsia" w:hAnsiTheme="minorHAnsi" w:cstheme="minorBidi"/>
            <w:noProof/>
            <w:kern w:val="2"/>
            <w:sz w:val="24"/>
            <w14:ligatures w14:val="standardContextual"/>
          </w:rPr>
          <w:tab/>
        </w:r>
        <w:r w:rsidRPr="00F3411E">
          <w:rPr>
            <w:rStyle w:val="Hyperlink"/>
            <w:noProof/>
          </w:rPr>
          <w:t>Operatory Setup</w:t>
        </w:r>
        <w:r>
          <w:rPr>
            <w:noProof/>
            <w:webHidden/>
          </w:rPr>
          <w:tab/>
        </w:r>
        <w:r>
          <w:rPr>
            <w:noProof/>
            <w:webHidden/>
          </w:rPr>
          <w:fldChar w:fldCharType="begin"/>
        </w:r>
        <w:r>
          <w:rPr>
            <w:noProof/>
            <w:webHidden/>
          </w:rPr>
          <w:instrText xml:space="preserve"> PAGEREF _Toc166834397 \h </w:instrText>
        </w:r>
        <w:r>
          <w:rPr>
            <w:noProof/>
            <w:webHidden/>
          </w:rPr>
        </w:r>
        <w:r>
          <w:rPr>
            <w:noProof/>
            <w:webHidden/>
          </w:rPr>
          <w:fldChar w:fldCharType="separate"/>
        </w:r>
        <w:r w:rsidR="00562D0E">
          <w:rPr>
            <w:noProof/>
            <w:webHidden/>
          </w:rPr>
          <w:t>77</w:t>
        </w:r>
        <w:r>
          <w:rPr>
            <w:noProof/>
            <w:webHidden/>
          </w:rPr>
          <w:fldChar w:fldCharType="end"/>
        </w:r>
      </w:hyperlink>
    </w:p>
    <w:p w14:paraId="0D089D67" w14:textId="6DF837DE" w:rsidR="002F364A" w:rsidRDefault="002F364A">
      <w:pPr>
        <w:pStyle w:val="TOC2"/>
        <w:rPr>
          <w:rFonts w:asciiTheme="minorHAnsi" w:eastAsiaTheme="minorEastAsia" w:hAnsiTheme="minorHAnsi" w:cstheme="minorBidi"/>
          <w:noProof/>
          <w:kern w:val="2"/>
          <w14:ligatures w14:val="standardContextual"/>
        </w:rPr>
      </w:pPr>
      <w:hyperlink w:anchor="_Toc166834398"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Dentrix Enterprise Configuration</w:t>
        </w:r>
        <w:r>
          <w:rPr>
            <w:noProof/>
            <w:webHidden/>
          </w:rPr>
          <w:tab/>
        </w:r>
        <w:r>
          <w:rPr>
            <w:noProof/>
            <w:webHidden/>
          </w:rPr>
          <w:fldChar w:fldCharType="begin"/>
        </w:r>
        <w:r>
          <w:rPr>
            <w:noProof/>
            <w:webHidden/>
          </w:rPr>
          <w:instrText xml:space="preserve"> PAGEREF _Toc166834398 \h </w:instrText>
        </w:r>
        <w:r>
          <w:rPr>
            <w:noProof/>
            <w:webHidden/>
          </w:rPr>
        </w:r>
        <w:r>
          <w:rPr>
            <w:noProof/>
            <w:webHidden/>
          </w:rPr>
          <w:fldChar w:fldCharType="separate"/>
        </w:r>
        <w:r w:rsidR="00562D0E">
          <w:rPr>
            <w:noProof/>
            <w:webHidden/>
          </w:rPr>
          <w:t>77</w:t>
        </w:r>
        <w:r>
          <w:rPr>
            <w:noProof/>
            <w:webHidden/>
          </w:rPr>
          <w:fldChar w:fldCharType="end"/>
        </w:r>
      </w:hyperlink>
    </w:p>
    <w:p w14:paraId="1E8B32DD" w14:textId="79E307E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399" w:history="1">
        <w:r w:rsidRPr="00F3411E">
          <w:rPr>
            <w:rStyle w:val="Hyperlink"/>
            <w:noProof/>
          </w:rPr>
          <w:t>3.1.</w:t>
        </w:r>
        <w:r>
          <w:rPr>
            <w:rFonts w:asciiTheme="minorHAnsi" w:eastAsiaTheme="minorEastAsia" w:hAnsiTheme="minorHAnsi" w:cstheme="minorBidi"/>
            <w:noProof/>
            <w:kern w:val="2"/>
            <w:sz w:val="24"/>
            <w14:ligatures w14:val="standardContextual"/>
          </w:rPr>
          <w:tab/>
        </w:r>
        <w:r w:rsidRPr="00F3411E">
          <w:rPr>
            <w:rStyle w:val="Hyperlink"/>
            <w:noProof/>
          </w:rPr>
          <w:t>Security Setup</w:t>
        </w:r>
        <w:r>
          <w:rPr>
            <w:noProof/>
            <w:webHidden/>
          </w:rPr>
          <w:tab/>
        </w:r>
        <w:r>
          <w:rPr>
            <w:noProof/>
            <w:webHidden/>
          </w:rPr>
          <w:fldChar w:fldCharType="begin"/>
        </w:r>
        <w:r>
          <w:rPr>
            <w:noProof/>
            <w:webHidden/>
          </w:rPr>
          <w:instrText xml:space="preserve"> PAGEREF _Toc166834399 \h </w:instrText>
        </w:r>
        <w:r>
          <w:rPr>
            <w:noProof/>
            <w:webHidden/>
          </w:rPr>
        </w:r>
        <w:r>
          <w:rPr>
            <w:noProof/>
            <w:webHidden/>
          </w:rPr>
          <w:fldChar w:fldCharType="separate"/>
        </w:r>
        <w:r w:rsidR="00562D0E">
          <w:rPr>
            <w:noProof/>
            <w:webHidden/>
          </w:rPr>
          <w:t>77</w:t>
        </w:r>
        <w:r>
          <w:rPr>
            <w:noProof/>
            <w:webHidden/>
          </w:rPr>
          <w:fldChar w:fldCharType="end"/>
        </w:r>
      </w:hyperlink>
    </w:p>
    <w:p w14:paraId="5D2B15D6" w14:textId="14B0826C"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0" w:history="1">
        <w:r w:rsidRPr="00F3411E">
          <w:rPr>
            <w:rStyle w:val="Hyperlink"/>
            <w:noProof/>
          </w:rPr>
          <w:t>3.2.</w:t>
        </w:r>
        <w:r>
          <w:rPr>
            <w:rFonts w:asciiTheme="minorHAnsi" w:eastAsiaTheme="minorEastAsia" w:hAnsiTheme="minorHAnsi" w:cstheme="minorBidi"/>
            <w:noProof/>
            <w:kern w:val="2"/>
            <w:sz w:val="24"/>
            <w14:ligatures w14:val="standardContextual"/>
          </w:rPr>
          <w:tab/>
        </w:r>
        <w:r w:rsidRPr="00F3411E">
          <w:rPr>
            <w:rStyle w:val="Hyperlink"/>
            <w:noProof/>
          </w:rPr>
          <w:t>Definitions</w:t>
        </w:r>
        <w:r>
          <w:rPr>
            <w:noProof/>
            <w:webHidden/>
          </w:rPr>
          <w:tab/>
        </w:r>
        <w:r>
          <w:rPr>
            <w:noProof/>
            <w:webHidden/>
          </w:rPr>
          <w:fldChar w:fldCharType="begin"/>
        </w:r>
        <w:r>
          <w:rPr>
            <w:noProof/>
            <w:webHidden/>
          </w:rPr>
          <w:instrText xml:space="preserve"> PAGEREF _Toc166834400 \h </w:instrText>
        </w:r>
        <w:r>
          <w:rPr>
            <w:noProof/>
            <w:webHidden/>
          </w:rPr>
        </w:r>
        <w:r>
          <w:rPr>
            <w:noProof/>
            <w:webHidden/>
          </w:rPr>
          <w:fldChar w:fldCharType="separate"/>
        </w:r>
        <w:r w:rsidR="00562D0E">
          <w:rPr>
            <w:noProof/>
            <w:webHidden/>
          </w:rPr>
          <w:t>80</w:t>
        </w:r>
        <w:r>
          <w:rPr>
            <w:noProof/>
            <w:webHidden/>
          </w:rPr>
          <w:fldChar w:fldCharType="end"/>
        </w:r>
      </w:hyperlink>
    </w:p>
    <w:p w14:paraId="58F18C81" w14:textId="4E4BBB0D"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1" w:history="1">
        <w:r w:rsidRPr="00F3411E">
          <w:rPr>
            <w:rStyle w:val="Hyperlink"/>
            <w:noProof/>
          </w:rPr>
          <w:t>3.3.</w:t>
        </w:r>
        <w:r>
          <w:rPr>
            <w:rFonts w:asciiTheme="minorHAnsi" w:eastAsiaTheme="minorEastAsia" w:hAnsiTheme="minorHAnsi" w:cstheme="minorBidi"/>
            <w:noProof/>
            <w:kern w:val="2"/>
            <w:sz w:val="24"/>
            <w14:ligatures w14:val="standardContextual"/>
          </w:rPr>
          <w:tab/>
        </w:r>
        <w:r w:rsidRPr="00F3411E">
          <w:rPr>
            <w:rStyle w:val="Hyperlink"/>
            <w:noProof/>
          </w:rPr>
          <w:t>Procedure Code Setup</w:t>
        </w:r>
        <w:r>
          <w:rPr>
            <w:noProof/>
            <w:webHidden/>
          </w:rPr>
          <w:tab/>
        </w:r>
        <w:r>
          <w:rPr>
            <w:noProof/>
            <w:webHidden/>
          </w:rPr>
          <w:fldChar w:fldCharType="begin"/>
        </w:r>
        <w:r>
          <w:rPr>
            <w:noProof/>
            <w:webHidden/>
          </w:rPr>
          <w:instrText xml:space="preserve"> PAGEREF _Toc166834401 \h </w:instrText>
        </w:r>
        <w:r>
          <w:rPr>
            <w:noProof/>
            <w:webHidden/>
          </w:rPr>
        </w:r>
        <w:r>
          <w:rPr>
            <w:noProof/>
            <w:webHidden/>
          </w:rPr>
          <w:fldChar w:fldCharType="separate"/>
        </w:r>
        <w:r w:rsidR="00562D0E">
          <w:rPr>
            <w:noProof/>
            <w:webHidden/>
          </w:rPr>
          <w:t>80</w:t>
        </w:r>
        <w:r>
          <w:rPr>
            <w:noProof/>
            <w:webHidden/>
          </w:rPr>
          <w:fldChar w:fldCharType="end"/>
        </w:r>
      </w:hyperlink>
    </w:p>
    <w:p w14:paraId="45A821EE" w14:textId="0A2CAB08"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2" w:history="1">
        <w:r w:rsidRPr="00F3411E">
          <w:rPr>
            <w:rStyle w:val="Hyperlink"/>
            <w:noProof/>
          </w:rPr>
          <w:t>3.4.</w:t>
        </w:r>
        <w:r>
          <w:rPr>
            <w:rFonts w:asciiTheme="minorHAnsi" w:eastAsiaTheme="minorEastAsia" w:hAnsiTheme="minorHAnsi" w:cstheme="minorBidi"/>
            <w:noProof/>
            <w:kern w:val="2"/>
            <w:sz w:val="24"/>
            <w14:ligatures w14:val="standardContextual"/>
          </w:rPr>
          <w:tab/>
        </w:r>
        <w:r w:rsidRPr="00F3411E">
          <w:rPr>
            <w:rStyle w:val="Hyperlink"/>
            <w:noProof/>
          </w:rPr>
          <w:t>Continuing Care</w:t>
        </w:r>
        <w:r>
          <w:rPr>
            <w:noProof/>
            <w:webHidden/>
          </w:rPr>
          <w:tab/>
        </w:r>
        <w:r>
          <w:rPr>
            <w:noProof/>
            <w:webHidden/>
          </w:rPr>
          <w:fldChar w:fldCharType="begin"/>
        </w:r>
        <w:r>
          <w:rPr>
            <w:noProof/>
            <w:webHidden/>
          </w:rPr>
          <w:instrText xml:space="preserve"> PAGEREF _Toc166834402 \h </w:instrText>
        </w:r>
        <w:r>
          <w:rPr>
            <w:noProof/>
            <w:webHidden/>
          </w:rPr>
        </w:r>
        <w:r>
          <w:rPr>
            <w:noProof/>
            <w:webHidden/>
          </w:rPr>
          <w:fldChar w:fldCharType="separate"/>
        </w:r>
        <w:r w:rsidR="00562D0E">
          <w:rPr>
            <w:noProof/>
            <w:webHidden/>
          </w:rPr>
          <w:t>81</w:t>
        </w:r>
        <w:r>
          <w:rPr>
            <w:noProof/>
            <w:webHidden/>
          </w:rPr>
          <w:fldChar w:fldCharType="end"/>
        </w:r>
      </w:hyperlink>
    </w:p>
    <w:p w14:paraId="5E2A84F8" w14:textId="09FC8507"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3" w:history="1">
        <w:r w:rsidRPr="00F3411E">
          <w:rPr>
            <w:rStyle w:val="Hyperlink"/>
            <w:noProof/>
          </w:rPr>
          <w:t>3.5.</w:t>
        </w:r>
        <w:r>
          <w:rPr>
            <w:rFonts w:asciiTheme="minorHAnsi" w:eastAsiaTheme="minorEastAsia" w:hAnsiTheme="minorHAnsi" w:cstheme="minorBidi"/>
            <w:noProof/>
            <w:kern w:val="2"/>
            <w:sz w:val="24"/>
            <w14:ligatures w14:val="standardContextual"/>
          </w:rPr>
          <w:tab/>
        </w:r>
        <w:r w:rsidRPr="00F3411E">
          <w:rPr>
            <w:rStyle w:val="Hyperlink"/>
            <w:noProof/>
          </w:rPr>
          <w:t>Appointment Book Setup</w:t>
        </w:r>
        <w:r>
          <w:rPr>
            <w:noProof/>
            <w:webHidden/>
          </w:rPr>
          <w:tab/>
        </w:r>
        <w:r>
          <w:rPr>
            <w:noProof/>
            <w:webHidden/>
          </w:rPr>
          <w:fldChar w:fldCharType="begin"/>
        </w:r>
        <w:r>
          <w:rPr>
            <w:noProof/>
            <w:webHidden/>
          </w:rPr>
          <w:instrText xml:space="preserve"> PAGEREF _Toc166834403 \h </w:instrText>
        </w:r>
        <w:r>
          <w:rPr>
            <w:noProof/>
            <w:webHidden/>
          </w:rPr>
        </w:r>
        <w:r>
          <w:rPr>
            <w:noProof/>
            <w:webHidden/>
          </w:rPr>
          <w:fldChar w:fldCharType="separate"/>
        </w:r>
        <w:r w:rsidR="00562D0E">
          <w:rPr>
            <w:noProof/>
            <w:webHidden/>
          </w:rPr>
          <w:t>81</w:t>
        </w:r>
        <w:r>
          <w:rPr>
            <w:noProof/>
            <w:webHidden/>
          </w:rPr>
          <w:fldChar w:fldCharType="end"/>
        </w:r>
      </w:hyperlink>
    </w:p>
    <w:p w14:paraId="203C124F" w14:textId="7D4358FB"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4" w:history="1">
        <w:r w:rsidRPr="00F3411E">
          <w:rPr>
            <w:rStyle w:val="Hyperlink"/>
            <w:bCs/>
            <w:noProof/>
          </w:rPr>
          <w:t>3.6.</w:t>
        </w:r>
        <w:r>
          <w:rPr>
            <w:rFonts w:asciiTheme="minorHAnsi" w:eastAsiaTheme="minorEastAsia" w:hAnsiTheme="minorHAnsi" w:cstheme="minorBidi"/>
            <w:noProof/>
            <w:kern w:val="2"/>
            <w:sz w:val="24"/>
            <w14:ligatures w14:val="standardContextual"/>
          </w:rPr>
          <w:tab/>
        </w:r>
        <w:r w:rsidRPr="00F3411E">
          <w:rPr>
            <w:rStyle w:val="Hyperlink"/>
            <w:noProof/>
          </w:rPr>
          <w:t>Clinical Setup</w:t>
        </w:r>
        <w:r>
          <w:rPr>
            <w:noProof/>
            <w:webHidden/>
          </w:rPr>
          <w:tab/>
        </w:r>
        <w:r>
          <w:rPr>
            <w:noProof/>
            <w:webHidden/>
          </w:rPr>
          <w:fldChar w:fldCharType="begin"/>
        </w:r>
        <w:r>
          <w:rPr>
            <w:noProof/>
            <w:webHidden/>
          </w:rPr>
          <w:instrText xml:space="preserve"> PAGEREF _Toc166834404 \h </w:instrText>
        </w:r>
        <w:r>
          <w:rPr>
            <w:noProof/>
            <w:webHidden/>
          </w:rPr>
        </w:r>
        <w:r>
          <w:rPr>
            <w:noProof/>
            <w:webHidden/>
          </w:rPr>
          <w:fldChar w:fldCharType="separate"/>
        </w:r>
        <w:r w:rsidR="00562D0E">
          <w:rPr>
            <w:noProof/>
            <w:webHidden/>
          </w:rPr>
          <w:t>85</w:t>
        </w:r>
        <w:r>
          <w:rPr>
            <w:noProof/>
            <w:webHidden/>
          </w:rPr>
          <w:fldChar w:fldCharType="end"/>
        </w:r>
      </w:hyperlink>
    </w:p>
    <w:p w14:paraId="3B972FF9" w14:textId="38B3539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5" w:history="1">
        <w:r w:rsidRPr="00F3411E">
          <w:rPr>
            <w:rStyle w:val="Hyperlink"/>
            <w:noProof/>
          </w:rPr>
          <w:t>3.7.</w:t>
        </w:r>
        <w:r>
          <w:rPr>
            <w:rFonts w:asciiTheme="minorHAnsi" w:eastAsiaTheme="minorEastAsia" w:hAnsiTheme="minorHAnsi" w:cstheme="minorBidi"/>
            <w:noProof/>
            <w:kern w:val="2"/>
            <w:sz w:val="24"/>
            <w14:ligatures w14:val="standardContextual"/>
          </w:rPr>
          <w:tab/>
        </w:r>
        <w:r w:rsidRPr="00F3411E">
          <w:rPr>
            <w:rStyle w:val="Hyperlink"/>
            <w:noProof/>
          </w:rPr>
          <w:t>Prescriptions</w:t>
        </w:r>
        <w:r>
          <w:rPr>
            <w:noProof/>
            <w:webHidden/>
          </w:rPr>
          <w:tab/>
        </w:r>
        <w:r>
          <w:rPr>
            <w:noProof/>
            <w:webHidden/>
          </w:rPr>
          <w:fldChar w:fldCharType="begin"/>
        </w:r>
        <w:r>
          <w:rPr>
            <w:noProof/>
            <w:webHidden/>
          </w:rPr>
          <w:instrText xml:space="preserve"> PAGEREF _Toc166834405 \h </w:instrText>
        </w:r>
        <w:r>
          <w:rPr>
            <w:noProof/>
            <w:webHidden/>
          </w:rPr>
        </w:r>
        <w:r>
          <w:rPr>
            <w:noProof/>
            <w:webHidden/>
          </w:rPr>
          <w:fldChar w:fldCharType="separate"/>
        </w:r>
        <w:r w:rsidR="00562D0E">
          <w:rPr>
            <w:noProof/>
            <w:webHidden/>
          </w:rPr>
          <w:t>92</w:t>
        </w:r>
        <w:r>
          <w:rPr>
            <w:noProof/>
            <w:webHidden/>
          </w:rPr>
          <w:fldChar w:fldCharType="end"/>
        </w:r>
      </w:hyperlink>
    </w:p>
    <w:p w14:paraId="3218440A" w14:textId="7B579764"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6" w:history="1">
        <w:r w:rsidRPr="00F3411E">
          <w:rPr>
            <w:rStyle w:val="Hyperlink"/>
            <w:noProof/>
          </w:rPr>
          <w:t>3.8.</w:t>
        </w:r>
        <w:r>
          <w:rPr>
            <w:rFonts w:asciiTheme="minorHAnsi" w:eastAsiaTheme="minorEastAsia" w:hAnsiTheme="minorHAnsi" w:cstheme="minorBidi"/>
            <w:noProof/>
            <w:kern w:val="2"/>
            <w:sz w:val="24"/>
            <w14:ligatures w14:val="standardContextual"/>
          </w:rPr>
          <w:tab/>
        </w:r>
        <w:r w:rsidRPr="00F3411E">
          <w:rPr>
            <w:rStyle w:val="Hyperlink"/>
            <w:noProof/>
          </w:rPr>
          <w:t>Ledger Setup</w:t>
        </w:r>
        <w:r>
          <w:rPr>
            <w:noProof/>
            <w:webHidden/>
          </w:rPr>
          <w:tab/>
        </w:r>
        <w:r>
          <w:rPr>
            <w:noProof/>
            <w:webHidden/>
          </w:rPr>
          <w:fldChar w:fldCharType="begin"/>
        </w:r>
        <w:r>
          <w:rPr>
            <w:noProof/>
            <w:webHidden/>
          </w:rPr>
          <w:instrText xml:space="preserve"> PAGEREF _Toc166834406 \h </w:instrText>
        </w:r>
        <w:r>
          <w:rPr>
            <w:noProof/>
            <w:webHidden/>
          </w:rPr>
        </w:r>
        <w:r>
          <w:rPr>
            <w:noProof/>
            <w:webHidden/>
          </w:rPr>
          <w:fldChar w:fldCharType="separate"/>
        </w:r>
        <w:r w:rsidR="00562D0E">
          <w:rPr>
            <w:noProof/>
            <w:webHidden/>
          </w:rPr>
          <w:t>92</w:t>
        </w:r>
        <w:r>
          <w:rPr>
            <w:noProof/>
            <w:webHidden/>
          </w:rPr>
          <w:fldChar w:fldCharType="end"/>
        </w:r>
      </w:hyperlink>
    </w:p>
    <w:p w14:paraId="67F712A4" w14:textId="433CD8E3" w:rsidR="002F364A" w:rsidRDefault="002F364A">
      <w:pPr>
        <w:pStyle w:val="TOC3"/>
        <w:tabs>
          <w:tab w:val="left" w:pos="1526"/>
        </w:tabs>
        <w:rPr>
          <w:rFonts w:asciiTheme="minorHAnsi" w:eastAsiaTheme="minorEastAsia" w:hAnsiTheme="minorHAnsi" w:cstheme="minorBidi"/>
          <w:noProof/>
          <w:kern w:val="2"/>
          <w:sz w:val="24"/>
          <w14:ligatures w14:val="standardContextual"/>
        </w:rPr>
      </w:pPr>
      <w:hyperlink w:anchor="_Toc166834407" w:history="1">
        <w:r w:rsidRPr="00F3411E">
          <w:rPr>
            <w:rStyle w:val="Hyperlink"/>
            <w:noProof/>
          </w:rPr>
          <w:t>3.9.</w:t>
        </w:r>
        <w:r>
          <w:rPr>
            <w:rFonts w:asciiTheme="minorHAnsi" w:eastAsiaTheme="minorEastAsia" w:hAnsiTheme="minorHAnsi" w:cstheme="minorBidi"/>
            <w:noProof/>
            <w:kern w:val="2"/>
            <w:sz w:val="24"/>
            <w14:ligatures w14:val="standardContextual"/>
          </w:rPr>
          <w:tab/>
        </w:r>
        <w:r w:rsidRPr="00F3411E">
          <w:rPr>
            <w:rStyle w:val="Hyperlink"/>
            <w:noProof/>
          </w:rPr>
          <w:t>Document Center Setup</w:t>
        </w:r>
        <w:r>
          <w:rPr>
            <w:noProof/>
            <w:webHidden/>
          </w:rPr>
          <w:tab/>
        </w:r>
        <w:r>
          <w:rPr>
            <w:noProof/>
            <w:webHidden/>
          </w:rPr>
          <w:fldChar w:fldCharType="begin"/>
        </w:r>
        <w:r>
          <w:rPr>
            <w:noProof/>
            <w:webHidden/>
          </w:rPr>
          <w:instrText xml:space="preserve"> PAGEREF _Toc166834407 \h </w:instrText>
        </w:r>
        <w:r>
          <w:rPr>
            <w:noProof/>
            <w:webHidden/>
          </w:rPr>
        </w:r>
        <w:r>
          <w:rPr>
            <w:noProof/>
            <w:webHidden/>
          </w:rPr>
          <w:fldChar w:fldCharType="separate"/>
        </w:r>
        <w:r w:rsidR="00562D0E">
          <w:rPr>
            <w:noProof/>
            <w:webHidden/>
          </w:rPr>
          <w:t>94</w:t>
        </w:r>
        <w:r>
          <w:rPr>
            <w:noProof/>
            <w:webHidden/>
          </w:rPr>
          <w:fldChar w:fldCharType="end"/>
        </w:r>
      </w:hyperlink>
    </w:p>
    <w:p w14:paraId="0C9303B5" w14:textId="4BB2FE24" w:rsidR="002F364A" w:rsidRDefault="002F364A">
      <w:pPr>
        <w:pStyle w:val="TOC1"/>
        <w:rPr>
          <w:rFonts w:asciiTheme="minorHAnsi" w:eastAsiaTheme="minorEastAsia" w:hAnsiTheme="minorHAnsi" w:cstheme="minorBidi"/>
          <w:kern w:val="2"/>
          <w:sz w:val="24"/>
          <w14:ligatures w14:val="standardContextual"/>
        </w:rPr>
      </w:pPr>
      <w:hyperlink w:anchor="_Toc166834408" w:history="1">
        <w:r w:rsidRPr="00F3411E">
          <w:rPr>
            <w:rStyle w:val="Hyperlink"/>
          </w:rPr>
          <w:t>Summary of Features</w:t>
        </w:r>
        <w:r>
          <w:rPr>
            <w:webHidden/>
          </w:rPr>
          <w:tab/>
        </w:r>
        <w:r>
          <w:rPr>
            <w:webHidden/>
          </w:rPr>
          <w:fldChar w:fldCharType="begin"/>
        </w:r>
        <w:r>
          <w:rPr>
            <w:webHidden/>
          </w:rPr>
          <w:instrText xml:space="preserve"> PAGEREF _Toc166834408 \h </w:instrText>
        </w:r>
        <w:r>
          <w:rPr>
            <w:webHidden/>
          </w:rPr>
        </w:r>
        <w:r>
          <w:rPr>
            <w:webHidden/>
          </w:rPr>
          <w:fldChar w:fldCharType="separate"/>
        </w:r>
        <w:r w:rsidR="00562D0E">
          <w:rPr>
            <w:webHidden/>
          </w:rPr>
          <w:t>96</w:t>
        </w:r>
        <w:r>
          <w:rPr>
            <w:webHidden/>
          </w:rPr>
          <w:fldChar w:fldCharType="end"/>
        </w:r>
      </w:hyperlink>
    </w:p>
    <w:p w14:paraId="7F020054" w14:textId="3D2DDBE1" w:rsidR="002F364A" w:rsidRDefault="002F364A">
      <w:pPr>
        <w:pStyle w:val="TOC2"/>
        <w:rPr>
          <w:rFonts w:asciiTheme="minorHAnsi" w:eastAsiaTheme="minorEastAsia" w:hAnsiTheme="minorHAnsi" w:cstheme="minorBidi"/>
          <w:noProof/>
          <w:kern w:val="2"/>
          <w14:ligatures w14:val="standardContextual"/>
        </w:rPr>
      </w:pPr>
      <w:hyperlink w:anchor="_Toc166834409" w:history="1">
        <w:r w:rsidRPr="00F3411E">
          <w:rPr>
            <w:rStyle w:val="Hyperlink"/>
            <w:noProof/>
          </w:rPr>
          <w:t>More Information Window Updates</w:t>
        </w:r>
        <w:r>
          <w:rPr>
            <w:noProof/>
            <w:webHidden/>
          </w:rPr>
          <w:tab/>
        </w:r>
        <w:r>
          <w:rPr>
            <w:noProof/>
            <w:webHidden/>
          </w:rPr>
          <w:fldChar w:fldCharType="begin"/>
        </w:r>
        <w:r>
          <w:rPr>
            <w:noProof/>
            <w:webHidden/>
          </w:rPr>
          <w:instrText xml:space="preserve"> PAGEREF _Toc166834409 \h </w:instrText>
        </w:r>
        <w:r>
          <w:rPr>
            <w:noProof/>
            <w:webHidden/>
          </w:rPr>
        </w:r>
        <w:r>
          <w:rPr>
            <w:noProof/>
            <w:webHidden/>
          </w:rPr>
          <w:fldChar w:fldCharType="separate"/>
        </w:r>
        <w:r w:rsidR="00562D0E">
          <w:rPr>
            <w:noProof/>
            <w:webHidden/>
          </w:rPr>
          <w:t>96</w:t>
        </w:r>
        <w:r>
          <w:rPr>
            <w:noProof/>
            <w:webHidden/>
          </w:rPr>
          <w:fldChar w:fldCharType="end"/>
        </w:r>
      </w:hyperlink>
    </w:p>
    <w:p w14:paraId="0AD3A4F5" w14:textId="2D633E04" w:rsidR="002F364A" w:rsidRDefault="002F364A">
      <w:pPr>
        <w:pStyle w:val="TOC2"/>
        <w:rPr>
          <w:rFonts w:asciiTheme="minorHAnsi" w:eastAsiaTheme="minorEastAsia" w:hAnsiTheme="minorHAnsi" w:cstheme="minorBidi"/>
          <w:noProof/>
          <w:kern w:val="2"/>
          <w14:ligatures w14:val="standardContextual"/>
        </w:rPr>
      </w:pPr>
      <w:hyperlink w:anchor="_Toc166834410" w:history="1">
        <w:r w:rsidRPr="00F3411E">
          <w:rPr>
            <w:rStyle w:val="Hyperlink"/>
            <w:noProof/>
          </w:rPr>
          <w:t>Appointment Book Tools: Perfect Day Scheduling &amp; 3rd Next Available Appointment</w:t>
        </w:r>
        <w:r>
          <w:rPr>
            <w:noProof/>
            <w:webHidden/>
          </w:rPr>
          <w:tab/>
        </w:r>
        <w:r>
          <w:rPr>
            <w:noProof/>
            <w:webHidden/>
          </w:rPr>
          <w:fldChar w:fldCharType="begin"/>
        </w:r>
        <w:r>
          <w:rPr>
            <w:noProof/>
            <w:webHidden/>
          </w:rPr>
          <w:instrText xml:space="preserve"> PAGEREF _Toc166834410 \h </w:instrText>
        </w:r>
        <w:r>
          <w:rPr>
            <w:noProof/>
            <w:webHidden/>
          </w:rPr>
        </w:r>
        <w:r>
          <w:rPr>
            <w:noProof/>
            <w:webHidden/>
          </w:rPr>
          <w:fldChar w:fldCharType="separate"/>
        </w:r>
        <w:r w:rsidR="00562D0E">
          <w:rPr>
            <w:noProof/>
            <w:webHidden/>
          </w:rPr>
          <w:t>97</w:t>
        </w:r>
        <w:r>
          <w:rPr>
            <w:noProof/>
            <w:webHidden/>
          </w:rPr>
          <w:fldChar w:fldCharType="end"/>
        </w:r>
      </w:hyperlink>
    </w:p>
    <w:p w14:paraId="746C0A04" w14:textId="16A1F0B9" w:rsidR="002F364A" w:rsidRDefault="002F364A">
      <w:pPr>
        <w:pStyle w:val="TOC2"/>
        <w:rPr>
          <w:rFonts w:asciiTheme="minorHAnsi" w:eastAsiaTheme="minorEastAsia" w:hAnsiTheme="minorHAnsi" w:cstheme="minorBidi"/>
          <w:noProof/>
          <w:kern w:val="2"/>
          <w14:ligatures w14:val="standardContextual"/>
        </w:rPr>
      </w:pPr>
      <w:hyperlink w:anchor="_Toc166834411" w:history="1">
        <w:r w:rsidRPr="00F3411E">
          <w:rPr>
            <w:rStyle w:val="Hyperlink"/>
            <w:noProof/>
          </w:rPr>
          <w:t>Enhanced Consent Forms</w:t>
        </w:r>
        <w:r>
          <w:rPr>
            <w:noProof/>
            <w:webHidden/>
          </w:rPr>
          <w:tab/>
        </w:r>
        <w:r>
          <w:rPr>
            <w:noProof/>
            <w:webHidden/>
          </w:rPr>
          <w:fldChar w:fldCharType="begin"/>
        </w:r>
        <w:r>
          <w:rPr>
            <w:noProof/>
            <w:webHidden/>
          </w:rPr>
          <w:instrText xml:space="preserve"> PAGEREF _Toc166834411 \h </w:instrText>
        </w:r>
        <w:r>
          <w:rPr>
            <w:noProof/>
            <w:webHidden/>
          </w:rPr>
        </w:r>
        <w:r>
          <w:rPr>
            <w:noProof/>
            <w:webHidden/>
          </w:rPr>
          <w:fldChar w:fldCharType="separate"/>
        </w:r>
        <w:r w:rsidR="00562D0E">
          <w:rPr>
            <w:noProof/>
            <w:webHidden/>
          </w:rPr>
          <w:t>98</w:t>
        </w:r>
        <w:r>
          <w:rPr>
            <w:noProof/>
            <w:webHidden/>
          </w:rPr>
          <w:fldChar w:fldCharType="end"/>
        </w:r>
      </w:hyperlink>
    </w:p>
    <w:p w14:paraId="6FC93270" w14:textId="5FC8ADFD" w:rsidR="002F364A" w:rsidRDefault="002F364A">
      <w:pPr>
        <w:pStyle w:val="TOC2"/>
        <w:rPr>
          <w:rFonts w:asciiTheme="minorHAnsi" w:eastAsiaTheme="minorEastAsia" w:hAnsiTheme="minorHAnsi" w:cstheme="minorBidi"/>
          <w:noProof/>
          <w:kern w:val="2"/>
          <w14:ligatures w14:val="standardContextual"/>
        </w:rPr>
      </w:pPr>
      <w:hyperlink w:anchor="_Toc166834412" w:history="1">
        <w:r w:rsidRPr="00F3411E">
          <w:rPr>
            <w:rStyle w:val="Hyperlink"/>
            <w:noProof/>
          </w:rPr>
          <w:t>Paint Types: Impacted &amp; Root Tip</w:t>
        </w:r>
        <w:r>
          <w:rPr>
            <w:noProof/>
            <w:webHidden/>
          </w:rPr>
          <w:tab/>
        </w:r>
        <w:r>
          <w:rPr>
            <w:noProof/>
            <w:webHidden/>
          </w:rPr>
          <w:fldChar w:fldCharType="begin"/>
        </w:r>
        <w:r>
          <w:rPr>
            <w:noProof/>
            <w:webHidden/>
          </w:rPr>
          <w:instrText xml:space="preserve"> PAGEREF _Toc166834412 \h </w:instrText>
        </w:r>
        <w:r>
          <w:rPr>
            <w:noProof/>
            <w:webHidden/>
          </w:rPr>
        </w:r>
        <w:r>
          <w:rPr>
            <w:noProof/>
            <w:webHidden/>
          </w:rPr>
          <w:fldChar w:fldCharType="separate"/>
        </w:r>
        <w:r w:rsidR="00562D0E">
          <w:rPr>
            <w:noProof/>
            <w:webHidden/>
          </w:rPr>
          <w:t>98</w:t>
        </w:r>
        <w:r>
          <w:rPr>
            <w:noProof/>
            <w:webHidden/>
          </w:rPr>
          <w:fldChar w:fldCharType="end"/>
        </w:r>
      </w:hyperlink>
    </w:p>
    <w:p w14:paraId="14A0DD9D" w14:textId="78F9F3B3" w:rsidR="002F364A" w:rsidRDefault="002F364A">
      <w:pPr>
        <w:pStyle w:val="TOC2"/>
        <w:rPr>
          <w:rFonts w:asciiTheme="minorHAnsi" w:eastAsiaTheme="minorEastAsia" w:hAnsiTheme="minorHAnsi" w:cstheme="minorBidi"/>
          <w:noProof/>
          <w:kern w:val="2"/>
          <w14:ligatures w14:val="standardContextual"/>
        </w:rPr>
      </w:pPr>
      <w:hyperlink w:anchor="_Toc166834413" w:history="1">
        <w:r w:rsidRPr="00F3411E">
          <w:rPr>
            <w:rStyle w:val="Hyperlink"/>
            <w:noProof/>
          </w:rPr>
          <w:t>Patient Information for Tribal Enrollment Data</w:t>
        </w:r>
        <w:r>
          <w:rPr>
            <w:noProof/>
            <w:webHidden/>
          </w:rPr>
          <w:tab/>
        </w:r>
        <w:r>
          <w:rPr>
            <w:noProof/>
            <w:webHidden/>
          </w:rPr>
          <w:fldChar w:fldCharType="begin"/>
        </w:r>
        <w:r>
          <w:rPr>
            <w:noProof/>
            <w:webHidden/>
          </w:rPr>
          <w:instrText xml:space="preserve"> PAGEREF _Toc166834413 \h </w:instrText>
        </w:r>
        <w:r>
          <w:rPr>
            <w:noProof/>
            <w:webHidden/>
          </w:rPr>
        </w:r>
        <w:r>
          <w:rPr>
            <w:noProof/>
            <w:webHidden/>
          </w:rPr>
          <w:fldChar w:fldCharType="separate"/>
        </w:r>
        <w:r w:rsidR="00562D0E">
          <w:rPr>
            <w:noProof/>
            <w:webHidden/>
          </w:rPr>
          <w:t>99</w:t>
        </w:r>
        <w:r>
          <w:rPr>
            <w:noProof/>
            <w:webHidden/>
          </w:rPr>
          <w:fldChar w:fldCharType="end"/>
        </w:r>
      </w:hyperlink>
    </w:p>
    <w:p w14:paraId="7A628B4D" w14:textId="2FC8E652" w:rsidR="002F364A" w:rsidRDefault="002F364A">
      <w:pPr>
        <w:pStyle w:val="TOC2"/>
        <w:rPr>
          <w:rFonts w:asciiTheme="minorHAnsi" w:eastAsiaTheme="minorEastAsia" w:hAnsiTheme="minorHAnsi" w:cstheme="minorBidi"/>
          <w:noProof/>
          <w:kern w:val="2"/>
          <w14:ligatures w14:val="standardContextual"/>
        </w:rPr>
      </w:pPr>
      <w:hyperlink w:anchor="_Toc166834414" w:history="1">
        <w:r w:rsidRPr="00F3411E">
          <w:rPr>
            <w:rStyle w:val="Hyperlink"/>
            <w:noProof/>
          </w:rPr>
          <w:t>Electronic Patient Health History</w:t>
        </w:r>
        <w:r>
          <w:rPr>
            <w:noProof/>
            <w:webHidden/>
          </w:rPr>
          <w:tab/>
        </w:r>
        <w:r>
          <w:rPr>
            <w:noProof/>
            <w:webHidden/>
          </w:rPr>
          <w:fldChar w:fldCharType="begin"/>
        </w:r>
        <w:r>
          <w:rPr>
            <w:noProof/>
            <w:webHidden/>
          </w:rPr>
          <w:instrText xml:space="preserve"> PAGEREF _Toc166834414 \h </w:instrText>
        </w:r>
        <w:r>
          <w:rPr>
            <w:noProof/>
            <w:webHidden/>
          </w:rPr>
        </w:r>
        <w:r>
          <w:rPr>
            <w:noProof/>
            <w:webHidden/>
          </w:rPr>
          <w:fldChar w:fldCharType="separate"/>
        </w:r>
        <w:r w:rsidR="00562D0E">
          <w:rPr>
            <w:noProof/>
            <w:webHidden/>
          </w:rPr>
          <w:t>100</w:t>
        </w:r>
        <w:r>
          <w:rPr>
            <w:noProof/>
            <w:webHidden/>
          </w:rPr>
          <w:fldChar w:fldCharType="end"/>
        </w:r>
      </w:hyperlink>
    </w:p>
    <w:p w14:paraId="3186FCD0" w14:textId="1FB85704" w:rsidR="002F364A" w:rsidRDefault="002F364A">
      <w:pPr>
        <w:pStyle w:val="TOC2"/>
        <w:rPr>
          <w:rFonts w:asciiTheme="minorHAnsi" w:eastAsiaTheme="minorEastAsia" w:hAnsiTheme="minorHAnsi" w:cstheme="minorBidi"/>
          <w:noProof/>
          <w:kern w:val="2"/>
          <w14:ligatures w14:val="standardContextual"/>
        </w:rPr>
      </w:pPr>
      <w:hyperlink w:anchor="_Toc166834415" w:history="1">
        <w:r w:rsidRPr="00F3411E">
          <w:rPr>
            <w:rStyle w:val="Hyperlink"/>
            <w:noProof/>
          </w:rPr>
          <w:t>Clinical Note Templates</w:t>
        </w:r>
        <w:r>
          <w:rPr>
            <w:noProof/>
            <w:webHidden/>
          </w:rPr>
          <w:tab/>
        </w:r>
        <w:r>
          <w:rPr>
            <w:noProof/>
            <w:webHidden/>
          </w:rPr>
          <w:fldChar w:fldCharType="begin"/>
        </w:r>
        <w:r>
          <w:rPr>
            <w:noProof/>
            <w:webHidden/>
          </w:rPr>
          <w:instrText xml:space="preserve"> PAGEREF _Toc166834415 \h </w:instrText>
        </w:r>
        <w:r>
          <w:rPr>
            <w:noProof/>
            <w:webHidden/>
          </w:rPr>
        </w:r>
        <w:r>
          <w:rPr>
            <w:noProof/>
            <w:webHidden/>
          </w:rPr>
          <w:fldChar w:fldCharType="separate"/>
        </w:r>
        <w:r w:rsidR="00562D0E">
          <w:rPr>
            <w:noProof/>
            <w:webHidden/>
          </w:rPr>
          <w:t>101</w:t>
        </w:r>
        <w:r>
          <w:rPr>
            <w:noProof/>
            <w:webHidden/>
          </w:rPr>
          <w:fldChar w:fldCharType="end"/>
        </w:r>
      </w:hyperlink>
    </w:p>
    <w:p w14:paraId="229D8A83" w14:textId="52893885" w:rsidR="002F364A" w:rsidRDefault="002F364A">
      <w:pPr>
        <w:pStyle w:val="TOC2"/>
        <w:rPr>
          <w:rFonts w:asciiTheme="minorHAnsi" w:eastAsiaTheme="minorEastAsia" w:hAnsiTheme="minorHAnsi" w:cstheme="minorBidi"/>
          <w:noProof/>
          <w:kern w:val="2"/>
          <w14:ligatures w14:val="standardContextual"/>
        </w:rPr>
      </w:pPr>
      <w:hyperlink w:anchor="_Toc166834416" w:history="1">
        <w:r w:rsidRPr="00F3411E">
          <w:rPr>
            <w:rStyle w:val="Hyperlink"/>
            <w:noProof/>
          </w:rPr>
          <w:t>Clinical Note Transfer to RPMS</w:t>
        </w:r>
        <w:r>
          <w:rPr>
            <w:noProof/>
            <w:webHidden/>
          </w:rPr>
          <w:tab/>
        </w:r>
        <w:r>
          <w:rPr>
            <w:noProof/>
            <w:webHidden/>
          </w:rPr>
          <w:fldChar w:fldCharType="begin"/>
        </w:r>
        <w:r>
          <w:rPr>
            <w:noProof/>
            <w:webHidden/>
          </w:rPr>
          <w:instrText xml:space="preserve"> PAGEREF _Toc166834416 \h </w:instrText>
        </w:r>
        <w:r>
          <w:rPr>
            <w:noProof/>
            <w:webHidden/>
          </w:rPr>
        </w:r>
        <w:r>
          <w:rPr>
            <w:noProof/>
            <w:webHidden/>
          </w:rPr>
          <w:fldChar w:fldCharType="separate"/>
        </w:r>
        <w:r w:rsidR="00562D0E">
          <w:rPr>
            <w:noProof/>
            <w:webHidden/>
          </w:rPr>
          <w:t>101</w:t>
        </w:r>
        <w:r>
          <w:rPr>
            <w:noProof/>
            <w:webHidden/>
          </w:rPr>
          <w:fldChar w:fldCharType="end"/>
        </w:r>
      </w:hyperlink>
    </w:p>
    <w:p w14:paraId="10D779FE" w14:textId="36E5FA08" w:rsidR="002F364A" w:rsidRDefault="002F364A">
      <w:pPr>
        <w:pStyle w:val="TOC2"/>
        <w:rPr>
          <w:rFonts w:asciiTheme="minorHAnsi" w:eastAsiaTheme="minorEastAsia" w:hAnsiTheme="minorHAnsi" w:cstheme="minorBidi"/>
          <w:noProof/>
          <w:kern w:val="2"/>
          <w14:ligatures w14:val="standardContextual"/>
        </w:rPr>
      </w:pPr>
      <w:hyperlink w:anchor="_Toc166834417" w:history="1">
        <w:r w:rsidRPr="00F3411E">
          <w:rPr>
            <w:rStyle w:val="Hyperlink"/>
            <w:noProof/>
          </w:rPr>
          <w:t>Oral Health Status (OHS) Measure</w:t>
        </w:r>
        <w:r>
          <w:rPr>
            <w:noProof/>
            <w:webHidden/>
          </w:rPr>
          <w:tab/>
        </w:r>
        <w:r>
          <w:rPr>
            <w:noProof/>
            <w:webHidden/>
          </w:rPr>
          <w:fldChar w:fldCharType="begin"/>
        </w:r>
        <w:r>
          <w:rPr>
            <w:noProof/>
            <w:webHidden/>
          </w:rPr>
          <w:instrText xml:space="preserve"> PAGEREF _Toc166834417 \h </w:instrText>
        </w:r>
        <w:r>
          <w:rPr>
            <w:noProof/>
            <w:webHidden/>
          </w:rPr>
        </w:r>
        <w:r>
          <w:rPr>
            <w:noProof/>
            <w:webHidden/>
          </w:rPr>
          <w:fldChar w:fldCharType="separate"/>
        </w:r>
        <w:r w:rsidR="00562D0E">
          <w:rPr>
            <w:noProof/>
            <w:webHidden/>
          </w:rPr>
          <w:t>102</w:t>
        </w:r>
        <w:r>
          <w:rPr>
            <w:noProof/>
            <w:webHidden/>
          </w:rPr>
          <w:fldChar w:fldCharType="end"/>
        </w:r>
      </w:hyperlink>
    </w:p>
    <w:p w14:paraId="356FB3CE" w14:textId="70150CB6" w:rsidR="002F364A" w:rsidRDefault="002F364A">
      <w:pPr>
        <w:pStyle w:val="TOC2"/>
        <w:rPr>
          <w:rFonts w:asciiTheme="minorHAnsi" w:eastAsiaTheme="minorEastAsia" w:hAnsiTheme="minorHAnsi" w:cstheme="minorBidi"/>
          <w:noProof/>
          <w:kern w:val="2"/>
          <w14:ligatures w14:val="standardContextual"/>
        </w:rPr>
      </w:pPr>
      <w:hyperlink w:anchor="_Toc166834418" w:history="1">
        <w:r w:rsidRPr="00F3411E">
          <w:rPr>
            <w:rStyle w:val="Hyperlink"/>
            <w:noProof/>
          </w:rPr>
          <w:t>Oral Health Status (OHS) Reports</w:t>
        </w:r>
        <w:r>
          <w:rPr>
            <w:noProof/>
            <w:webHidden/>
          </w:rPr>
          <w:tab/>
        </w:r>
        <w:r>
          <w:rPr>
            <w:noProof/>
            <w:webHidden/>
          </w:rPr>
          <w:fldChar w:fldCharType="begin"/>
        </w:r>
        <w:r>
          <w:rPr>
            <w:noProof/>
            <w:webHidden/>
          </w:rPr>
          <w:instrText xml:space="preserve"> PAGEREF _Toc166834418 \h </w:instrText>
        </w:r>
        <w:r>
          <w:rPr>
            <w:noProof/>
            <w:webHidden/>
          </w:rPr>
        </w:r>
        <w:r>
          <w:rPr>
            <w:noProof/>
            <w:webHidden/>
          </w:rPr>
          <w:fldChar w:fldCharType="separate"/>
        </w:r>
        <w:r w:rsidR="00562D0E">
          <w:rPr>
            <w:noProof/>
            <w:webHidden/>
          </w:rPr>
          <w:t>103</w:t>
        </w:r>
        <w:r>
          <w:rPr>
            <w:noProof/>
            <w:webHidden/>
          </w:rPr>
          <w:fldChar w:fldCharType="end"/>
        </w:r>
      </w:hyperlink>
    </w:p>
    <w:p w14:paraId="1951B7F6" w14:textId="6E05DDA0" w:rsidR="002F364A" w:rsidRDefault="002F364A">
      <w:pPr>
        <w:pStyle w:val="TOC2"/>
        <w:rPr>
          <w:rFonts w:asciiTheme="minorHAnsi" w:eastAsiaTheme="minorEastAsia" w:hAnsiTheme="minorHAnsi" w:cstheme="minorBidi"/>
          <w:noProof/>
          <w:kern w:val="2"/>
          <w14:ligatures w14:val="standardContextual"/>
        </w:rPr>
      </w:pPr>
      <w:hyperlink w:anchor="_Toc166834419" w:history="1">
        <w:r w:rsidRPr="00F3411E">
          <w:rPr>
            <w:rStyle w:val="Hyperlink"/>
            <w:noProof/>
          </w:rPr>
          <w:t>Oral Health Surveillance Survey (OHSS)</w:t>
        </w:r>
        <w:r>
          <w:rPr>
            <w:noProof/>
            <w:webHidden/>
          </w:rPr>
          <w:tab/>
        </w:r>
        <w:r>
          <w:rPr>
            <w:noProof/>
            <w:webHidden/>
          </w:rPr>
          <w:fldChar w:fldCharType="begin"/>
        </w:r>
        <w:r>
          <w:rPr>
            <w:noProof/>
            <w:webHidden/>
          </w:rPr>
          <w:instrText xml:space="preserve"> PAGEREF _Toc166834419 \h </w:instrText>
        </w:r>
        <w:r>
          <w:rPr>
            <w:noProof/>
            <w:webHidden/>
          </w:rPr>
        </w:r>
        <w:r>
          <w:rPr>
            <w:noProof/>
            <w:webHidden/>
          </w:rPr>
          <w:fldChar w:fldCharType="separate"/>
        </w:r>
        <w:r w:rsidR="00562D0E">
          <w:rPr>
            <w:noProof/>
            <w:webHidden/>
          </w:rPr>
          <w:t>104</w:t>
        </w:r>
        <w:r>
          <w:rPr>
            <w:noProof/>
            <w:webHidden/>
          </w:rPr>
          <w:fldChar w:fldCharType="end"/>
        </w:r>
      </w:hyperlink>
    </w:p>
    <w:p w14:paraId="6F0B0ED6" w14:textId="0B5FA22F" w:rsidR="002F364A" w:rsidRDefault="002F364A">
      <w:pPr>
        <w:pStyle w:val="TOC2"/>
        <w:rPr>
          <w:rFonts w:asciiTheme="minorHAnsi" w:eastAsiaTheme="minorEastAsia" w:hAnsiTheme="minorHAnsi" w:cstheme="minorBidi"/>
          <w:noProof/>
          <w:kern w:val="2"/>
          <w14:ligatures w14:val="standardContextual"/>
        </w:rPr>
      </w:pPr>
      <w:hyperlink w:anchor="_Toc166834420" w:history="1">
        <w:r w:rsidRPr="00F3411E">
          <w:rPr>
            <w:rStyle w:val="Hyperlink"/>
            <w:noProof/>
          </w:rPr>
          <w:t>Oral Health Literacy Report</w:t>
        </w:r>
        <w:r>
          <w:rPr>
            <w:noProof/>
            <w:webHidden/>
          </w:rPr>
          <w:tab/>
        </w:r>
        <w:r>
          <w:rPr>
            <w:noProof/>
            <w:webHidden/>
          </w:rPr>
          <w:fldChar w:fldCharType="begin"/>
        </w:r>
        <w:r>
          <w:rPr>
            <w:noProof/>
            <w:webHidden/>
          </w:rPr>
          <w:instrText xml:space="preserve"> PAGEREF _Toc166834420 \h </w:instrText>
        </w:r>
        <w:r>
          <w:rPr>
            <w:noProof/>
            <w:webHidden/>
          </w:rPr>
        </w:r>
        <w:r>
          <w:rPr>
            <w:noProof/>
            <w:webHidden/>
          </w:rPr>
          <w:fldChar w:fldCharType="separate"/>
        </w:r>
        <w:r w:rsidR="00562D0E">
          <w:rPr>
            <w:noProof/>
            <w:webHidden/>
          </w:rPr>
          <w:t>105</w:t>
        </w:r>
        <w:r>
          <w:rPr>
            <w:noProof/>
            <w:webHidden/>
          </w:rPr>
          <w:fldChar w:fldCharType="end"/>
        </w:r>
      </w:hyperlink>
    </w:p>
    <w:p w14:paraId="164529F8" w14:textId="4734DF41" w:rsidR="002F364A" w:rsidRDefault="002F364A">
      <w:pPr>
        <w:pStyle w:val="TOC2"/>
        <w:rPr>
          <w:rFonts w:asciiTheme="minorHAnsi" w:eastAsiaTheme="minorEastAsia" w:hAnsiTheme="minorHAnsi" w:cstheme="minorBidi"/>
          <w:noProof/>
          <w:kern w:val="2"/>
          <w14:ligatures w14:val="standardContextual"/>
        </w:rPr>
      </w:pPr>
      <w:hyperlink w:anchor="_Toc166834421" w:history="1">
        <w:r w:rsidRPr="00F3411E">
          <w:rPr>
            <w:rStyle w:val="Hyperlink"/>
            <w:noProof/>
          </w:rPr>
          <w:t>HIM Document Center QA Review</w:t>
        </w:r>
        <w:r>
          <w:rPr>
            <w:noProof/>
            <w:webHidden/>
          </w:rPr>
          <w:tab/>
        </w:r>
        <w:r>
          <w:rPr>
            <w:noProof/>
            <w:webHidden/>
          </w:rPr>
          <w:fldChar w:fldCharType="begin"/>
        </w:r>
        <w:r>
          <w:rPr>
            <w:noProof/>
            <w:webHidden/>
          </w:rPr>
          <w:instrText xml:space="preserve"> PAGEREF _Toc166834421 \h </w:instrText>
        </w:r>
        <w:r>
          <w:rPr>
            <w:noProof/>
            <w:webHidden/>
          </w:rPr>
        </w:r>
        <w:r>
          <w:rPr>
            <w:noProof/>
            <w:webHidden/>
          </w:rPr>
          <w:fldChar w:fldCharType="separate"/>
        </w:r>
        <w:r w:rsidR="00562D0E">
          <w:rPr>
            <w:noProof/>
            <w:webHidden/>
          </w:rPr>
          <w:t>106</w:t>
        </w:r>
        <w:r>
          <w:rPr>
            <w:noProof/>
            <w:webHidden/>
          </w:rPr>
          <w:fldChar w:fldCharType="end"/>
        </w:r>
      </w:hyperlink>
    </w:p>
    <w:p w14:paraId="7667DD3E" w14:textId="20BA909B" w:rsidR="002F364A" w:rsidRDefault="002F364A">
      <w:pPr>
        <w:pStyle w:val="TOC2"/>
        <w:rPr>
          <w:rFonts w:asciiTheme="minorHAnsi" w:eastAsiaTheme="minorEastAsia" w:hAnsiTheme="minorHAnsi" w:cstheme="minorBidi"/>
          <w:noProof/>
          <w:kern w:val="2"/>
          <w14:ligatures w14:val="standardContextual"/>
        </w:rPr>
      </w:pPr>
      <w:hyperlink w:anchor="_Toc166834422" w:history="1">
        <w:r w:rsidRPr="00F3411E">
          <w:rPr>
            <w:rStyle w:val="Hyperlink"/>
            <w:noProof/>
          </w:rPr>
          <w:t>Dentrix Electronic Claims Form (837i / UB-04)</w:t>
        </w:r>
        <w:r>
          <w:rPr>
            <w:noProof/>
            <w:webHidden/>
          </w:rPr>
          <w:tab/>
        </w:r>
        <w:r>
          <w:rPr>
            <w:noProof/>
            <w:webHidden/>
          </w:rPr>
          <w:fldChar w:fldCharType="begin"/>
        </w:r>
        <w:r>
          <w:rPr>
            <w:noProof/>
            <w:webHidden/>
          </w:rPr>
          <w:instrText xml:space="preserve"> PAGEREF _Toc166834422 \h </w:instrText>
        </w:r>
        <w:r>
          <w:rPr>
            <w:noProof/>
            <w:webHidden/>
          </w:rPr>
        </w:r>
        <w:r>
          <w:rPr>
            <w:noProof/>
            <w:webHidden/>
          </w:rPr>
          <w:fldChar w:fldCharType="separate"/>
        </w:r>
        <w:r w:rsidR="00562D0E">
          <w:rPr>
            <w:noProof/>
            <w:webHidden/>
          </w:rPr>
          <w:t>106</w:t>
        </w:r>
        <w:r>
          <w:rPr>
            <w:noProof/>
            <w:webHidden/>
          </w:rPr>
          <w:fldChar w:fldCharType="end"/>
        </w:r>
      </w:hyperlink>
    </w:p>
    <w:p w14:paraId="099F7EAD" w14:textId="2D53411F" w:rsidR="002F364A" w:rsidRDefault="002F364A">
      <w:pPr>
        <w:pStyle w:val="TOC2"/>
        <w:rPr>
          <w:rFonts w:asciiTheme="minorHAnsi" w:eastAsiaTheme="minorEastAsia" w:hAnsiTheme="minorHAnsi" w:cstheme="minorBidi"/>
          <w:noProof/>
          <w:kern w:val="2"/>
          <w14:ligatures w14:val="standardContextual"/>
        </w:rPr>
      </w:pPr>
      <w:hyperlink w:anchor="_Toc166834423" w:history="1">
        <w:r w:rsidRPr="00F3411E">
          <w:rPr>
            <w:rStyle w:val="Hyperlink"/>
            <w:noProof/>
          </w:rPr>
          <w:t>Dynamic Reporting Interface (Ad Hoc Reports)</w:t>
        </w:r>
        <w:r>
          <w:rPr>
            <w:noProof/>
            <w:webHidden/>
          </w:rPr>
          <w:tab/>
        </w:r>
        <w:r>
          <w:rPr>
            <w:noProof/>
            <w:webHidden/>
          </w:rPr>
          <w:fldChar w:fldCharType="begin"/>
        </w:r>
        <w:r>
          <w:rPr>
            <w:noProof/>
            <w:webHidden/>
          </w:rPr>
          <w:instrText xml:space="preserve"> PAGEREF _Toc166834423 \h </w:instrText>
        </w:r>
        <w:r>
          <w:rPr>
            <w:noProof/>
            <w:webHidden/>
          </w:rPr>
        </w:r>
        <w:r>
          <w:rPr>
            <w:noProof/>
            <w:webHidden/>
          </w:rPr>
          <w:fldChar w:fldCharType="separate"/>
        </w:r>
        <w:r w:rsidR="00562D0E">
          <w:rPr>
            <w:noProof/>
            <w:webHidden/>
          </w:rPr>
          <w:t>107</w:t>
        </w:r>
        <w:r>
          <w:rPr>
            <w:noProof/>
            <w:webHidden/>
          </w:rPr>
          <w:fldChar w:fldCharType="end"/>
        </w:r>
      </w:hyperlink>
    </w:p>
    <w:p w14:paraId="46CB5CBC" w14:textId="1333FF0E" w:rsidR="002F364A" w:rsidRDefault="002F364A">
      <w:pPr>
        <w:pStyle w:val="TOC2"/>
        <w:rPr>
          <w:rFonts w:asciiTheme="minorHAnsi" w:eastAsiaTheme="minorEastAsia" w:hAnsiTheme="minorHAnsi" w:cstheme="minorBidi"/>
          <w:noProof/>
          <w:kern w:val="2"/>
          <w14:ligatures w14:val="standardContextual"/>
        </w:rPr>
      </w:pPr>
      <w:hyperlink w:anchor="_Toc166834424" w:history="1">
        <w:r w:rsidRPr="00F3411E">
          <w:rPr>
            <w:rStyle w:val="Hyperlink"/>
            <w:noProof/>
          </w:rPr>
          <w:t>National Patient Information Reporting System (NPIRS)</w:t>
        </w:r>
        <w:r>
          <w:rPr>
            <w:noProof/>
            <w:webHidden/>
          </w:rPr>
          <w:tab/>
        </w:r>
        <w:r>
          <w:rPr>
            <w:noProof/>
            <w:webHidden/>
          </w:rPr>
          <w:fldChar w:fldCharType="begin"/>
        </w:r>
        <w:r>
          <w:rPr>
            <w:noProof/>
            <w:webHidden/>
          </w:rPr>
          <w:instrText xml:space="preserve"> PAGEREF _Toc166834424 \h </w:instrText>
        </w:r>
        <w:r>
          <w:rPr>
            <w:noProof/>
            <w:webHidden/>
          </w:rPr>
        </w:r>
        <w:r>
          <w:rPr>
            <w:noProof/>
            <w:webHidden/>
          </w:rPr>
          <w:fldChar w:fldCharType="separate"/>
        </w:r>
        <w:r w:rsidR="00562D0E">
          <w:rPr>
            <w:noProof/>
            <w:webHidden/>
          </w:rPr>
          <w:t>108</w:t>
        </w:r>
        <w:r>
          <w:rPr>
            <w:noProof/>
            <w:webHidden/>
          </w:rPr>
          <w:fldChar w:fldCharType="end"/>
        </w:r>
      </w:hyperlink>
    </w:p>
    <w:p w14:paraId="02B16062" w14:textId="5B002C0D" w:rsidR="002F364A" w:rsidRDefault="002F364A">
      <w:pPr>
        <w:pStyle w:val="TOC2"/>
        <w:rPr>
          <w:rFonts w:asciiTheme="minorHAnsi" w:eastAsiaTheme="minorEastAsia" w:hAnsiTheme="minorHAnsi" w:cstheme="minorBidi"/>
          <w:noProof/>
          <w:kern w:val="2"/>
          <w14:ligatures w14:val="standardContextual"/>
        </w:rPr>
      </w:pPr>
      <w:hyperlink w:anchor="_Toc166834425" w:history="1">
        <w:r w:rsidRPr="00F3411E">
          <w:rPr>
            <w:rStyle w:val="Hyperlink"/>
            <w:noProof/>
          </w:rPr>
          <w:t>Clinical Note Review Dashboard</w:t>
        </w:r>
        <w:r>
          <w:rPr>
            <w:noProof/>
            <w:webHidden/>
          </w:rPr>
          <w:tab/>
        </w:r>
        <w:r>
          <w:rPr>
            <w:noProof/>
            <w:webHidden/>
          </w:rPr>
          <w:fldChar w:fldCharType="begin"/>
        </w:r>
        <w:r>
          <w:rPr>
            <w:noProof/>
            <w:webHidden/>
          </w:rPr>
          <w:instrText xml:space="preserve"> PAGEREF _Toc166834425 \h </w:instrText>
        </w:r>
        <w:r>
          <w:rPr>
            <w:noProof/>
            <w:webHidden/>
          </w:rPr>
        </w:r>
        <w:r>
          <w:rPr>
            <w:noProof/>
            <w:webHidden/>
          </w:rPr>
          <w:fldChar w:fldCharType="separate"/>
        </w:r>
        <w:r w:rsidR="00562D0E">
          <w:rPr>
            <w:noProof/>
            <w:webHidden/>
          </w:rPr>
          <w:t>109</w:t>
        </w:r>
        <w:r>
          <w:rPr>
            <w:noProof/>
            <w:webHidden/>
          </w:rPr>
          <w:fldChar w:fldCharType="end"/>
        </w:r>
      </w:hyperlink>
    </w:p>
    <w:p w14:paraId="69CB3909" w14:textId="0AD33DB1" w:rsidR="002F364A" w:rsidRDefault="002F364A">
      <w:pPr>
        <w:pStyle w:val="TOC1"/>
        <w:rPr>
          <w:rFonts w:asciiTheme="minorHAnsi" w:eastAsiaTheme="minorEastAsia" w:hAnsiTheme="minorHAnsi" w:cstheme="minorBidi"/>
          <w:kern w:val="2"/>
          <w:sz w:val="24"/>
          <w14:ligatures w14:val="standardContextual"/>
        </w:rPr>
      </w:pPr>
      <w:hyperlink w:anchor="_Toc166834426" w:history="1">
        <w:r w:rsidRPr="00F3411E">
          <w:rPr>
            <w:rStyle w:val="Hyperlink"/>
          </w:rPr>
          <w:t>Indian Health Manual (IHM)</w:t>
        </w:r>
        <w:r>
          <w:rPr>
            <w:webHidden/>
          </w:rPr>
          <w:tab/>
        </w:r>
        <w:r>
          <w:rPr>
            <w:webHidden/>
          </w:rPr>
          <w:fldChar w:fldCharType="begin"/>
        </w:r>
        <w:r>
          <w:rPr>
            <w:webHidden/>
          </w:rPr>
          <w:instrText xml:space="preserve"> PAGEREF _Toc166834426 \h </w:instrText>
        </w:r>
        <w:r>
          <w:rPr>
            <w:webHidden/>
          </w:rPr>
        </w:r>
        <w:r>
          <w:rPr>
            <w:webHidden/>
          </w:rPr>
          <w:fldChar w:fldCharType="separate"/>
        </w:r>
        <w:r w:rsidR="00562D0E">
          <w:rPr>
            <w:webHidden/>
          </w:rPr>
          <w:t>110</w:t>
        </w:r>
        <w:r>
          <w:rPr>
            <w:webHidden/>
          </w:rPr>
          <w:fldChar w:fldCharType="end"/>
        </w:r>
      </w:hyperlink>
    </w:p>
    <w:p w14:paraId="3457F945" w14:textId="445F1FF6" w:rsidR="002F364A" w:rsidRDefault="002F364A">
      <w:pPr>
        <w:pStyle w:val="TOC1"/>
        <w:rPr>
          <w:rFonts w:asciiTheme="minorHAnsi" w:eastAsiaTheme="minorEastAsia" w:hAnsiTheme="minorHAnsi" w:cstheme="minorBidi"/>
          <w:kern w:val="2"/>
          <w:sz w:val="24"/>
          <w14:ligatures w14:val="standardContextual"/>
        </w:rPr>
      </w:pPr>
      <w:hyperlink w:anchor="_Toc166834427" w:history="1">
        <w:r w:rsidRPr="00F3411E">
          <w:rPr>
            <w:rStyle w:val="Hyperlink"/>
            <w:lang w:val="en"/>
          </w:rPr>
          <w:t>Learning &amp; Support Resources</w:t>
        </w:r>
        <w:r>
          <w:rPr>
            <w:webHidden/>
          </w:rPr>
          <w:tab/>
        </w:r>
        <w:r>
          <w:rPr>
            <w:webHidden/>
          </w:rPr>
          <w:fldChar w:fldCharType="begin"/>
        </w:r>
        <w:r>
          <w:rPr>
            <w:webHidden/>
          </w:rPr>
          <w:instrText xml:space="preserve"> PAGEREF _Toc166834427 \h </w:instrText>
        </w:r>
        <w:r>
          <w:rPr>
            <w:webHidden/>
          </w:rPr>
        </w:r>
        <w:r>
          <w:rPr>
            <w:webHidden/>
          </w:rPr>
          <w:fldChar w:fldCharType="separate"/>
        </w:r>
        <w:r w:rsidR="00562D0E">
          <w:rPr>
            <w:webHidden/>
          </w:rPr>
          <w:t>127</w:t>
        </w:r>
        <w:r>
          <w:rPr>
            <w:webHidden/>
          </w:rPr>
          <w:fldChar w:fldCharType="end"/>
        </w:r>
      </w:hyperlink>
    </w:p>
    <w:p w14:paraId="2E02A53C" w14:textId="67425087" w:rsidR="002F364A" w:rsidRDefault="002F364A">
      <w:pPr>
        <w:pStyle w:val="TOC1"/>
        <w:rPr>
          <w:rFonts w:asciiTheme="minorHAnsi" w:eastAsiaTheme="minorEastAsia" w:hAnsiTheme="minorHAnsi" w:cstheme="minorBidi"/>
          <w:kern w:val="2"/>
          <w:sz w:val="24"/>
          <w14:ligatures w14:val="standardContextual"/>
        </w:rPr>
      </w:pPr>
      <w:hyperlink w:anchor="_Toc166834428" w:history="1">
        <w:r w:rsidRPr="00F3411E">
          <w:rPr>
            <w:rStyle w:val="Hyperlink"/>
          </w:rPr>
          <w:t>Visuals &amp; Callouts</w:t>
        </w:r>
        <w:r>
          <w:rPr>
            <w:webHidden/>
          </w:rPr>
          <w:tab/>
        </w:r>
        <w:r>
          <w:rPr>
            <w:webHidden/>
          </w:rPr>
          <w:fldChar w:fldCharType="begin"/>
        </w:r>
        <w:r>
          <w:rPr>
            <w:webHidden/>
          </w:rPr>
          <w:instrText xml:space="preserve"> PAGEREF _Toc166834428 \h </w:instrText>
        </w:r>
        <w:r>
          <w:rPr>
            <w:webHidden/>
          </w:rPr>
        </w:r>
        <w:r>
          <w:rPr>
            <w:webHidden/>
          </w:rPr>
          <w:fldChar w:fldCharType="separate"/>
        </w:r>
        <w:r w:rsidR="00562D0E">
          <w:rPr>
            <w:webHidden/>
          </w:rPr>
          <w:t>130</w:t>
        </w:r>
        <w:r>
          <w:rPr>
            <w:webHidden/>
          </w:rPr>
          <w:fldChar w:fldCharType="end"/>
        </w:r>
      </w:hyperlink>
    </w:p>
    <w:p w14:paraId="3689A81E" w14:textId="193A2D88" w:rsidR="002F364A" w:rsidRDefault="002F364A">
      <w:pPr>
        <w:pStyle w:val="TOC1"/>
        <w:rPr>
          <w:rFonts w:asciiTheme="minorHAnsi" w:eastAsiaTheme="minorEastAsia" w:hAnsiTheme="minorHAnsi" w:cstheme="minorBidi"/>
          <w:kern w:val="2"/>
          <w:sz w:val="24"/>
          <w14:ligatures w14:val="standardContextual"/>
        </w:rPr>
      </w:pPr>
      <w:hyperlink w:anchor="_Toc166834429" w:history="1">
        <w:r w:rsidRPr="00F3411E">
          <w:rPr>
            <w:rStyle w:val="Hyperlink"/>
          </w:rPr>
          <w:t>Acronyms List</w:t>
        </w:r>
        <w:r>
          <w:rPr>
            <w:webHidden/>
          </w:rPr>
          <w:tab/>
        </w:r>
        <w:r>
          <w:rPr>
            <w:webHidden/>
          </w:rPr>
          <w:fldChar w:fldCharType="begin"/>
        </w:r>
        <w:r>
          <w:rPr>
            <w:webHidden/>
          </w:rPr>
          <w:instrText xml:space="preserve"> PAGEREF _Toc166834429 \h </w:instrText>
        </w:r>
        <w:r>
          <w:rPr>
            <w:webHidden/>
          </w:rPr>
        </w:r>
        <w:r>
          <w:rPr>
            <w:webHidden/>
          </w:rPr>
          <w:fldChar w:fldCharType="separate"/>
        </w:r>
        <w:r w:rsidR="00562D0E">
          <w:rPr>
            <w:webHidden/>
          </w:rPr>
          <w:t>130</w:t>
        </w:r>
        <w:r>
          <w:rPr>
            <w:webHidden/>
          </w:rPr>
          <w:fldChar w:fldCharType="end"/>
        </w:r>
      </w:hyperlink>
    </w:p>
    <w:p w14:paraId="5A035F03" w14:textId="370826A2" w:rsidR="002F364A" w:rsidRDefault="002F364A">
      <w:pPr>
        <w:pStyle w:val="TOC1"/>
        <w:rPr>
          <w:rFonts w:asciiTheme="minorHAnsi" w:eastAsiaTheme="minorEastAsia" w:hAnsiTheme="minorHAnsi" w:cstheme="minorBidi"/>
          <w:kern w:val="2"/>
          <w:sz w:val="24"/>
          <w14:ligatures w14:val="standardContextual"/>
        </w:rPr>
      </w:pPr>
      <w:hyperlink w:anchor="_Toc166834430" w:history="1">
        <w:r w:rsidRPr="00F3411E">
          <w:rPr>
            <w:rStyle w:val="Hyperlink"/>
            <w:lang w:val="en"/>
          </w:rPr>
          <w:t>Glossary of Terms</w:t>
        </w:r>
        <w:r>
          <w:rPr>
            <w:webHidden/>
          </w:rPr>
          <w:tab/>
        </w:r>
        <w:r>
          <w:rPr>
            <w:webHidden/>
          </w:rPr>
          <w:fldChar w:fldCharType="begin"/>
        </w:r>
        <w:r>
          <w:rPr>
            <w:webHidden/>
          </w:rPr>
          <w:instrText xml:space="preserve"> PAGEREF _Toc166834430 \h </w:instrText>
        </w:r>
        <w:r>
          <w:rPr>
            <w:webHidden/>
          </w:rPr>
        </w:r>
        <w:r>
          <w:rPr>
            <w:webHidden/>
          </w:rPr>
          <w:fldChar w:fldCharType="separate"/>
        </w:r>
        <w:r w:rsidR="00562D0E">
          <w:rPr>
            <w:webHidden/>
          </w:rPr>
          <w:t>134</w:t>
        </w:r>
        <w:r>
          <w:rPr>
            <w:webHidden/>
          </w:rPr>
          <w:fldChar w:fldCharType="end"/>
        </w:r>
      </w:hyperlink>
    </w:p>
    <w:p w14:paraId="4E60E74E" w14:textId="0BB5A68C" w:rsidR="002F364A" w:rsidRDefault="002F364A">
      <w:pPr>
        <w:pStyle w:val="TOC2"/>
        <w:rPr>
          <w:rFonts w:asciiTheme="minorHAnsi" w:eastAsiaTheme="minorEastAsia" w:hAnsiTheme="minorHAnsi" w:cstheme="minorBidi"/>
          <w:noProof/>
          <w:kern w:val="2"/>
          <w14:ligatures w14:val="standardContextual"/>
        </w:rPr>
      </w:pPr>
      <w:hyperlink w:anchor="_Toc166834431" w:history="1">
        <w:r w:rsidRPr="00F3411E">
          <w:rPr>
            <w:rStyle w:val="Hyperlink"/>
            <w:noProof/>
          </w:rPr>
          <w:t>Dental Terms</w:t>
        </w:r>
        <w:r>
          <w:rPr>
            <w:noProof/>
            <w:webHidden/>
          </w:rPr>
          <w:tab/>
        </w:r>
        <w:r>
          <w:rPr>
            <w:noProof/>
            <w:webHidden/>
          </w:rPr>
          <w:fldChar w:fldCharType="begin"/>
        </w:r>
        <w:r>
          <w:rPr>
            <w:noProof/>
            <w:webHidden/>
          </w:rPr>
          <w:instrText xml:space="preserve"> PAGEREF _Toc166834431 \h </w:instrText>
        </w:r>
        <w:r>
          <w:rPr>
            <w:noProof/>
            <w:webHidden/>
          </w:rPr>
        </w:r>
        <w:r>
          <w:rPr>
            <w:noProof/>
            <w:webHidden/>
          </w:rPr>
          <w:fldChar w:fldCharType="separate"/>
        </w:r>
        <w:r w:rsidR="00562D0E">
          <w:rPr>
            <w:noProof/>
            <w:webHidden/>
          </w:rPr>
          <w:t>134</w:t>
        </w:r>
        <w:r>
          <w:rPr>
            <w:noProof/>
            <w:webHidden/>
          </w:rPr>
          <w:fldChar w:fldCharType="end"/>
        </w:r>
      </w:hyperlink>
    </w:p>
    <w:p w14:paraId="769686C8" w14:textId="1FA1A689" w:rsidR="002F364A" w:rsidRDefault="002F364A">
      <w:pPr>
        <w:pStyle w:val="TOC2"/>
        <w:rPr>
          <w:rFonts w:asciiTheme="minorHAnsi" w:eastAsiaTheme="minorEastAsia" w:hAnsiTheme="minorHAnsi" w:cstheme="minorBidi"/>
          <w:noProof/>
          <w:kern w:val="2"/>
          <w14:ligatures w14:val="standardContextual"/>
        </w:rPr>
      </w:pPr>
      <w:hyperlink w:anchor="_Toc166834432" w:history="1">
        <w:r w:rsidRPr="00F3411E">
          <w:rPr>
            <w:rStyle w:val="Hyperlink"/>
            <w:noProof/>
          </w:rPr>
          <w:t>Clinic Management Terms</w:t>
        </w:r>
        <w:r>
          <w:rPr>
            <w:noProof/>
            <w:webHidden/>
          </w:rPr>
          <w:tab/>
        </w:r>
        <w:r>
          <w:rPr>
            <w:noProof/>
            <w:webHidden/>
          </w:rPr>
          <w:fldChar w:fldCharType="begin"/>
        </w:r>
        <w:r>
          <w:rPr>
            <w:noProof/>
            <w:webHidden/>
          </w:rPr>
          <w:instrText xml:space="preserve"> PAGEREF _Toc166834432 \h </w:instrText>
        </w:r>
        <w:r>
          <w:rPr>
            <w:noProof/>
            <w:webHidden/>
          </w:rPr>
        </w:r>
        <w:r>
          <w:rPr>
            <w:noProof/>
            <w:webHidden/>
          </w:rPr>
          <w:fldChar w:fldCharType="separate"/>
        </w:r>
        <w:r w:rsidR="00562D0E">
          <w:rPr>
            <w:noProof/>
            <w:webHidden/>
          </w:rPr>
          <w:t>134</w:t>
        </w:r>
        <w:r>
          <w:rPr>
            <w:noProof/>
            <w:webHidden/>
          </w:rPr>
          <w:fldChar w:fldCharType="end"/>
        </w:r>
      </w:hyperlink>
    </w:p>
    <w:p w14:paraId="07BD92A2" w14:textId="6CD142A4" w:rsidR="002F364A" w:rsidRDefault="002F364A">
      <w:pPr>
        <w:pStyle w:val="TOC3"/>
        <w:rPr>
          <w:rFonts w:asciiTheme="minorHAnsi" w:eastAsiaTheme="minorEastAsia" w:hAnsiTheme="minorHAnsi" w:cstheme="minorBidi"/>
          <w:noProof/>
          <w:kern w:val="2"/>
          <w:sz w:val="24"/>
          <w14:ligatures w14:val="standardContextual"/>
        </w:rPr>
      </w:pPr>
      <w:hyperlink w:anchor="_Toc166834433" w:history="1">
        <w:r w:rsidRPr="00F3411E">
          <w:rPr>
            <w:rStyle w:val="Hyperlink"/>
            <w:noProof/>
          </w:rPr>
          <w:t>Schedule Optimization Terms</w:t>
        </w:r>
        <w:r>
          <w:rPr>
            <w:noProof/>
            <w:webHidden/>
          </w:rPr>
          <w:tab/>
        </w:r>
        <w:r>
          <w:rPr>
            <w:noProof/>
            <w:webHidden/>
          </w:rPr>
          <w:fldChar w:fldCharType="begin"/>
        </w:r>
        <w:r>
          <w:rPr>
            <w:noProof/>
            <w:webHidden/>
          </w:rPr>
          <w:instrText xml:space="preserve"> PAGEREF _Toc166834433 \h </w:instrText>
        </w:r>
        <w:r>
          <w:rPr>
            <w:noProof/>
            <w:webHidden/>
          </w:rPr>
        </w:r>
        <w:r>
          <w:rPr>
            <w:noProof/>
            <w:webHidden/>
          </w:rPr>
          <w:fldChar w:fldCharType="separate"/>
        </w:r>
        <w:r w:rsidR="00562D0E">
          <w:rPr>
            <w:noProof/>
            <w:webHidden/>
          </w:rPr>
          <w:t>134</w:t>
        </w:r>
        <w:r>
          <w:rPr>
            <w:noProof/>
            <w:webHidden/>
          </w:rPr>
          <w:fldChar w:fldCharType="end"/>
        </w:r>
      </w:hyperlink>
    </w:p>
    <w:p w14:paraId="0EAEFA97" w14:textId="3720099D" w:rsidR="002F364A" w:rsidRDefault="002F364A">
      <w:pPr>
        <w:pStyle w:val="TOC3"/>
        <w:rPr>
          <w:rFonts w:asciiTheme="minorHAnsi" w:eastAsiaTheme="minorEastAsia" w:hAnsiTheme="minorHAnsi" w:cstheme="minorBidi"/>
          <w:noProof/>
          <w:kern w:val="2"/>
          <w:sz w:val="24"/>
          <w14:ligatures w14:val="standardContextual"/>
        </w:rPr>
      </w:pPr>
      <w:hyperlink w:anchor="_Toc166834434" w:history="1">
        <w:r w:rsidRPr="00F3411E">
          <w:rPr>
            <w:rStyle w:val="Hyperlink"/>
            <w:noProof/>
          </w:rPr>
          <w:t>Patient Records Management Terms</w:t>
        </w:r>
        <w:r>
          <w:rPr>
            <w:noProof/>
            <w:webHidden/>
          </w:rPr>
          <w:tab/>
        </w:r>
        <w:r>
          <w:rPr>
            <w:noProof/>
            <w:webHidden/>
          </w:rPr>
          <w:fldChar w:fldCharType="begin"/>
        </w:r>
        <w:r>
          <w:rPr>
            <w:noProof/>
            <w:webHidden/>
          </w:rPr>
          <w:instrText xml:space="preserve"> PAGEREF _Toc166834434 \h </w:instrText>
        </w:r>
        <w:r>
          <w:rPr>
            <w:noProof/>
            <w:webHidden/>
          </w:rPr>
        </w:r>
        <w:r>
          <w:rPr>
            <w:noProof/>
            <w:webHidden/>
          </w:rPr>
          <w:fldChar w:fldCharType="separate"/>
        </w:r>
        <w:r w:rsidR="00562D0E">
          <w:rPr>
            <w:noProof/>
            <w:webHidden/>
          </w:rPr>
          <w:t>135</w:t>
        </w:r>
        <w:r>
          <w:rPr>
            <w:noProof/>
            <w:webHidden/>
          </w:rPr>
          <w:fldChar w:fldCharType="end"/>
        </w:r>
      </w:hyperlink>
    </w:p>
    <w:p w14:paraId="69D02CFF" w14:textId="7F91A0A9" w:rsidR="002F364A" w:rsidRDefault="002F364A">
      <w:pPr>
        <w:pStyle w:val="TOC3"/>
        <w:rPr>
          <w:rFonts w:asciiTheme="minorHAnsi" w:eastAsiaTheme="minorEastAsia" w:hAnsiTheme="minorHAnsi" w:cstheme="minorBidi"/>
          <w:noProof/>
          <w:kern w:val="2"/>
          <w:sz w:val="24"/>
          <w14:ligatures w14:val="standardContextual"/>
        </w:rPr>
      </w:pPr>
      <w:hyperlink w:anchor="_Toc166834435" w:history="1">
        <w:r w:rsidRPr="00F3411E">
          <w:rPr>
            <w:rStyle w:val="Hyperlink"/>
            <w:noProof/>
          </w:rPr>
          <w:t>Clinical Records Management Terms</w:t>
        </w:r>
        <w:r>
          <w:rPr>
            <w:noProof/>
            <w:webHidden/>
          </w:rPr>
          <w:tab/>
        </w:r>
        <w:r>
          <w:rPr>
            <w:noProof/>
            <w:webHidden/>
          </w:rPr>
          <w:fldChar w:fldCharType="begin"/>
        </w:r>
        <w:r>
          <w:rPr>
            <w:noProof/>
            <w:webHidden/>
          </w:rPr>
          <w:instrText xml:space="preserve"> PAGEREF _Toc166834435 \h </w:instrText>
        </w:r>
        <w:r>
          <w:rPr>
            <w:noProof/>
            <w:webHidden/>
          </w:rPr>
        </w:r>
        <w:r>
          <w:rPr>
            <w:noProof/>
            <w:webHidden/>
          </w:rPr>
          <w:fldChar w:fldCharType="separate"/>
        </w:r>
        <w:r w:rsidR="00562D0E">
          <w:rPr>
            <w:noProof/>
            <w:webHidden/>
          </w:rPr>
          <w:t>138</w:t>
        </w:r>
        <w:r>
          <w:rPr>
            <w:noProof/>
            <w:webHidden/>
          </w:rPr>
          <w:fldChar w:fldCharType="end"/>
        </w:r>
      </w:hyperlink>
    </w:p>
    <w:p w14:paraId="725B310A" w14:textId="35206306" w:rsidR="002F364A" w:rsidRDefault="002F364A">
      <w:pPr>
        <w:pStyle w:val="TOC3"/>
        <w:rPr>
          <w:rFonts w:asciiTheme="minorHAnsi" w:eastAsiaTheme="minorEastAsia" w:hAnsiTheme="minorHAnsi" w:cstheme="minorBidi"/>
          <w:noProof/>
          <w:kern w:val="2"/>
          <w:sz w:val="24"/>
          <w14:ligatures w14:val="standardContextual"/>
        </w:rPr>
      </w:pPr>
      <w:hyperlink w:anchor="_Toc166834436" w:history="1">
        <w:r w:rsidRPr="00F3411E">
          <w:rPr>
            <w:rStyle w:val="Hyperlink"/>
            <w:noProof/>
          </w:rPr>
          <w:t>Revenue Cycle Management Terms</w:t>
        </w:r>
        <w:r>
          <w:rPr>
            <w:noProof/>
            <w:webHidden/>
          </w:rPr>
          <w:tab/>
        </w:r>
        <w:r>
          <w:rPr>
            <w:noProof/>
            <w:webHidden/>
          </w:rPr>
          <w:fldChar w:fldCharType="begin"/>
        </w:r>
        <w:r>
          <w:rPr>
            <w:noProof/>
            <w:webHidden/>
          </w:rPr>
          <w:instrText xml:space="preserve"> PAGEREF _Toc166834436 \h </w:instrText>
        </w:r>
        <w:r>
          <w:rPr>
            <w:noProof/>
            <w:webHidden/>
          </w:rPr>
        </w:r>
        <w:r>
          <w:rPr>
            <w:noProof/>
            <w:webHidden/>
          </w:rPr>
          <w:fldChar w:fldCharType="separate"/>
        </w:r>
        <w:r w:rsidR="00562D0E">
          <w:rPr>
            <w:noProof/>
            <w:webHidden/>
          </w:rPr>
          <w:t>141</w:t>
        </w:r>
        <w:r>
          <w:rPr>
            <w:noProof/>
            <w:webHidden/>
          </w:rPr>
          <w:fldChar w:fldCharType="end"/>
        </w:r>
      </w:hyperlink>
    </w:p>
    <w:p w14:paraId="2F7536E2" w14:textId="720EDAA8" w:rsidR="002F364A" w:rsidRDefault="002F364A">
      <w:pPr>
        <w:pStyle w:val="TOC3"/>
        <w:rPr>
          <w:rFonts w:asciiTheme="minorHAnsi" w:eastAsiaTheme="minorEastAsia" w:hAnsiTheme="minorHAnsi" w:cstheme="minorBidi"/>
          <w:noProof/>
          <w:kern w:val="2"/>
          <w:sz w:val="24"/>
          <w14:ligatures w14:val="standardContextual"/>
        </w:rPr>
      </w:pPr>
      <w:hyperlink w:anchor="_Toc166834437" w:history="1">
        <w:r w:rsidRPr="00F3411E">
          <w:rPr>
            <w:rStyle w:val="Hyperlink"/>
            <w:noProof/>
          </w:rPr>
          <w:t>Database Design Terms</w:t>
        </w:r>
        <w:r>
          <w:rPr>
            <w:noProof/>
            <w:webHidden/>
          </w:rPr>
          <w:tab/>
        </w:r>
        <w:r>
          <w:rPr>
            <w:noProof/>
            <w:webHidden/>
          </w:rPr>
          <w:fldChar w:fldCharType="begin"/>
        </w:r>
        <w:r>
          <w:rPr>
            <w:noProof/>
            <w:webHidden/>
          </w:rPr>
          <w:instrText xml:space="preserve"> PAGEREF _Toc166834437 \h </w:instrText>
        </w:r>
        <w:r>
          <w:rPr>
            <w:noProof/>
            <w:webHidden/>
          </w:rPr>
        </w:r>
        <w:r>
          <w:rPr>
            <w:noProof/>
            <w:webHidden/>
          </w:rPr>
          <w:fldChar w:fldCharType="separate"/>
        </w:r>
        <w:r w:rsidR="00562D0E">
          <w:rPr>
            <w:noProof/>
            <w:webHidden/>
          </w:rPr>
          <w:t>146</w:t>
        </w:r>
        <w:r>
          <w:rPr>
            <w:noProof/>
            <w:webHidden/>
          </w:rPr>
          <w:fldChar w:fldCharType="end"/>
        </w:r>
      </w:hyperlink>
    </w:p>
    <w:p w14:paraId="3EC74575" w14:textId="496EDE4F" w:rsidR="002F364A" w:rsidRDefault="002F364A">
      <w:pPr>
        <w:pStyle w:val="TOC1"/>
        <w:rPr>
          <w:rFonts w:asciiTheme="minorHAnsi" w:eastAsiaTheme="minorEastAsia" w:hAnsiTheme="minorHAnsi" w:cstheme="minorBidi"/>
          <w:kern w:val="2"/>
          <w:sz w:val="24"/>
          <w14:ligatures w14:val="standardContextual"/>
        </w:rPr>
      </w:pPr>
      <w:hyperlink w:anchor="_Toc166834438" w:history="1">
        <w:r w:rsidRPr="00F3411E">
          <w:rPr>
            <w:rStyle w:val="Hyperlink"/>
            <w:lang w:val="en"/>
          </w:rPr>
          <w:t>Appendix</w:t>
        </w:r>
        <w:r>
          <w:rPr>
            <w:webHidden/>
          </w:rPr>
          <w:tab/>
        </w:r>
        <w:r>
          <w:rPr>
            <w:webHidden/>
          </w:rPr>
          <w:fldChar w:fldCharType="begin"/>
        </w:r>
        <w:r>
          <w:rPr>
            <w:webHidden/>
          </w:rPr>
          <w:instrText xml:space="preserve"> PAGEREF _Toc166834438 \h </w:instrText>
        </w:r>
        <w:r>
          <w:rPr>
            <w:webHidden/>
          </w:rPr>
        </w:r>
        <w:r>
          <w:rPr>
            <w:webHidden/>
          </w:rPr>
          <w:fldChar w:fldCharType="separate"/>
        </w:r>
        <w:r w:rsidR="00562D0E">
          <w:rPr>
            <w:webHidden/>
          </w:rPr>
          <w:t>148</w:t>
        </w:r>
        <w:r>
          <w:rPr>
            <w:webHidden/>
          </w:rPr>
          <w:fldChar w:fldCharType="end"/>
        </w:r>
      </w:hyperlink>
    </w:p>
    <w:p w14:paraId="7DC06CAC" w14:textId="437EC309" w:rsidR="002F364A" w:rsidRDefault="002F364A">
      <w:pPr>
        <w:pStyle w:val="TOC2"/>
        <w:rPr>
          <w:rFonts w:asciiTheme="minorHAnsi" w:eastAsiaTheme="minorEastAsia" w:hAnsiTheme="minorHAnsi" w:cstheme="minorBidi"/>
          <w:noProof/>
          <w:kern w:val="2"/>
          <w14:ligatures w14:val="standardContextual"/>
        </w:rPr>
      </w:pPr>
      <w:hyperlink w:anchor="_Toc166834439" w:history="1">
        <w:r w:rsidRPr="00F3411E">
          <w:rPr>
            <w:rStyle w:val="Hyperlink"/>
            <w:noProof/>
          </w:rPr>
          <w:t>1.</w:t>
        </w:r>
        <w:r>
          <w:rPr>
            <w:rFonts w:asciiTheme="minorHAnsi" w:eastAsiaTheme="minorEastAsia" w:hAnsiTheme="minorHAnsi" w:cstheme="minorBidi"/>
            <w:noProof/>
            <w:kern w:val="2"/>
            <w14:ligatures w14:val="standardContextual"/>
          </w:rPr>
          <w:tab/>
        </w:r>
        <w:r w:rsidRPr="00F3411E">
          <w:rPr>
            <w:rStyle w:val="Hyperlink"/>
            <w:noProof/>
          </w:rPr>
          <w:t>Daily Clinic Closeout Duties</w:t>
        </w:r>
        <w:r>
          <w:rPr>
            <w:noProof/>
            <w:webHidden/>
          </w:rPr>
          <w:tab/>
        </w:r>
        <w:r>
          <w:rPr>
            <w:noProof/>
            <w:webHidden/>
          </w:rPr>
          <w:fldChar w:fldCharType="begin"/>
        </w:r>
        <w:r>
          <w:rPr>
            <w:noProof/>
            <w:webHidden/>
          </w:rPr>
          <w:instrText xml:space="preserve"> PAGEREF _Toc166834439 \h </w:instrText>
        </w:r>
        <w:r>
          <w:rPr>
            <w:noProof/>
            <w:webHidden/>
          </w:rPr>
        </w:r>
        <w:r>
          <w:rPr>
            <w:noProof/>
            <w:webHidden/>
          </w:rPr>
          <w:fldChar w:fldCharType="separate"/>
        </w:r>
        <w:r w:rsidR="00562D0E">
          <w:rPr>
            <w:noProof/>
            <w:webHidden/>
          </w:rPr>
          <w:t>148</w:t>
        </w:r>
        <w:r>
          <w:rPr>
            <w:noProof/>
            <w:webHidden/>
          </w:rPr>
          <w:fldChar w:fldCharType="end"/>
        </w:r>
      </w:hyperlink>
    </w:p>
    <w:p w14:paraId="5A15F426" w14:textId="1ADC9645" w:rsidR="002F364A" w:rsidRDefault="002F364A">
      <w:pPr>
        <w:pStyle w:val="TOC2"/>
        <w:rPr>
          <w:rFonts w:asciiTheme="minorHAnsi" w:eastAsiaTheme="minorEastAsia" w:hAnsiTheme="minorHAnsi" w:cstheme="minorBidi"/>
          <w:noProof/>
          <w:kern w:val="2"/>
          <w14:ligatures w14:val="standardContextual"/>
        </w:rPr>
      </w:pPr>
      <w:hyperlink w:anchor="_Toc166834440" w:history="1">
        <w:r w:rsidRPr="00F3411E">
          <w:rPr>
            <w:rStyle w:val="Hyperlink"/>
            <w:noProof/>
          </w:rPr>
          <w:t>2.</w:t>
        </w:r>
        <w:r>
          <w:rPr>
            <w:rFonts w:asciiTheme="minorHAnsi" w:eastAsiaTheme="minorEastAsia" w:hAnsiTheme="minorHAnsi" w:cstheme="minorBidi"/>
            <w:noProof/>
            <w:kern w:val="2"/>
            <w14:ligatures w14:val="standardContextual"/>
          </w:rPr>
          <w:tab/>
        </w:r>
        <w:r w:rsidRPr="00F3411E">
          <w:rPr>
            <w:rStyle w:val="Hyperlink"/>
            <w:noProof/>
          </w:rPr>
          <w:t>Weekly Clinic Closeout Duties</w:t>
        </w:r>
        <w:r>
          <w:rPr>
            <w:noProof/>
            <w:webHidden/>
          </w:rPr>
          <w:tab/>
        </w:r>
        <w:r>
          <w:rPr>
            <w:noProof/>
            <w:webHidden/>
          </w:rPr>
          <w:fldChar w:fldCharType="begin"/>
        </w:r>
        <w:r>
          <w:rPr>
            <w:noProof/>
            <w:webHidden/>
          </w:rPr>
          <w:instrText xml:space="preserve"> PAGEREF _Toc166834440 \h </w:instrText>
        </w:r>
        <w:r>
          <w:rPr>
            <w:noProof/>
            <w:webHidden/>
          </w:rPr>
        </w:r>
        <w:r>
          <w:rPr>
            <w:noProof/>
            <w:webHidden/>
          </w:rPr>
          <w:fldChar w:fldCharType="separate"/>
        </w:r>
        <w:r w:rsidR="00562D0E">
          <w:rPr>
            <w:noProof/>
            <w:webHidden/>
          </w:rPr>
          <w:t>155</w:t>
        </w:r>
        <w:r>
          <w:rPr>
            <w:noProof/>
            <w:webHidden/>
          </w:rPr>
          <w:fldChar w:fldCharType="end"/>
        </w:r>
      </w:hyperlink>
    </w:p>
    <w:p w14:paraId="174444C7" w14:textId="3D8F6444" w:rsidR="002F364A" w:rsidRDefault="002F364A">
      <w:pPr>
        <w:pStyle w:val="TOC2"/>
        <w:rPr>
          <w:rFonts w:asciiTheme="minorHAnsi" w:eastAsiaTheme="minorEastAsia" w:hAnsiTheme="minorHAnsi" w:cstheme="minorBidi"/>
          <w:noProof/>
          <w:kern w:val="2"/>
          <w14:ligatures w14:val="standardContextual"/>
        </w:rPr>
      </w:pPr>
      <w:hyperlink w:anchor="_Toc166834441" w:history="1">
        <w:r w:rsidRPr="00F3411E">
          <w:rPr>
            <w:rStyle w:val="Hyperlink"/>
            <w:noProof/>
          </w:rPr>
          <w:t>3.</w:t>
        </w:r>
        <w:r>
          <w:rPr>
            <w:rFonts w:asciiTheme="minorHAnsi" w:eastAsiaTheme="minorEastAsia" w:hAnsiTheme="minorHAnsi" w:cstheme="minorBidi"/>
            <w:noProof/>
            <w:kern w:val="2"/>
            <w14:ligatures w14:val="standardContextual"/>
          </w:rPr>
          <w:tab/>
        </w:r>
        <w:r w:rsidRPr="00F3411E">
          <w:rPr>
            <w:rStyle w:val="Hyperlink"/>
            <w:noProof/>
          </w:rPr>
          <w:t>Monthly Clinic Closeout Duties</w:t>
        </w:r>
        <w:r>
          <w:rPr>
            <w:noProof/>
            <w:webHidden/>
          </w:rPr>
          <w:tab/>
        </w:r>
        <w:r>
          <w:rPr>
            <w:noProof/>
            <w:webHidden/>
          </w:rPr>
          <w:fldChar w:fldCharType="begin"/>
        </w:r>
        <w:r>
          <w:rPr>
            <w:noProof/>
            <w:webHidden/>
          </w:rPr>
          <w:instrText xml:space="preserve"> PAGEREF _Toc166834441 \h </w:instrText>
        </w:r>
        <w:r>
          <w:rPr>
            <w:noProof/>
            <w:webHidden/>
          </w:rPr>
        </w:r>
        <w:r>
          <w:rPr>
            <w:noProof/>
            <w:webHidden/>
          </w:rPr>
          <w:fldChar w:fldCharType="separate"/>
        </w:r>
        <w:r w:rsidR="00562D0E">
          <w:rPr>
            <w:noProof/>
            <w:webHidden/>
          </w:rPr>
          <w:t>162</w:t>
        </w:r>
        <w:r>
          <w:rPr>
            <w:noProof/>
            <w:webHidden/>
          </w:rPr>
          <w:fldChar w:fldCharType="end"/>
        </w:r>
      </w:hyperlink>
    </w:p>
    <w:p w14:paraId="310F3A25" w14:textId="2D740003" w:rsidR="002F364A" w:rsidRDefault="002F364A">
      <w:pPr>
        <w:pStyle w:val="TOC2"/>
        <w:rPr>
          <w:rFonts w:asciiTheme="minorHAnsi" w:eastAsiaTheme="minorEastAsia" w:hAnsiTheme="minorHAnsi" w:cstheme="minorBidi"/>
          <w:noProof/>
          <w:kern w:val="2"/>
          <w14:ligatures w14:val="standardContextual"/>
        </w:rPr>
      </w:pPr>
      <w:hyperlink w:anchor="_Toc166834442" w:history="1">
        <w:r w:rsidRPr="00F3411E">
          <w:rPr>
            <w:rStyle w:val="Hyperlink"/>
            <w:noProof/>
          </w:rPr>
          <w:t>4.</w:t>
        </w:r>
        <w:r>
          <w:rPr>
            <w:rFonts w:asciiTheme="minorHAnsi" w:eastAsiaTheme="minorEastAsia" w:hAnsiTheme="minorHAnsi" w:cstheme="minorBidi"/>
            <w:noProof/>
            <w:kern w:val="2"/>
            <w14:ligatures w14:val="standardContextual"/>
          </w:rPr>
          <w:tab/>
        </w:r>
        <w:r w:rsidRPr="00F3411E">
          <w:rPr>
            <w:rStyle w:val="Hyperlink"/>
            <w:noProof/>
          </w:rPr>
          <w:t>Administrative Reports Checklist</w:t>
        </w:r>
        <w:r>
          <w:rPr>
            <w:noProof/>
            <w:webHidden/>
          </w:rPr>
          <w:tab/>
        </w:r>
        <w:r>
          <w:rPr>
            <w:noProof/>
            <w:webHidden/>
          </w:rPr>
          <w:fldChar w:fldCharType="begin"/>
        </w:r>
        <w:r>
          <w:rPr>
            <w:noProof/>
            <w:webHidden/>
          </w:rPr>
          <w:instrText xml:space="preserve"> PAGEREF _Toc166834442 \h </w:instrText>
        </w:r>
        <w:r>
          <w:rPr>
            <w:noProof/>
            <w:webHidden/>
          </w:rPr>
        </w:r>
        <w:r>
          <w:rPr>
            <w:noProof/>
            <w:webHidden/>
          </w:rPr>
          <w:fldChar w:fldCharType="separate"/>
        </w:r>
        <w:r w:rsidR="00562D0E">
          <w:rPr>
            <w:noProof/>
            <w:webHidden/>
          </w:rPr>
          <w:t>172</w:t>
        </w:r>
        <w:r>
          <w:rPr>
            <w:noProof/>
            <w:webHidden/>
          </w:rPr>
          <w:fldChar w:fldCharType="end"/>
        </w:r>
      </w:hyperlink>
    </w:p>
    <w:p w14:paraId="30366B98" w14:textId="3BC01F60" w:rsidR="002F364A" w:rsidRDefault="002F364A">
      <w:pPr>
        <w:pStyle w:val="TOC2"/>
        <w:rPr>
          <w:rFonts w:asciiTheme="minorHAnsi" w:eastAsiaTheme="minorEastAsia" w:hAnsiTheme="minorHAnsi" w:cstheme="minorBidi"/>
          <w:noProof/>
          <w:kern w:val="2"/>
          <w14:ligatures w14:val="standardContextual"/>
        </w:rPr>
      </w:pPr>
      <w:hyperlink w:anchor="_Toc166834443" w:history="1">
        <w:r w:rsidRPr="00F3411E">
          <w:rPr>
            <w:rStyle w:val="Hyperlink"/>
            <w:noProof/>
          </w:rPr>
          <w:t>5.</w:t>
        </w:r>
        <w:r>
          <w:rPr>
            <w:rFonts w:asciiTheme="minorHAnsi" w:eastAsiaTheme="minorEastAsia" w:hAnsiTheme="minorHAnsi" w:cstheme="minorBidi"/>
            <w:noProof/>
            <w:kern w:val="2"/>
            <w14:ligatures w14:val="standardContextual"/>
          </w:rPr>
          <w:tab/>
        </w:r>
        <w:r w:rsidRPr="00F3411E">
          <w:rPr>
            <w:rStyle w:val="Hyperlink"/>
            <w:noProof/>
          </w:rPr>
          <w:t>Clinic IT Security Checklist</w:t>
        </w:r>
        <w:r>
          <w:rPr>
            <w:noProof/>
            <w:webHidden/>
          </w:rPr>
          <w:tab/>
        </w:r>
        <w:r>
          <w:rPr>
            <w:noProof/>
            <w:webHidden/>
          </w:rPr>
          <w:fldChar w:fldCharType="begin"/>
        </w:r>
        <w:r>
          <w:rPr>
            <w:noProof/>
            <w:webHidden/>
          </w:rPr>
          <w:instrText xml:space="preserve"> PAGEREF _Toc166834443 \h </w:instrText>
        </w:r>
        <w:r>
          <w:rPr>
            <w:noProof/>
            <w:webHidden/>
          </w:rPr>
        </w:r>
        <w:r>
          <w:rPr>
            <w:noProof/>
            <w:webHidden/>
          </w:rPr>
          <w:fldChar w:fldCharType="separate"/>
        </w:r>
        <w:r w:rsidR="00562D0E">
          <w:rPr>
            <w:noProof/>
            <w:webHidden/>
          </w:rPr>
          <w:t>179</w:t>
        </w:r>
        <w:r>
          <w:rPr>
            <w:noProof/>
            <w:webHidden/>
          </w:rPr>
          <w:fldChar w:fldCharType="end"/>
        </w:r>
      </w:hyperlink>
    </w:p>
    <w:p w14:paraId="32CA6B01" w14:textId="60B620E4" w:rsidR="002F364A" w:rsidRDefault="002F364A">
      <w:pPr>
        <w:pStyle w:val="TOC2"/>
        <w:rPr>
          <w:rFonts w:asciiTheme="minorHAnsi" w:eastAsiaTheme="minorEastAsia" w:hAnsiTheme="minorHAnsi" w:cstheme="minorBidi"/>
          <w:noProof/>
          <w:kern w:val="2"/>
          <w14:ligatures w14:val="standardContextual"/>
        </w:rPr>
      </w:pPr>
      <w:hyperlink w:anchor="_Toc166834444" w:history="1">
        <w:r w:rsidRPr="00F3411E">
          <w:rPr>
            <w:rStyle w:val="Hyperlink"/>
            <w:noProof/>
          </w:rPr>
          <w:t>6.</w:t>
        </w:r>
        <w:r>
          <w:rPr>
            <w:rFonts w:asciiTheme="minorHAnsi" w:eastAsiaTheme="minorEastAsia" w:hAnsiTheme="minorHAnsi" w:cstheme="minorBidi"/>
            <w:noProof/>
            <w:kern w:val="2"/>
            <w14:ligatures w14:val="standardContextual"/>
          </w:rPr>
          <w:tab/>
        </w:r>
        <w:r w:rsidRPr="00F3411E">
          <w:rPr>
            <w:rStyle w:val="Hyperlink"/>
            <w:noProof/>
          </w:rPr>
          <w:t>Annual Reports Checklist</w:t>
        </w:r>
        <w:r>
          <w:rPr>
            <w:noProof/>
            <w:webHidden/>
          </w:rPr>
          <w:tab/>
        </w:r>
        <w:r>
          <w:rPr>
            <w:noProof/>
            <w:webHidden/>
          </w:rPr>
          <w:fldChar w:fldCharType="begin"/>
        </w:r>
        <w:r>
          <w:rPr>
            <w:noProof/>
            <w:webHidden/>
          </w:rPr>
          <w:instrText xml:space="preserve"> PAGEREF _Toc166834444 \h </w:instrText>
        </w:r>
        <w:r>
          <w:rPr>
            <w:noProof/>
            <w:webHidden/>
          </w:rPr>
        </w:r>
        <w:r>
          <w:rPr>
            <w:noProof/>
            <w:webHidden/>
          </w:rPr>
          <w:fldChar w:fldCharType="separate"/>
        </w:r>
        <w:r w:rsidR="00562D0E">
          <w:rPr>
            <w:noProof/>
            <w:webHidden/>
          </w:rPr>
          <w:t>181</w:t>
        </w:r>
        <w:r>
          <w:rPr>
            <w:noProof/>
            <w:webHidden/>
          </w:rPr>
          <w:fldChar w:fldCharType="end"/>
        </w:r>
      </w:hyperlink>
    </w:p>
    <w:p w14:paraId="399E8C7E" w14:textId="1A77D577" w:rsidR="003D43BA" w:rsidRPr="003D43BA" w:rsidRDefault="003D43BA" w:rsidP="003D43BA">
      <w:r>
        <w:fldChar w:fldCharType="end"/>
      </w:r>
    </w:p>
    <w:p w14:paraId="76585101" w14:textId="2679CC39" w:rsidR="00F34999" w:rsidRDefault="00F34999" w:rsidP="00EE2AFE">
      <w:pPr>
        <w:pStyle w:val="BodyText"/>
        <w:sectPr w:rsidR="00F34999" w:rsidSect="00C616BD">
          <w:headerReference w:type="even" r:id="rId16"/>
          <w:headerReference w:type="default" r:id="rId17"/>
          <w:footerReference w:type="even" r:id="rId18"/>
          <w:footerReference w:type="default" r:id="rId19"/>
          <w:pgSz w:w="12240" w:h="15840"/>
          <w:pgMar w:top="1440" w:right="1440" w:bottom="1440" w:left="1440" w:header="360" w:footer="360" w:gutter="0"/>
          <w:pgNumType w:fmt="lowerRoman"/>
          <w:cols w:space="720"/>
          <w:docGrid w:linePitch="299"/>
        </w:sectPr>
      </w:pPr>
    </w:p>
    <w:p w14:paraId="43B3D9D8" w14:textId="260BD80A" w:rsidR="007F769A" w:rsidRDefault="007F769A" w:rsidP="007F769A">
      <w:pPr>
        <w:pStyle w:val="Heading1"/>
      </w:pPr>
      <w:bookmarkStart w:id="8" w:name="_Toc135416586"/>
      <w:bookmarkStart w:id="9" w:name="_Toc135416651"/>
      <w:bookmarkStart w:id="10" w:name="_Toc166834284"/>
      <w:r>
        <w:lastRenderedPageBreak/>
        <w:t>Record of Changes</w:t>
      </w:r>
      <w:bookmarkEnd w:id="10"/>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4"/>
        <w:gridCol w:w="1529"/>
        <w:gridCol w:w="6377"/>
      </w:tblGrid>
      <w:tr w:rsidR="007F769A" w14:paraId="72B3A4E0" w14:textId="77777777" w:rsidTr="00F17274">
        <w:trPr>
          <w:trHeight w:val="430"/>
        </w:trPr>
        <w:tc>
          <w:tcPr>
            <w:tcW w:w="1435" w:type="dxa"/>
            <w:shd w:val="clear" w:color="auto" w:fill="D9D9D9" w:themeFill="background1" w:themeFillShade="D9"/>
            <w:vAlign w:val="center"/>
          </w:tcPr>
          <w:p w14:paraId="5D7DA5AA" w14:textId="4F47A982" w:rsidR="007F769A" w:rsidRPr="007F769A" w:rsidRDefault="007F769A" w:rsidP="00F17274">
            <w:pPr>
              <w:pStyle w:val="TableText"/>
              <w:rPr>
                <w:b/>
                <w:bCs/>
              </w:rPr>
            </w:pPr>
            <w:r w:rsidRPr="007F769A">
              <w:rPr>
                <w:b/>
                <w:bCs/>
              </w:rPr>
              <w:t>Revision Date</w:t>
            </w:r>
          </w:p>
        </w:tc>
        <w:tc>
          <w:tcPr>
            <w:tcW w:w="1530" w:type="dxa"/>
            <w:shd w:val="clear" w:color="auto" w:fill="D9D9D9" w:themeFill="background1" w:themeFillShade="D9"/>
            <w:vAlign w:val="center"/>
          </w:tcPr>
          <w:p w14:paraId="384964E4" w14:textId="7A5B380D" w:rsidR="007F769A" w:rsidRPr="007F769A" w:rsidRDefault="007F769A" w:rsidP="00F17274">
            <w:pPr>
              <w:pStyle w:val="TableText"/>
              <w:rPr>
                <w:b/>
                <w:bCs/>
              </w:rPr>
            </w:pPr>
            <w:r w:rsidRPr="007F769A">
              <w:rPr>
                <w:b/>
                <w:bCs/>
              </w:rPr>
              <w:t>Revision Class</w:t>
            </w:r>
          </w:p>
        </w:tc>
        <w:tc>
          <w:tcPr>
            <w:tcW w:w="6385" w:type="dxa"/>
            <w:shd w:val="clear" w:color="auto" w:fill="D9D9D9" w:themeFill="background1" w:themeFillShade="D9"/>
            <w:vAlign w:val="center"/>
          </w:tcPr>
          <w:p w14:paraId="72B05B83" w14:textId="32F4A697" w:rsidR="007F769A" w:rsidRPr="007F769A" w:rsidRDefault="007F769A" w:rsidP="00F17274">
            <w:pPr>
              <w:pStyle w:val="TableText"/>
              <w:rPr>
                <w:b/>
                <w:bCs/>
              </w:rPr>
            </w:pPr>
            <w:r w:rsidRPr="007F769A">
              <w:rPr>
                <w:b/>
                <w:bCs/>
              </w:rPr>
              <w:t>Revision Details</w:t>
            </w:r>
          </w:p>
        </w:tc>
      </w:tr>
      <w:tr w:rsidR="00E065B7" w14:paraId="4F2208C8" w14:textId="77777777" w:rsidTr="0091131B">
        <w:trPr>
          <w:trHeight w:val="107"/>
        </w:trPr>
        <w:tc>
          <w:tcPr>
            <w:tcW w:w="1435" w:type="dxa"/>
            <w:shd w:val="clear" w:color="auto" w:fill="auto"/>
          </w:tcPr>
          <w:p w14:paraId="1092AACD" w14:textId="3EBF86D0" w:rsidR="00E065B7" w:rsidRPr="00E065B7" w:rsidRDefault="0016465B" w:rsidP="00E065B7">
            <w:pPr>
              <w:pStyle w:val="TableText"/>
            </w:pPr>
            <w:r>
              <w:t>5/15/2024</w:t>
            </w:r>
          </w:p>
        </w:tc>
        <w:tc>
          <w:tcPr>
            <w:tcW w:w="1530" w:type="dxa"/>
            <w:shd w:val="clear" w:color="auto" w:fill="auto"/>
          </w:tcPr>
          <w:p w14:paraId="65AF3C42" w14:textId="53281EDA" w:rsidR="00E065B7" w:rsidRPr="00E065B7" w:rsidRDefault="0016465B" w:rsidP="00E065B7">
            <w:pPr>
              <w:pStyle w:val="TableText"/>
            </w:pPr>
            <w:r>
              <w:t>Major</w:t>
            </w:r>
          </w:p>
        </w:tc>
        <w:tc>
          <w:tcPr>
            <w:tcW w:w="6385" w:type="dxa"/>
            <w:shd w:val="clear" w:color="auto" w:fill="auto"/>
          </w:tcPr>
          <w:p w14:paraId="1A962F92" w14:textId="77777777" w:rsidR="0016465B" w:rsidRDefault="0016465B" w:rsidP="0016465B">
            <w:pPr>
              <w:pStyle w:val="TableText"/>
            </w:pPr>
            <w:r>
              <w:t>Group 1 Updates:</w:t>
            </w:r>
          </w:p>
          <w:p w14:paraId="0EABB24F" w14:textId="6F3B3FEF" w:rsidR="0016465B" w:rsidRDefault="0016465B" w:rsidP="0016465B">
            <w:pPr>
              <w:pStyle w:val="TableText"/>
              <w:numPr>
                <w:ilvl w:val="0"/>
                <w:numId w:val="204"/>
              </w:numPr>
              <w:ind w:left="256" w:hanging="180"/>
            </w:pPr>
            <w:r>
              <w:t>Create</w:t>
            </w:r>
            <w:r w:rsidR="008A288E">
              <w:t>d</w:t>
            </w:r>
            <w:r>
              <w:t xml:space="preserve"> </w:t>
            </w:r>
            <w:r w:rsidR="008A288E">
              <w:t>h</w:t>
            </w:r>
            <w:r>
              <w:t xml:space="preserve">yperlinked </w:t>
            </w:r>
            <w:r w:rsidR="008A288E">
              <w:t>c</w:t>
            </w:r>
            <w:r>
              <w:t>hecklists</w:t>
            </w:r>
            <w:r w:rsidR="008A288E">
              <w:t>.</w:t>
            </w:r>
          </w:p>
          <w:p w14:paraId="6BE43200" w14:textId="06450D55" w:rsidR="0016465B" w:rsidRDefault="0016465B" w:rsidP="0016465B">
            <w:pPr>
              <w:pStyle w:val="TableText"/>
              <w:numPr>
                <w:ilvl w:val="0"/>
                <w:numId w:val="204"/>
              </w:numPr>
              <w:ind w:left="256" w:hanging="180"/>
            </w:pPr>
            <w:r>
              <w:t>Add</w:t>
            </w:r>
            <w:r w:rsidR="008A288E">
              <w:t>ed n</w:t>
            </w:r>
            <w:r>
              <w:t xml:space="preserve">ew </w:t>
            </w:r>
            <w:r w:rsidR="008A288E">
              <w:t>v</w:t>
            </w:r>
            <w:r>
              <w:t xml:space="preserve">isuals for Content Care Callouts – </w:t>
            </w:r>
            <w:r w:rsidR="008A288E">
              <w:t>I</w:t>
            </w:r>
            <w:r>
              <w:t xml:space="preserve">mages </w:t>
            </w:r>
            <w:r w:rsidR="008A288E">
              <w:t>appear</w:t>
            </w:r>
            <w:r>
              <w:t xml:space="preserve"> throughout handbook for notes, SOP, new features, and insights</w:t>
            </w:r>
            <w:r w:rsidR="008A288E">
              <w:t>.</w:t>
            </w:r>
          </w:p>
          <w:p w14:paraId="571FBE73" w14:textId="1CE55E60" w:rsidR="0016465B" w:rsidRDefault="0016465B" w:rsidP="0016465B">
            <w:pPr>
              <w:pStyle w:val="TableText"/>
            </w:pPr>
            <w:r>
              <w:t>Group 2 Update:</w:t>
            </w:r>
          </w:p>
          <w:p w14:paraId="5C1F163D" w14:textId="272E0176" w:rsidR="008A288E" w:rsidRDefault="008A288E" w:rsidP="008A288E">
            <w:pPr>
              <w:pStyle w:val="TableText"/>
              <w:numPr>
                <w:ilvl w:val="0"/>
                <w:numId w:val="205"/>
              </w:numPr>
              <w:ind w:left="256" w:hanging="180"/>
            </w:pPr>
            <w:r>
              <w:t xml:space="preserve">Added </w:t>
            </w:r>
            <w:r w:rsidR="0016465B">
              <w:t>DXE Feature Summary Table</w:t>
            </w:r>
            <w:r w:rsidR="00B622FA">
              <w:t>.</w:t>
            </w:r>
          </w:p>
          <w:p w14:paraId="1CBED6AC" w14:textId="18419B91" w:rsidR="00C55C1B" w:rsidRDefault="00C55C1B" w:rsidP="008A288E">
            <w:pPr>
              <w:pStyle w:val="TableText"/>
              <w:numPr>
                <w:ilvl w:val="0"/>
                <w:numId w:val="205"/>
              </w:numPr>
              <w:ind w:left="256" w:hanging="180"/>
            </w:pPr>
            <w:r>
              <w:t xml:space="preserve">Added </w:t>
            </w:r>
            <w:r w:rsidR="00A779D4">
              <w:t xml:space="preserve">hyperlinked </w:t>
            </w:r>
            <w:r w:rsidRPr="00C55C1B">
              <w:t>Learning &amp; Support Resources</w:t>
            </w:r>
            <w:r w:rsidR="00A779D4">
              <w:t>.</w:t>
            </w:r>
          </w:p>
          <w:p w14:paraId="271594F2" w14:textId="77777777" w:rsidR="0016465B" w:rsidRDefault="0016465B" w:rsidP="0016465B">
            <w:pPr>
              <w:pStyle w:val="TableText"/>
            </w:pPr>
            <w:r>
              <w:t>Group 3 Updates:</w:t>
            </w:r>
          </w:p>
          <w:p w14:paraId="2797D1AA" w14:textId="74C713E2" w:rsidR="00B622FA" w:rsidRDefault="00B622FA" w:rsidP="00B622FA">
            <w:pPr>
              <w:pStyle w:val="TableText"/>
              <w:numPr>
                <w:ilvl w:val="0"/>
                <w:numId w:val="207"/>
              </w:numPr>
              <w:ind w:left="256" w:hanging="180"/>
            </w:pPr>
            <w:r>
              <w:t>Added Index of visuals and callouts.</w:t>
            </w:r>
          </w:p>
          <w:p w14:paraId="7BF81868" w14:textId="1452B1C0" w:rsidR="00B622FA" w:rsidRDefault="00B622FA" w:rsidP="00B622FA">
            <w:pPr>
              <w:pStyle w:val="TableText"/>
              <w:numPr>
                <w:ilvl w:val="0"/>
                <w:numId w:val="207"/>
              </w:numPr>
              <w:ind w:left="256" w:hanging="180"/>
            </w:pPr>
            <w:r>
              <w:t>Added List of acronyms.</w:t>
            </w:r>
          </w:p>
          <w:p w14:paraId="4E274967" w14:textId="4379D4E9" w:rsidR="00B622FA" w:rsidRDefault="00B622FA" w:rsidP="00B622FA">
            <w:pPr>
              <w:pStyle w:val="TableText"/>
              <w:numPr>
                <w:ilvl w:val="0"/>
                <w:numId w:val="207"/>
              </w:numPr>
              <w:ind w:left="256" w:hanging="180"/>
            </w:pPr>
            <w:r>
              <w:t xml:space="preserve">Added </w:t>
            </w:r>
            <w:r w:rsidR="0016465B">
              <w:t>Glossary of Terms</w:t>
            </w:r>
            <w:r>
              <w:t>.</w:t>
            </w:r>
          </w:p>
          <w:p w14:paraId="0EA79C40" w14:textId="33E9D765" w:rsidR="00E065B7" w:rsidRPr="00E065B7" w:rsidRDefault="00B622FA" w:rsidP="00B622FA">
            <w:pPr>
              <w:pStyle w:val="TableText"/>
              <w:numPr>
                <w:ilvl w:val="0"/>
                <w:numId w:val="207"/>
              </w:numPr>
              <w:ind w:left="256" w:hanging="180"/>
            </w:pPr>
            <w:r>
              <w:t xml:space="preserve">Added </w:t>
            </w:r>
            <w:r w:rsidR="0016465B">
              <w:t>Decision Support</w:t>
            </w:r>
            <w:r>
              <w:t xml:space="preserve"> for </w:t>
            </w:r>
            <w:r w:rsidR="0016465B">
              <w:t>Fee Schedules</w:t>
            </w:r>
            <w:r>
              <w:t xml:space="preserve"> (5-12 under Revenue Cyle Management).</w:t>
            </w:r>
          </w:p>
        </w:tc>
      </w:tr>
      <w:tr w:rsidR="00B77AF4" w14:paraId="57D623E3" w14:textId="77777777" w:rsidTr="0091131B">
        <w:trPr>
          <w:trHeight w:val="107"/>
        </w:trPr>
        <w:tc>
          <w:tcPr>
            <w:tcW w:w="1435" w:type="dxa"/>
            <w:shd w:val="clear" w:color="auto" w:fill="auto"/>
          </w:tcPr>
          <w:p w14:paraId="6EB55443" w14:textId="796DC2BA" w:rsidR="00B77AF4" w:rsidRPr="00E065B7" w:rsidRDefault="00B77AF4" w:rsidP="00E065B7">
            <w:pPr>
              <w:pStyle w:val="TableText"/>
            </w:pPr>
            <w:r>
              <w:t>9/21/2023</w:t>
            </w:r>
          </w:p>
        </w:tc>
        <w:tc>
          <w:tcPr>
            <w:tcW w:w="1530" w:type="dxa"/>
            <w:shd w:val="clear" w:color="auto" w:fill="auto"/>
          </w:tcPr>
          <w:p w14:paraId="3D6E76A4" w14:textId="0523731A" w:rsidR="00B77AF4" w:rsidRPr="00E065B7" w:rsidRDefault="00B77AF4" w:rsidP="00E065B7">
            <w:pPr>
              <w:pStyle w:val="TableText"/>
            </w:pPr>
            <w:r>
              <w:t>Minor</w:t>
            </w:r>
          </w:p>
        </w:tc>
        <w:tc>
          <w:tcPr>
            <w:tcW w:w="6385" w:type="dxa"/>
            <w:shd w:val="clear" w:color="auto" w:fill="auto"/>
          </w:tcPr>
          <w:p w14:paraId="0CECA55B" w14:textId="77777777" w:rsidR="00B77AF4" w:rsidRDefault="00B77AF4" w:rsidP="00E065B7">
            <w:pPr>
              <w:pStyle w:val="TableText"/>
            </w:pPr>
            <w:r>
              <w:t>Updated cover page.</w:t>
            </w:r>
          </w:p>
          <w:p w14:paraId="395AFAA3" w14:textId="77777777" w:rsidR="00B77AF4" w:rsidRDefault="00B77AF4" w:rsidP="00E065B7">
            <w:pPr>
              <w:pStyle w:val="TableText"/>
            </w:pPr>
            <w:r>
              <w:t>Repeated headers across pages of each checklist table.</w:t>
            </w:r>
          </w:p>
          <w:p w14:paraId="51CA456C" w14:textId="11739773" w:rsidR="00B77AF4" w:rsidRPr="00E065B7" w:rsidRDefault="00B77AF4" w:rsidP="00E065B7">
            <w:pPr>
              <w:pStyle w:val="TableText"/>
            </w:pPr>
            <w:r>
              <w:t>Fixed page numbering.</w:t>
            </w:r>
          </w:p>
        </w:tc>
      </w:tr>
      <w:tr w:rsidR="007F769A" w14:paraId="315E50E7" w14:textId="77777777" w:rsidTr="0091131B">
        <w:tc>
          <w:tcPr>
            <w:tcW w:w="1435" w:type="dxa"/>
          </w:tcPr>
          <w:p w14:paraId="6A1A8567" w14:textId="48071626" w:rsidR="007F769A" w:rsidRDefault="007F769A" w:rsidP="007F769A">
            <w:pPr>
              <w:pStyle w:val="TableText"/>
            </w:pPr>
            <w:r>
              <w:t>6/19/2023</w:t>
            </w:r>
          </w:p>
        </w:tc>
        <w:tc>
          <w:tcPr>
            <w:tcW w:w="1530" w:type="dxa"/>
          </w:tcPr>
          <w:p w14:paraId="167C9E3B" w14:textId="5E0778E6" w:rsidR="007F769A" w:rsidRDefault="007F769A" w:rsidP="007F769A">
            <w:pPr>
              <w:pStyle w:val="TableText"/>
            </w:pPr>
            <w:r>
              <w:t>Major</w:t>
            </w:r>
          </w:p>
        </w:tc>
        <w:tc>
          <w:tcPr>
            <w:tcW w:w="6385" w:type="dxa"/>
          </w:tcPr>
          <w:p w14:paraId="09FEB647" w14:textId="4CFDB408" w:rsidR="007F769A" w:rsidRDefault="004D5594" w:rsidP="007F769A">
            <w:pPr>
              <w:pStyle w:val="TableText"/>
            </w:pPr>
            <w:r>
              <w:t>Reformatting and rearranging of content, and spelling and grammar corrections throughout.</w:t>
            </w:r>
          </w:p>
          <w:p w14:paraId="0A4DED4F" w14:textId="77777777" w:rsidR="004D5594" w:rsidRDefault="004D5594" w:rsidP="007F769A">
            <w:pPr>
              <w:pStyle w:val="TableText"/>
            </w:pPr>
            <w:r>
              <w:t>Schedule Optimization:</w:t>
            </w:r>
          </w:p>
          <w:p w14:paraId="0B3949B2" w14:textId="160942F3" w:rsidR="004D5594" w:rsidRDefault="004D5594" w:rsidP="004D5594">
            <w:pPr>
              <w:pStyle w:val="TableText"/>
              <w:ind w:left="168"/>
            </w:pPr>
            <w:r>
              <w:t>1.2 Procedure Times – Added multi-code timing section.</w:t>
            </w:r>
          </w:p>
          <w:p w14:paraId="28DAC6F1" w14:textId="77777777" w:rsidR="004D5594" w:rsidRDefault="004D5594" w:rsidP="004D5594">
            <w:pPr>
              <w:pStyle w:val="TableText"/>
            </w:pPr>
            <w:r>
              <w:t>Patient Record Management:</w:t>
            </w:r>
          </w:p>
          <w:p w14:paraId="5A037F87" w14:textId="77777777" w:rsidR="004D5594" w:rsidRDefault="004D5594" w:rsidP="004D5594">
            <w:pPr>
              <w:pStyle w:val="TableText"/>
              <w:ind w:left="168"/>
            </w:pPr>
            <w:r>
              <w:t>3. Patient/Household File – Added note.</w:t>
            </w:r>
          </w:p>
          <w:p w14:paraId="1D9AC2A9" w14:textId="77777777" w:rsidR="004D5594" w:rsidRDefault="004D5594" w:rsidP="004D5594">
            <w:pPr>
              <w:pStyle w:val="TableText"/>
              <w:ind w:left="168"/>
            </w:pPr>
            <w:r>
              <w:t>3.2 Insurance – Added notes regarding verification of benefits, eligibility, and remaining benefits.</w:t>
            </w:r>
          </w:p>
          <w:p w14:paraId="21CAB808" w14:textId="77777777" w:rsidR="004D5594" w:rsidRDefault="004D5594" w:rsidP="004D5594">
            <w:pPr>
              <w:pStyle w:val="TableText"/>
            </w:pPr>
            <w:r>
              <w:t>Revenue Cycle Management</w:t>
            </w:r>
          </w:p>
          <w:p w14:paraId="22FC1E8F" w14:textId="77777777" w:rsidR="004D5594" w:rsidRDefault="004D5594" w:rsidP="004D5594">
            <w:pPr>
              <w:pStyle w:val="TableText"/>
              <w:ind w:left="168"/>
            </w:pPr>
            <w:r>
              <w:t>1. Insurance Plan Setup and Maintenance – Added introductory table, and split content for claim settings into two sections: one for dental; and one for medical. Added notes about fee schedules. Added payment table information.</w:t>
            </w:r>
          </w:p>
          <w:p w14:paraId="43C1A433" w14:textId="77777777" w:rsidR="004D5594" w:rsidRDefault="004D5594" w:rsidP="004D5594">
            <w:pPr>
              <w:pStyle w:val="TableText"/>
              <w:ind w:left="168"/>
            </w:pPr>
            <w:r>
              <w:t xml:space="preserve">2. Claim Management – Replaced green callout with prerequisites list (referring to applicable parts of </w:t>
            </w:r>
            <w:r w:rsidR="00192C3E">
              <w:t xml:space="preserve">the </w:t>
            </w:r>
            <w:r>
              <w:t>document)</w:t>
            </w:r>
            <w:r w:rsidR="00192C3E">
              <w:t>.</w:t>
            </w:r>
          </w:p>
          <w:p w14:paraId="22E882D0" w14:textId="77777777" w:rsidR="00192C3E" w:rsidRDefault="00192C3E" w:rsidP="004D5594">
            <w:pPr>
              <w:pStyle w:val="TableText"/>
              <w:ind w:left="168"/>
            </w:pPr>
            <w:r>
              <w:t>2.1 Claim Submission – Added information regarding claim providers.</w:t>
            </w:r>
          </w:p>
          <w:p w14:paraId="7896940A" w14:textId="77777777" w:rsidR="00192C3E" w:rsidRDefault="00192C3E" w:rsidP="004D5594">
            <w:pPr>
              <w:pStyle w:val="TableText"/>
              <w:ind w:left="168"/>
            </w:pPr>
            <w:r>
              <w:t>4.1 Insurance Reference Utilities – Removed green callout. Added note.</w:t>
            </w:r>
          </w:p>
          <w:p w14:paraId="0C3F069F" w14:textId="77777777" w:rsidR="00192C3E" w:rsidRDefault="00192C3E" w:rsidP="004D5594">
            <w:pPr>
              <w:pStyle w:val="TableText"/>
              <w:ind w:left="168"/>
            </w:pPr>
            <w:r>
              <w:t>4.2 Fee Schedule Maintenance – Added note.</w:t>
            </w:r>
          </w:p>
          <w:p w14:paraId="0B29FAFB" w14:textId="77777777" w:rsidR="00192C3E" w:rsidRDefault="00192C3E" w:rsidP="00192C3E">
            <w:pPr>
              <w:pStyle w:val="TableText"/>
            </w:pPr>
            <w:r>
              <w:t>Database Design:</w:t>
            </w:r>
          </w:p>
          <w:p w14:paraId="709A5B76" w14:textId="2D8D0228" w:rsidR="00192C3E" w:rsidRDefault="00192C3E" w:rsidP="00192C3E">
            <w:pPr>
              <w:pStyle w:val="TableText"/>
              <w:ind w:left="168"/>
            </w:pPr>
            <w:r>
              <w:t>1. Enterprise Setup – Rearranged information. Added notes. Updated content.</w:t>
            </w:r>
          </w:p>
          <w:p w14:paraId="26E48849" w14:textId="77777777" w:rsidR="00192C3E" w:rsidRDefault="00192C3E" w:rsidP="00192C3E">
            <w:pPr>
              <w:pStyle w:val="TableText"/>
              <w:ind w:left="168"/>
            </w:pPr>
            <w:r>
              <w:t>2.1 Provider Setup – Added specialty information. Added to details regarding IDs.</w:t>
            </w:r>
          </w:p>
          <w:p w14:paraId="45CF00CB" w14:textId="4FD7E5CF" w:rsidR="00192C3E" w:rsidRDefault="00192C3E" w:rsidP="00192C3E">
            <w:pPr>
              <w:pStyle w:val="TableText"/>
              <w:ind w:left="168"/>
            </w:pPr>
            <w:r>
              <w:t>3. Dentrix Enterprise Configuration – Reordered topics.</w:t>
            </w:r>
          </w:p>
        </w:tc>
      </w:tr>
      <w:tr w:rsidR="00B77AF4" w14:paraId="75C56F89" w14:textId="77777777" w:rsidTr="0091131B">
        <w:tc>
          <w:tcPr>
            <w:tcW w:w="1435" w:type="dxa"/>
          </w:tcPr>
          <w:p w14:paraId="0A8747D9" w14:textId="1E1C7B74" w:rsidR="00B77AF4" w:rsidRDefault="00F17274" w:rsidP="007F769A">
            <w:pPr>
              <w:pStyle w:val="TableText"/>
            </w:pPr>
            <w:r>
              <w:t>2023</w:t>
            </w:r>
          </w:p>
        </w:tc>
        <w:tc>
          <w:tcPr>
            <w:tcW w:w="1530" w:type="dxa"/>
          </w:tcPr>
          <w:p w14:paraId="02DC14B2" w14:textId="4A04A87A" w:rsidR="00B77AF4" w:rsidRDefault="00F17274" w:rsidP="007F769A">
            <w:pPr>
              <w:pStyle w:val="TableText"/>
            </w:pPr>
            <w:r>
              <w:t>Minor</w:t>
            </w:r>
          </w:p>
        </w:tc>
        <w:tc>
          <w:tcPr>
            <w:tcW w:w="6385" w:type="dxa"/>
          </w:tcPr>
          <w:p w14:paraId="6FA70369" w14:textId="77777777" w:rsidR="00B77AF4" w:rsidRDefault="00B77AF4" w:rsidP="007F769A">
            <w:pPr>
              <w:pStyle w:val="TableText"/>
            </w:pPr>
            <w:r>
              <w:t>Billing Updates.</w:t>
            </w:r>
          </w:p>
          <w:p w14:paraId="5012A15E" w14:textId="431FF012" w:rsidR="00B77AF4" w:rsidRDefault="00B77AF4" w:rsidP="007F769A">
            <w:pPr>
              <w:pStyle w:val="TableText"/>
            </w:pPr>
            <w:r>
              <w:t>Formatting Updates.</w:t>
            </w:r>
          </w:p>
        </w:tc>
      </w:tr>
      <w:tr w:rsidR="00B77AF4" w14:paraId="54B6E2F6" w14:textId="77777777" w:rsidTr="0091131B">
        <w:tc>
          <w:tcPr>
            <w:tcW w:w="1435" w:type="dxa"/>
          </w:tcPr>
          <w:p w14:paraId="234F42A4" w14:textId="431F2DD6" w:rsidR="00B77AF4" w:rsidRDefault="00F17274" w:rsidP="007F769A">
            <w:pPr>
              <w:pStyle w:val="TableText"/>
            </w:pPr>
            <w:r>
              <w:t>2022</w:t>
            </w:r>
          </w:p>
        </w:tc>
        <w:tc>
          <w:tcPr>
            <w:tcW w:w="1530" w:type="dxa"/>
          </w:tcPr>
          <w:p w14:paraId="32BC65FF" w14:textId="2ED14ADD" w:rsidR="00B77AF4" w:rsidRDefault="00B77AF4" w:rsidP="007F769A">
            <w:pPr>
              <w:pStyle w:val="TableText"/>
            </w:pPr>
            <w:r>
              <w:t>New</w:t>
            </w:r>
          </w:p>
        </w:tc>
        <w:tc>
          <w:tcPr>
            <w:tcW w:w="6385" w:type="dxa"/>
          </w:tcPr>
          <w:p w14:paraId="00A1A801" w14:textId="3B49B676" w:rsidR="00B77AF4" w:rsidRDefault="00B77AF4" w:rsidP="007F769A">
            <w:pPr>
              <w:pStyle w:val="TableText"/>
            </w:pPr>
            <w:r>
              <w:t>IT Security Protocols.</w:t>
            </w:r>
          </w:p>
        </w:tc>
      </w:tr>
      <w:tr w:rsidR="00B77AF4" w14:paraId="7E351484" w14:textId="77777777" w:rsidTr="0091131B">
        <w:tc>
          <w:tcPr>
            <w:tcW w:w="1435" w:type="dxa"/>
          </w:tcPr>
          <w:p w14:paraId="55CBBC7B" w14:textId="4FFDD016" w:rsidR="00B77AF4" w:rsidRDefault="00F17274" w:rsidP="007F769A">
            <w:pPr>
              <w:pStyle w:val="TableText"/>
            </w:pPr>
            <w:r>
              <w:t>2021</w:t>
            </w:r>
          </w:p>
        </w:tc>
        <w:tc>
          <w:tcPr>
            <w:tcW w:w="1530" w:type="dxa"/>
          </w:tcPr>
          <w:p w14:paraId="040AAB88" w14:textId="1F3B8E3B" w:rsidR="00B77AF4" w:rsidRDefault="00B77AF4" w:rsidP="007F769A">
            <w:pPr>
              <w:pStyle w:val="TableText"/>
            </w:pPr>
            <w:r>
              <w:t>New</w:t>
            </w:r>
          </w:p>
        </w:tc>
        <w:tc>
          <w:tcPr>
            <w:tcW w:w="6385" w:type="dxa"/>
          </w:tcPr>
          <w:p w14:paraId="286322A6" w14:textId="15E99121" w:rsidR="00B77AF4" w:rsidRDefault="00B77AF4" w:rsidP="007F769A">
            <w:pPr>
              <w:pStyle w:val="TableText"/>
            </w:pPr>
            <w:r>
              <w:t>Checklists.</w:t>
            </w:r>
          </w:p>
        </w:tc>
      </w:tr>
      <w:tr w:rsidR="00B77AF4" w14:paraId="1DE97B4D" w14:textId="77777777" w:rsidTr="0091131B">
        <w:tc>
          <w:tcPr>
            <w:tcW w:w="1435" w:type="dxa"/>
          </w:tcPr>
          <w:p w14:paraId="1460DB1F" w14:textId="5D61D62F" w:rsidR="00B77AF4" w:rsidRDefault="00F17274" w:rsidP="007F769A">
            <w:pPr>
              <w:pStyle w:val="TableText"/>
            </w:pPr>
            <w:r>
              <w:t>2020</w:t>
            </w:r>
          </w:p>
        </w:tc>
        <w:tc>
          <w:tcPr>
            <w:tcW w:w="1530" w:type="dxa"/>
          </w:tcPr>
          <w:p w14:paraId="62C2E916" w14:textId="6BB52203" w:rsidR="00B77AF4" w:rsidRDefault="00B77AF4" w:rsidP="007F769A">
            <w:pPr>
              <w:pStyle w:val="TableText"/>
            </w:pPr>
            <w:r>
              <w:t>Minor</w:t>
            </w:r>
          </w:p>
        </w:tc>
        <w:tc>
          <w:tcPr>
            <w:tcW w:w="6385" w:type="dxa"/>
          </w:tcPr>
          <w:p w14:paraId="6A74CD00" w14:textId="3C7164AC" w:rsidR="00B77AF4" w:rsidRDefault="00B77AF4" w:rsidP="007F769A">
            <w:pPr>
              <w:pStyle w:val="TableText"/>
            </w:pPr>
            <w:r>
              <w:t>Content updates, various sections.</w:t>
            </w:r>
          </w:p>
        </w:tc>
      </w:tr>
      <w:tr w:rsidR="00B77AF4" w14:paraId="48FC8C2C" w14:textId="77777777" w:rsidTr="0091131B">
        <w:tc>
          <w:tcPr>
            <w:tcW w:w="1435" w:type="dxa"/>
          </w:tcPr>
          <w:p w14:paraId="0285EC63" w14:textId="78621807" w:rsidR="00B77AF4" w:rsidRDefault="00B77AF4" w:rsidP="007F769A">
            <w:pPr>
              <w:pStyle w:val="TableText"/>
            </w:pPr>
            <w:r>
              <w:t>2019</w:t>
            </w:r>
          </w:p>
        </w:tc>
        <w:tc>
          <w:tcPr>
            <w:tcW w:w="1530" w:type="dxa"/>
          </w:tcPr>
          <w:p w14:paraId="66CA3807" w14:textId="4230EB51" w:rsidR="00B77AF4" w:rsidRDefault="00B77AF4" w:rsidP="007F769A">
            <w:pPr>
              <w:pStyle w:val="TableText"/>
            </w:pPr>
            <w:r>
              <w:t>New</w:t>
            </w:r>
          </w:p>
        </w:tc>
        <w:tc>
          <w:tcPr>
            <w:tcW w:w="6385" w:type="dxa"/>
          </w:tcPr>
          <w:p w14:paraId="76D448DF" w14:textId="652FF179" w:rsidR="00B77AF4" w:rsidRDefault="00B77AF4" w:rsidP="007F769A">
            <w:pPr>
              <w:pStyle w:val="TableText"/>
            </w:pPr>
            <w:r>
              <w:t>Handbook release / first version.</w:t>
            </w:r>
          </w:p>
        </w:tc>
      </w:tr>
    </w:tbl>
    <w:p w14:paraId="551C4E77" w14:textId="77777777" w:rsidR="007F769A" w:rsidRDefault="007F769A" w:rsidP="007F769A">
      <w:pPr>
        <w:pStyle w:val="BodyText"/>
      </w:pPr>
    </w:p>
    <w:p w14:paraId="3CE81203" w14:textId="77777777" w:rsidR="007F769A" w:rsidRDefault="007F769A" w:rsidP="007F769A">
      <w:pPr>
        <w:pStyle w:val="BodyText"/>
      </w:pPr>
    </w:p>
    <w:p w14:paraId="3420CD24" w14:textId="77777777" w:rsidR="007F769A" w:rsidRDefault="007F769A" w:rsidP="007F769A">
      <w:pPr>
        <w:pStyle w:val="BodyText"/>
        <w:sectPr w:rsidR="007F769A" w:rsidSect="00C616BD">
          <w:headerReference w:type="even" r:id="rId20"/>
          <w:headerReference w:type="default" r:id="rId21"/>
          <w:footerReference w:type="even" r:id="rId22"/>
          <w:footerReference w:type="default" r:id="rId23"/>
          <w:pgSz w:w="12240" w:h="15840"/>
          <w:pgMar w:top="1440" w:right="1440" w:bottom="1440" w:left="1440" w:header="360" w:footer="360" w:gutter="0"/>
          <w:pgNumType w:start="1"/>
          <w:cols w:space="720"/>
          <w:docGrid w:linePitch="299"/>
        </w:sectPr>
      </w:pPr>
    </w:p>
    <w:p w14:paraId="2393C91F" w14:textId="5E06BDFF" w:rsidR="009B344D" w:rsidRPr="00081245" w:rsidRDefault="00875D0D" w:rsidP="00875D0D">
      <w:pPr>
        <w:pStyle w:val="Heading1"/>
      </w:pPr>
      <w:bookmarkStart w:id="11" w:name="_Toc166834285"/>
      <w:r>
        <w:lastRenderedPageBreak/>
        <w:t>Overview</w:t>
      </w:r>
      <w:bookmarkEnd w:id="8"/>
      <w:bookmarkEnd w:id="9"/>
      <w:bookmarkEnd w:id="11"/>
    </w:p>
    <w:p w14:paraId="4199BE3B" w14:textId="77777777" w:rsidR="00B74060" w:rsidRDefault="00F34999" w:rsidP="001D496B">
      <w:pPr>
        <w:pStyle w:val="BodyText"/>
      </w:pPr>
      <w:r w:rsidRPr="00F34999">
        <w:t>The IHS D</w:t>
      </w:r>
      <w:r w:rsidR="00FC522C">
        <w:t>ental</w:t>
      </w:r>
      <w:r w:rsidR="009B344D">
        <w:t xml:space="preserve"> </w:t>
      </w:r>
      <w:r w:rsidRPr="00F34999">
        <w:t xml:space="preserve">Clinic Manager’s Handbook </w:t>
      </w:r>
      <w:r w:rsidR="009B344D">
        <w:t>outlines</w:t>
      </w:r>
      <w:r w:rsidRPr="00F34999">
        <w:t xml:space="preserve"> </w:t>
      </w:r>
      <w:r w:rsidR="009B344D">
        <w:t>the</w:t>
      </w:r>
      <w:r w:rsidRPr="00F34999">
        <w:t xml:space="preserve"> best practice</w:t>
      </w:r>
      <w:r w:rsidR="009B344D">
        <w:t>s</w:t>
      </w:r>
      <w:r w:rsidRPr="00F34999">
        <w:t xml:space="preserve"> for the management and operation of Dentrix Enterprise in </w:t>
      </w:r>
      <w:r w:rsidR="009B344D">
        <w:t>an</w:t>
      </w:r>
      <w:r w:rsidRPr="00F34999">
        <w:t xml:space="preserve"> IHS clinic. This handbook </w:t>
      </w:r>
      <w:r w:rsidR="009B344D">
        <w:t xml:space="preserve">provides guidance for performing </w:t>
      </w:r>
      <w:r w:rsidRPr="00F34999">
        <w:t>specific workflows</w:t>
      </w:r>
      <w:r w:rsidR="009B344D">
        <w:t xml:space="preserve"> in Dentrix Enterprise—f</w:t>
      </w:r>
      <w:r w:rsidRPr="00F34999">
        <w:t xml:space="preserve">rom </w:t>
      </w:r>
      <w:r w:rsidR="009B344D">
        <w:t xml:space="preserve">program </w:t>
      </w:r>
      <w:r w:rsidRPr="00F34999">
        <w:t>configuration to monthly closeout duties</w:t>
      </w:r>
      <w:r w:rsidR="009B344D">
        <w:t>. T</w:t>
      </w:r>
      <w:r w:rsidRPr="00F34999">
        <w:t>h</w:t>
      </w:r>
      <w:r w:rsidR="009B344D">
        <w:t>is</w:t>
      </w:r>
      <w:r w:rsidRPr="00F34999">
        <w:t xml:space="preserve"> </w:t>
      </w:r>
      <w:r w:rsidR="009B344D">
        <w:t>h</w:t>
      </w:r>
      <w:r w:rsidRPr="00F34999">
        <w:t xml:space="preserve">andbook is </w:t>
      </w:r>
      <w:r w:rsidR="009B344D">
        <w:t>your</w:t>
      </w:r>
      <w:r w:rsidRPr="00F34999">
        <w:t xml:space="preserve"> resource </w:t>
      </w:r>
      <w:r w:rsidR="009B344D">
        <w:t>for</w:t>
      </w:r>
      <w:r w:rsidRPr="00F34999">
        <w:t xml:space="preserve"> dental clinic management processes in Dentrix Enterprise.</w:t>
      </w:r>
    </w:p>
    <w:p w14:paraId="56D995AC" w14:textId="04072E96" w:rsidR="00B74060" w:rsidRDefault="00B74060" w:rsidP="001D496B">
      <w:pPr>
        <w:pStyle w:val="BodyText"/>
        <w:sectPr w:rsidR="00B74060" w:rsidSect="00C616BD">
          <w:headerReference w:type="even" r:id="rId24"/>
          <w:headerReference w:type="default" r:id="rId25"/>
          <w:footerReference w:type="even" r:id="rId26"/>
          <w:pgSz w:w="12240" w:h="15840"/>
          <w:pgMar w:top="1440" w:right="1440" w:bottom="1440" w:left="1440" w:header="360" w:footer="360" w:gutter="0"/>
          <w:cols w:space="720"/>
          <w:docGrid w:linePitch="299"/>
        </w:sectPr>
      </w:pPr>
      <w:r>
        <w:t>Note: This document has been updated for Dentrix Enterprise versions up to 11.0.4</w:t>
      </w:r>
      <w:r w:rsidR="00272316">
        <w:t>4</w:t>
      </w:r>
      <w:r>
        <w:t>.</w:t>
      </w:r>
    </w:p>
    <w:p w14:paraId="0A3916EE" w14:textId="2566833B" w:rsidR="006A6338" w:rsidRDefault="004D7510" w:rsidP="004D7510">
      <w:pPr>
        <w:pStyle w:val="Heading1"/>
      </w:pPr>
      <w:bookmarkStart w:id="12" w:name="_Daily_Checklist"/>
      <w:bookmarkStart w:id="13" w:name="_Toc166834286"/>
      <w:bookmarkEnd w:id="12"/>
      <w:r>
        <w:lastRenderedPageBreak/>
        <w:t xml:space="preserve">Daily </w:t>
      </w:r>
      <w:bookmarkStart w:id="14" w:name="_Hlk132712833"/>
      <w:r w:rsidR="007D1CFF">
        <w:t>Checklist</w:t>
      </w:r>
      <w:bookmarkEnd w:id="13"/>
    </w:p>
    <w:p w14:paraId="57DB4EAF" w14:textId="6C4A3029" w:rsidR="00FF74B1" w:rsidRDefault="00FF74B1" w:rsidP="00FF74B1">
      <w:r>
        <w:t>The Daily Clinic Closeout Duties checklist tasks ensure the accuracy of today's entries recorded within Dentrix Enterprise, allow the tracking and reviewing of daily internal key performance indicators, guide preparations for tomorrow's scheduled appointments, and verify the completion of today's insurance revenue processes, where applicable. Use the Daily Checklist Task / Report table below to access detailed task information via the hyperlinks</w:t>
      </w:r>
      <w:r w:rsidR="005F4A16">
        <w:t>,</w:t>
      </w:r>
      <w:r>
        <w:t xml:space="preserve"> and mark each box to indicate a completed task.</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4" w:type="dxa"/>
          <w:left w:w="14" w:type="dxa"/>
          <w:bottom w:w="14" w:type="dxa"/>
          <w:right w:w="14" w:type="dxa"/>
        </w:tblCellMar>
        <w:tblLook w:val="04A0" w:firstRow="1" w:lastRow="0" w:firstColumn="1" w:lastColumn="0" w:noHBand="0" w:noVBand="1"/>
      </w:tblPr>
      <w:tblGrid>
        <w:gridCol w:w="620"/>
        <w:gridCol w:w="3238"/>
        <w:gridCol w:w="1817"/>
        <w:gridCol w:w="1817"/>
        <w:gridCol w:w="1817"/>
        <w:gridCol w:w="1817"/>
        <w:gridCol w:w="1814"/>
      </w:tblGrid>
      <w:tr w:rsidR="00DF3456" w:rsidRPr="00EE4BD6" w14:paraId="6759931A" w14:textId="246B42E4" w:rsidTr="00254590">
        <w:trPr>
          <w:cantSplit/>
          <w:trHeight w:val="360"/>
        </w:trPr>
        <w:tc>
          <w:tcPr>
            <w:tcW w:w="1491" w:type="pct"/>
            <w:gridSpan w:val="2"/>
            <w:vMerge w:val="restart"/>
            <w:shd w:val="clear" w:color="auto" w:fill="F2F2F2" w:themeFill="background1" w:themeFillShade="F2"/>
            <w:tcMar>
              <w:top w:w="14" w:type="dxa"/>
              <w:left w:w="648" w:type="dxa"/>
            </w:tcMar>
          </w:tcPr>
          <w:p w14:paraId="78D0A7AF" w14:textId="1B2FC1E9" w:rsidR="00876604" w:rsidRPr="00E1307E" w:rsidRDefault="00876604" w:rsidP="00C02ACE">
            <w:pPr>
              <w:pStyle w:val="TableText"/>
              <w:spacing w:before="60" w:after="0"/>
              <w:rPr>
                <w:b/>
                <w:bCs/>
                <w:sz w:val="24"/>
                <w:szCs w:val="24"/>
              </w:rPr>
            </w:pPr>
            <w:r w:rsidRPr="00E1307E">
              <w:rPr>
                <w:b/>
                <w:bCs/>
                <w:sz w:val="24"/>
                <w:szCs w:val="24"/>
              </w:rPr>
              <w:t>Task / Report</w:t>
            </w:r>
          </w:p>
        </w:tc>
        <w:tc>
          <w:tcPr>
            <w:tcW w:w="3509" w:type="pct"/>
            <w:gridSpan w:val="5"/>
            <w:shd w:val="clear" w:color="auto" w:fill="F2F2F2" w:themeFill="background1" w:themeFillShade="F2"/>
          </w:tcPr>
          <w:p w14:paraId="41F1D921" w14:textId="1BE88BB2" w:rsidR="00876604" w:rsidRPr="00E1307E" w:rsidRDefault="00876604" w:rsidP="00C02ACE">
            <w:pPr>
              <w:pStyle w:val="TableText"/>
              <w:spacing w:before="60" w:after="0"/>
              <w:jc w:val="center"/>
              <w:rPr>
                <w:b/>
                <w:bCs/>
                <w:sz w:val="24"/>
                <w:szCs w:val="24"/>
              </w:rPr>
            </w:pPr>
            <w:r w:rsidRPr="00E1307E">
              <w:rPr>
                <w:b/>
                <w:bCs/>
                <w:sz w:val="24"/>
                <w:szCs w:val="24"/>
              </w:rPr>
              <w:t>Complet</w:t>
            </w:r>
            <w:r w:rsidR="005A14DC">
              <w:rPr>
                <w:b/>
                <w:bCs/>
                <w:sz w:val="24"/>
                <w:szCs w:val="24"/>
              </w:rPr>
              <w:t>ion Sign-off</w:t>
            </w:r>
          </w:p>
        </w:tc>
      </w:tr>
      <w:tr w:rsidR="00224F85" w:rsidRPr="00EE4BD6" w14:paraId="3B28BF02" w14:textId="2574D75B" w:rsidTr="0027343E">
        <w:trPr>
          <w:cantSplit/>
          <w:trHeight w:val="360"/>
        </w:trPr>
        <w:tc>
          <w:tcPr>
            <w:tcW w:w="1491" w:type="pct"/>
            <w:gridSpan w:val="2"/>
            <w:vMerge/>
            <w:shd w:val="clear" w:color="auto" w:fill="F2F2F2" w:themeFill="background1" w:themeFillShade="F2"/>
            <w:vAlign w:val="center"/>
          </w:tcPr>
          <w:p w14:paraId="2404F705" w14:textId="77777777" w:rsidR="00876604" w:rsidRPr="00E1307E" w:rsidRDefault="00876604" w:rsidP="001F134B">
            <w:pPr>
              <w:pStyle w:val="TableText"/>
              <w:spacing w:after="0"/>
              <w:rPr>
                <w:b/>
                <w:bCs/>
                <w:sz w:val="24"/>
                <w:szCs w:val="24"/>
              </w:rPr>
            </w:pPr>
          </w:p>
        </w:tc>
        <w:tc>
          <w:tcPr>
            <w:tcW w:w="702" w:type="pct"/>
            <w:shd w:val="clear" w:color="auto" w:fill="F2F2F2" w:themeFill="background1" w:themeFillShade="F2"/>
            <w:vAlign w:val="center"/>
          </w:tcPr>
          <w:p w14:paraId="29B26065" w14:textId="2F7C2B79" w:rsidR="00876604" w:rsidRPr="005A14DC" w:rsidRDefault="005A14DC" w:rsidP="001F134B">
            <w:pPr>
              <w:pStyle w:val="TableText"/>
              <w:spacing w:after="0"/>
              <w:jc w:val="center"/>
              <w:rPr>
                <w:sz w:val="24"/>
                <w:szCs w:val="24"/>
              </w:rPr>
            </w:pPr>
            <w:r w:rsidRPr="005A14DC">
              <w:rPr>
                <w:sz w:val="20"/>
                <w:szCs w:val="20"/>
              </w:rPr>
              <w:t>Day 1: ____</w:t>
            </w:r>
            <w:r>
              <w:rPr>
                <w:sz w:val="20"/>
                <w:szCs w:val="20"/>
              </w:rPr>
              <w:t>_</w:t>
            </w:r>
            <w:r w:rsidRPr="005A14DC">
              <w:rPr>
                <w:sz w:val="20"/>
                <w:szCs w:val="20"/>
              </w:rPr>
              <w:t>____</w:t>
            </w:r>
          </w:p>
        </w:tc>
        <w:tc>
          <w:tcPr>
            <w:tcW w:w="702" w:type="pct"/>
            <w:shd w:val="clear" w:color="auto" w:fill="F2F2F2" w:themeFill="background1" w:themeFillShade="F2"/>
            <w:vAlign w:val="center"/>
          </w:tcPr>
          <w:p w14:paraId="7A9A215E" w14:textId="2F7A99DD" w:rsidR="00876604" w:rsidRPr="00E1307E" w:rsidRDefault="005A14DC" w:rsidP="001F134B">
            <w:pPr>
              <w:pStyle w:val="TableText"/>
              <w:spacing w:after="0"/>
              <w:jc w:val="center"/>
              <w:rPr>
                <w:b/>
                <w:bCs/>
                <w:sz w:val="24"/>
                <w:szCs w:val="24"/>
              </w:rPr>
            </w:pPr>
            <w:r w:rsidRPr="005A14DC">
              <w:rPr>
                <w:sz w:val="20"/>
                <w:szCs w:val="20"/>
              </w:rPr>
              <w:t xml:space="preserve">Day </w:t>
            </w:r>
            <w:r>
              <w:rPr>
                <w:sz w:val="20"/>
                <w:szCs w:val="20"/>
              </w:rPr>
              <w:t>2</w:t>
            </w:r>
            <w:r w:rsidRPr="005A14DC">
              <w:rPr>
                <w:sz w:val="20"/>
                <w:szCs w:val="20"/>
              </w:rPr>
              <w:t>: ____</w:t>
            </w:r>
            <w:r>
              <w:rPr>
                <w:sz w:val="20"/>
                <w:szCs w:val="20"/>
              </w:rPr>
              <w:t>_</w:t>
            </w:r>
            <w:r w:rsidRPr="005A14DC">
              <w:rPr>
                <w:sz w:val="20"/>
                <w:szCs w:val="20"/>
              </w:rPr>
              <w:t>____</w:t>
            </w:r>
          </w:p>
        </w:tc>
        <w:tc>
          <w:tcPr>
            <w:tcW w:w="702" w:type="pct"/>
            <w:shd w:val="clear" w:color="auto" w:fill="F2F2F2" w:themeFill="background1" w:themeFillShade="F2"/>
            <w:vAlign w:val="center"/>
          </w:tcPr>
          <w:p w14:paraId="2644E9DA" w14:textId="3EA957D9" w:rsidR="00876604" w:rsidRPr="00E1307E" w:rsidRDefault="005A14DC" w:rsidP="001F134B">
            <w:pPr>
              <w:pStyle w:val="TableText"/>
              <w:spacing w:after="0"/>
              <w:jc w:val="center"/>
              <w:rPr>
                <w:b/>
                <w:bCs/>
                <w:sz w:val="24"/>
                <w:szCs w:val="24"/>
              </w:rPr>
            </w:pPr>
            <w:r w:rsidRPr="005A14DC">
              <w:rPr>
                <w:sz w:val="20"/>
                <w:szCs w:val="20"/>
              </w:rPr>
              <w:t xml:space="preserve">Day </w:t>
            </w:r>
            <w:r>
              <w:rPr>
                <w:sz w:val="20"/>
                <w:szCs w:val="20"/>
              </w:rPr>
              <w:t>3</w:t>
            </w:r>
            <w:r w:rsidRPr="005A14DC">
              <w:rPr>
                <w:sz w:val="20"/>
                <w:szCs w:val="20"/>
              </w:rPr>
              <w:t>: ____</w:t>
            </w:r>
            <w:r>
              <w:rPr>
                <w:sz w:val="20"/>
                <w:szCs w:val="20"/>
              </w:rPr>
              <w:t>_</w:t>
            </w:r>
            <w:r w:rsidRPr="005A14DC">
              <w:rPr>
                <w:sz w:val="20"/>
                <w:szCs w:val="20"/>
              </w:rPr>
              <w:t>____</w:t>
            </w:r>
          </w:p>
        </w:tc>
        <w:tc>
          <w:tcPr>
            <w:tcW w:w="702" w:type="pct"/>
            <w:shd w:val="clear" w:color="auto" w:fill="F2F2F2" w:themeFill="background1" w:themeFillShade="F2"/>
            <w:vAlign w:val="center"/>
          </w:tcPr>
          <w:p w14:paraId="40C5A769" w14:textId="595E3ACA" w:rsidR="00876604" w:rsidRPr="00E1307E" w:rsidRDefault="005A14DC" w:rsidP="001F134B">
            <w:pPr>
              <w:pStyle w:val="TableText"/>
              <w:spacing w:after="0"/>
              <w:jc w:val="center"/>
              <w:rPr>
                <w:b/>
                <w:bCs/>
                <w:sz w:val="24"/>
                <w:szCs w:val="24"/>
              </w:rPr>
            </w:pPr>
            <w:r w:rsidRPr="005A14DC">
              <w:rPr>
                <w:sz w:val="20"/>
                <w:szCs w:val="20"/>
              </w:rPr>
              <w:t xml:space="preserve">Day </w:t>
            </w:r>
            <w:r>
              <w:rPr>
                <w:sz w:val="20"/>
                <w:szCs w:val="20"/>
              </w:rPr>
              <w:t>4</w:t>
            </w:r>
            <w:r w:rsidRPr="005A14DC">
              <w:rPr>
                <w:sz w:val="20"/>
                <w:szCs w:val="20"/>
              </w:rPr>
              <w:t>: ____</w:t>
            </w:r>
            <w:r>
              <w:rPr>
                <w:sz w:val="20"/>
                <w:szCs w:val="20"/>
              </w:rPr>
              <w:t>_</w:t>
            </w:r>
            <w:r w:rsidRPr="005A14DC">
              <w:rPr>
                <w:sz w:val="20"/>
                <w:szCs w:val="20"/>
              </w:rPr>
              <w:t>____</w:t>
            </w:r>
          </w:p>
        </w:tc>
        <w:tc>
          <w:tcPr>
            <w:tcW w:w="701" w:type="pct"/>
            <w:shd w:val="clear" w:color="auto" w:fill="F2F2F2" w:themeFill="background1" w:themeFillShade="F2"/>
            <w:vAlign w:val="center"/>
          </w:tcPr>
          <w:p w14:paraId="0E768971" w14:textId="66600437" w:rsidR="00876604" w:rsidRPr="00E1307E" w:rsidRDefault="005A14DC" w:rsidP="001F134B">
            <w:pPr>
              <w:pStyle w:val="TableText"/>
              <w:spacing w:after="0"/>
              <w:jc w:val="center"/>
              <w:rPr>
                <w:b/>
                <w:bCs/>
                <w:sz w:val="24"/>
                <w:szCs w:val="24"/>
              </w:rPr>
            </w:pPr>
            <w:r w:rsidRPr="005A14DC">
              <w:rPr>
                <w:sz w:val="20"/>
                <w:szCs w:val="20"/>
              </w:rPr>
              <w:t xml:space="preserve">Day </w:t>
            </w:r>
            <w:r>
              <w:rPr>
                <w:sz w:val="20"/>
                <w:szCs w:val="20"/>
              </w:rPr>
              <w:t>5</w:t>
            </w:r>
            <w:r w:rsidRPr="005A14DC">
              <w:rPr>
                <w:sz w:val="20"/>
                <w:szCs w:val="20"/>
              </w:rPr>
              <w:t>: ____</w:t>
            </w:r>
            <w:r>
              <w:rPr>
                <w:sz w:val="20"/>
                <w:szCs w:val="20"/>
              </w:rPr>
              <w:t>_</w:t>
            </w:r>
            <w:r w:rsidRPr="005A14DC">
              <w:rPr>
                <w:sz w:val="20"/>
                <w:szCs w:val="20"/>
              </w:rPr>
              <w:t>____</w:t>
            </w:r>
          </w:p>
        </w:tc>
      </w:tr>
      <w:tr w:rsidR="00715003" w:rsidRPr="00EE4BD6" w14:paraId="75034EC6" w14:textId="43336BF5" w:rsidTr="0027343E">
        <w:trPr>
          <w:cantSplit/>
          <w:trHeight w:val="360"/>
        </w:trPr>
        <w:tc>
          <w:tcPr>
            <w:tcW w:w="240" w:type="pct"/>
            <w:vMerge w:val="restart"/>
            <w:shd w:val="clear" w:color="auto" w:fill="F2F2F2" w:themeFill="background1" w:themeFillShade="F2"/>
            <w:textDirection w:val="btLr"/>
            <w:vAlign w:val="center"/>
          </w:tcPr>
          <w:p w14:paraId="1F9E27DF" w14:textId="79038BE4" w:rsidR="006E1EE0" w:rsidRPr="00EF00C1" w:rsidRDefault="006E1EE0" w:rsidP="0084391E">
            <w:pPr>
              <w:pStyle w:val="TableText"/>
              <w:spacing w:after="0"/>
              <w:jc w:val="center"/>
              <w:rPr>
                <w:b/>
                <w:bCs/>
              </w:rPr>
            </w:pPr>
            <w:r w:rsidRPr="00EF00C1">
              <w:rPr>
                <w:b/>
                <w:bCs/>
              </w:rPr>
              <w:t>Dental Chief</w:t>
            </w:r>
          </w:p>
        </w:tc>
        <w:tc>
          <w:tcPr>
            <w:tcW w:w="1251" w:type="pct"/>
            <w:tcMar>
              <w:left w:w="43" w:type="dxa"/>
              <w:right w:w="43" w:type="dxa"/>
            </w:tcMar>
            <w:vAlign w:val="center"/>
          </w:tcPr>
          <w:p w14:paraId="48CDF12F" w14:textId="250E514C" w:rsidR="006E1EE0" w:rsidRPr="00EF00C1" w:rsidRDefault="00000000" w:rsidP="005D0578">
            <w:pPr>
              <w:pStyle w:val="TableText"/>
              <w:spacing w:after="0"/>
            </w:pPr>
            <w:hyperlink w:anchor="_Day_Sheet_Report" w:history="1">
              <w:r w:rsidR="006E1EE0" w:rsidRPr="00EF00C1">
                <w:rPr>
                  <w:rStyle w:val="Hyperlink"/>
                </w:rPr>
                <w:t>Day Sheet Report (All Clinics / All Providers)</w:t>
              </w:r>
            </w:hyperlink>
          </w:p>
        </w:tc>
        <w:tc>
          <w:tcPr>
            <w:tcW w:w="702" w:type="pct"/>
            <w:shd w:val="clear" w:color="auto" w:fill="auto"/>
            <w:vAlign w:val="center"/>
          </w:tcPr>
          <w:p w14:paraId="519A9E50" w14:textId="5EAB7C3B" w:rsidR="006E1EE0" w:rsidRPr="00543246" w:rsidRDefault="006E1EE0" w:rsidP="009669E3">
            <w:pPr>
              <w:pStyle w:val="TableText"/>
              <w:rPr>
                <w:sz w:val="20"/>
                <w:szCs w:val="20"/>
              </w:rPr>
            </w:pPr>
          </w:p>
        </w:tc>
        <w:tc>
          <w:tcPr>
            <w:tcW w:w="702" w:type="pct"/>
            <w:vAlign w:val="center"/>
          </w:tcPr>
          <w:p w14:paraId="1A99B7B2" w14:textId="77777777" w:rsidR="006E1EE0" w:rsidRPr="00543246" w:rsidRDefault="006E1EE0" w:rsidP="009669E3">
            <w:pPr>
              <w:pStyle w:val="TableText"/>
              <w:rPr>
                <w:sz w:val="20"/>
                <w:szCs w:val="20"/>
              </w:rPr>
            </w:pPr>
          </w:p>
        </w:tc>
        <w:tc>
          <w:tcPr>
            <w:tcW w:w="702" w:type="pct"/>
            <w:vAlign w:val="center"/>
          </w:tcPr>
          <w:p w14:paraId="1BE39EA5" w14:textId="77777777" w:rsidR="006E1EE0" w:rsidRPr="00543246" w:rsidRDefault="006E1EE0" w:rsidP="009669E3">
            <w:pPr>
              <w:pStyle w:val="TableText"/>
              <w:rPr>
                <w:sz w:val="20"/>
                <w:szCs w:val="20"/>
              </w:rPr>
            </w:pPr>
          </w:p>
        </w:tc>
        <w:tc>
          <w:tcPr>
            <w:tcW w:w="702" w:type="pct"/>
            <w:vAlign w:val="center"/>
          </w:tcPr>
          <w:p w14:paraId="784028ED" w14:textId="77777777" w:rsidR="006E1EE0" w:rsidRPr="00543246" w:rsidRDefault="006E1EE0" w:rsidP="009669E3">
            <w:pPr>
              <w:pStyle w:val="TableText"/>
              <w:rPr>
                <w:sz w:val="20"/>
                <w:szCs w:val="20"/>
              </w:rPr>
            </w:pPr>
          </w:p>
        </w:tc>
        <w:tc>
          <w:tcPr>
            <w:tcW w:w="701" w:type="pct"/>
            <w:vAlign w:val="center"/>
          </w:tcPr>
          <w:p w14:paraId="26C17D55" w14:textId="77777777" w:rsidR="006E1EE0" w:rsidRPr="00543246" w:rsidRDefault="006E1EE0" w:rsidP="009669E3">
            <w:pPr>
              <w:pStyle w:val="TableText"/>
              <w:rPr>
                <w:sz w:val="20"/>
                <w:szCs w:val="20"/>
              </w:rPr>
            </w:pPr>
          </w:p>
        </w:tc>
      </w:tr>
      <w:tr w:rsidR="00474FA0" w:rsidRPr="00EE4BD6" w14:paraId="0D9FEF9E" w14:textId="77777777" w:rsidTr="0027343E">
        <w:trPr>
          <w:cantSplit/>
          <w:trHeight w:val="360"/>
        </w:trPr>
        <w:tc>
          <w:tcPr>
            <w:tcW w:w="240" w:type="pct"/>
            <w:vMerge/>
            <w:shd w:val="clear" w:color="auto" w:fill="F2F2F2" w:themeFill="background1" w:themeFillShade="F2"/>
            <w:vAlign w:val="center"/>
          </w:tcPr>
          <w:p w14:paraId="35A88C6B" w14:textId="274E5BFF" w:rsidR="006E1EE0" w:rsidRPr="00EF00C1" w:rsidRDefault="006E1EE0" w:rsidP="00531903">
            <w:pPr>
              <w:pStyle w:val="TableText"/>
              <w:spacing w:after="0"/>
              <w:jc w:val="center"/>
            </w:pPr>
          </w:p>
        </w:tc>
        <w:tc>
          <w:tcPr>
            <w:tcW w:w="1251" w:type="pct"/>
            <w:tcMar>
              <w:left w:w="43" w:type="dxa"/>
              <w:right w:w="43" w:type="dxa"/>
            </w:tcMar>
            <w:vAlign w:val="center"/>
          </w:tcPr>
          <w:p w14:paraId="1E1FB2E0" w14:textId="44BB72AA" w:rsidR="006E1EE0" w:rsidRPr="00EF00C1" w:rsidRDefault="00000000" w:rsidP="005D0578">
            <w:pPr>
              <w:pStyle w:val="TableText"/>
              <w:spacing w:after="0"/>
            </w:pPr>
            <w:hyperlink w:anchor="_Signature_Manager" w:history="1">
              <w:r w:rsidR="006E1EE0" w:rsidRPr="00EF00C1">
                <w:rPr>
                  <w:rStyle w:val="Hyperlink"/>
                </w:rPr>
                <w:t>Signature Manager</w:t>
              </w:r>
            </w:hyperlink>
          </w:p>
        </w:tc>
        <w:tc>
          <w:tcPr>
            <w:tcW w:w="702" w:type="pct"/>
            <w:shd w:val="clear" w:color="auto" w:fill="auto"/>
            <w:vAlign w:val="center"/>
          </w:tcPr>
          <w:p w14:paraId="411DF239" w14:textId="77777777" w:rsidR="006E1EE0" w:rsidRPr="00543246" w:rsidRDefault="006E1EE0" w:rsidP="009669E3">
            <w:pPr>
              <w:pStyle w:val="TableText"/>
              <w:rPr>
                <w:sz w:val="20"/>
                <w:szCs w:val="20"/>
              </w:rPr>
            </w:pPr>
          </w:p>
        </w:tc>
        <w:tc>
          <w:tcPr>
            <w:tcW w:w="702" w:type="pct"/>
            <w:vAlign w:val="center"/>
          </w:tcPr>
          <w:p w14:paraId="34E24D0C" w14:textId="77777777" w:rsidR="006E1EE0" w:rsidRPr="00543246" w:rsidRDefault="006E1EE0" w:rsidP="009669E3">
            <w:pPr>
              <w:pStyle w:val="TableText"/>
              <w:rPr>
                <w:sz w:val="20"/>
                <w:szCs w:val="20"/>
              </w:rPr>
            </w:pPr>
          </w:p>
        </w:tc>
        <w:tc>
          <w:tcPr>
            <w:tcW w:w="702" w:type="pct"/>
            <w:vAlign w:val="center"/>
          </w:tcPr>
          <w:p w14:paraId="68B2A51E" w14:textId="77777777" w:rsidR="006E1EE0" w:rsidRPr="00543246" w:rsidRDefault="006E1EE0" w:rsidP="009669E3">
            <w:pPr>
              <w:pStyle w:val="TableText"/>
              <w:rPr>
                <w:sz w:val="20"/>
                <w:szCs w:val="20"/>
              </w:rPr>
            </w:pPr>
          </w:p>
        </w:tc>
        <w:tc>
          <w:tcPr>
            <w:tcW w:w="702" w:type="pct"/>
            <w:vAlign w:val="center"/>
          </w:tcPr>
          <w:p w14:paraId="28754EFC" w14:textId="77777777" w:rsidR="006E1EE0" w:rsidRPr="00543246" w:rsidRDefault="006E1EE0" w:rsidP="009669E3">
            <w:pPr>
              <w:pStyle w:val="TableText"/>
              <w:rPr>
                <w:sz w:val="20"/>
                <w:szCs w:val="20"/>
              </w:rPr>
            </w:pPr>
          </w:p>
        </w:tc>
        <w:tc>
          <w:tcPr>
            <w:tcW w:w="701" w:type="pct"/>
            <w:vAlign w:val="center"/>
          </w:tcPr>
          <w:p w14:paraId="3763E048" w14:textId="77777777" w:rsidR="006E1EE0" w:rsidRPr="00543246" w:rsidRDefault="006E1EE0" w:rsidP="009669E3">
            <w:pPr>
              <w:pStyle w:val="TableText"/>
              <w:rPr>
                <w:sz w:val="20"/>
                <w:szCs w:val="20"/>
              </w:rPr>
            </w:pPr>
          </w:p>
        </w:tc>
      </w:tr>
      <w:tr w:rsidR="00715003" w:rsidRPr="00EE4BD6" w14:paraId="05D0774B" w14:textId="77777777" w:rsidTr="0027343E">
        <w:trPr>
          <w:cantSplit/>
          <w:trHeight w:val="360"/>
        </w:trPr>
        <w:tc>
          <w:tcPr>
            <w:tcW w:w="240" w:type="pct"/>
            <w:vMerge w:val="restart"/>
            <w:shd w:val="clear" w:color="auto" w:fill="F2F2F2" w:themeFill="background1" w:themeFillShade="F2"/>
            <w:textDirection w:val="btLr"/>
            <w:vAlign w:val="center"/>
          </w:tcPr>
          <w:p w14:paraId="278DC414" w14:textId="09826A9D" w:rsidR="006E1EE0" w:rsidRPr="00EF00C1" w:rsidRDefault="006E1EE0" w:rsidP="0084391E">
            <w:pPr>
              <w:pStyle w:val="TableText"/>
              <w:spacing w:after="0"/>
              <w:jc w:val="center"/>
              <w:rPr>
                <w:b/>
                <w:bCs/>
              </w:rPr>
            </w:pPr>
            <w:r w:rsidRPr="00EF00C1">
              <w:rPr>
                <w:b/>
                <w:bCs/>
              </w:rPr>
              <w:t>Provider</w:t>
            </w:r>
          </w:p>
        </w:tc>
        <w:tc>
          <w:tcPr>
            <w:tcW w:w="1251" w:type="pct"/>
            <w:tcMar>
              <w:left w:w="43" w:type="dxa"/>
              <w:right w:w="43" w:type="dxa"/>
            </w:tcMar>
            <w:vAlign w:val="center"/>
          </w:tcPr>
          <w:p w14:paraId="04A7E9E4" w14:textId="6A10333A" w:rsidR="006E1EE0" w:rsidRPr="00EF00C1" w:rsidRDefault="00000000" w:rsidP="005D0578">
            <w:pPr>
              <w:pStyle w:val="TableText"/>
              <w:spacing w:after="0"/>
            </w:pPr>
            <w:hyperlink w:anchor="_Signature_Manager" w:history="1">
              <w:r w:rsidR="006E1EE0" w:rsidRPr="00EF00C1">
                <w:rPr>
                  <w:rStyle w:val="Hyperlink"/>
                </w:rPr>
                <w:t>Signature Manager</w:t>
              </w:r>
            </w:hyperlink>
          </w:p>
        </w:tc>
        <w:tc>
          <w:tcPr>
            <w:tcW w:w="702" w:type="pct"/>
            <w:shd w:val="clear" w:color="auto" w:fill="auto"/>
            <w:vAlign w:val="center"/>
          </w:tcPr>
          <w:p w14:paraId="38C49344" w14:textId="77777777" w:rsidR="006E1EE0" w:rsidRPr="00543246" w:rsidRDefault="006E1EE0" w:rsidP="009669E3">
            <w:pPr>
              <w:pStyle w:val="TableText"/>
              <w:rPr>
                <w:sz w:val="20"/>
                <w:szCs w:val="20"/>
              </w:rPr>
            </w:pPr>
          </w:p>
        </w:tc>
        <w:tc>
          <w:tcPr>
            <w:tcW w:w="702" w:type="pct"/>
            <w:vAlign w:val="center"/>
          </w:tcPr>
          <w:p w14:paraId="68525D76" w14:textId="77777777" w:rsidR="006E1EE0" w:rsidRPr="00543246" w:rsidRDefault="006E1EE0" w:rsidP="009669E3">
            <w:pPr>
              <w:pStyle w:val="TableText"/>
              <w:rPr>
                <w:sz w:val="20"/>
                <w:szCs w:val="20"/>
              </w:rPr>
            </w:pPr>
          </w:p>
        </w:tc>
        <w:tc>
          <w:tcPr>
            <w:tcW w:w="702" w:type="pct"/>
            <w:vAlign w:val="center"/>
          </w:tcPr>
          <w:p w14:paraId="3AD855D4" w14:textId="77777777" w:rsidR="006E1EE0" w:rsidRPr="00543246" w:rsidRDefault="006E1EE0" w:rsidP="009669E3">
            <w:pPr>
              <w:pStyle w:val="TableText"/>
              <w:rPr>
                <w:sz w:val="20"/>
                <w:szCs w:val="20"/>
              </w:rPr>
            </w:pPr>
          </w:p>
        </w:tc>
        <w:tc>
          <w:tcPr>
            <w:tcW w:w="702" w:type="pct"/>
            <w:vAlign w:val="center"/>
          </w:tcPr>
          <w:p w14:paraId="18617751" w14:textId="77777777" w:rsidR="006E1EE0" w:rsidRPr="00543246" w:rsidRDefault="006E1EE0" w:rsidP="009669E3">
            <w:pPr>
              <w:pStyle w:val="TableText"/>
              <w:rPr>
                <w:sz w:val="20"/>
                <w:szCs w:val="20"/>
              </w:rPr>
            </w:pPr>
          </w:p>
        </w:tc>
        <w:tc>
          <w:tcPr>
            <w:tcW w:w="701" w:type="pct"/>
            <w:vAlign w:val="center"/>
          </w:tcPr>
          <w:p w14:paraId="6E2B14F9" w14:textId="77777777" w:rsidR="006E1EE0" w:rsidRPr="00543246" w:rsidRDefault="006E1EE0" w:rsidP="009669E3">
            <w:pPr>
              <w:pStyle w:val="TableText"/>
              <w:rPr>
                <w:sz w:val="20"/>
                <w:szCs w:val="20"/>
              </w:rPr>
            </w:pPr>
          </w:p>
        </w:tc>
      </w:tr>
      <w:tr w:rsidR="00474FA0" w:rsidRPr="00EE4BD6" w14:paraId="289B8189" w14:textId="58058F51" w:rsidTr="0027343E">
        <w:trPr>
          <w:cantSplit/>
          <w:trHeight w:val="360"/>
        </w:trPr>
        <w:tc>
          <w:tcPr>
            <w:tcW w:w="240" w:type="pct"/>
            <w:vMerge/>
            <w:shd w:val="clear" w:color="auto" w:fill="F2F2F2" w:themeFill="background1" w:themeFillShade="F2"/>
            <w:vAlign w:val="center"/>
          </w:tcPr>
          <w:p w14:paraId="257E31D9" w14:textId="17EA06BD" w:rsidR="006E1EE0" w:rsidRPr="00EF00C1" w:rsidRDefault="006E1EE0" w:rsidP="00531903">
            <w:pPr>
              <w:pStyle w:val="TableText"/>
              <w:spacing w:after="0"/>
              <w:jc w:val="center"/>
            </w:pPr>
          </w:p>
        </w:tc>
        <w:tc>
          <w:tcPr>
            <w:tcW w:w="1251" w:type="pct"/>
            <w:tcMar>
              <w:left w:w="43" w:type="dxa"/>
              <w:right w:w="43" w:type="dxa"/>
            </w:tcMar>
            <w:vAlign w:val="center"/>
          </w:tcPr>
          <w:p w14:paraId="620516B8" w14:textId="723F1FB7" w:rsidR="006E1EE0" w:rsidRPr="00EF00C1" w:rsidRDefault="00000000" w:rsidP="005D0578">
            <w:pPr>
              <w:pStyle w:val="TableText"/>
              <w:spacing w:after="0"/>
            </w:pPr>
            <w:hyperlink w:anchor="_Day_Sheet_Report_1" w:history="1">
              <w:r w:rsidR="006E1EE0" w:rsidRPr="00EF00C1">
                <w:rPr>
                  <w:rStyle w:val="Hyperlink"/>
                </w:rPr>
                <w:t>Day Sheet Report (Individual Provider)</w:t>
              </w:r>
            </w:hyperlink>
          </w:p>
        </w:tc>
        <w:tc>
          <w:tcPr>
            <w:tcW w:w="702" w:type="pct"/>
            <w:shd w:val="clear" w:color="auto" w:fill="auto"/>
            <w:vAlign w:val="center"/>
          </w:tcPr>
          <w:p w14:paraId="1D3F690A" w14:textId="77777777" w:rsidR="006E1EE0" w:rsidRPr="00543246" w:rsidRDefault="006E1EE0" w:rsidP="009669E3">
            <w:pPr>
              <w:pStyle w:val="TableText"/>
              <w:rPr>
                <w:sz w:val="20"/>
                <w:szCs w:val="20"/>
              </w:rPr>
            </w:pPr>
          </w:p>
        </w:tc>
        <w:tc>
          <w:tcPr>
            <w:tcW w:w="702" w:type="pct"/>
            <w:vAlign w:val="center"/>
          </w:tcPr>
          <w:p w14:paraId="676D008E" w14:textId="77777777" w:rsidR="006E1EE0" w:rsidRPr="00543246" w:rsidRDefault="006E1EE0" w:rsidP="009669E3">
            <w:pPr>
              <w:pStyle w:val="TableText"/>
              <w:rPr>
                <w:sz w:val="20"/>
                <w:szCs w:val="20"/>
              </w:rPr>
            </w:pPr>
          </w:p>
        </w:tc>
        <w:tc>
          <w:tcPr>
            <w:tcW w:w="702" w:type="pct"/>
            <w:vAlign w:val="center"/>
          </w:tcPr>
          <w:p w14:paraId="365708FC" w14:textId="77777777" w:rsidR="006E1EE0" w:rsidRPr="00543246" w:rsidRDefault="006E1EE0" w:rsidP="009669E3">
            <w:pPr>
              <w:pStyle w:val="TableText"/>
              <w:rPr>
                <w:sz w:val="20"/>
                <w:szCs w:val="20"/>
              </w:rPr>
            </w:pPr>
          </w:p>
        </w:tc>
        <w:tc>
          <w:tcPr>
            <w:tcW w:w="702" w:type="pct"/>
            <w:vAlign w:val="center"/>
          </w:tcPr>
          <w:p w14:paraId="07754EFB" w14:textId="77777777" w:rsidR="006E1EE0" w:rsidRPr="00543246" w:rsidRDefault="006E1EE0" w:rsidP="009669E3">
            <w:pPr>
              <w:pStyle w:val="TableText"/>
              <w:rPr>
                <w:sz w:val="20"/>
                <w:szCs w:val="20"/>
              </w:rPr>
            </w:pPr>
          </w:p>
        </w:tc>
        <w:tc>
          <w:tcPr>
            <w:tcW w:w="701" w:type="pct"/>
            <w:vAlign w:val="center"/>
          </w:tcPr>
          <w:p w14:paraId="6857F475" w14:textId="77777777" w:rsidR="006E1EE0" w:rsidRPr="00543246" w:rsidRDefault="006E1EE0" w:rsidP="009669E3">
            <w:pPr>
              <w:pStyle w:val="TableText"/>
              <w:rPr>
                <w:sz w:val="20"/>
                <w:szCs w:val="20"/>
              </w:rPr>
            </w:pPr>
          </w:p>
        </w:tc>
      </w:tr>
      <w:tr w:rsidR="00474FA0" w:rsidRPr="00EE4BD6" w14:paraId="33A137A2" w14:textId="0457984A" w:rsidTr="0027343E">
        <w:trPr>
          <w:cantSplit/>
          <w:trHeight w:val="360"/>
        </w:trPr>
        <w:tc>
          <w:tcPr>
            <w:tcW w:w="240" w:type="pct"/>
            <w:vMerge/>
            <w:shd w:val="clear" w:color="auto" w:fill="F2F2F2" w:themeFill="background1" w:themeFillShade="F2"/>
            <w:vAlign w:val="center"/>
          </w:tcPr>
          <w:p w14:paraId="52020509" w14:textId="1BBACC34" w:rsidR="006E1EE0" w:rsidRPr="00EF00C1" w:rsidRDefault="006E1EE0" w:rsidP="00531903">
            <w:pPr>
              <w:pStyle w:val="TableText"/>
              <w:spacing w:after="0"/>
              <w:jc w:val="center"/>
            </w:pPr>
          </w:p>
        </w:tc>
        <w:tc>
          <w:tcPr>
            <w:tcW w:w="1251" w:type="pct"/>
            <w:tcMar>
              <w:left w:w="43" w:type="dxa"/>
              <w:right w:w="43" w:type="dxa"/>
            </w:tcMar>
            <w:vAlign w:val="center"/>
          </w:tcPr>
          <w:p w14:paraId="74342428" w14:textId="062D8A30" w:rsidR="006E1EE0" w:rsidRPr="00EF00C1" w:rsidRDefault="00000000" w:rsidP="005D0578">
            <w:pPr>
              <w:pStyle w:val="TableText"/>
              <w:spacing w:after="0"/>
            </w:pPr>
            <w:hyperlink w:anchor="_Daily_Appointment_List" w:history="1">
              <w:r w:rsidR="006E1EE0" w:rsidRPr="00EF00C1">
                <w:rPr>
                  <w:rStyle w:val="Hyperlink"/>
                </w:rPr>
                <w:t>Daily Appointment List -or- Appointment Book View Printout</w:t>
              </w:r>
            </w:hyperlink>
          </w:p>
        </w:tc>
        <w:tc>
          <w:tcPr>
            <w:tcW w:w="702" w:type="pct"/>
            <w:shd w:val="clear" w:color="auto" w:fill="auto"/>
            <w:vAlign w:val="center"/>
          </w:tcPr>
          <w:p w14:paraId="594D7338" w14:textId="77777777" w:rsidR="006E1EE0" w:rsidRPr="00543246" w:rsidRDefault="006E1EE0" w:rsidP="009669E3">
            <w:pPr>
              <w:pStyle w:val="TableText"/>
              <w:rPr>
                <w:sz w:val="20"/>
                <w:szCs w:val="20"/>
              </w:rPr>
            </w:pPr>
          </w:p>
        </w:tc>
        <w:tc>
          <w:tcPr>
            <w:tcW w:w="702" w:type="pct"/>
            <w:vAlign w:val="center"/>
          </w:tcPr>
          <w:p w14:paraId="533E9F0F" w14:textId="77777777" w:rsidR="006E1EE0" w:rsidRPr="00543246" w:rsidRDefault="006E1EE0" w:rsidP="009669E3">
            <w:pPr>
              <w:pStyle w:val="TableText"/>
              <w:rPr>
                <w:sz w:val="20"/>
                <w:szCs w:val="20"/>
              </w:rPr>
            </w:pPr>
          </w:p>
        </w:tc>
        <w:tc>
          <w:tcPr>
            <w:tcW w:w="702" w:type="pct"/>
            <w:vAlign w:val="center"/>
          </w:tcPr>
          <w:p w14:paraId="7AB2736A" w14:textId="77777777" w:rsidR="006E1EE0" w:rsidRPr="00543246" w:rsidRDefault="006E1EE0" w:rsidP="009669E3">
            <w:pPr>
              <w:pStyle w:val="TableText"/>
              <w:rPr>
                <w:sz w:val="20"/>
                <w:szCs w:val="20"/>
              </w:rPr>
            </w:pPr>
          </w:p>
        </w:tc>
        <w:tc>
          <w:tcPr>
            <w:tcW w:w="702" w:type="pct"/>
            <w:vAlign w:val="center"/>
          </w:tcPr>
          <w:p w14:paraId="644CC1A3" w14:textId="77777777" w:rsidR="006E1EE0" w:rsidRPr="00543246" w:rsidRDefault="006E1EE0" w:rsidP="009669E3">
            <w:pPr>
              <w:pStyle w:val="TableText"/>
              <w:rPr>
                <w:sz w:val="20"/>
                <w:szCs w:val="20"/>
              </w:rPr>
            </w:pPr>
          </w:p>
        </w:tc>
        <w:tc>
          <w:tcPr>
            <w:tcW w:w="701" w:type="pct"/>
            <w:vAlign w:val="center"/>
          </w:tcPr>
          <w:p w14:paraId="2F79EEE1" w14:textId="77777777" w:rsidR="006E1EE0" w:rsidRPr="00543246" w:rsidRDefault="006E1EE0" w:rsidP="009669E3">
            <w:pPr>
              <w:pStyle w:val="TableText"/>
              <w:rPr>
                <w:sz w:val="20"/>
                <w:szCs w:val="20"/>
              </w:rPr>
            </w:pPr>
          </w:p>
        </w:tc>
      </w:tr>
      <w:tr w:rsidR="0027343E" w:rsidRPr="00EE4BD6" w14:paraId="5F812896" w14:textId="1A61FA51" w:rsidTr="0027343E">
        <w:trPr>
          <w:cantSplit/>
          <w:trHeight w:val="360"/>
        </w:trPr>
        <w:tc>
          <w:tcPr>
            <w:tcW w:w="240" w:type="pct"/>
            <w:vMerge w:val="restart"/>
            <w:shd w:val="clear" w:color="auto" w:fill="F2F2F2" w:themeFill="background1" w:themeFillShade="F2"/>
            <w:tcMar>
              <w:top w:w="0" w:type="dxa"/>
              <w:left w:w="43" w:type="dxa"/>
              <w:bottom w:w="0" w:type="dxa"/>
              <w:right w:w="43" w:type="dxa"/>
            </w:tcMar>
            <w:textDirection w:val="btLr"/>
            <w:vAlign w:val="center"/>
          </w:tcPr>
          <w:p w14:paraId="0891DDDE" w14:textId="036C5EFE" w:rsidR="0027343E" w:rsidRPr="00E83EBB" w:rsidRDefault="0027343E" w:rsidP="00FF38B2">
            <w:pPr>
              <w:pStyle w:val="TableText"/>
              <w:spacing w:after="0"/>
              <w:jc w:val="center"/>
              <w:rPr>
                <w:b/>
                <w:bCs/>
              </w:rPr>
            </w:pPr>
            <w:r>
              <w:rPr>
                <w:b/>
                <w:bCs/>
              </w:rPr>
              <w:t>Front Desk</w:t>
            </w:r>
          </w:p>
        </w:tc>
        <w:tc>
          <w:tcPr>
            <w:tcW w:w="1251" w:type="pct"/>
            <w:tcMar>
              <w:left w:w="43" w:type="dxa"/>
              <w:right w:w="43" w:type="dxa"/>
            </w:tcMar>
            <w:vAlign w:val="center"/>
          </w:tcPr>
          <w:p w14:paraId="0AEFA339" w14:textId="66C4404B" w:rsidR="0027343E" w:rsidRPr="00EF00C1" w:rsidRDefault="00000000" w:rsidP="005D0578">
            <w:pPr>
              <w:pStyle w:val="TableText"/>
              <w:spacing w:after="0"/>
            </w:pPr>
            <w:hyperlink w:anchor="_Scheduling_Assistant_(v." w:history="1">
              <w:r w:rsidR="0027343E" w:rsidRPr="00EF00C1">
                <w:rPr>
                  <w:rStyle w:val="Hyperlink"/>
                </w:rPr>
                <w:t>Scheduling Assistant (v. 8.0.9 and later)</w:t>
              </w:r>
            </w:hyperlink>
          </w:p>
        </w:tc>
        <w:tc>
          <w:tcPr>
            <w:tcW w:w="702" w:type="pct"/>
            <w:shd w:val="clear" w:color="auto" w:fill="auto"/>
            <w:vAlign w:val="center"/>
          </w:tcPr>
          <w:p w14:paraId="41B90D1B" w14:textId="7181B3BA" w:rsidR="0027343E" w:rsidRPr="00543246" w:rsidRDefault="0027343E" w:rsidP="009669E3">
            <w:pPr>
              <w:pStyle w:val="TableText"/>
              <w:rPr>
                <w:sz w:val="20"/>
                <w:szCs w:val="20"/>
              </w:rPr>
            </w:pPr>
          </w:p>
        </w:tc>
        <w:tc>
          <w:tcPr>
            <w:tcW w:w="702" w:type="pct"/>
            <w:vAlign w:val="center"/>
          </w:tcPr>
          <w:p w14:paraId="7465608C" w14:textId="77777777" w:rsidR="0027343E" w:rsidRPr="00543246" w:rsidRDefault="0027343E" w:rsidP="009669E3">
            <w:pPr>
              <w:pStyle w:val="TableText"/>
              <w:rPr>
                <w:sz w:val="20"/>
                <w:szCs w:val="20"/>
              </w:rPr>
            </w:pPr>
          </w:p>
        </w:tc>
        <w:tc>
          <w:tcPr>
            <w:tcW w:w="702" w:type="pct"/>
            <w:vAlign w:val="center"/>
          </w:tcPr>
          <w:p w14:paraId="293E286B" w14:textId="77777777" w:rsidR="0027343E" w:rsidRPr="00543246" w:rsidRDefault="0027343E" w:rsidP="009669E3">
            <w:pPr>
              <w:pStyle w:val="TableText"/>
              <w:rPr>
                <w:sz w:val="20"/>
                <w:szCs w:val="20"/>
              </w:rPr>
            </w:pPr>
          </w:p>
        </w:tc>
        <w:tc>
          <w:tcPr>
            <w:tcW w:w="702" w:type="pct"/>
            <w:vAlign w:val="center"/>
          </w:tcPr>
          <w:p w14:paraId="0A5C4FB7" w14:textId="77777777" w:rsidR="0027343E" w:rsidRPr="00543246" w:rsidRDefault="0027343E" w:rsidP="009669E3">
            <w:pPr>
              <w:pStyle w:val="TableText"/>
              <w:rPr>
                <w:sz w:val="20"/>
                <w:szCs w:val="20"/>
              </w:rPr>
            </w:pPr>
          </w:p>
        </w:tc>
        <w:tc>
          <w:tcPr>
            <w:tcW w:w="701" w:type="pct"/>
            <w:vAlign w:val="center"/>
          </w:tcPr>
          <w:p w14:paraId="3BCCBFD5" w14:textId="77777777" w:rsidR="0027343E" w:rsidRPr="00543246" w:rsidRDefault="0027343E" w:rsidP="009669E3">
            <w:pPr>
              <w:pStyle w:val="TableText"/>
              <w:rPr>
                <w:sz w:val="20"/>
                <w:szCs w:val="20"/>
              </w:rPr>
            </w:pPr>
          </w:p>
        </w:tc>
      </w:tr>
      <w:tr w:rsidR="0027343E" w:rsidRPr="00EE4BD6" w14:paraId="4F2F93EA" w14:textId="77777777" w:rsidTr="0027343E">
        <w:trPr>
          <w:cantSplit/>
          <w:trHeight w:val="360"/>
        </w:trPr>
        <w:tc>
          <w:tcPr>
            <w:tcW w:w="240" w:type="pct"/>
            <w:vMerge/>
            <w:shd w:val="clear" w:color="auto" w:fill="F2F2F2" w:themeFill="background1" w:themeFillShade="F2"/>
            <w:tcMar>
              <w:top w:w="0" w:type="dxa"/>
              <w:left w:w="43" w:type="dxa"/>
              <w:bottom w:w="0" w:type="dxa"/>
              <w:right w:w="43" w:type="dxa"/>
            </w:tcMar>
            <w:textDirection w:val="btLr"/>
            <w:vAlign w:val="center"/>
          </w:tcPr>
          <w:p w14:paraId="17E17AFD" w14:textId="77777777" w:rsidR="0027343E" w:rsidRDefault="0027343E" w:rsidP="00FF38B2">
            <w:pPr>
              <w:pStyle w:val="TableText"/>
              <w:spacing w:after="0"/>
              <w:jc w:val="center"/>
              <w:rPr>
                <w:b/>
                <w:bCs/>
              </w:rPr>
            </w:pPr>
          </w:p>
        </w:tc>
        <w:tc>
          <w:tcPr>
            <w:tcW w:w="1251" w:type="pct"/>
            <w:tcMar>
              <w:left w:w="43" w:type="dxa"/>
              <w:right w:w="43" w:type="dxa"/>
            </w:tcMar>
            <w:vAlign w:val="center"/>
          </w:tcPr>
          <w:p w14:paraId="40380C02" w14:textId="4C656141" w:rsidR="0027343E" w:rsidRPr="00B32DD4" w:rsidRDefault="00000000" w:rsidP="005D0578">
            <w:pPr>
              <w:pStyle w:val="TableText"/>
              <w:spacing w:after="0"/>
            </w:pPr>
            <w:hyperlink w:anchor="_*NEW*_NIPRS_Validation" w:history="1">
              <w:r w:rsidR="00FC046A" w:rsidRPr="006E3BEA">
                <w:rPr>
                  <w:rStyle w:val="Hyperlink"/>
                </w:rPr>
                <w:t>*NEW* NPIRS Validation</w:t>
              </w:r>
              <w:r w:rsidR="007A1B68" w:rsidRPr="006E3BEA">
                <w:rPr>
                  <w:rStyle w:val="Hyperlink"/>
                </w:rPr>
                <w:t xml:space="preserve"> </w:t>
              </w:r>
              <w:r w:rsidR="007A1B68" w:rsidRPr="006E3BEA">
                <w:rPr>
                  <w:rStyle w:val="Hyperlink"/>
                </w:rPr>
                <w:br/>
              </w:r>
              <w:r w:rsidR="00FC046A" w:rsidRPr="006E3BEA">
                <w:rPr>
                  <w:rStyle w:val="Hyperlink"/>
                </w:rPr>
                <w:t>(non-RPMS; v. 11.0.44 and later)</w:t>
              </w:r>
            </w:hyperlink>
          </w:p>
        </w:tc>
        <w:tc>
          <w:tcPr>
            <w:tcW w:w="702" w:type="pct"/>
            <w:shd w:val="clear" w:color="auto" w:fill="auto"/>
            <w:vAlign w:val="center"/>
          </w:tcPr>
          <w:p w14:paraId="4131893C" w14:textId="77777777" w:rsidR="0027343E" w:rsidRPr="00543246" w:rsidRDefault="0027343E" w:rsidP="009669E3">
            <w:pPr>
              <w:pStyle w:val="TableText"/>
              <w:rPr>
                <w:sz w:val="20"/>
                <w:szCs w:val="20"/>
              </w:rPr>
            </w:pPr>
          </w:p>
        </w:tc>
        <w:tc>
          <w:tcPr>
            <w:tcW w:w="702" w:type="pct"/>
            <w:vAlign w:val="center"/>
          </w:tcPr>
          <w:p w14:paraId="246A9AD7" w14:textId="77777777" w:rsidR="0027343E" w:rsidRPr="00543246" w:rsidRDefault="0027343E" w:rsidP="009669E3">
            <w:pPr>
              <w:pStyle w:val="TableText"/>
              <w:rPr>
                <w:sz w:val="20"/>
                <w:szCs w:val="20"/>
              </w:rPr>
            </w:pPr>
          </w:p>
        </w:tc>
        <w:tc>
          <w:tcPr>
            <w:tcW w:w="702" w:type="pct"/>
            <w:vAlign w:val="center"/>
          </w:tcPr>
          <w:p w14:paraId="28C2EDFE" w14:textId="77777777" w:rsidR="0027343E" w:rsidRPr="00543246" w:rsidRDefault="0027343E" w:rsidP="009669E3">
            <w:pPr>
              <w:pStyle w:val="TableText"/>
              <w:rPr>
                <w:sz w:val="20"/>
                <w:szCs w:val="20"/>
              </w:rPr>
            </w:pPr>
          </w:p>
        </w:tc>
        <w:tc>
          <w:tcPr>
            <w:tcW w:w="702" w:type="pct"/>
            <w:vAlign w:val="center"/>
          </w:tcPr>
          <w:p w14:paraId="5930F27A" w14:textId="77777777" w:rsidR="0027343E" w:rsidRPr="00543246" w:rsidRDefault="0027343E" w:rsidP="009669E3">
            <w:pPr>
              <w:pStyle w:val="TableText"/>
              <w:rPr>
                <w:sz w:val="20"/>
                <w:szCs w:val="20"/>
              </w:rPr>
            </w:pPr>
          </w:p>
        </w:tc>
        <w:tc>
          <w:tcPr>
            <w:tcW w:w="701" w:type="pct"/>
            <w:vAlign w:val="center"/>
          </w:tcPr>
          <w:p w14:paraId="45D31DEB" w14:textId="77777777" w:rsidR="0027343E" w:rsidRPr="00543246" w:rsidRDefault="0027343E" w:rsidP="009669E3">
            <w:pPr>
              <w:pStyle w:val="TableText"/>
              <w:rPr>
                <w:sz w:val="20"/>
                <w:szCs w:val="20"/>
              </w:rPr>
            </w:pPr>
          </w:p>
        </w:tc>
      </w:tr>
      <w:tr w:rsidR="00715003" w:rsidRPr="00EE4BD6" w14:paraId="6AA947B7" w14:textId="77777777" w:rsidTr="0027343E">
        <w:trPr>
          <w:cantSplit/>
          <w:trHeight w:val="360"/>
        </w:trPr>
        <w:tc>
          <w:tcPr>
            <w:tcW w:w="240" w:type="pct"/>
            <w:vMerge w:val="restart"/>
            <w:shd w:val="clear" w:color="auto" w:fill="F2F2F2" w:themeFill="background1" w:themeFillShade="F2"/>
            <w:textDirection w:val="btLr"/>
            <w:vAlign w:val="center"/>
          </w:tcPr>
          <w:p w14:paraId="16B6BFEE" w14:textId="45AF8072" w:rsidR="006E1EE0" w:rsidRPr="00EF00C1" w:rsidRDefault="006E1EE0" w:rsidP="0084391E">
            <w:pPr>
              <w:pStyle w:val="TableText"/>
              <w:spacing w:after="0"/>
              <w:jc w:val="center"/>
            </w:pPr>
            <w:r w:rsidRPr="00EF00C1">
              <w:rPr>
                <w:b/>
                <w:bCs/>
              </w:rPr>
              <w:t>Billing / Front Desk</w:t>
            </w:r>
          </w:p>
        </w:tc>
        <w:tc>
          <w:tcPr>
            <w:tcW w:w="1251" w:type="pct"/>
            <w:tcMar>
              <w:left w:w="43" w:type="dxa"/>
              <w:right w:w="43" w:type="dxa"/>
            </w:tcMar>
            <w:vAlign w:val="center"/>
          </w:tcPr>
          <w:p w14:paraId="7BEDC128" w14:textId="57B963DB" w:rsidR="006E1EE0" w:rsidRPr="00EF00C1" w:rsidRDefault="00000000" w:rsidP="005D0578">
            <w:pPr>
              <w:pStyle w:val="TableText"/>
              <w:spacing w:after="0"/>
            </w:pPr>
            <w:hyperlink w:anchor="_Insurance_Eligibility_Report" w:history="1">
              <w:r w:rsidR="006E1EE0" w:rsidRPr="00EF00C1">
                <w:rPr>
                  <w:rStyle w:val="Hyperlink"/>
                </w:rPr>
                <w:t>Insurance Eligibility Report</w:t>
              </w:r>
            </w:hyperlink>
          </w:p>
        </w:tc>
        <w:tc>
          <w:tcPr>
            <w:tcW w:w="702" w:type="pct"/>
            <w:shd w:val="clear" w:color="auto" w:fill="auto"/>
            <w:vAlign w:val="center"/>
          </w:tcPr>
          <w:p w14:paraId="6B182878" w14:textId="77777777" w:rsidR="006E1EE0" w:rsidRPr="00543246" w:rsidRDefault="006E1EE0" w:rsidP="009669E3">
            <w:pPr>
              <w:pStyle w:val="TableText"/>
              <w:rPr>
                <w:sz w:val="20"/>
                <w:szCs w:val="20"/>
              </w:rPr>
            </w:pPr>
          </w:p>
        </w:tc>
        <w:tc>
          <w:tcPr>
            <w:tcW w:w="702" w:type="pct"/>
            <w:vAlign w:val="center"/>
          </w:tcPr>
          <w:p w14:paraId="18D57710" w14:textId="77777777" w:rsidR="006E1EE0" w:rsidRPr="00543246" w:rsidRDefault="006E1EE0" w:rsidP="009669E3">
            <w:pPr>
              <w:pStyle w:val="TableText"/>
              <w:rPr>
                <w:sz w:val="20"/>
                <w:szCs w:val="20"/>
              </w:rPr>
            </w:pPr>
          </w:p>
        </w:tc>
        <w:tc>
          <w:tcPr>
            <w:tcW w:w="702" w:type="pct"/>
            <w:vAlign w:val="center"/>
          </w:tcPr>
          <w:p w14:paraId="504550D7" w14:textId="77777777" w:rsidR="006E1EE0" w:rsidRPr="00543246" w:rsidRDefault="006E1EE0" w:rsidP="009669E3">
            <w:pPr>
              <w:pStyle w:val="TableText"/>
              <w:rPr>
                <w:sz w:val="20"/>
                <w:szCs w:val="20"/>
              </w:rPr>
            </w:pPr>
          </w:p>
        </w:tc>
        <w:tc>
          <w:tcPr>
            <w:tcW w:w="702" w:type="pct"/>
            <w:vAlign w:val="center"/>
          </w:tcPr>
          <w:p w14:paraId="0E3B3282" w14:textId="77777777" w:rsidR="006E1EE0" w:rsidRPr="00543246" w:rsidRDefault="006E1EE0" w:rsidP="009669E3">
            <w:pPr>
              <w:pStyle w:val="TableText"/>
              <w:rPr>
                <w:sz w:val="20"/>
                <w:szCs w:val="20"/>
              </w:rPr>
            </w:pPr>
          </w:p>
        </w:tc>
        <w:tc>
          <w:tcPr>
            <w:tcW w:w="701" w:type="pct"/>
            <w:vAlign w:val="center"/>
          </w:tcPr>
          <w:p w14:paraId="100D5602" w14:textId="77777777" w:rsidR="006E1EE0" w:rsidRPr="00543246" w:rsidRDefault="006E1EE0" w:rsidP="009669E3">
            <w:pPr>
              <w:pStyle w:val="TableText"/>
              <w:rPr>
                <w:sz w:val="20"/>
                <w:szCs w:val="20"/>
              </w:rPr>
            </w:pPr>
          </w:p>
        </w:tc>
      </w:tr>
      <w:tr w:rsidR="00474FA0" w:rsidRPr="00EE4BD6" w14:paraId="6AC8E719" w14:textId="151603D4" w:rsidTr="0027343E">
        <w:trPr>
          <w:cantSplit/>
          <w:trHeight w:val="360"/>
        </w:trPr>
        <w:tc>
          <w:tcPr>
            <w:tcW w:w="240" w:type="pct"/>
            <w:vMerge/>
            <w:shd w:val="clear" w:color="auto" w:fill="F2F2F2" w:themeFill="background1" w:themeFillShade="F2"/>
            <w:vAlign w:val="center"/>
          </w:tcPr>
          <w:p w14:paraId="4A955B2F" w14:textId="137B3B2E" w:rsidR="006E1EE0" w:rsidRPr="00EF00C1" w:rsidRDefault="006E1EE0" w:rsidP="00531903">
            <w:pPr>
              <w:pStyle w:val="TableText"/>
              <w:spacing w:after="0"/>
              <w:jc w:val="center"/>
            </w:pPr>
          </w:p>
        </w:tc>
        <w:tc>
          <w:tcPr>
            <w:tcW w:w="1251" w:type="pct"/>
            <w:tcMar>
              <w:left w:w="43" w:type="dxa"/>
              <w:right w:w="43" w:type="dxa"/>
            </w:tcMar>
            <w:vAlign w:val="center"/>
          </w:tcPr>
          <w:p w14:paraId="7661289A" w14:textId="2760487C" w:rsidR="006E1EE0" w:rsidRPr="00EF00C1" w:rsidRDefault="00000000" w:rsidP="005D0578">
            <w:pPr>
              <w:pStyle w:val="TableText"/>
              <w:spacing w:after="0"/>
            </w:pPr>
            <w:hyperlink w:anchor="_Day_Sheet_–" w:history="1">
              <w:r w:rsidR="006E1EE0" w:rsidRPr="00EF00C1">
                <w:rPr>
                  <w:rStyle w:val="Hyperlink"/>
                </w:rPr>
                <w:t>Day Sheet – Deposit Slip</w:t>
              </w:r>
            </w:hyperlink>
          </w:p>
        </w:tc>
        <w:tc>
          <w:tcPr>
            <w:tcW w:w="702" w:type="pct"/>
            <w:shd w:val="clear" w:color="auto" w:fill="auto"/>
            <w:vAlign w:val="center"/>
          </w:tcPr>
          <w:p w14:paraId="573B2C72" w14:textId="77777777" w:rsidR="006E1EE0" w:rsidRPr="00543246" w:rsidRDefault="006E1EE0" w:rsidP="009669E3">
            <w:pPr>
              <w:pStyle w:val="TableText"/>
              <w:rPr>
                <w:sz w:val="20"/>
                <w:szCs w:val="20"/>
              </w:rPr>
            </w:pPr>
          </w:p>
        </w:tc>
        <w:tc>
          <w:tcPr>
            <w:tcW w:w="702" w:type="pct"/>
            <w:vAlign w:val="center"/>
          </w:tcPr>
          <w:p w14:paraId="1A3F472E" w14:textId="77777777" w:rsidR="006E1EE0" w:rsidRPr="00543246" w:rsidRDefault="006E1EE0" w:rsidP="009669E3">
            <w:pPr>
              <w:pStyle w:val="TableText"/>
              <w:rPr>
                <w:sz w:val="20"/>
                <w:szCs w:val="20"/>
              </w:rPr>
            </w:pPr>
          </w:p>
        </w:tc>
        <w:tc>
          <w:tcPr>
            <w:tcW w:w="702" w:type="pct"/>
            <w:vAlign w:val="center"/>
          </w:tcPr>
          <w:p w14:paraId="6716367B" w14:textId="77777777" w:rsidR="006E1EE0" w:rsidRPr="00543246" w:rsidRDefault="006E1EE0" w:rsidP="009669E3">
            <w:pPr>
              <w:pStyle w:val="TableText"/>
              <w:rPr>
                <w:sz w:val="20"/>
                <w:szCs w:val="20"/>
              </w:rPr>
            </w:pPr>
          </w:p>
        </w:tc>
        <w:tc>
          <w:tcPr>
            <w:tcW w:w="702" w:type="pct"/>
            <w:vAlign w:val="center"/>
          </w:tcPr>
          <w:p w14:paraId="05DEF71E" w14:textId="77777777" w:rsidR="006E1EE0" w:rsidRPr="00543246" w:rsidRDefault="006E1EE0" w:rsidP="009669E3">
            <w:pPr>
              <w:pStyle w:val="TableText"/>
              <w:rPr>
                <w:sz w:val="20"/>
                <w:szCs w:val="20"/>
              </w:rPr>
            </w:pPr>
          </w:p>
        </w:tc>
        <w:tc>
          <w:tcPr>
            <w:tcW w:w="701" w:type="pct"/>
            <w:vAlign w:val="center"/>
          </w:tcPr>
          <w:p w14:paraId="089D93D7" w14:textId="77777777" w:rsidR="006E1EE0" w:rsidRPr="00543246" w:rsidRDefault="006E1EE0" w:rsidP="009669E3">
            <w:pPr>
              <w:pStyle w:val="TableText"/>
              <w:rPr>
                <w:sz w:val="20"/>
                <w:szCs w:val="20"/>
              </w:rPr>
            </w:pPr>
          </w:p>
        </w:tc>
      </w:tr>
      <w:tr w:rsidR="00474FA0" w:rsidRPr="00EE4BD6" w14:paraId="2E3E944C" w14:textId="057FA4D3" w:rsidTr="0027343E">
        <w:trPr>
          <w:cantSplit/>
          <w:trHeight w:val="360"/>
        </w:trPr>
        <w:tc>
          <w:tcPr>
            <w:tcW w:w="240" w:type="pct"/>
            <w:vMerge/>
            <w:shd w:val="clear" w:color="auto" w:fill="F2F2F2" w:themeFill="background1" w:themeFillShade="F2"/>
            <w:vAlign w:val="center"/>
          </w:tcPr>
          <w:p w14:paraId="28473399" w14:textId="2B982011" w:rsidR="006E1EE0" w:rsidRPr="00EF00C1" w:rsidRDefault="006E1EE0" w:rsidP="00531903">
            <w:pPr>
              <w:pStyle w:val="TableText"/>
              <w:spacing w:after="0"/>
              <w:jc w:val="center"/>
            </w:pPr>
          </w:p>
        </w:tc>
        <w:tc>
          <w:tcPr>
            <w:tcW w:w="1251" w:type="pct"/>
            <w:tcMar>
              <w:left w:w="43" w:type="dxa"/>
              <w:right w:w="43" w:type="dxa"/>
            </w:tcMar>
            <w:vAlign w:val="center"/>
          </w:tcPr>
          <w:p w14:paraId="7261048A" w14:textId="2B56CBAD" w:rsidR="006E1EE0" w:rsidRPr="00EF00C1" w:rsidRDefault="00000000" w:rsidP="005D0578">
            <w:pPr>
              <w:pStyle w:val="TableText"/>
              <w:spacing w:after="0"/>
            </w:pPr>
            <w:hyperlink w:anchor="_Procedures_Not_Attached" w:history="1">
              <w:r w:rsidR="006E1EE0" w:rsidRPr="00EF00C1">
                <w:rPr>
                  <w:rStyle w:val="Hyperlink"/>
                </w:rPr>
                <w:t>Procedures Not Attached to Insurance Report</w:t>
              </w:r>
            </w:hyperlink>
          </w:p>
        </w:tc>
        <w:tc>
          <w:tcPr>
            <w:tcW w:w="702" w:type="pct"/>
            <w:shd w:val="clear" w:color="auto" w:fill="auto"/>
            <w:vAlign w:val="center"/>
          </w:tcPr>
          <w:p w14:paraId="5C5EDC32" w14:textId="77777777" w:rsidR="006E1EE0" w:rsidRPr="00543246" w:rsidRDefault="006E1EE0" w:rsidP="009669E3">
            <w:pPr>
              <w:pStyle w:val="TableText"/>
              <w:rPr>
                <w:sz w:val="20"/>
                <w:szCs w:val="20"/>
              </w:rPr>
            </w:pPr>
          </w:p>
        </w:tc>
        <w:tc>
          <w:tcPr>
            <w:tcW w:w="702" w:type="pct"/>
            <w:vAlign w:val="center"/>
          </w:tcPr>
          <w:p w14:paraId="0DCA714B" w14:textId="77777777" w:rsidR="006E1EE0" w:rsidRPr="00543246" w:rsidRDefault="006E1EE0" w:rsidP="009669E3">
            <w:pPr>
              <w:pStyle w:val="TableText"/>
              <w:rPr>
                <w:sz w:val="20"/>
                <w:szCs w:val="20"/>
              </w:rPr>
            </w:pPr>
          </w:p>
        </w:tc>
        <w:tc>
          <w:tcPr>
            <w:tcW w:w="702" w:type="pct"/>
            <w:vAlign w:val="center"/>
          </w:tcPr>
          <w:p w14:paraId="25E3131D" w14:textId="77777777" w:rsidR="006E1EE0" w:rsidRPr="00543246" w:rsidRDefault="006E1EE0" w:rsidP="009669E3">
            <w:pPr>
              <w:pStyle w:val="TableText"/>
              <w:rPr>
                <w:sz w:val="20"/>
                <w:szCs w:val="20"/>
              </w:rPr>
            </w:pPr>
          </w:p>
        </w:tc>
        <w:tc>
          <w:tcPr>
            <w:tcW w:w="702" w:type="pct"/>
            <w:vAlign w:val="center"/>
          </w:tcPr>
          <w:p w14:paraId="155844A3" w14:textId="77777777" w:rsidR="006E1EE0" w:rsidRPr="00543246" w:rsidRDefault="006E1EE0" w:rsidP="009669E3">
            <w:pPr>
              <w:pStyle w:val="TableText"/>
              <w:rPr>
                <w:sz w:val="20"/>
                <w:szCs w:val="20"/>
              </w:rPr>
            </w:pPr>
          </w:p>
        </w:tc>
        <w:tc>
          <w:tcPr>
            <w:tcW w:w="701" w:type="pct"/>
            <w:vAlign w:val="center"/>
          </w:tcPr>
          <w:p w14:paraId="0CE2F21F" w14:textId="77777777" w:rsidR="006E1EE0" w:rsidRPr="00543246" w:rsidRDefault="006E1EE0" w:rsidP="009669E3">
            <w:pPr>
              <w:pStyle w:val="TableText"/>
              <w:rPr>
                <w:sz w:val="20"/>
                <w:szCs w:val="20"/>
              </w:rPr>
            </w:pPr>
          </w:p>
        </w:tc>
      </w:tr>
      <w:tr w:rsidR="00474FA0" w:rsidRPr="00EE4BD6" w14:paraId="47415A2C" w14:textId="234AA2C4" w:rsidTr="0027343E">
        <w:trPr>
          <w:cantSplit/>
          <w:trHeight w:val="360"/>
        </w:trPr>
        <w:tc>
          <w:tcPr>
            <w:tcW w:w="240" w:type="pct"/>
            <w:vMerge/>
            <w:shd w:val="clear" w:color="auto" w:fill="F2F2F2" w:themeFill="background1" w:themeFillShade="F2"/>
            <w:vAlign w:val="center"/>
          </w:tcPr>
          <w:p w14:paraId="54988822" w14:textId="64341E57" w:rsidR="006E1EE0" w:rsidRPr="00EF00C1" w:rsidRDefault="006E1EE0" w:rsidP="00531903">
            <w:pPr>
              <w:pStyle w:val="TableText"/>
              <w:spacing w:after="0"/>
              <w:jc w:val="center"/>
            </w:pPr>
          </w:p>
        </w:tc>
        <w:tc>
          <w:tcPr>
            <w:tcW w:w="1251" w:type="pct"/>
            <w:tcMar>
              <w:left w:w="43" w:type="dxa"/>
              <w:right w:w="43" w:type="dxa"/>
            </w:tcMar>
            <w:vAlign w:val="center"/>
          </w:tcPr>
          <w:p w14:paraId="54ED0022" w14:textId="7D93CB05" w:rsidR="006E1EE0" w:rsidRPr="00EF00C1" w:rsidRDefault="00000000" w:rsidP="005D0578">
            <w:pPr>
              <w:pStyle w:val="TableText"/>
              <w:spacing w:after="0"/>
            </w:pPr>
            <w:hyperlink w:anchor="_Secondary_Insurance_Claims" w:history="1">
              <w:r w:rsidR="006E1EE0" w:rsidRPr="00EF00C1">
                <w:rPr>
                  <w:rStyle w:val="Hyperlink"/>
                </w:rPr>
                <w:t>Secondary Insurance Claims Not Created Report</w:t>
              </w:r>
            </w:hyperlink>
          </w:p>
        </w:tc>
        <w:tc>
          <w:tcPr>
            <w:tcW w:w="702" w:type="pct"/>
            <w:shd w:val="clear" w:color="auto" w:fill="auto"/>
            <w:vAlign w:val="center"/>
          </w:tcPr>
          <w:p w14:paraId="44E72D73" w14:textId="77777777" w:rsidR="006E1EE0" w:rsidRPr="00543246" w:rsidRDefault="006E1EE0" w:rsidP="009669E3">
            <w:pPr>
              <w:pStyle w:val="TableText"/>
              <w:rPr>
                <w:sz w:val="20"/>
                <w:szCs w:val="20"/>
              </w:rPr>
            </w:pPr>
          </w:p>
        </w:tc>
        <w:tc>
          <w:tcPr>
            <w:tcW w:w="702" w:type="pct"/>
            <w:vAlign w:val="center"/>
          </w:tcPr>
          <w:p w14:paraId="58467DE4" w14:textId="77777777" w:rsidR="006E1EE0" w:rsidRPr="00543246" w:rsidRDefault="006E1EE0" w:rsidP="009669E3">
            <w:pPr>
              <w:pStyle w:val="TableText"/>
              <w:rPr>
                <w:sz w:val="20"/>
                <w:szCs w:val="20"/>
              </w:rPr>
            </w:pPr>
          </w:p>
        </w:tc>
        <w:tc>
          <w:tcPr>
            <w:tcW w:w="702" w:type="pct"/>
            <w:vAlign w:val="center"/>
          </w:tcPr>
          <w:p w14:paraId="4B180830" w14:textId="77777777" w:rsidR="006E1EE0" w:rsidRPr="00543246" w:rsidRDefault="006E1EE0" w:rsidP="009669E3">
            <w:pPr>
              <w:pStyle w:val="TableText"/>
              <w:rPr>
                <w:sz w:val="20"/>
                <w:szCs w:val="20"/>
              </w:rPr>
            </w:pPr>
          </w:p>
        </w:tc>
        <w:tc>
          <w:tcPr>
            <w:tcW w:w="702" w:type="pct"/>
            <w:vAlign w:val="center"/>
          </w:tcPr>
          <w:p w14:paraId="74004136" w14:textId="77777777" w:rsidR="006E1EE0" w:rsidRPr="00543246" w:rsidRDefault="006E1EE0" w:rsidP="009669E3">
            <w:pPr>
              <w:pStyle w:val="TableText"/>
              <w:rPr>
                <w:sz w:val="20"/>
                <w:szCs w:val="20"/>
              </w:rPr>
            </w:pPr>
          </w:p>
        </w:tc>
        <w:tc>
          <w:tcPr>
            <w:tcW w:w="701" w:type="pct"/>
            <w:vAlign w:val="center"/>
          </w:tcPr>
          <w:p w14:paraId="0152F18E" w14:textId="77777777" w:rsidR="006E1EE0" w:rsidRPr="00543246" w:rsidRDefault="006E1EE0" w:rsidP="009669E3">
            <w:pPr>
              <w:pStyle w:val="TableText"/>
              <w:rPr>
                <w:sz w:val="20"/>
                <w:szCs w:val="20"/>
              </w:rPr>
            </w:pPr>
          </w:p>
        </w:tc>
      </w:tr>
      <w:tr w:rsidR="00474FA0" w:rsidRPr="00EE4BD6" w14:paraId="20DF7701" w14:textId="377E33A5" w:rsidTr="0027343E">
        <w:trPr>
          <w:cantSplit/>
          <w:trHeight w:val="360"/>
        </w:trPr>
        <w:tc>
          <w:tcPr>
            <w:tcW w:w="240" w:type="pct"/>
            <w:vMerge/>
            <w:shd w:val="clear" w:color="auto" w:fill="F2F2F2" w:themeFill="background1" w:themeFillShade="F2"/>
            <w:vAlign w:val="center"/>
          </w:tcPr>
          <w:p w14:paraId="422F5643" w14:textId="6B4D15FC" w:rsidR="006E1EE0" w:rsidRPr="00EF00C1" w:rsidRDefault="006E1EE0" w:rsidP="00531903">
            <w:pPr>
              <w:pStyle w:val="TableText"/>
              <w:spacing w:after="0"/>
              <w:jc w:val="center"/>
            </w:pPr>
          </w:p>
        </w:tc>
        <w:tc>
          <w:tcPr>
            <w:tcW w:w="1251" w:type="pct"/>
            <w:tcMar>
              <w:left w:w="43" w:type="dxa"/>
              <w:right w:w="43" w:type="dxa"/>
            </w:tcMar>
            <w:vAlign w:val="center"/>
          </w:tcPr>
          <w:p w14:paraId="663ABD38" w14:textId="79FAE9CD" w:rsidR="006E1EE0" w:rsidRPr="00EF00C1" w:rsidRDefault="00000000" w:rsidP="005D0578">
            <w:pPr>
              <w:pStyle w:val="TableText"/>
              <w:spacing w:after="0"/>
            </w:pPr>
            <w:hyperlink w:anchor="_Pre-Estimates_Not_Sent" w:history="1">
              <w:r w:rsidR="006E1EE0" w:rsidRPr="00EF00C1">
                <w:rPr>
                  <w:rStyle w:val="Hyperlink"/>
                </w:rPr>
                <w:t>Pre-Estimates Not Sent Report</w:t>
              </w:r>
            </w:hyperlink>
          </w:p>
        </w:tc>
        <w:tc>
          <w:tcPr>
            <w:tcW w:w="702" w:type="pct"/>
            <w:shd w:val="clear" w:color="auto" w:fill="auto"/>
            <w:vAlign w:val="center"/>
          </w:tcPr>
          <w:p w14:paraId="3E841DCA" w14:textId="77777777" w:rsidR="006E1EE0" w:rsidRPr="00543246" w:rsidRDefault="006E1EE0" w:rsidP="009669E3">
            <w:pPr>
              <w:pStyle w:val="TableText"/>
              <w:rPr>
                <w:sz w:val="20"/>
                <w:szCs w:val="20"/>
              </w:rPr>
            </w:pPr>
          </w:p>
        </w:tc>
        <w:tc>
          <w:tcPr>
            <w:tcW w:w="702" w:type="pct"/>
            <w:vAlign w:val="center"/>
          </w:tcPr>
          <w:p w14:paraId="6E0FFE6D" w14:textId="77777777" w:rsidR="006E1EE0" w:rsidRPr="00543246" w:rsidRDefault="006E1EE0" w:rsidP="009669E3">
            <w:pPr>
              <w:pStyle w:val="TableText"/>
              <w:rPr>
                <w:sz w:val="20"/>
                <w:szCs w:val="20"/>
              </w:rPr>
            </w:pPr>
          </w:p>
        </w:tc>
        <w:tc>
          <w:tcPr>
            <w:tcW w:w="702" w:type="pct"/>
            <w:vAlign w:val="center"/>
          </w:tcPr>
          <w:p w14:paraId="40921D18" w14:textId="77777777" w:rsidR="006E1EE0" w:rsidRPr="00543246" w:rsidRDefault="006E1EE0" w:rsidP="009669E3">
            <w:pPr>
              <w:pStyle w:val="TableText"/>
              <w:rPr>
                <w:sz w:val="20"/>
                <w:szCs w:val="20"/>
              </w:rPr>
            </w:pPr>
          </w:p>
        </w:tc>
        <w:tc>
          <w:tcPr>
            <w:tcW w:w="702" w:type="pct"/>
            <w:vAlign w:val="center"/>
          </w:tcPr>
          <w:p w14:paraId="1207DC58" w14:textId="77777777" w:rsidR="006E1EE0" w:rsidRPr="00543246" w:rsidRDefault="006E1EE0" w:rsidP="009669E3">
            <w:pPr>
              <w:pStyle w:val="TableText"/>
              <w:rPr>
                <w:sz w:val="20"/>
                <w:szCs w:val="20"/>
              </w:rPr>
            </w:pPr>
          </w:p>
        </w:tc>
        <w:tc>
          <w:tcPr>
            <w:tcW w:w="701" w:type="pct"/>
            <w:vAlign w:val="center"/>
          </w:tcPr>
          <w:p w14:paraId="7F9005F2" w14:textId="77777777" w:rsidR="006E1EE0" w:rsidRPr="00543246" w:rsidRDefault="006E1EE0" w:rsidP="009669E3">
            <w:pPr>
              <w:pStyle w:val="TableText"/>
              <w:rPr>
                <w:sz w:val="20"/>
                <w:szCs w:val="20"/>
              </w:rPr>
            </w:pPr>
          </w:p>
        </w:tc>
      </w:tr>
      <w:tr w:rsidR="00474FA0" w:rsidRPr="00EE4BD6" w14:paraId="0ACDE4F1" w14:textId="46E2E923" w:rsidTr="0027343E">
        <w:trPr>
          <w:cantSplit/>
          <w:trHeight w:val="360"/>
        </w:trPr>
        <w:tc>
          <w:tcPr>
            <w:tcW w:w="240" w:type="pct"/>
            <w:vMerge/>
            <w:shd w:val="clear" w:color="auto" w:fill="F2F2F2" w:themeFill="background1" w:themeFillShade="F2"/>
            <w:vAlign w:val="center"/>
          </w:tcPr>
          <w:p w14:paraId="151FAC62" w14:textId="4529820C" w:rsidR="006E1EE0" w:rsidRPr="00EF00C1" w:rsidRDefault="006E1EE0" w:rsidP="00531903">
            <w:pPr>
              <w:pStyle w:val="TableText"/>
              <w:spacing w:after="0"/>
              <w:jc w:val="center"/>
            </w:pPr>
          </w:p>
        </w:tc>
        <w:tc>
          <w:tcPr>
            <w:tcW w:w="1251" w:type="pct"/>
            <w:tcMar>
              <w:left w:w="43" w:type="dxa"/>
              <w:right w:w="43" w:type="dxa"/>
            </w:tcMar>
            <w:vAlign w:val="center"/>
          </w:tcPr>
          <w:p w14:paraId="4CDAB951" w14:textId="7A0CC54A" w:rsidR="006E1EE0" w:rsidRPr="00EF00C1" w:rsidRDefault="00000000" w:rsidP="005D0578">
            <w:pPr>
              <w:pStyle w:val="TableText"/>
              <w:spacing w:after="0"/>
            </w:pPr>
            <w:hyperlink w:anchor="_Suspended_Credits_Report" w:history="1">
              <w:r w:rsidR="006E1EE0" w:rsidRPr="00EF00C1">
                <w:rPr>
                  <w:rStyle w:val="Hyperlink"/>
                </w:rPr>
                <w:t>Suspended Credits Report</w:t>
              </w:r>
            </w:hyperlink>
          </w:p>
        </w:tc>
        <w:tc>
          <w:tcPr>
            <w:tcW w:w="702" w:type="pct"/>
            <w:shd w:val="clear" w:color="auto" w:fill="auto"/>
            <w:vAlign w:val="center"/>
          </w:tcPr>
          <w:p w14:paraId="002921FA" w14:textId="77777777" w:rsidR="006E1EE0" w:rsidRPr="00543246" w:rsidRDefault="006E1EE0" w:rsidP="009669E3">
            <w:pPr>
              <w:pStyle w:val="TableText"/>
              <w:rPr>
                <w:sz w:val="20"/>
                <w:szCs w:val="20"/>
              </w:rPr>
            </w:pPr>
          </w:p>
        </w:tc>
        <w:tc>
          <w:tcPr>
            <w:tcW w:w="702" w:type="pct"/>
            <w:vAlign w:val="center"/>
          </w:tcPr>
          <w:p w14:paraId="12C7D8BD" w14:textId="77777777" w:rsidR="006E1EE0" w:rsidRPr="00543246" w:rsidRDefault="006E1EE0" w:rsidP="009669E3">
            <w:pPr>
              <w:pStyle w:val="TableText"/>
              <w:rPr>
                <w:sz w:val="20"/>
                <w:szCs w:val="20"/>
              </w:rPr>
            </w:pPr>
          </w:p>
        </w:tc>
        <w:tc>
          <w:tcPr>
            <w:tcW w:w="702" w:type="pct"/>
            <w:vAlign w:val="center"/>
          </w:tcPr>
          <w:p w14:paraId="6EB75D5A" w14:textId="77777777" w:rsidR="006E1EE0" w:rsidRPr="00543246" w:rsidRDefault="006E1EE0" w:rsidP="009669E3">
            <w:pPr>
              <w:pStyle w:val="TableText"/>
              <w:rPr>
                <w:sz w:val="20"/>
                <w:szCs w:val="20"/>
              </w:rPr>
            </w:pPr>
          </w:p>
        </w:tc>
        <w:tc>
          <w:tcPr>
            <w:tcW w:w="702" w:type="pct"/>
            <w:vAlign w:val="center"/>
          </w:tcPr>
          <w:p w14:paraId="4C5C199A" w14:textId="77777777" w:rsidR="006E1EE0" w:rsidRPr="00543246" w:rsidRDefault="006E1EE0" w:rsidP="009669E3">
            <w:pPr>
              <w:pStyle w:val="TableText"/>
              <w:rPr>
                <w:sz w:val="20"/>
                <w:szCs w:val="20"/>
              </w:rPr>
            </w:pPr>
          </w:p>
        </w:tc>
        <w:tc>
          <w:tcPr>
            <w:tcW w:w="701" w:type="pct"/>
            <w:vAlign w:val="center"/>
          </w:tcPr>
          <w:p w14:paraId="0A16C367" w14:textId="77777777" w:rsidR="006E1EE0" w:rsidRPr="00543246" w:rsidRDefault="006E1EE0" w:rsidP="009669E3">
            <w:pPr>
              <w:pStyle w:val="TableText"/>
              <w:rPr>
                <w:sz w:val="20"/>
                <w:szCs w:val="20"/>
              </w:rPr>
            </w:pPr>
          </w:p>
        </w:tc>
      </w:tr>
      <w:tr w:rsidR="00715003" w:rsidRPr="00EE4BD6" w14:paraId="2BD56061" w14:textId="32004F31" w:rsidTr="0027343E">
        <w:trPr>
          <w:cantSplit/>
          <w:trHeight w:val="360"/>
        </w:trPr>
        <w:tc>
          <w:tcPr>
            <w:tcW w:w="240" w:type="pct"/>
            <w:vMerge w:val="restart"/>
            <w:shd w:val="clear" w:color="auto" w:fill="F2F2F2" w:themeFill="background1" w:themeFillShade="F2"/>
            <w:textDirection w:val="btLr"/>
            <w:vAlign w:val="center"/>
          </w:tcPr>
          <w:p w14:paraId="483ABC7C" w14:textId="2496B5BD" w:rsidR="006E1EE0" w:rsidRPr="00EF00C1" w:rsidRDefault="006E1EE0" w:rsidP="0084391E">
            <w:pPr>
              <w:pStyle w:val="TableText"/>
              <w:spacing w:after="0"/>
              <w:jc w:val="center"/>
              <w:rPr>
                <w:b/>
                <w:bCs/>
              </w:rPr>
            </w:pPr>
            <w:r w:rsidRPr="00EF00C1">
              <w:rPr>
                <w:b/>
                <w:bCs/>
              </w:rPr>
              <w:t>IT</w:t>
            </w:r>
          </w:p>
        </w:tc>
        <w:tc>
          <w:tcPr>
            <w:tcW w:w="1251" w:type="pct"/>
            <w:tcMar>
              <w:left w:w="43" w:type="dxa"/>
              <w:right w:w="43" w:type="dxa"/>
            </w:tcMar>
            <w:vAlign w:val="center"/>
          </w:tcPr>
          <w:p w14:paraId="50C5BA29" w14:textId="5240D702" w:rsidR="006E1EE0" w:rsidRPr="00EF00C1" w:rsidRDefault="00000000" w:rsidP="005D0578">
            <w:pPr>
              <w:pStyle w:val="TableText"/>
              <w:spacing w:after="0"/>
            </w:pPr>
            <w:hyperlink w:anchor="_Daily" w:history="1">
              <w:r w:rsidR="006E1EE0" w:rsidRPr="00EF00C1">
                <w:rPr>
                  <w:rStyle w:val="Hyperlink"/>
                </w:rPr>
                <w:t>Nightly Backup</w:t>
              </w:r>
            </w:hyperlink>
          </w:p>
        </w:tc>
        <w:tc>
          <w:tcPr>
            <w:tcW w:w="702" w:type="pct"/>
            <w:shd w:val="clear" w:color="auto" w:fill="auto"/>
            <w:vAlign w:val="center"/>
          </w:tcPr>
          <w:p w14:paraId="716AD5DE" w14:textId="77777777" w:rsidR="006E1EE0" w:rsidRPr="00543246" w:rsidRDefault="006E1EE0" w:rsidP="009669E3">
            <w:pPr>
              <w:pStyle w:val="TableText"/>
              <w:rPr>
                <w:sz w:val="20"/>
                <w:szCs w:val="20"/>
              </w:rPr>
            </w:pPr>
          </w:p>
        </w:tc>
        <w:tc>
          <w:tcPr>
            <w:tcW w:w="702" w:type="pct"/>
            <w:vAlign w:val="center"/>
          </w:tcPr>
          <w:p w14:paraId="669EDB47" w14:textId="77777777" w:rsidR="006E1EE0" w:rsidRPr="00543246" w:rsidRDefault="006E1EE0" w:rsidP="009669E3">
            <w:pPr>
              <w:pStyle w:val="TableText"/>
              <w:rPr>
                <w:sz w:val="20"/>
                <w:szCs w:val="20"/>
              </w:rPr>
            </w:pPr>
          </w:p>
        </w:tc>
        <w:tc>
          <w:tcPr>
            <w:tcW w:w="702" w:type="pct"/>
            <w:vAlign w:val="center"/>
          </w:tcPr>
          <w:p w14:paraId="6819A12D" w14:textId="77777777" w:rsidR="006E1EE0" w:rsidRPr="00543246" w:rsidRDefault="006E1EE0" w:rsidP="009669E3">
            <w:pPr>
              <w:pStyle w:val="TableText"/>
              <w:rPr>
                <w:sz w:val="20"/>
                <w:szCs w:val="20"/>
              </w:rPr>
            </w:pPr>
          </w:p>
        </w:tc>
        <w:tc>
          <w:tcPr>
            <w:tcW w:w="702" w:type="pct"/>
            <w:vAlign w:val="center"/>
          </w:tcPr>
          <w:p w14:paraId="58635999" w14:textId="77777777" w:rsidR="006E1EE0" w:rsidRPr="00543246" w:rsidRDefault="006E1EE0" w:rsidP="009669E3">
            <w:pPr>
              <w:pStyle w:val="TableText"/>
              <w:rPr>
                <w:sz w:val="20"/>
                <w:szCs w:val="20"/>
              </w:rPr>
            </w:pPr>
          </w:p>
        </w:tc>
        <w:tc>
          <w:tcPr>
            <w:tcW w:w="701" w:type="pct"/>
            <w:vAlign w:val="center"/>
          </w:tcPr>
          <w:p w14:paraId="50EAD069" w14:textId="77777777" w:rsidR="006E1EE0" w:rsidRPr="00543246" w:rsidRDefault="006E1EE0" w:rsidP="009669E3">
            <w:pPr>
              <w:pStyle w:val="TableText"/>
              <w:rPr>
                <w:sz w:val="20"/>
                <w:szCs w:val="20"/>
              </w:rPr>
            </w:pPr>
          </w:p>
        </w:tc>
      </w:tr>
      <w:tr w:rsidR="00DF3456" w:rsidRPr="00EE4BD6" w14:paraId="5AC523F2" w14:textId="16133C0F" w:rsidTr="0027343E">
        <w:trPr>
          <w:cantSplit/>
          <w:trHeight w:val="360"/>
        </w:trPr>
        <w:tc>
          <w:tcPr>
            <w:tcW w:w="240" w:type="pct"/>
            <w:vMerge/>
            <w:shd w:val="clear" w:color="auto" w:fill="F2F2F2" w:themeFill="background1" w:themeFillShade="F2"/>
            <w:vAlign w:val="center"/>
          </w:tcPr>
          <w:p w14:paraId="00AA897C" w14:textId="5AB82C38" w:rsidR="006E1EE0" w:rsidRDefault="006E1EE0" w:rsidP="00531903">
            <w:pPr>
              <w:pStyle w:val="TableText"/>
              <w:spacing w:after="0"/>
              <w:jc w:val="center"/>
            </w:pPr>
          </w:p>
        </w:tc>
        <w:tc>
          <w:tcPr>
            <w:tcW w:w="1251" w:type="pct"/>
            <w:tcMar>
              <w:left w:w="43" w:type="dxa"/>
              <w:right w:w="43" w:type="dxa"/>
            </w:tcMar>
            <w:vAlign w:val="center"/>
          </w:tcPr>
          <w:p w14:paraId="68EE26E3" w14:textId="51660A1E" w:rsidR="006E1EE0" w:rsidRPr="00EF00C1" w:rsidRDefault="00000000" w:rsidP="005D0578">
            <w:pPr>
              <w:pStyle w:val="TableText"/>
              <w:spacing w:after="0"/>
            </w:pPr>
            <w:hyperlink w:anchor="_Daily" w:history="1">
              <w:r w:rsidR="006E1EE0" w:rsidRPr="00EF00C1">
                <w:rPr>
                  <w:rStyle w:val="Hyperlink"/>
                </w:rPr>
                <w:t>SQL Maintenance Plans (Daily)</w:t>
              </w:r>
            </w:hyperlink>
          </w:p>
        </w:tc>
        <w:tc>
          <w:tcPr>
            <w:tcW w:w="702" w:type="pct"/>
            <w:shd w:val="clear" w:color="auto" w:fill="auto"/>
            <w:vAlign w:val="center"/>
          </w:tcPr>
          <w:p w14:paraId="0341AE4A" w14:textId="77777777" w:rsidR="006E1EE0" w:rsidRPr="00543246" w:rsidRDefault="006E1EE0" w:rsidP="009669E3">
            <w:pPr>
              <w:pStyle w:val="TableText"/>
              <w:rPr>
                <w:sz w:val="20"/>
                <w:szCs w:val="20"/>
              </w:rPr>
            </w:pPr>
          </w:p>
        </w:tc>
        <w:tc>
          <w:tcPr>
            <w:tcW w:w="702" w:type="pct"/>
            <w:vAlign w:val="center"/>
          </w:tcPr>
          <w:p w14:paraId="36557DE6" w14:textId="77777777" w:rsidR="006E1EE0" w:rsidRPr="00543246" w:rsidRDefault="006E1EE0" w:rsidP="009669E3">
            <w:pPr>
              <w:pStyle w:val="TableText"/>
              <w:rPr>
                <w:sz w:val="20"/>
                <w:szCs w:val="20"/>
              </w:rPr>
            </w:pPr>
          </w:p>
        </w:tc>
        <w:tc>
          <w:tcPr>
            <w:tcW w:w="702" w:type="pct"/>
            <w:vAlign w:val="center"/>
          </w:tcPr>
          <w:p w14:paraId="36CEEC0C" w14:textId="77777777" w:rsidR="006E1EE0" w:rsidRPr="00543246" w:rsidRDefault="006E1EE0" w:rsidP="009669E3">
            <w:pPr>
              <w:pStyle w:val="TableText"/>
              <w:rPr>
                <w:sz w:val="20"/>
                <w:szCs w:val="20"/>
              </w:rPr>
            </w:pPr>
          </w:p>
        </w:tc>
        <w:tc>
          <w:tcPr>
            <w:tcW w:w="702" w:type="pct"/>
            <w:vAlign w:val="center"/>
          </w:tcPr>
          <w:p w14:paraId="128DBA0C" w14:textId="77777777" w:rsidR="006E1EE0" w:rsidRPr="00543246" w:rsidRDefault="006E1EE0" w:rsidP="009669E3">
            <w:pPr>
              <w:pStyle w:val="TableText"/>
              <w:rPr>
                <w:sz w:val="20"/>
                <w:szCs w:val="20"/>
              </w:rPr>
            </w:pPr>
          </w:p>
        </w:tc>
        <w:tc>
          <w:tcPr>
            <w:tcW w:w="701" w:type="pct"/>
            <w:vAlign w:val="center"/>
          </w:tcPr>
          <w:p w14:paraId="7AF3CEF5" w14:textId="77777777" w:rsidR="006E1EE0" w:rsidRPr="00543246" w:rsidRDefault="006E1EE0" w:rsidP="009669E3">
            <w:pPr>
              <w:pStyle w:val="TableText"/>
              <w:rPr>
                <w:sz w:val="20"/>
                <w:szCs w:val="20"/>
              </w:rPr>
            </w:pPr>
          </w:p>
        </w:tc>
      </w:tr>
      <w:tr w:rsidR="00DF3456" w:rsidRPr="00EE4BD6" w14:paraId="55D8B9AE" w14:textId="653B29B2" w:rsidTr="0027343E">
        <w:trPr>
          <w:cantSplit/>
          <w:trHeight w:val="360"/>
        </w:trPr>
        <w:tc>
          <w:tcPr>
            <w:tcW w:w="240" w:type="pct"/>
            <w:vMerge/>
            <w:shd w:val="clear" w:color="auto" w:fill="F2F2F2" w:themeFill="background1" w:themeFillShade="F2"/>
            <w:vAlign w:val="center"/>
          </w:tcPr>
          <w:p w14:paraId="6B6D8F16" w14:textId="54D84F4C" w:rsidR="006E1EE0" w:rsidRDefault="006E1EE0" w:rsidP="00531903">
            <w:pPr>
              <w:pStyle w:val="TableText"/>
              <w:spacing w:after="0"/>
              <w:jc w:val="center"/>
            </w:pPr>
          </w:p>
        </w:tc>
        <w:tc>
          <w:tcPr>
            <w:tcW w:w="1251" w:type="pct"/>
            <w:tcMar>
              <w:left w:w="43" w:type="dxa"/>
              <w:right w:w="43" w:type="dxa"/>
            </w:tcMar>
            <w:vAlign w:val="center"/>
          </w:tcPr>
          <w:p w14:paraId="6420C90E" w14:textId="2F71866D" w:rsidR="006E1EE0" w:rsidRPr="00EF00C1" w:rsidRDefault="00000000" w:rsidP="005D0578">
            <w:pPr>
              <w:pStyle w:val="TableText"/>
              <w:spacing w:after="0"/>
            </w:pPr>
            <w:hyperlink w:anchor="_Daily" w:history="1">
              <w:r w:rsidR="006E1EE0" w:rsidRPr="00EF00C1">
                <w:rPr>
                  <w:rStyle w:val="Hyperlink"/>
                </w:rPr>
                <w:t>Antivirus Scans (Daily/Continuous)</w:t>
              </w:r>
            </w:hyperlink>
          </w:p>
        </w:tc>
        <w:tc>
          <w:tcPr>
            <w:tcW w:w="702" w:type="pct"/>
            <w:shd w:val="clear" w:color="auto" w:fill="auto"/>
            <w:vAlign w:val="center"/>
          </w:tcPr>
          <w:p w14:paraId="709611CD" w14:textId="77777777" w:rsidR="006E1EE0" w:rsidRPr="00543246" w:rsidRDefault="006E1EE0" w:rsidP="009669E3">
            <w:pPr>
              <w:pStyle w:val="TableText"/>
              <w:rPr>
                <w:sz w:val="20"/>
                <w:szCs w:val="20"/>
              </w:rPr>
            </w:pPr>
          </w:p>
        </w:tc>
        <w:tc>
          <w:tcPr>
            <w:tcW w:w="702" w:type="pct"/>
            <w:vAlign w:val="center"/>
          </w:tcPr>
          <w:p w14:paraId="026D272C" w14:textId="77777777" w:rsidR="006E1EE0" w:rsidRPr="00543246" w:rsidRDefault="006E1EE0" w:rsidP="009669E3">
            <w:pPr>
              <w:pStyle w:val="TableText"/>
              <w:rPr>
                <w:sz w:val="20"/>
                <w:szCs w:val="20"/>
              </w:rPr>
            </w:pPr>
          </w:p>
        </w:tc>
        <w:tc>
          <w:tcPr>
            <w:tcW w:w="702" w:type="pct"/>
            <w:vAlign w:val="center"/>
          </w:tcPr>
          <w:p w14:paraId="0344B4D0" w14:textId="77777777" w:rsidR="006E1EE0" w:rsidRPr="00543246" w:rsidRDefault="006E1EE0" w:rsidP="009669E3">
            <w:pPr>
              <w:pStyle w:val="TableText"/>
              <w:rPr>
                <w:sz w:val="20"/>
                <w:szCs w:val="20"/>
              </w:rPr>
            </w:pPr>
          </w:p>
        </w:tc>
        <w:tc>
          <w:tcPr>
            <w:tcW w:w="702" w:type="pct"/>
            <w:vAlign w:val="center"/>
          </w:tcPr>
          <w:p w14:paraId="4A307155" w14:textId="77777777" w:rsidR="006E1EE0" w:rsidRPr="00543246" w:rsidRDefault="006E1EE0" w:rsidP="009669E3">
            <w:pPr>
              <w:pStyle w:val="TableText"/>
              <w:rPr>
                <w:sz w:val="20"/>
                <w:szCs w:val="20"/>
              </w:rPr>
            </w:pPr>
          </w:p>
        </w:tc>
        <w:tc>
          <w:tcPr>
            <w:tcW w:w="701" w:type="pct"/>
            <w:vAlign w:val="center"/>
          </w:tcPr>
          <w:p w14:paraId="29BB7206" w14:textId="77777777" w:rsidR="006E1EE0" w:rsidRPr="00543246" w:rsidRDefault="006E1EE0" w:rsidP="009669E3">
            <w:pPr>
              <w:pStyle w:val="TableText"/>
              <w:rPr>
                <w:sz w:val="20"/>
                <w:szCs w:val="20"/>
              </w:rPr>
            </w:pPr>
          </w:p>
        </w:tc>
      </w:tr>
    </w:tbl>
    <w:p w14:paraId="532821EA" w14:textId="45BE9A5A" w:rsidR="00551298" w:rsidRDefault="00551298" w:rsidP="00E840B6">
      <w:pPr>
        <w:pStyle w:val="BodyText"/>
      </w:pPr>
      <w:bookmarkStart w:id="15" w:name="_Toc135416588"/>
      <w:bookmarkStart w:id="16" w:name="_Toc135416653"/>
    </w:p>
    <w:p w14:paraId="3C3452BA" w14:textId="77777777" w:rsidR="00551298" w:rsidRDefault="00551298">
      <w:pPr>
        <w:spacing w:after="0"/>
        <w:rPr>
          <w:rFonts w:ascii="Times New Roman" w:hAnsi="Times New Roman"/>
        </w:rPr>
      </w:pPr>
      <w:r>
        <w:br w:type="page"/>
      </w:r>
    </w:p>
    <w:p w14:paraId="6AA486AB" w14:textId="45A9E3F3" w:rsidR="00AA7387" w:rsidRDefault="00AA7387" w:rsidP="004D7510">
      <w:pPr>
        <w:pStyle w:val="Heading1"/>
      </w:pPr>
      <w:bookmarkStart w:id="17" w:name="_Weekly_Checklist"/>
      <w:bookmarkStart w:id="18" w:name="_Toc166834287"/>
      <w:bookmarkEnd w:id="17"/>
      <w:r>
        <w:lastRenderedPageBreak/>
        <w:t>Weekly</w:t>
      </w:r>
      <w:bookmarkEnd w:id="15"/>
      <w:bookmarkEnd w:id="16"/>
      <w:r w:rsidR="004D7510">
        <w:t xml:space="preserve"> </w:t>
      </w:r>
      <w:r w:rsidR="007D1CFF">
        <w:t>Checklist</w:t>
      </w:r>
      <w:bookmarkEnd w:id="18"/>
    </w:p>
    <w:p w14:paraId="5D9E23E1" w14:textId="3F85AEBE" w:rsidR="00D97A18" w:rsidRDefault="00D97A18" w:rsidP="00D97A18">
      <w:r>
        <w:t>The Weekly Clinic Closeout Duties checklist tasks ensure the accuracy of this week's entries recorded within Dentrix Enterprise, allow the tracking and reviewing of internal key performance indicators</w:t>
      </w:r>
      <w:r w:rsidR="000B24E0">
        <w:t>,</w:t>
      </w:r>
      <w:r>
        <w:t xml:space="preserve"> and verify the completion of this week's insurance revenue processes, where applicable. Use the Weekly Checklist Task / Report table below to access detailed task information via the hyperlinks</w:t>
      </w:r>
      <w:r w:rsidR="000B24E0">
        <w:t>,</w:t>
      </w:r>
      <w:r>
        <w:t xml:space="preserve"> and mark each box to indicate a completed task.</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4" w:type="dxa"/>
          <w:left w:w="14" w:type="dxa"/>
          <w:bottom w:w="14" w:type="dxa"/>
          <w:right w:w="14" w:type="dxa"/>
        </w:tblCellMar>
        <w:tblLook w:val="04A0" w:firstRow="1" w:lastRow="0" w:firstColumn="1" w:lastColumn="0" w:noHBand="0" w:noVBand="1"/>
      </w:tblPr>
      <w:tblGrid>
        <w:gridCol w:w="491"/>
        <w:gridCol w:w="3367"/>
        <w:gridCol w:w="2270"/>
        <w:gridCol w:w="2270"/>
        <w:gridCol w:w="2270"/>
        <w:gridCol w:w="2272"/>
      </w:tblGrid>
      <w:tr w:rsidR="00EC446C" w:rsidRPr="00EE4BD6" w14:paraId="38C383F8" w14:textId="77777777" w:rsidTr="00551298">
        <w:trPr>
          <w:cantSplit/>
          <w:trHeight w:val="360"/>
          <w:tblHeader/>
        </w:trPr>
        <w:tc>
          <w:tcPr>
            <w:tcW w:w="1491" w:type="pct"/>
            <w:gridSpan w:val="2"/>
            <w:vMerge w:val="restart"/>
            <w:shd w:val="clear" w:color="auto" w:fill="F2F2F2" w:themeFill="background1" w:themeFillShade="F2"/>
            <w:tcMar>
              <w:left w:w="648" w:type="dxa"/>
            </w:tcMar>
          </w:tcPr>
          <w:p w14:paraId="1667CED0" w14:textId="2D922DF6" w:rsidR="00EC446C" w:rsidRPr="00FB7C6F" w:rsidRDefault="00EC446C" w:rsidP="00C02ACE">
            <w:pPr>
              <w:pStyle w:val="TableText"/>
              <w:spacing w:before="60" w:after="0"/>
              <w:rPr>
                <w:b/>
                <w:bCs/>
                <w:sz w:val="24"/>
                <w:szCs w:val="24"/>
              </w:rPr>
            </w:pPr>
            <w:bookmarkStart w:id="19" w:name="_bookmark3"/>
            <w:bookmarkStart w:id="20" w:name="_bookmark4"/>
            <w:bookmarkEnd w:id="19"/>
            <w:bookmarkEnd w:id="20"/>
            <w:r w:rsidRPr="00FB7C6F">
              <w:rPr>
                <w:b/>
                <w:bCs/>
                <w:sz w:val="24"/>
                <w:szCs w:val="24"/>
              </w:rPr>
              <w:t>Task / Report</w:t>
            </w:r>
          </w:p>
        </w:tc>
        <w:tc>
          <w:tcPr>
            <w:tcW w:w="3509" w:type="pct"/>
            <w:gridSpan w:val="4"/>
            <w:shd w:val="clear" w:color="auto" w:fill="F2F2F2" w:themeFill="background1" w:themeFillShade="F2"/>
          </w:tcPr>
          <w:p w14:paraId="6B66DE84" w14:textId="368D941E" w:rsidR="00EC446C" w:rsidRPr="00FB7C6F" w:rsidRDefault="00EC446C" w:rsidP="00C02ACE">
            <w:pPr>
              <w:pStyle w:val="TableText"/>
              <w:spacing w:before="60" w:after="0"/>
              <w:jc w:val="center"/>
              <w:rPr>
                <w:b/>
                <w:bCs/>
                <w:sz w:val="24"/>
                <w:szCs w:val="24"/>
              </w:rPr>
            </w:pPr>
            <w:r w:rsidRPr="00FB7C6F">
              <w:rPr>
                <w:b/>
                <w:bCs/>
                <w:sz w:val="24"/>
                <w:szCs w:val="24"/>
              </w:rPr>
              <w:t>Complet</w:t>
            </w:r>
            <w:r w:rsidR="005A14DC">
              <w:rPr>
                <w:b/>
                <w:bCs/>
                <w:sz w:val="24"/>
                <w:szCs w:val="24"/>
              </w:rPr>
              <w:t>ion Sign-off</w:t>
            </w:r>
          </w:p>
        </w:tc>
      </w:tr>
      <w:tr w:rsidR="00F05CA3" w:rsidRPr="00EE4BD6" w14:paraId="12151414" w14:textId="77777777" w:rsidTr="00551298">
        <w:trPr>
          <w:cantSplit/>
          <w:trHeight w:val="360"/>
          <w:tblHeader/>
        </w:trPr>
        <w:tc>
          <w:tcPr>
            <w:tcW w:w="1491" w:type="pct"/>
            <w:gridSpan w:val="2"/>
            <w:vMerge/>
            <w:shd w:val="clear" w:color="auto" w:fill="F2F2F2" w:themeFill="background1" w:themeFillShade="F2"/>
          </w:tcPr>
          <w:p w14:paraId="3B8ABA39" w14:textId="77777777" w:rsidR="00F05CA3" w:rsidRPr="00FB7C6F" w:rsidRDefault="00F05CA3" w:rsidP="00590DCB">
            <w:pPr>
              <w:pStyle w:val="TableText"/>
              <w:spacing w:before="80" w:after="0"/>
              <w:rPr>
                <w:b/>
                <w:bCs/>
                <w:sz w:val="24"/>
                <w:szCs w:val="24"/>
              </w:rPr>
            </w:pPr>
          </w:p>
        </w:tc>
        <w:tc>
          <w:tcPr>
            <w:tcW w:w="877" w:type="pct"/>
            <w:shd w:val="clear" w:color="auto" w:fill="F2F2F2" w:themeFill="background1" w:themeFillShade="F2"/>
            <w:vAlign w:val="center"/>
          </w:tcPr>
          <w:p w14:paraId="5416F44C" w14:textId="534187A7" w:rsidR="00F05CA3" w:rsidRPr="00FB7C6F" w:rsidRDefault="005A14DC" w:rsidP="004F50D3">
            <w:pPr>
              <w:pStyle w:val="TableText"/>
              <w:spacing w:before="80" w:after="0"/>
              <w:jc w:val="center"/>
              <w:rPr>
                <w:b/>
                <w:bCs/>
                <w:sz w:val="24"/>
                <w:szCs w:val="24"/>
              </w:rPr>
            </w:pPr>
            <w:r>
              <w:rPr>
                <w:sz w:val="20"/>
                <w:szCs w:val="20"/>
              </w:rPr>
              <w:t>Week</w:t>
            </w:r>
            <w:r w:rsidRPr="005A14DC">
              <w:rPr>
                <w:sz w:val="20"/>
                <w:szCs w:val="20"/>
              </w:rPr>
              <w:t xml:space="preserve"> 1: ____</w:t>
            </w:r>
            <w:r>
              <w:rPr>
                <w:sz w:val="20"/>
                <w:szCs w:val="20"/>
              </w:rPr>
              <w:t>____</w:t>
            </w:r>
            <w:r w:rsidRPr="005A14DC">
              <w:rPr>
                <w:sz w:val="20"/>
                <w:szCs w:val="20"/>
              </w:rPr>
              <w:t>____</w:t>
            </w:r>
          </w:p>
        </w:tc>
        <w:tc>
          <w:tcPr>
            <w:tcW w:w="877" w:type="pct"/>
            <w:shd w:val="clear" w:color="auto" w:fill="F2F2F2" w:themeFill="background1" w:themeFillShade="F2"/>
            <w:vAlign w:val="center"/>
          </w:tcPr>
          <w:p w14:paraId="4F37206E" w14:textId="49B53ECF" w:rsidR="00F05CA3" w:rsidRPr="00FB7C6F" w:rsidRDefault="005A14DC" w:rsidP="004F50D3">
            <w:pPr>
              <w:pStyle w:val="TableText"/>
              <w:spacing w:before="80" w:after="0"/>
              <w:jc w:val="center"/>
              <w:rPr>
                <w:b/>
                <w:bCs/>
                <w:sz w:val="24"/>
                <w:szCs w:val="24"/>
              </w:rPr>
            </w:pPr>
            <w:r>
              <w:rPr>
                <w:sz w:val="20"/>
                <w:szCs w:val="20"/>
              </w:rPr>
              <w:t>Week</w:t>
            </w:r>
            <w:r w:rsidRPr="005A14DC">
              <w:rPr>
                <w:sz w:val="20"/>
                <w:szCs w:val="20"/>
              </w:rPr>
              <w:t xml:space="preserve"> </w:t>
            </w:r>
            <w:r>
              <w:rPr>
                <w:sz w:val="20"/>
                <w:szCs w:val="20"/>
              </w:rPr>
              <w:t>2</w:t>
            </w:r>
            <w:r w:rsidRPr="005A14DC">
              <w:rPr>
                <w:sz w:val="20"/>
                <w:szCs w:val="20"/>
              </w:rPr>
              <w:t>: ____</w:t>
            </w:r>
            <w:r>
              <w:rPr>
                <w:sz w:val="20"/>
                <w:szCs w:val="20"/>
              </w:rPr>
              <w:t>____</w:t>
            </w:r>
            <w:r w:rsidRPr="005A14DC">
              <w:rPr>
                <w:sz w:val="20"/>
                <w:szCs w:val="20"/>
              </w:rPr>
              <w:t>____</w:t>
            </w:r>
          </w:p>
        </w:tc>
        <w:tc>
          <w:tcPr>
            <w:tcW w:w="877" w:type="pct"/>
            <w:shd w:val="clear" w:color="auto" w:fill="F2F2F2" w:themeFill="background1" w:themeFillShade="F2"/>
            <w:vAlign w:val="center"/>
          </w:tcPr>
          <w:p w14:paraId="2C3C452E" w14:textId="3E743146" w:rsidR="00F05CA3" w:rsidRPr="00FB7C6F" w:rsidRDefault="005A14DC" w:rsidP="004F50D3">
            <w:pPr>
              <w:pStyle w:val="TableText"/>
              <w:spacing w:before="80" w:after="0"/>
              <w:jc w:val="center"/>
              <w:rPr>
                <w:b/>
                <w:bCs/>
                <w:sz w:val="24"/>
                <w:szCs w:val="24"/>
              </w:rPr>
            </w:pPr>
            <w:r>
              <w:rPr>
                <w:sz w:val="20"/>
                <w:szCs w:val="20"/>
              </w:rPr>
              <w:t>Week</w:t>
            </w:r>
            <w:r w:rsidRPr="005A14DC">
              <w:rPr>
                <w:sz w:val="20"/>
                <w:szCs w:val="20"/>
              </w:rPr>
              <w:t xml:space="preserve"> </w:t>
            </w:r>
            <w:r>
              <w:rPr>
                <w:sz w:val="20"/>
                <w:szCs w:val="20"/>
              </w:rPr>
              <w:t>3</w:t>
            </w:r>
            <w:r w:rsidRPr="005A14DC">
              <w:rPr>
                <w:sz w:val="20"/>
                <w:szCs w:val="20"/>
              </w:rPr>
              <w:t>: ____</w:t>
            </w:r>
            <w:r>
              <w:rPr>
                <w:sz w:val="20"/>
                <w:szCs w:val="20"/>
              </w:rPr>
              <w:t>____</w:t>
            </w:r>
            <w:r w:rsidRPr="005A14DC">
              <w:rPr>
                <w:sz w:val="20"/>
                <w:szCs w:val="20"/>
              </w:rPr>
              <w:t>____</w:t>
            </w:r>
          </w:p>
        </w:tc>
        <w:tc>
          <w:tcPr>
            <w:tcW w:w="878" w:type="pct"/>
            <w:shd w:val="clear" w:color="auto" w:fill="F2F2F2" w:themeFill="background1" w:themeFillShade="F2"/>
            <w:vAlign w:val="center"/>
          </w:tcPr>
          <w:p w14:paraId="0FA6EE6A" w14:textId="4D194BCC" w:rsidR="00F05CA3" w:rsidRPr="00FB7C6F" w:rsidRDefault="005A14DC" w:rsidP="004F50D3">
            <w:pPr>
              <w:pStyle w:val="TableText"/>
              <w:spacing w:before="80" w:after="0"/>
              <w:jc w:val="center"/>
              <w:rPr>
                <w:b/>
                <w:bCs/>
                <w:sz w:val="24"/>
                <w:szCs w:val="24"/>
              </w:rPr>
            </w:pPr>
            <w:r>
              <w:rPr>
                <w:sz w:val="20"/>
                <w:szCs w:val="20"/>
              </w:rPr>
              <w:t>Week</w:t>
            </w:r>
            <w:r w:rsidRPr="005A14DC">
              <w:rPr>
                <w:sz w:val="20"/>
                <w:szCs w:val="20"/>
              </w:rPr>
              <w:t xml:space="preserve"> </w:t>
            </w:r>
            <w:r>
              <w:rPr>
                <w:sz w:val="20"/>
                <w:szCs w:val="20"/>
              </w:rPr>
              <w:t>4</w:t>
            </w:r>
            <w:r w:rsidRPr="005A14DC">
              <w:rPr>
                <w:sz w:val="20"/>
                <w:szCs w:val="20"/>
              </w:rPr>
              <w:t>: ____</w:t>
            </w:r>
            <w:r>
              <w:rPr>
                <w:sz w:val="20"/>
                <w:szCs w:val="20"/>
              </w:rPr>
              <w:t>____</w:t>
            </w:r>
            <w:r w:rsidRPr="005A14DC">
              <w:rPr>
                <w:sz w:val="20"/>
                <w:szCs w:val="20"/>
              </w:rPr>
              <w:t>____</w:t>
            </w:r>
          </w:p>
        </w:tc>
      </w:tr>
      <w:tr w:rsidR="00F05CA3" w:rsidRPr="00EE4BD6" w14:paraId="569DEC98" w14:textId="77777777" w:rsidTr="005919FC">
        <w:trPr>
          <w:cantSplit/>
          <w:trHeight w:val="335"/>
        </w:trPr>
        <w:tc>
          <w:tcPr>
            <w:tcW w:w="190" w:type="pct"/>
            <w:vMerge w:val="restart"/>
            <w:shd w:val="clear" w:color="auto" w:fill="F2F2F2" w:themeFill="background1" w:themeFillShade="F2"/>
            <w:textDirection w:val="btLr"/>
            <w:vAlign w:val="center"/>
          </w:tcPr>
          <w:p w14:paraId="652DA364" w14:textId="322AB747" w:rsidR="00F05CA3" w:rsidRPr="00487B19" w:rsidRDefault="00F05CA3" w:rsidP="00D05847">
            <w:pPr>
              <w:pStyle w:val="TableText"/>
              <w:spacing w:after="0"/>
              <w:jc w:val="center"/>
              <w:rPr>
                <w:b/>
                <w:bCs/>
              </w:rPr>
            </w:pPr>
            <w:r w:rsidRPr="00487B19">
              <w:rPr>
                <w:b/>
                <w:bCs/>
              </w:rPr>
              <w:t>Dental Chief</w:t>
            </w:r>
          </w:p>
        </w:tc>
        <w:tc>
          <w:tcPr>
            <w:tcW w:w="1301" w:type="pct"/>
            <w:tcMar>
              <w:left w:w="43" w:type="dxa"/>
              <w:right w:w="43" w:type="dxa"/>
            </w:tcMar>
            <w:vAlign w:val="center"/>
          </w:tcPr>
          <w:p w14:paraId="3FAA990F" w14:textId="153D2127" w:rsidR="00F05CA3" w:rsidRPr="00871EA2" w:rsidRDefault="00000000" w:rsidP="00CA66B4">
            <w:pPr>
              <w:pStyle w:val="TableText"/>
            </w:pPr>
            <w:hyperlink w:anchor="_Oral_Health_Status" w:history="1">
              <w:r w:rsidR="00F05CA3" w:rsidRPr="00871EA2">
                <w:rPr>
                  <w:rStyle w:val="Hyperlink"/>
                </w:rPr>
                <w:t>Oral Health Status Report</w:t>
              </w:r>
            </w:hyperlink>
          </w:p>
        </w:tc>
        <w:tc>
          <w:tcPr>
            <w:tcW w:w="877" w:type="pct"/>
            <w:vAlign w:val="center"/>
          </w:tcPr>
          <w:p w14:paraId="0EBEB7BC" w14:textId="0AFE2FDA" w:rsidR="00F05CA3" w:rsidRPr="00871EA2" w:rsidRDefault="00F05CA3" w:rsidP="00EC446C">
            <w:pPr>
              <w:pStyle w:val="TableText"/>
            </w:pPr>
          </w:p>
        </w:tc>
        <w:tc>
          <w:tcPr>
            <w:tcW w:w="877" w:type="pct"/>
            <w:vAlign w:val="center"/>
          </w:tcPr>
          <w:p w14:paraId="6E70AF0E" w14:textId="77777777" w:rsidR="00F05CA3" w:rsidRPr="00871EA2" w:rsidRDefault="00F05CA3" w:rsidP="00EC446C">
            <w:pPr>
              <w:pStyle w:val="TableText"/>
            </w:pPr>
          </w:p>
        </w:tc>
        <w:tc>
          <w:tcPr>
            <w:tcW w:w="877" w:type="pct"/>
            <w:vAlign w:val="center"/>
          </w:tcPr>
          <w:p w14:paraId="76546A08" w14:textId="76F34A27" w:rsidR="00F05CA3" w:rsidRPr="00871EA2" w:rsidRDefault="00F05CA3" w:rsidP="00EC446C">
            <w:pPr>
              <w:pStyle w:val="TableText"/>
            </w:pPr>
          </w:p>
        </w:tc>
        <w:tc>
          <w:tcPr>
            <w:tcW w:w="878" w:type="pct"/>
            <w:shd w:val="clear" w:color="auto" w:fill="auto"/>
            <w:vAlign w:val="center"/>
          </w:tcPr>
          <w:p w14:paraId="459B4E42" w14:textId="60AA0A27" w:rsidR="00F05CA3" w:rsidRPr="00871EA2" w:rsidRDefault="00F05CA3" w:rsidP="00EC446C">
            <w:pPr>
              <w:pStyle w:val="TableText"/>
            </w:pPr>
          </w:p>
        </w:tc>
      </w:tr>
      <w:tr w:rsidR="00F05CA3" w:rsidRPr="00EE4BD6" w14:paraId="2FBC7A2D" w14:textId="77777777" w:rsidTr="005919FC">
        <w:trPr>
          <w:cantSplit/>
          <w:trHeight w:val="308"/>
        </w:trPr>
        <w:tc>
          <w:tcPr>
            <w:tcW w:w="190" w:type="pct"/>
            <w:vMerge/>
            <w:shd w:val="clear" w:color="auto" w:fill="F2F2F2" w:themeFill="background1" w:themeFillShade="F2"/>
            <w:textDirection w:val="btLr"/>
            <w:vAlign w:val="center"/>
          </w:tcPr>
          <w:p w14:paraId="29E79723" w14:textId="49712222"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038A5FC2" w14:textId="583CA736" w:rsidR="00F05CA3" w:rsidRPr="00871EA2" w:rsidRDefault="00000000" w:rsidP="00CA66B4">
            <w:pPr>
              <w:pStyle w:val="TableText"/>
            </w:pPr>
            <w:hyperlink w:anchor="_Signature_Manager_1" w:history="1">
              <w:r w:rsidR="00F05CA3" w:rsidRPr="00871EA2">
                <w:rPr>
                  <w:rStyle w:val="Hyperlink"/>
                </w:rPr>
                <w:t>Signature Manager</w:t>
              </w:r>
            </w:hyperlink>
          </w:p>
        </w:tc>
        <w:tc>
          <w:tcPr>
            <w:tcW w:w="877" w:type="pct"/>
            <w:vAlign w:val="center"/>
          </w:tcPr>
          <w:p w14:paraId="6E885576" w14:textId="547E7B7C" w:rsidR="00F05CA3" w:rsidRPr="00871EA2" w:rsidRDefault="00F05CA3" w:rsidP="00EC446C">
            <w:pPr>
              <w:pStyle w:val="TableText"/>
            </w:pPr>
          </w:p>
        </w:tc>
        <w:tc>
          <w:tcPr>
            <w:tcW w:w="877" w:type="pct"/>
            <w:vAlign w:val="center"/>
          </w:tcPr>
          <w:p w14:paraId="0E22F04E" w14:textId="77777777" w:rsidR="00F05CA3" w:rsidRPr="00871EA2" w:rsidRDefault="00F05CA3" w:rsidP="00EC446C">
            <w:pPr>
              <w:pStyle w:val="TableText"/>
            </w:pPr>
          </w:p>
        </w:tc>
        <w:tc>
          <w:tcPr>
            <w:tcW w:w="877" w:type="pct"/>
            <w:vAlign w:val="center"/>
          </w:tcPr>
          <w:p w14:paraId="76F108D0" w14:textId="2E47A8C9" w:rsidR="00F05CA3" w:rsidRPr="00871EA2" w:rsidRDefault="00F05CA3" w:rsidP="00EC446C">
            <w:pPr>
              <w:pStyle w:val="TableText"/>
            </w:pPr>
          </w:p>
        </w:tc>
        <w:tc>
          <w:tcPr>
            <w:tcW w:w="878" w:type="pct"/>
            <w:shd w:val="clear" w:color="auto" w:fill="auto"/>
            <w:vAlign w:val="center"/>
          </w:tcPr>
          <w:p w14:paraId="7F4394B6" w14:textId="26BE8B41" w:rsidR="00F05CA3" w:rsidRPr="00871EA2" w:rsidRDefault="00F05CA3" w:rsidP="00EC446C">
            <w:pPr>
              <w:pStyle w:val="TableText"/>
            </w:pPr>
          </w:p>
        </w:tc>
      </w:tr>
      <w:tr w:rsidR="00F05CA3" w:rsidRPr="00EE4BD6" w14:paraId="36289AE3" w14:textId="77777777" w:rsidTr="00425DE5">
        <w:trPr>
          <w:cantSplit/>
          <w:trHeight w:val="360"/>
        </w:trPr>
        <w:tc>
          <w:tcPr>
            <w:tcW w:w="190" w:type="pct"/>
            <w:vMerge/>
            <w:shd w:val="clear" w:color="auto" w:fill="F2F2F2" w:themeFill="background1" w:themeFillShade="F2"/>
            <w:textDirection w:val="btLr"/>
            <w:vAlign w:val="center"/>
          </w:tcPr>
          <w:p w14:paraId="7FDFF600" w14:textId="46BC8618"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4DED5D9A" w14:textId="754FBCFE" w:rsidR="00F05CA3" w:rsidRPr="00871EA2" w:rsidRDefault="00000000" w:rsidP="00CA66B4">
            <w:pPr>
              <w:pStyle w:val="TableText"/>
            </w:pPr>
            <w:hyperlink w:anchor="_Provider_A/R_Totals" w:history="1">
              <w:r w:rsidR="00F05CA3" w:rsidRPr="00871EA2">
                <w:rPr>
                  <w:rStyle w:val="Hyperlink"/>
                </w:rPr>
                <w:t>Provider A/R Totals - By Summary of all Providers or By Specific Provider</w:t>
              </w:r>
            </w:hyperlink>
          </w:p>
        </w:tc>
        <w:tc>
          <w:tcPr>
            <w:tcW w:w="877" w:type="pct"/>
            <w:vAlign w:val="center"/>
          </w:tcPr>
          <w:p w14:paraId="262CC3AD" w14:textId="77777777" w:rsidR="00F05CA3" w:rsidRPr="00871EA2" w:rsidRDefault="00F05CA3" w:rsidP="00EC446C">
            <w:pPr>
              <w:pStyle w:val="TableText"/>
            </w:pPr>
          </w:p>
        </w:tc>
        <w:tc>
          <w:tcPr>
            <w:tcW w:w="877" w:type="pct"/>
            <w:vAlign w:val="center"/>
          </w:tcPr>
          <w:p w14:paraId="30E699C3" w14:textId="77777777" w:rsidR="00F05CA3" w:rsidRPr="00871EA2" w:rsidRDefault="00F05CA3" w:rsidP="00EC446C">
            <w:pPr>
              <w:pStyle w:val="TableText"/>
            </w:pPr>
          </w:p>
        </w:tc>
        <w:tc>
          <w:tcPr>
            <w:tcW w:w="877" w:type="pct"/>
            <w:vAlign w:val="center"/>
          </w:tcPr>
          <w:p w14:paraId="6D57323E" w14:textId="21FAE316" w:rsidR="00F05CA3" w:rsidRPr="00871EA2" w:rsidRDefault="00F05CA3" w:rsidP="00EC446C">
            <w:pPr>
              <w:pStyle w:val="TableText"/>
            </w:pPr>
          </w:p>
        </w:tc>
        <w:tc>
          <w:tcPr>
            <w:tcW w:w="878" w:type="pct"/>
            <w:shd w:val="clear" w:color="auto" w:fill="auto"/>
            <w:vAlign w:val="center"/>
          </w:tcPr>
          <w:p w14:paraId="1E5B7873" w14:textId="1BC846F7" w:rsidR="00F05CA3" w:rsidRPr="00871EA2" w:rsidRDefault="00F05CA3" w:rsidP="00EC446C">
            <w:pPr>
              <w:pStyle w:val="TableText"/>
            </w:pPr>
          </w:p>
        </w:tc>
      </w:tr>
      <w:tr w:rsidR="00F05CA3" w:rsidRPr="00EE4BD6" w14:paraId="7EF5F400" w14:textId="77777777" w:rsidTr="005919FC">
        <w:trPr>
          <w:cantSplit/>
          <w:trHeight w:val="299"/>
        </w:trPr>
        <w:tc>
          <w:tcPr>
            <w:tcW w:w="190" w:type="pct"/>
            <w:vMerge/>
            <w:shd w:val="clear" w:color="auto" w:fill="F2F2F2" w:themeFill="background1" w:themeFillShade="F2"/>
            <w:textDirection w:val="btLr"/>
            <w:vAlign w:val="center"/>
          </w:tcPr>
          <w:p w14:paraId="0E339A0A" w14:textId="77777777"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6CA93C55" w14:textId="592DF7BB" w:rsidR="00F05CA3" w:rsidRPr="00871EA2" w:rsidRDefault="00000000" w:rsidP="00CA66B4">
            <w:pPr>
              <w:pStyle w:val="TableText"/>
            </w:pPr>
            <w:hyperlink w:anchor="_Analysis_Summary" w:history="1">
              <w:r w:rsidR="00F05CA3" w:rsidRPr="00871EA2">
                <w:rPr>
                  <w:rStyle w:val="Hyperlink"/>
                </w:rPr>
                <w:t>Analysis Summary</w:t>
              </w:r>
            </w:hyperlink>
          </w:p>
        </w:tc>
        <w:tc>
          <w:tcPr>
            <w:tcW w:w="877" w:type="pct"/>
            <w:vAlign w:val="center"/>
          </w:tcPr>
          <w:p w14:paraId="337C8CC1" w14:textId="77777777" w:rsidR="00F05CA3" w:rsidRPr="00871EA2" w:rsidRDefault="00F05CA3" w:rsidP="00EC446C">
            <w:pPr>
              <w:pStyle w:val="TableText"/>
            </w:pPr>
          </w:p>
        </w:tc>
        <w:tc>
          <w:tcPr>
            <w:tcW w:w="877" w:type="pct"/>
            <w:vAlign w:val="center"/>
          </w:tcPr>
          <w:p w14:paraId="43118D8A" w14:textId="77777777" w:rsidR="00F05CA3" w:rsidRPr="00871EA2" w:rsidRDefault="00F05CA3" w:rsidP="00EC446C">
            <w:pPr>
              <w:pStyle w:val="TableText"/>
            </w:pPr>
          </w:p>
        </w:tc>
        <w:tc>
          <w:tcPr>
            <w:tcW w:w="877" w:type="pct"/>
            <w:vAlign w:val="center"/>
          </w:tcPr>
          <w:p w14:paraId="2EE4642D" w14:textId="2D8ADB73" w:rsidR="00F05CA3" w:rsidRPr="00871EA2" w:rsidRDefault="00F05CA3" w:rsidP="00EC446C">
            <w:pPr>
              <w:pStyle w:val="TableText"/>
            </w:pPr>
          </w:p>
        </w:tc>
        <w:tc>
          <w:tcPr>
            <w:tcW w:w="878" w:type="pct"/>
            <w:shd w:val="clear" w:color="auto" w:fill="auto"/>
            <w:vAlign w:val="center"/>
          </w:tcPr>
          <w:p w14:paraId="4C3095F7" w14:textId="727FE0EA" w:rsidR="00F05CA3" w:rsidRPr="00871EA2" w:rsidRDefault="00F05CA3" w:rsidP="00EC446C">
            <w:pPr>
              <w:pStyle w:val="TableText"/>
            </w:pPr>
          </w:p>
        </w:tc>
      </w:tr>
      <w:tr w:rsidR="00F05CA3" w:rsidRPr="00EE4BD6" w14:paraId="37CFF4A6" w14:textId="77777777" w:rsidTr="005919FC">
        <w:trPr>
          <w:cantSplit/>
          <w:trHeight w:val="308"/>
        </w:trPr>
        <w:tc>
          <w:tcPr>
            <w:tcW w:w="190" w:type="pct"/>
            <w:vMerge w:val="restart"/>
            <w:shd w:val="clear" w:color="auto" w:fill="F2F2F2" w:themeFill="background1" w:themeFillShade="F2"/>
            <w:textDirection w:val="btLr"/>
            <w:vAlign w:val="center"/>
          </w:tcPr>
          <w:p w14:paraId="52D50749" w14:textId="23E790A6" w:rsidR="00F05CA3" w:rsidRPr="00487B19" w:rsidRDefault="00F05CA3" w:rsidP="00D05847">
            <w:pPr>
              <w:pStyle w:val="TableText"/>
              <w:spacing w:after="0"/>
              <w:jc w:val="center"/>
              <w:rPr>
                <w:b/>
                <w:bCs/>
              </w:rPr>
            </w:pPr>
            <w:r w:rsidRPr="00487B19">
              <w:rPr>
                <w:b/>
                <w:bCs/>
              </w:rPr>
              <w:t>Provider</w:t>
            </w:r>
          </w:p>
        </w:tc>
        <w:tc>
          <w:tcPr>
            <w:tcW w:w="1301" w:type="pct"/>
            <w:tcMar>
              <w:left w:w="43" w:type="dxa"/>
              <w:right w:w="43" w:type="dxa"/>
            </w:tcMar>
            <w:vAlign w:val="center"/>
          </w:tcPr>
          <w:p w14:paraId="51856C5C" w14:textId="42E27349" w:rsidR="00F05CA3" w:rsidRPr="00871EA2" w:rsidRDefault="00000000" w:rsidP="00CA66B4">
            <w:pPr>
              <w:pStyle w:val="TableText"/>
            </w:pPr>
            <w:hyperlink w:anchor="_Signature_Manager_1" w:history="1">
              <w:r w:rsidR="00F05CA3" w:rsidRPr="00871EA2">
                <w:rPr>
                  <w:rStyle w:val="Hyperlink"/>
                </w:rPr>
                <w:t>Signature Manager</w:t>
              </w:r>
            </w:hyperlink>
          </w:p>
        </w:tc>
        <w:tc>
          <w:tcPr>
            <w:tcW w:w="877" w:type="pct"/>
            <w:vAlign w:val="center"/>
          </w:tcPr>
          <w:p w14:paraId="069AF465" w14:textId="77777777" w:rsidR="00F05CA3" w:rsidRPr="00871EA2" w:rsidRDefault="00F05CA3" w:rsidP="00EC446C">
            <w:pPr>
              <w:pStyle w:val="TableText"/>
            </w:pPr>
          </w:p>
        </w:tc>
        <w:tc>
          <w:tcPr>
            <w:tcW w:w="877" w:type="pct"/>
            <w:vAlign w:val="center"/>
          </w:tcPr>
          <w:p w14:paraId="3434280A" w14:textId="77777777" w:rsidR="00F05CA3" w:rsidRPr="00871EA2" w:rsidRDefault="00F05CA3" w:rsidP="00EC446C">
            <w:pPr>
              <w:pStyle w:val="TableText"/>
            </w:pPr>
          </w:p>
        </w:tc>
        <w:tc>
          <w:tcPr>
            <w:tcW w:w="877" w:type="pct"/>
            <w:vAlign w:val="center"/>
          </w:tcPr>
          <w:p w14:paraId="261B63C8" w14:textId="0C8A643D" w:rsidR="00F05CA3" w:rsidRPr="00871EA2" w:rsidRDefault="00F05CA3" w:rsidP="00EC446C">
            <w:pPr>
              <w:pStyle w:val="TableText"/>
            </w:pPr>
          </w:p>
        </w:tc>
        <w:tc>
          <w:tcPr>
            <w:tcW w:w="878" w:type="pct"/>
            <w:shd w:val="clear" w:color="auto" w:fill="auto"/>
            <w:vAlign w:val="center"/>
          </w:tcPr>
          <w:p w14:paraId="019E7A8C" w14:textId="40FF8844" w:rsidR="00F05CA3" w:rsidRPr="00871EA2" w:rsidRDefault="00F05CA3" w:rsidP="00EC446C">
            <w:pPr>
              <w:pStyle w:val="TableText"/>
            </w:pPr>
          </w:p>
        </w:tc>
      </w:tr>
      <w:tr w:rsidR="00F05CA3" w:rsidRPr="00EE4BD6" w14:paraId="0690C64F" w14:textId="77777777" w:rsidTr="00425DE5">
        <w:trPr>
          <w:cantSplit/>
          <w:trHeight w:val="360"/>
        </w:trPr>
        <w:tc>
          <w:tcPr>
            <w:tcW w:w="190" w:type="pct"/>
            <w:vMerge/>
            <w:shd w:val="clear" w:color="auto" w:fill="F2F2F2" w:themeFill="background1" w:themeFillShade="F2"/>
            <w:textDirection w:val="btLr"/>
            <w:vAlign w:val="center"/>
          </w:tcPr>
          <w:p w14:paraId="558575D1" w14:textId="4A415090"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7C05C291" w14:textId="7A1F994A" w:rsidR="00F05CA3" w:rsidRPr="00871EA2" w:rsidRDefault="00000000" w:rsidP="00CA66B4">
            <w:pPr>
              <w:pStyle w:val="TableText"/>
            </w:pPr>
            <w:hyperlink w:anchor="_Provider_A/R_Totals" w:history="1">
              <w:r w:rsidR="00F05CA3" w:rsidRPr="00871EA2">
                <w:rPr>
                  <w:rStyle w:val="Hyperlink"/>
                </w:rPr>
                <w:t>Provider A/R Totals - By Summary of all Providers or By Specific Provider</w:t>
              </w:r>
            </w:hyperlink>
          </w:p>
        </w:tc>
        <w:tc>
          <w:tcPr>
            <w:tcW w:w="877" w:type="pct"/>
            <w:vAlign w:val="center"/>
          </w:tcPr>
          <w:p w14:paraId="0406273F" w14:textId="77777777" w:rsidR="00F05CA3" w:rsidRPr="00871EA2" w:rsidRDefault="00F05CA3" w:rsidP="00EC446C">
            <w:pPr>
              <w:pStyle w:val="TableText"/>
            </w:pPr>
          </w:p>
        </w:tc>
        <w:tc>
          <w:tcPr>
            <w:tcW w:w="877" w:type="pct"/>
            <w:vAlign w:val="center"/>
          </w:tcPr>
          <w:p w14:paraId="0C322210" w14:textId="77777777" w:rsidR="00F05CA3" w:rsidRPr="00871EA2" w:rsidRDefault="00F05CA3" w:rsidP="00EC446C">
            <w:pPr>
              <w:pStyle w:val="TableText"/>
            </w:pPr>
          </w:p>
        </w:tc>
        <w:tc>
          <w:tcPr>
            <w:tcW w:w="877" w:type="pct"/>
            <w:vAlign w:val="center"/>
          </w:tcPr>
          <w:p w14:paraId="4CED037C" w14:textId="1A53640E" w:rsidR="00F05CA3" w:rsidRPr="00871EA2" w:rsidRDefault="00F05CA3" w:rsidP="00EC446C">
            <w:pPr>
              <w:pStyle w:val="TableText"/>
            </w:pPr>
          </w:p>
        </w:tc>
        <w:tc>
          <w:tcPr>
            <w:tcW w:w="878" w:type="pct"/>
            <w:shd w:val="clear" w:color="auto" w:fill="auto"/>
            <w:vAlign w:val="center"/>
          </w:tcPr>
          <w:p w14:paraId="7B1C4505" w14:textId="690A585E" w:rsidR="00F05CA3" w:rsidRPr="00871EA2" w:rsidRDefault="00F05CA3" w:rsidP="00EC446C">
            <w:pPr>
              <w:pStyle w:val="TableText"/>
            </w:pPr>
          </w:p>
        </w:tc>
      </w:tr>
      <w:tr w:rsidR="00F05CA3" w:rsidRPr="00EE4BD6" w14:paraId="53345BA6" w14:textId="77777777" w:rsidTr="005919FC">
        <w:trPr>
          <w:cantSplit/>
          <w:trHeight w:val="281"/>
        </w:trPr>
        <w:tc>
          <w:tcPr>
            <w:tcW w:w="190" w:type="pct"/>
            <w:vMerge/>
            <w:shd w:val="clear" w:color="auto" w:fill="F2F2F2" w:themeFill="background1" w:themeFillShade="F2"/>
            <w:textDirection w:val="btLr"/>
            <w:vAlign w:val="center"/>
          </w:tcPr>
          <w:p w14:paraId="4AB10D08" w14:textId="77777777"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054DBE1B" w14:textId="5385ACC1" w:rsidR="00F05CA3" w:rsidRPr="00871EA2" w:rsidRDefault="00000000" w:rsidP="00CA66B4">
            <w:pPr>
              <w:pStyle w:val="TableText"/>
            </w:pPr>
            <w:hyperlink w:anchor="_Analysis_Summary" w:history="1">
              <w:r w:rsidR="00F05CA3" w:rsidRPr="00871EA2">
                <w:rPr>
                  <w:rStyle w:val="Hyperlink"/>
                </w:rPr>
                <w:t>Analysis Summary</w:t>
              </w:r>
            </w:hyperlink>
          </w:p>
        </w:tc>
        <w:tc>
          <w:tcPr>
            <w:tcW w:w="877" w:type="pct"/>
            <w:vAlign w:val="center"/>
          </w:tcPr>
          <w:p w14:paraId="1282CF41" w14:textId="77777777" w:rsidR="00F05CA3" w:rsidRPr="00871EA2" w:rsidRDefault="00F05CA3" w:rsidP="00EC446C">
            <w:pPr>
              <w:pStyle w:val="TableText"/>
            </w:pPr>
          </w:p>
        </w:tc>
        <w:tc>
          <w:tcPr>
            <w:tcW w:w="877" w:type="pct"/>
            <w:vAlign w:val="center"/>
          </w:tcPr>
          <w:p w14:paraId="1EEE8783" w14:textId="77777777" w:rsidR="00F05CA3" w:rsidRPr="00871EA2" w:rsidRDefault="00F05CA3" w:rsidP="00EC446C">
            <w:pPr>
              <w:pStyle w:val="TableText"/>
            </w:pPr>
          </w:p>
        </w:tc>
        <w:tc>
          <w:tcPr>
            <w:tcW w:w="877" w:type="pct"/>
            <w:vAlign w:val="center"/>
          </w:tcPr>
          <w:p w14:paraId="75C93FAB" w14:textId="153EA28C" w:rsidR="00F05CA3" w:rsidRPr="00871EA2" w:rsidRDefault="00F05CA3" w:rsidP="00EC446C">
            <w:pPr>
              <w:pStyle w:val="TableText"/>
            </w:pPr>
          </w:p>
        </w:tc>
        <w:tc>
          <w:tcPr>
            <w:tcW w:w="878" w:type="pct"/>
            <w:shd w:val="clear" w:color="auto" w:fill="auto"/>
            <w:vAlign w:val="center"/>
          </w:tcPr>
          <w:p w14:paraId="3F55A1FE" w14:textId="37F965F5" w:rsidR="00F05CA3" w:rsidRPr="00871EA2" w:rsidRDefault="00F05CA3" w:rsidP="00EC446C">
            <w:pPr>
              <w:pStyle w:val="TableText"/>
            </w:pPr>
          </w:p>
        </w:tc>
      </w:tr>
      <w:tr w:rsidR="00F05CA3" w:rsidRPr="00EE4BD6" w14:paraId="6E80BAEF" w14:textId="77777777" w:rsidTr="005919FC">
        <w:trPr>
          <w:cantSplit/>
          <w:trHeight w:val="326"/>
        </w:trPr>
        <w:tc>
          <w:tcPr>
            <w:tcW w:w="190" w:type="pct"/>
            <w:vMerge w:val="restart"/>
            <w:shd w:val="clear" w:color="auto" w:fill="F2F2F2" w:themeFill="background1" w:themeFillShade="F2"/>
            <w:textDirection w:val="btLr"/>
            <w:vAlign w:val="center"/>
          </w:tcPr>
          <w:p w14:paraId="70E26204" w14:textId="3C851B82" w:rsidR="00F05CA3" w:rsidRPr="00487B19" w:rsidRDefault="00F05CA3" w:rsidP="00D05847">
            <w:pPr>
              <w:pStyle w:val="TableText"/>
              <w:spacing w:after="0"/>
              <w:jc w:val="center"/>
              <w:rPr>
                <w:b/>
                <w:bCs/>
              </w:rPr>
            </w:pPr>
            <w:r w:rsidRPr="00487B19">
              <w:rPr>
                <w:b/>
                <w:bCs/>
              </w:rPr>
              <w:t xml:space="preserve">Dental Chief / </w:t>
            </w:r>
            <w:r w:rsidRPr="00487B19">
              <w:rPr>
                <w:b/>
                <w:bCs/>
              </w:rPr>
              <w:br/>
              <w:t>Front Desk</w:t>
            </w:r>
          </w:p>
        </w:tc>
        <w:tc>
          <w:tcPr>
            <w:tcW w:w="1301" w:type="pct"/>
            <w:tcMar>
              <w:left w:w="43" w:type="dxa"/>
              <w:right w:w="43" w:type="dxa"/>
            </w:tcMar>
            <w:vAlign w:val="center"/>
          </w:tcPr>
          <w:p w14:paraId="6CA7D248" w14:textId="2033737E" w:rsidR="00F05CA3" w:rsidRPr="00871EA2" w:rsidRDefault="00000000" w:rsidP="00CA66B4">
            <w:pPr>
              <w:pStyle w:val="TableText"/>
            </w:pPr>
            <w:hyperlink w:anchor="_Referral_Recap_Report" w:history="1">
              <w:r w:rsidR="00F05CA3" w:rsidRPr="00871EA2">
                <w:rPr>
                  <w:rStyle w:val="Hyperlink"/>
                </w:rPr>
                <w:t>Referral Recap Report</w:t>
              </w:r>
            </w:hyperlink>
          </w:p>
        </w:tc>
        <w:tc>
          <w:tcPr>
            <w:tcW w:w="877" w:type="pct"/>
            <w:vAlign w:val="center"/>
          </w:tcPr>
          <w:p w14:paraId="7D3B0E5C" w14:textId="13543438" w:rsidR="00F05CA3" w:rsidRPr="00871EA2" w:rsidRDefault="00F05CA3" w:rsidP="00EC446C">
            <w:pPr>
              <w:pStyle w:val="TableText"/>
              <w:keepNext/>
              <w:keepLines/>
            </w:pPr>
          </w:p>
        </w:tc>
        <w:tc>
          <w:tcPr>
            <w:tcW w:w="877" w:type="pct"/>
            <w:vAlign w:val="center"/>
          </w:tcPr>
          <w:p w14:paraId="56C2F5D9" w14:textId="77777777" w:rsidR="00F05CA3" w:rsidRPr="00871EA2" w:rsidRDefault="00F05CA3" w:rsidP="00EC446C">
            <w:pPr>
              <w:pStyle w:val="TableText"/>
            </w:pPr>
          </w:p>
        </w:tc>
        <w:tc>
          <w:tcPr>
            <w:tcW w:w="877" w:type="pct"/>
            <w:vAlign w:val="center"/>
          </w:tcPr>
          <w:p w14:paraId="582EFC3B" w14:textId="0DF3A30E" w:rsidR="00F05CA3" w:rsidRPr="00871EA2" w:rsidRDefault="00F05CA3" w:rsidP="00EC446C">
            <w:pPr>
              <w:pStyle w:val="TableText"/>
            </w:pPr>
          </w:p>
        </w:tc>
        <w:tc>
          <w:tcPr>
            <w:tcW w:w="878" w:type="pct"/>
            <w:shd w:val="clear" w:color="auto" w:fill="auto"/>
            <w:vAlign w:val="center"/>
          </w:tcPr>
          <w:p w14:paraId="5DA2E983" w14:textId="63F20ECF" w:rsidR="00F05CA3" w:rsidRPr="00871EA2" w:rsidRDefault="00F05CA3" w:rsidP="00EC446C">
            <w:pPr>
              <w:pStyle w:val="TableText"/>
            </w:pPr>
          </w:p>
        </w:tc>
      </w:tr>
      <w:tr w:rsidR="00F05CA3" w:rsidRPr="00EE4BD6" w14:paraId="6DC51FBC" w14:textId="77777777" w:rsidTr="005919FC">
        <w:trPr>
          <w:cantSplit/>
          <w:trHeight w:val="299"/>
        </w:trPr>
        <w:tc>
          <w:tcPr>
            <w:tcW w:w="190" w:type="pct"/>
            <w:vMerge/>
            <w:shd w:val="clear" w:color="auto" w:fill="F2F2F2" w:themeFill="background1" w:themeFillShade="F2"/>
            <w:textDirection w:val="btLr"/>
            <w:vAlign w:val="center"/>
          </w:tcPr>
          <w:p w14:paraId="70E69040" w14:textId="14373CE9"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5B905E61" w14:textId="69620855" w:rsidR="00F05CA3" w:rsidRPr="00871EA2" w:rsidRDefault="00000000" w:rsidP="00CA66B4">
            <w:pPr>
              <w:pStyle w:val="TableText"/>
            </w:pPr>
            <w:hyperlink w:anchor="_Treatment_Plan_Approval" w:history="1">
              <w:r w:rsidR="00F05CA3" w:rsidRPr="00871EA2">
                <w:rPr>
                  <w:rStyle w:val="Hyperlink"/>
                </w:rPr>
                <w:t>Treatment Plan Approval Report</w:t>
              </w:r>
            </w:hyperlink>
          </w:p>
        </w:tc>
        <w:tc>
          <w:tcPr>
            <w:tcW w:w="877" w:type="pct"/>
            <w:vAlign w:val="center"/>
          </w:tcPr>
          <w:p w14:paraId="4C819D4F" w14:textId="2063F89A" w:rsidR="00F05CA3" w:rsidRPr="00871EA2" w:rsidRDefault="00F05CA3" w:rsidP="00EC446C">
            <w:pPr>
              <w:pStyle w:val="TableText"/>
            </w:pPr>
          </w:p>
        </w:tc>
        <w:tc>
          <w:tcPr>
            <w:tcW w:w="877" w:type="pct"/>
            <w:vAlign w:val="center"/>
          </w:tcPr>
          <w:p w14:paraId="68FF32BB" w14:textId="77777777" w:rsidR="00F05CA3" w:rsidRPr="00871EA2" w:rsidRDefault="00F05CA3" w:rsidP="00EC446C">
            <w:pPr>
              <w:pStyle w:val="TableText"/>
            </w:pPr>
          </w:p>
        </w:tc>
        <w:tc>
          <w:tcPr>
            <w:tcW w:w="877" w:type="pct"/>
            <w:vAlign w:val="center"/>
          </w:tcPr>
          <w:p w14:paraId="15D2254A" w14:textId="36E7784F" w:rsidR="00F05CA3" w:rsidRPr="00871EA2" w:rsidRDefault="00F05CA3" w:rsidP="00EC446C">
            <w:pPr>
              <w:pStyle w:val="TableText"/>
            </w:pPr>
          </w:p>
        </w:tc>
        <w:tc>
          <w:tcPr>
            <w:tcW w:w="878" w:type="pct"/>
            <w:shd w:val="clear" w:color="auto" w:fill="auto"/>
            <w:vAlign w:val="center"/>
          </w:tcPr>
          <w:p w14:paraId="237CB306" w14:textId="6A63E842" w:rsidR="00F05CA3" w:rsidRPr="00871EA2" w:rsidRDefault="00F05CA3" w:rsidP="00EC446C">
            <w:pPr>
              <w:pStyle w:val="TableText"/>
            </w:pPr>
          </w:p>
        </w:tc>
      </w:tr>
      <w:tr w:rsidR="00F05CA3" w:rsidRPr="00EE4BD6" w14:paraId="11A32569" w14:textId="77777777" w:rsidTr="005919FC">
        <w:trPr>
          <w:cantSplit/>
          <w:trHeight w:val="326"/>
        </w:trPr>
        <w:tc>
          <w:tcPr>
            <w:tcW w:w="190" w:type="pct"/>
            <w:vMerge/>
            <w:shd w:val="clear" w:color="auto" w:fill="F2F2F2" w:themeFill="background1" w:themeFillShade="F2"/>
            <w:textDirection w:val="btLr"/>
            <w:vAlign w:val="center"/>
          </w:tcPr>
          <w:p w14:paraId="0B82A744" w14:textId="26285FDB"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3E5F69A8" w14:textId="3316C4A4" w:rsidR="00F05CA3" w:rsidRPr="00871EA2" w:rsidRDefault="00000000" w:rsidP="00CA66B4">
            <w:pPr>
              <w:pStyle w:val="TableText"/>
            </w:pPr>
            <w:hyperlink w:anchor="_Treatment_Plan_Approval_1" w:history="1">
              <w:r w:rsidR="00F05CA3" w:rsidRPr="00871EA2">
                <w:rPr>
                  <w:rStyle w:val="Hyperlink"/>
                </w:rPr>
                <w:t>Treatment Plan Approval Status Report</w:t>
              </w:r>
            </w:hyperlink>
          </w:p>
        </w:tc>
        <w:tc>
          <w:tcPr>
            <w:tcW w:w="877" w:type="pct"/>
            <w:vAlign w:val="center"/>
          </w:tcPr>
          <w:p w14:paraId="6D653443" w14:textId="3644DE86" w:rsidR="00F05CA3" w:rsidRPr="00871EA2" w:rsidRDefault="00F05CA3" w:rsidP="00EC446C">
            <w:pPr>
              <w:pStyle w:val="TableText"/>
            </w:pPr>
          </w:p>
        </w:tc>
        <w:tc>
          <w:tcPr>
            <w:tcW w:w="877" w:type="pct"/>
            <w:vAlign w:val="center"/>
          </w:tcPr>
          <w:p w14:paraId="4C593CFC" w14:textId="77777777" w:rsidR="00F05CA3" w:rsidRPr="00871EA2" w:rsidRDefault="00F05CA3" w:rsidP="00EC446C">
            <w:pPr>
              <w:pStyle w:val="TableText"/>
            </w:pPr>
          </w:p>
        </w:tc>
        <w:tc>
          <w:tcPr>
            <w:tcW w:w="877" w:type="pct"/>
            <w:vAlign w:val="center"/>
          </w:tcPr>
          <w:p w14:paraId="0BA37C4F" w14:textId="55D44B4A" w:rsidR="00F05CA3" w:rsidRPr="00871EA2" w:rsidRDefault="00F05CA3" w:rsidP="00EC446C">
            <w:pPr>
              <w:pStyle w:val="TableText"/>
            </w:pPr>
          </w:p>
        </w:tc>
        <w:tc>
          <w:tcPr>
            <w:tcW w:w="878" w:type="pct"/>
            <w:shd w:val="clear" w:color="auto" w:fill="auto"/>
            <w:vAlign w:val="center"/>
          </w:tcPr>
          <w:p w14:paraId="5E92CD33" w14:textId="584935D8" w:rsidR="00F05CA3" w:rsidRPr="00871EA2" w:rsidRDefault="00F05CA3" w:rsidP="00EC446C">
            <w:pPr>
              <w:pStyle w:val="TableText"/>
            </w:pPr>
          </w:p>
        </w:tc>
      </w:tr>
      <w:tr w:rsidR="00F05CA3" w:rsidRPr="00EE4BD6" w14:paraId="3DAA49DA" w14:textId="77777777" w:rsidTr="005919FC">
        <w:trPr>
          <w:cantSplit/>
          <w:trHeight w:val="299"/>
        </w:trPr>
        <w:tc>
          <w:tcPr>
            <w:tcW w:w="190" w:type="pct"/>
            <w:vMerge/>
            <w:shd w:val="clear" w:color="auto" w:fill="F2F2F2" w:themeFill="background1" w:themeFillShade="F2"/>
            <w:textDirection w:val="btLr"/>
            <w:vAlign w:val="center"/>
          </w:tcPr>
          <w:p w14:paraId="1E0151F5" w14:textId="77777777" w:rsidR="00F05CA3" w:rsidRPr="00487B19" w:rsidRDefault="00F05CA3" w:rsidP="00D05847">
            <w:pPr>
              <w:pStyle w:val="TableText"/>
              <w:spacing w:after="0"/>
              <w:jc w:val="center"/>
              <w:rPr>
                <w:b/>
                <w:bCs/>
              </w:rPr>
            </w:pPr>
          </w:p>
        </w:tc>
        <w:tc>
          <w:tcPr>
            <w:tcW w:w="1301" w:type="pct"/>
            <w:tcMar>
              <w:left w:w="43" w:type="dxa"/>
              <w:right w:w="43" w:type="dxa"/>
            </w:tcMar>
            <w:vAlign w:val="center"/>
          </w:tcPr>
          <w:p w14:paraId="33B1E39E" w14:textId="69713D09" w:rsidR="00F05CA3" w:rsidRPr="00871EA2" w:rsidRDefault="00000000" w:rsidP="00CA66B4">
            <w:pPr>
              <w:pStyle w:val="TableText"/>
            </w:pPr>
            <w:hyperlink w:anchor="_Referred_By/To" w:history="1">
              <w:r w:rsidR="00F05CA3" w:rsidRPr="00871EA2">
                <w:rPr>
                  <w:rStyle w:val="Hyperlink"/>
                </w:rPr>
                <w:t>Referred By/To</w:t>
              </w:r>
            </w:hyperlink>
          </w:p>
        </w:tc>
        <w:tc>
          <w:tcPr>
            <w:tcW w:w="877" w:type="pct"/>
            <w:vAlign w:val="center"/>
          </w:tcPr>
          <w:p w14:paraId="4A760668" w14:textId="77777777" w:rsidR="00F05CA3" w:rsidRPr="00871EA2" w:rsidRDefault="00F05CA3" w:rsidP="00EC446C">
            <w:pPr>
              <w:pStyle w:val="TableText"/>
            </w:pPr>
          </w:p>
        </w:tc>
        <w:tc>
          <w:tcPr>
            <w:tcW w:w="877" w:type="pct"/>
            <w:vAlign w:val="center"/>
          </w:tcPr>
          <w:p w14:paraId="182C9C0C" w14:textId="77777777" w:rsidR="00F05CA3" w:rsidRPr="00871EA2" w:rsidRDefault="00F05CA3" w:rsidP="00EC446C">
            <w:pPr>
              <w:pStyle w:val="TableText"/>
            </w:pPr>
          </w:p>
        </w:tc>
        <w:tc>
          <w:tcPr>
            <w:tcW w:w="877" w:type="pct"/>
            <w:vAlign w:val="center"/>
          </w:tcPr>
          <w:p w14:paraId="291AC7F5" w14:textId="4A72261A" w:rsidR="00F05CA3" w:rsidRPr="00871EA2" w:rsidRDefault="00F05CA3" w:rsidP="00EC446C">
            <w:pPr>
              <w:pStyle w:val="TableText"/>
            </w:pPr>
          </w:p>
        </w:tc>
        <w:tc>
          <w:tcPr>
            <w:tcW w:w="878" w:type="pct"/>
            <w:shd w:val="clear" w:color="auto" w:fill="auto"/>
            <w:vAlign w:val="center"/>
          </w:tcPr>
          <w:p w14:paraId="2CE08DBD" w14:textId="7B2DDA40" w:rsidR="00F05CA3" w:rsidRPr="00871EA2" w:rsidRDefault="00F05CA3" w:rsidP="00EC446C">
            <w:pPr>
              <w:pStyle w:val="TableText"/>
            </w:pPr>
          </w:p>
        </w:tc>
      </w:tr>
      <w:tr w:rsidR="00425DE5" w:rsidRPr="00EE4BD6" w14:paraId="78048D7C" w14:textId="77777777" w:rsidTr="005919FC">
        <w:trPr>
          <w:cantSplit/>
          <w:trHeight w:val="326"/>
        </w:trPr>
        <w:tc>
          <w:tcPr>
            <w:tcW w:w="190" w:type="pct"/>
            <w:vMerge w:val="restart"/>
            <w:shd w:val="clear" w:color="auto" w:fill="F2F2F2" w:themeFill="background1" w:themeFillShade="F2"/>
            <w:textDirection w:val="btLr"/>
            <w:vAlign w:val="center"/>
          </w:tcPr>
          <w:p w14:paraId="04CDC2FD" w14:textId="1EF9CD74" w:rsidR="00425DE5" w:rsidRPr="00487B19" w:rsidRDefault="00425DE5" w:rsidP="00D05847">
            <w:pPr>
              <w:pStyle w:val="TableText"/>
              <w:spacing w:after="0"/>
              <w:jc w:val="center"/>
              <w:rPr>
                <w:b/>
                <w:bCs/>
              </w:rPr>
            </w:pPr>
            <w:r w:rsidRPr="00487B19">
              <w:rPr>
                <w:b/>
                <w:bCs/>
              </w:rPr>
              <w:t>Front Desk</w:t>
            </w:r>
          </w:p>
        </w:tc>
        <w:tc>
          <w:tcPr>
            <w:tcW w:w="1301" w:type="pct"/>
            <w:tcMar>
              <w:left w:w="43" w:type="dxa"/>
              <w:right w:w="43" w:type="dxa"/>
            </w:tcMar>
            <w:vAlign w:val="center"/>
          </w:tcPr>
          <w:p w14:paraId="3ADEE5DE" w14:textId="2E476A82" w:rsidR="00425DE5" w:rsidRPr="00871EA2" w:rsidRDefault="00000000" w:rsidP="00CA66B4">
            <w:pPr>
              <w:pStyle w:val="TableText"/>
            </w:pPr>
            <w:hyperlink w:anchor="_Scheduling_Assistant" w:history="1">
              <w:r w:rsidR="00425DE5" w:rsidRPr="00871EA2">
                <w:rPr>
                  <w:rStyle w:val="Hyperlink"/>
                </w:rPr>
                <w:t>Scheduling Assistant</w:t>
              </w:r>
            </w:hyperlink>
          </w:p>
        </w:tc>
        <w:tc>
          <w:tcPr>
            <w:tcW w:w="877" w:type="pct"/>
            <w:vAlign w:val="center"/>
          </w:tcPr>
          <w:p w14:paraId="14253C62" w14:textId="0B198576" w:rsidR="00425DE5" w:rsidRPr="00871EA2" w:rsidRDefault="00425DE5" w:rsidP="00EC446C">
            <w:pPr>
              <w:pStyle w:val="TableText"/>
            </w:pPr>
          </w:p>
        </w:tc>
        <w:tc>
          <w:tcPr>
            <w:tcW w:w="877" w:type="pct"/>
            <w:vAlign w:val="center"/>
          </w:tcPr>
          <w:p w14:paraId="08F1D8FF" w14:textId="77777777" w:rsidR="00425DE5" w:rsidRPr="00871EA2" w:rsidRDefault="00425DE5" w:rsidP="00EC446C">
            <w:pPr>
              <w:pStyle w:val="TableText"/>
            </w:pPr>
          </w:p>
        </w:tc>
        <w:tc>
          <w:tcPr>
            <w:tcW w:w="877" w:type="pct"/>
            <w:vAlign w:val="center"/>
          </w:tcPr>
          <w:p w14:paraId="3D7BEF39" w14:textId="0651BDFA" w:rsidR="00425DE5" w:rsidRPr="00871EA2" w:rsidRDefault="00425DE5" w:rsidP="00EC446C">
            <w:pPr>
              <w:pStyle w:val="TableText"/>
            </w:pPr>
          </w:p>
        </w:tc>
        <w:tc>
          <w:tcPr>
            <w:tcW w:w="878" w:type="pct"/>
            <w:shd w:val="clear" w:color="auto" w:fill="auto"/>
            <w:vAlign w:val="center"/>
          </w:tcPr>
          <w:p w14:paraId="738A410F" w14:textId="3801F0B4" w:rsidR="00425DE5" w:rsidRPr="00871EA2" w:rsidRDefault="00425DE5" w:rsidP="00EC446C">
            <w:pPr>
              <w:pStyle w:val="TableText"/>
            </w:pPr>
          </w:p>
        </w:tc>
      </w:tr>
      <w:tr w:rsidR="00425DE5" w:rsidRPr="00EE4BD6" w14:paraId="2CEA398D" w14:textId="77777777" w:rsidTr="00425DE5">
        <w:trPr>
          <w:cantSplit/>
          <w:trHeight w:val="360"/>
        </w:trPr>
        <w:tc>
          <w:tcPr>
            <w:tcW w:w="190" w:type="pct"/>
            <w:vMerge/>
            <w:shd w:val="clear" w:color="auto" w:fill="F2F2F2" w:themeFill="background1" w:themeFillShade="F2"/>
            <w:textDirection w:val="btLr"/>
            <w:vAlign w:val="center"/>
          </w:tcPr>
          <w:p w14:paraId="702743AF" w14:textId="7685F8BF" w:rsidR="00425DE5" w:rsidRPr="00487B19" w:rsidRDefault="00425DE5" w:rsidP="00D05847">
            <w:pPr>
              <w:pStyle w:val="TableText"/>
              <w:spacing w:after="0"/>
              <w:jc w:val="center"/>
              <w:rPr>
                <w:b/>
                <w:bCs/>
              </w:rPr>
            </w:pPr>
          </w:p>
        </w:tc>
        <w:tc>
          <w:tcPr>
            <w:tcW w:w="1301" w:type="pct"/>
            <w:tcMar>
              <w:left w:w="43" w:type="dxa"/>
              <w:right w:w="43" w:type="dxa"/>
            </w:tcMar>
            <w:vAlign w:val="center"/>
          </w:tcPr>
          <w:p w14:paraId="61B4B765" w14:textId="45473B61" w:rsidR="00425DE5" w:rsidRPr="00871EA2" w:rsidRDefault="00000000" w:rsidP="00CA66B4">
            <w:pPr>
              <w:pStyle w:val="TableText"/>
            </w:pPr>
            <w:hyperlink w:anchor="_Provider_A/R_Totals" w:history="1">
              <w:r w:rsidR="00425DE5" w:rsidRPr="00871EA2">
                <w:rPr>
                  <w:rStyle w:val="Hyperlink"/>
                </w:rPr>
                <w:t>Provider A/R Totals - By Summary of all Providers or By Specific Provider</w:t>
              </w:r>
            </w:hyperlink>
          </w:p>
        </w:tc>
        <w:tc>
          <w:tcPr>
            <w:tcW w:w="877" w:type="pct"/>
            <w:vAlign w:val="center"/>
          </w:tcPr>
          <w:p w14:paraId="6CEC8683" w14:textId="383F7C07" w:rsidR="00425DE5" w:rsidRPr="00871EA2" w:rsidRDefault="00425DE5" w:rsidP="00EC446C">
            <w:pPr>
              <w:pStyle w:val="TableText"/>
            </w:pPr>
          </w:p>
        </w:tc>
        <w:tc>
          <w:tcPr>
            <w:tcW w:w="877" w:type="pct"/>
            <w:vAlign w:val="center"/>
          </w:tcPr>
          <w:p w14:paraId="610553C9" w14:textId="77777777" w:rsidR="00425DE5" w:rsidRPr="00871EA2" w:rsidRDefault="00425DE5" w:rsidP="00EC446C">
            <w:pPr>
              <w:pStyle w:val="TableText"/>
            </w:pPr>
          </w:p>
        </w:tc>
        <w:tc>
          <w:tcPr>
            <w:tcW w:w="877" w:type="pct"/>
            <w:vAlign w:val="center"/>
          </w:tcPr>
          <w:p w14:paraId="5AFF0F58" w14:textId="22458B7F" w:rsidR="00425DE5" w:rsidRPr="00871EA2" w:rsidRDefault="00425DE5" w:rsidP="00EC446C">
            <w:pPr>
              <w:pStyle w:val="TableText"/>
            </w:pPr>
          </w:p>
        </w:tc>
        <w:tc>
          <w:tcPr>
            <w:tcW w:w="878" w:type="pct"/>
            <w:shd w:val="clear" w:color="auto" w:fill="auto"/>
            <w:vAlign w:val="center"/>
          </w:tcPr>
          <w:p w14:paraId="48F15436" w14:textId="6928BD9D" w:rsidR="00425DE5" w:rsidRPr="00871EA2" w:rsidRDefault="00425DE5" w:rsidP="00EC446C">
            <w:pPr>
              <w:pStyle w:val="TableText"/>
            </w:pPr>
          </w:p>
        </w:tc>
      </w:tr>
      <w:tr w:rsidR="00425DE5" w:rsidRPr="00EE4BD6" w14:paraId="05E36792" w14:textId="77777777" w:rsidTr="005919FC">
        <w:trPr>
          <w:cantSplit/>
          <w:trHeight w:val="281"/>
        </w:trPr>
        <w:tc>
          <w:tcPr>
            <w:tcW w:w="190" w:type="pct"/>
            <w:vMerge/>
            <w:shd w:val="clear" w:color="auto" w:fill="F2F2F2" w:themeFill="background1" w:themeFillShade="F2"/>
            <w:textDirection w:val="btLr"/>
            <w:vAlign w:val="center"/>
          </w:tcPr>
          <w:p w14:paraId="502AA014" w14:textId="77777777" w:rsidR="00425DE5" w:rsidRPr="00487B19" w:rsidRDefault="00425DE5" w:rsidP="00D05847">
            <w:pPr>
              <w:pStyle w:val="TableText"/>
              <w:spacing w:after="0"/>
              <w:jc w:val="center"/>
              <w:rPr>
                <w:b/>
                <w:bCs/>
              </w:rPr>
            </w:pPr>
          </w:p>
        </w:tc>
        <w:tc>
          <w:tcPr>
            <w:tcW w:w="1301" w:type="pct"/>
            <w:tcMar>
              <w:left w:w="43" w:type="dxa"/>
              <w:right w:w="43" w:type="dxa"/>
            </w:tcMar>
            <w:vAlign w:val="center"/>
          </w:tcPr>
          <w:p w14:paraId="30AEB276" w14:textId="069B4AA5" w:rsidR="00425DE5" w:rsidRPr="00871EA2" w:rsidRDefault="00000000" w:rsidP="00CA66B4">
            <w:pPr>
              <w:pStyle w:val="TableText"/>
            </w:pPr>
            <w:hyperlink w:anchor="_Analysis_Summary" w:history="1">
              <w:r w:rsidR="00425DE5" w:rsidRPr="00871EA2">
                <w:rPr>
                  <w:rStyle w:val="Hyperlink"/>
                </w:rPr>
                <w:t>Analysis Summary</w:t>
              </w:r>
            </w:hyperlink>
          </w:p>
        </w:tc>
        <w:tc>
          <w:tcPr>
            <w:tcW w:w="877" w:type="pct"/>
            <w:vAlign w:val="center"/>
          </w:tcPr>
          <w:p w14:paraId="39012359" w14:textId="6D21BDFB" w:rsidR="00425DE5" w:rsidRPr="00871EA2" w:rsidRDefault="00425DE5" w:rsidP="00EC446C">
            <w:pPr>
              <w:pStyle w:val="TableText"/>
            </w:pPr>
          </w:p>
        </w:tc>
        <w:tc>
          <w:tcPr>
            <w:tcW w:w="877" w:type="pct"/>
            <w:vAlign w:val="center"/>
          </w:tcPr>
          <w:p w14:paraId="7D68FFDA" w14:textId="77777777" w:rsidR="00425DE5" w:rsidRPr="00871EA2" w:rsidRDefault="00425DE5" w:rsidP="00EC446C">
            <w:pPr>
              <w:pStyle w:val="TableText"/>
            </w:pPr>
          </w:p>
        </w:tc>
        <w:tc>
          <w:tcPr>
            <w:tcW w:w="877" w:type="pct"/>
            <w:vAlign w:val="center"/>
          </w:tcPr>
          <w:p w14:paraId="1761E883" w14:textId="50A24CCC" w:rsidR="00425DE5" w:rsidRPr="00871EA2" w:rsidRDefault="00425DE5" w:rsidP="00EC446C">
            <w:pPr>
              <w:pStyle w:val="TableText"/>
            </w:pPr>
          </w:p>
        </w:tc>
        <w:tc>
          <w:tcPr>
            <w:tcW w:w="878" w:type="pct"/>
            <w:shd w:val="clear" w:color="auto" w:fill="auto"/>
            <w:vAlign w:val="center"/>
          </w:tcPr>
          <w:p w14:paraId="7BB5D5EF" w14:textId="71424BC6" w:rsidR="00425DE5" w:rsidRPr="00871EA2" w:rsidRDefault="00425DE5" w:rsidP="00EC446C">
            <w:pPr>
              <w:pStyle w:val="TableText"/>
            </w:pPr>
          </w:p>
        </w:tc>
      </w:tr>
      <w:tr w:rsidR="00425DE5" w:rsidRPr="00EE4BD6" w14:paraId="562E43E8" w14:textId="77777777" w:rsidTr="005919FC">
        <w:trPr>
          <w:cantSplit/>
          <w:trHeight w:val="308"/>
        </w:trPr>
        <w:tc>
          <w:tcPr>
            <w:tcW w:w="190" w:type="pct"/>
            <w:vMerge/>
            <w:shd w:val="clear" w:color="auto" w:fill="F2F2F2" w:themeFill="background1" w:themeFillShade="F2"/>
            <w:textDirection w:val="btLr"/>
            <w:vAlign w:val="center"/>
          </w:tcPr>
          <w:p w14:paraId="6B20669E" w14:textId="77777777" w:rsidR="00425DE5" w:rsidRPr="00487B19" w:rsidRDefault="00425DE5" w:rsidP="00D05847">
            <w:pPr>
              <w:pStyle w:val="TableText"/>
              <w:spacing w:after="0"/>
              <w:jc w:val="center"/>
              <w:rPr>
                <w:b/>
                <w:bCs/>
              </w:rPr>
            </w:pPr>
          </w:p>
        </w:tc>
        <w:tc>
          <w:tcPr>
            <w:tcW w:w="1301" w:type="pct"/>
            <w:tcMar>
              <w:left w:w="43" w:type="dxa"/>
              <w:right w:w="43" w:type="dxa"/>
            </w:tcMar>
            <w:vAlign w:val="center"/>
          </w:tcPr>
          <w:p w14:paraId="000910D4" w14:textId="140D6F8B" w:rsidR="00425DE5" w:rsidRPr="00871EA2" w:rsidRDefault="00000000" w:rsidP="00CA66B4">
            <w:pPr>
              <w:pStyle w:val="TableText"/>
            </w:pPr>
            <w:hyperlink w:anchor="_Suspended_Credits" w:history="1">
              <w:r w:rsidR="00425DE5" w:rsidRPr="00871EA2">
                <w:rPr>
                  <w:rStyle w:val="Hyperlink"/>
                </w:rPr>
                <w:t>Suspended Credits</w:t>
              </w:r>
            </w:hyperlink>
          </w:p>
        </w:tc>
        <w:tc>
          <w:tcPr>
            <w:tcW w:w="877" w:type="pct"/>
            <w:vAlign w:val="center"/>
          </w:tcPr>
          <w:p w14:paraId="76D73EBF" w14:textId="42823647" w:rsidR="00425DE5" w:rsidRPr="00871EA2" w:rsidRDefault="00425DE5" w:rsidP="00EC446C">
            <w:pPr>
              <w:pStyle w:val="TableText"/>
            </w:pPr>
          </w:p>
        </w:tc>
        <w:tc>
          <w:tcPr>
            <w:tcW w:w="877" w:type="pct"/>
            <w:vAlign w:val="center"/>
          </w:tcPr>
          <w:p w14:paraId="15D8892B" w14:textId="77777777" w:rsidR="00425DE5" w:rsidRPr="00871EA2" w:rsidRDefault="00425DE5" w:rsidP="00EC446C">
            <w:pPr>
              <w:pStyle w:val="TableText"/>
            </w:pPr>
          </w:p>
        </w:tc>
        <w:tc>
          <w:tcPr>
            <w:tcW w:w="877" w:type="pct"/>
            <w:vAlign w:val="center"/>
          </w:tcPr>
          <w:p w14:paraId="5A22818A" w14:textId="648D2530" w:rsidR="00425DE5" w:rsidRPr="00871EA2" w:rsidRDefault="00425DE5" w:rsidP="00EC446C">
            <w:pPr>
              <w:pStyle w:val="TableText"/>
            </w:pPr>
          </w:p>
        </w:tc>
        <w:tc>
          <w:tcPr>
            <w:tcW w:w="878" w:type="pct"/>
            <w:shd w:val="clear" w:color="auto" w:fill="auto"/>
            <w:vAlign w:val="center"/>
          </w:tcPr>
          <w:p w14:paraId="3A8F2C42" w14:textId="3C606C2B" w:rsidR="00425DE5" w:rsidRPr="00871EA2" w:rsidRDefault="00425DE5" w:rsidP="00EC446C">
            <w:pPr>
              <w:pStyle w:val="TableText"/>
            </w:pPr>
          </w:p>
        </w:tc>
      </w:tr>
      <w:tr w:rsidR="00425DE5" w:rsidRPr="00EE4BD6" w14:paraId="76137572" w14:textId="77777777" w:rsidTr="005919FC">
        <w:trPr>
          <w:cantSplit/>
          <w:trHeight w:val="317"/>
        </w:trPr>
        <w:tc>
          <w:tcPr>
            <w:tcW w:w="190" w:type="pct"/>
            <w:vMerge/>
            <w:shd w:val="clear" w:color="auto" w:fill="F2F2F2" w:themeFill="background1" w:themeFillShade="F2"/>
            <w:textDirection w:val="btLr"/>
            <w:vAlign w:val="center"/>
          </w:tcPr>
          <w:p w14:paraId="37089433" w14:textId="77777777" w:rsidR="00425DE5" w:rsidRPr="00487B19" w:rsidRDefault="00425DE5" w:rsidP="00D05847">
            <w:pPr>
              <w:pStyle w:val="TableText"/>
              <w:spacing w:after="0"/>
              <w:jc w:val="center"/>
              <w:rPr>
                <w:b/>
                <w:bCs/>
              </w:rPr>
            </w:pPr>
          </w:p>
        </w:tc>
        <w:tc>
          <w:tcPr>
            <w:tcW w:w="1301" w:type="pct"/>
            <w:tcMar>
              <w:left w:w="43" w:type="dxa"/>
              <w:right w:w="43" w:type="dxa"/>
            </w:tcMar>
            <w:vAlign w:val="center"/>
          </w:tcPr>
          <w:p w14:paraId="5F2A35ED" w14:textId="73925DEC" w:rsidR="00425DE5" w:rsidRPr="006E3BEA" w:rsidRDefault="00000000" w:rsidP="005919FC">
            <w:pPr>
              <w:pStyle w:val="TableText"/>
              <w:rPr>
                <w:color w:val="0000FF"/>
              </w:rPr>
            </w:pPr>
            <w:hyperlink w:anchor="_Oral_Health_Status" w:history="1">
              <w:r w:rsidR="00DA5078" w:rsidRPr="006E3BEA">
                <w:rPr>
                  <w:rStyle w:val="Hyperlink"/>
                </w:rPr>
                <w:t>*NEW* OHS Report</w:t>
              </w:r>
            </w:hyperlink>
          </w:p>
        </w:tc>
        <w:tc>
          <w:tcPr>
            <w:tcW w:w="877" w:type="pct"/>
            <w:vAlign w:val="center"/>
          </w:tcPr>
          <w:p w14:paraId="7163B749" w14:textId="77777777" w:rsidR="00425DE5" w:rsidRPr="00871EA2" w:rsidRDefault="00425DE5" w:rsidP="005919FC">
            <w:pPr>
              <w:pStyle w:val="TableText"/>
            </w:pPr>
          </w:p>
        </w:tc>
        <w:tc>
          <w:tcPr>
            <w:tcW w:w="877" w:type="pct"/>
            <w:vAlign w:val="center"/>
          </w:tcPr>
          <w:p w14:paraId="197B64D5" w14:textId="77777777" w:rsidR="00425DE5" w:rsidRPr="00871EA2" w:rsidRDefault="00425DE5" w:rsidP="005919FC">
            <w:pPr>
              <w:pStyle w:val="TableText"/>
            </w:pPr>
          </w:p>
        </w:tc>
        <w:tc>
          <w:tcPr>
            <w:tcW w:w="877" w:type="pct"/>
            <w:vAlign w:val="center"/>
          </w:tcPr>
          <w:p w14:paraId="2DD7F5DA" w14:textId="77777777" w:rsidR="00425DE5" w:rsidRPr="00871EA2" w:rsidRDefault="00425DE5" w:rsidP="005919FC">
            <w:pPr>
              <w:pStyle w:val="TableText"/>
            </w:pPr>
          </w:p>
        </w:tc>
        <w:tc>
          <w:tcPr>
            <w:tcW w:w="878" w:type="pct"/>
            <w:shd w:val="clear" w:color="auto" w:fill="auto"/>
            <w:vAlign w:val="center"/>
          </w:tcPr>
          <w:p w14:paraId="50FF880F" w14:textId="77777777" w:rsidR="00425DE5" w:rsidRPr="00871EA2" w:rsidRDefault="00425DE5" w:rsidP="005919FC">
            <w:pPr>
              <w:pStyle w:val="TableText"/>
            </w:pPr>
          </w:p>
        </w:tc>
      </w:tr>
      <w:tr w:rsidR="00425DE5" w:rsidRPr="00EE4BD6" w14:paraId="39B44CE9" w14:textId="77777777" w:rsidTr="005919FC">
        <w:trPr>
          <w:cantSplit/>
          <w:trHeight w:val="360"/>
        </w:trPr>
        <w:tc>
          <w:tcPr>
            <w:tcW w:w="190" w:type="pct"/>
            <w:vMerge/>
            <w:shd w:val="clear" w:color="auto" w:fill="F2F2F2" w:themeFill="background1" w:themeFillShade="F2"/>
            <w:textDirection w:val="btLr"/>
            <w:vAlign w:val="center"/>
          </w:tcPr>
          <w:p w14:paraId="39C2E4B4" w14:textId="77777777" w:rsidR="00425DE5" w:rsidRPr="00487B19" w:rsidRDefault="00425DE5" w:rsidP="00D05847">
            <w:pPr>
              <w:pStyle w:val="TableText"/>
              <w:spacing w:after="0"/>
              <w:jc w:val="center"/>
              <w:rPr>
                <w:b/>
                <w:bCs/>
              </w:rPr>
            </w:pPr>
          </w:p>
        </w:tc>
        <w:tc>
          <w:tcPr>
            <w:tcW w:w="1301" w:type="pct"/>
            <w:tcMar>
              <w:left w:w="43" w:type="dxa"/>
              <w:right w:w="43" w:type="dxa"/>
            </w:tcMar>
            <w:vAlign w:val="center"/>
          </w:tcPr>
          <w:p w14:paraId="04CC8FC8" w14:textId="1B5E42C8" w:rsidR="00425DE5" w:rsidRPr="00FA5088" w:rsidRDefault="00000000" w:rsidP="005919FC">
            <w:pPr>
              <w:pStyle w:val="TableText"/>
            </w:pPr>
            <w:hyperlink w:anchor="_NIPRS_Validation_(non-RPMS;" w:history="1">
              <w:r w:rsidR="007A1B68" w:rsidRPr="006E3BEA">
                <w:rPr>
                  <w:rStyle w:val="Hyperlink"/>
                </w:rPr>
                <w:t xml:space="preserve">*NEW* NPIRS Validation </w:t>
              </w:r>
              <w:r w:rsidR="007A1B68" w:rsidRPr="006E3BEA">
                <w:rPr>
                  <w:rStyle w:val="Hyperlink"/>
                </w:rPr>
                <w:br/>
                <w:t>(non-RPMS; v. 11.0.44 and later)</w:t>
              </w:r>
            </w:hyperlink>
          </w:p>
        </w:tc>
        <w:tc>
          <w:tcPr>
            <w:tcW w:w="877" w:type="pct"/>
            <w:vAlign w:val="center"/>
          </w:tcPr>
          <w:p w14:paraId="36B49C96" w14:textId="77777777" w:rsidR="00425DE5" w:rsidRPr="00871EA2" w:rsidRDefault="00425DE5" w:rsidP="005919FC">
            <w:pPr>
              <w:pStyle w:val="TableText"/>
            </w:pPr>
          </w:p>
        </w:tc>
        <w:tc>
          <w:tcPr>
            <w:tcW w:w="877" w:type="pct"/>
            <w:vAlign w:val="center"/>
          </w:tcPr>
          <w:p w14:paraId="49E7F16C" w14:textId="77777777" w:rsidR="00425DE5" w:rsidRPr="00871EA2" w:rsidRDefault="00425DE5" w:rsidP="005919FC">
            <w:pPr>
              <w:pStyle w:val="TableText"/>
            </w:pPr>
          </w:p>
        </w:tc>
        <w:tc>
          <w:tcPr>
            <w:tcW w:w="877" w:type="pct"/>
            <w:vAlign w:val="center"/>
          </w:tcPr>
          <w:p w14:paraId="62258849" w14:textId="77777777" w:rsidR="00425DE5" w:rsidRPr="00871EA2" w:rsidRDefault="00425DE5" w:rsidP="005919FC">
            <w:pPr>
              <w:pStyle w:val="TableText"/>
            </w:pPr>
          </w:p>
        </w:tc>
        <w:tc>
          <w:tcPr>
            <w:tcW w:w="878" w:type="pct"/>
            <w:shd w:val="clear" w:color="auto" w:fill="auto"/>
            <w:vAlign w:val="center"/>
          </w:tcPr>
          <w:p w14:paraId="54EA405F" w14:textId="77777777" w:rsidR="00425DE5" w:rsidRPr="00871EA2" w:rsidRDefault="00425DE5" w:rsidP="005919FC">
            <w:pPr>
              <w:pStyle w:val="TableText"/>
            </w:pPr>
          </w:p>
        </w:tc>
      </w:tr>
      <w:tr w:rsidR="00F05CA3" w:rsidRPr="00EE4BD6" w14:paraId="5E25165E" w14:textId="77777777" w:rsidTr="005919FC">
        <w:trPr>
          <w:cantSplit/>
        </w:trPr>
        <w:tc>
          <w:tcPr>
            <w:tcW w:w="190" w:type="pct"/>
            <w:vMerge w:val="restart"/>
            <w:shd w:val="clear" w:color="auto" w:fill="F2F2F2" w:themeFill="background1" w:themeFillShade="F2"/>
            <w:textDirection w:val="btLr"/>
            <w:vAlign w:val="center"/>
          </w:tcPr>
          <w:p w14:paraId="5B4EF55C" w14:textId="1484FA75" w:rsidR="00F05CA3" w:rsidRPr="00487B19" w:rsidRDefault="00F05CA3" w:rsidP="007134EC">
            <w:pPr>
              <w:pStyle w:val="TableText"/>
              <w:keepNext/>
              <w:spacing w:after="0"/>
              <w:jc w:val="center"/>
              <w:rPr>
                <w:b/>
                <w:bCs/>
              </w:rPr>
            </w:pPr>
            <w:r w:rsidRPr="00487B19">
              <w:rPr>
                <w:b/>
                <w:bCs/>
              </w:rPr>
              <w:lastRenderedPageBreak/>
              <w:t xml:space="preserve">Front Desk / </w:t>
            </w:r>
            <w:r w:rsidR="005919FC">
              <w:rPr>
                <w:b/>
                <w:bCs/>
              </w:rPr>
              <w:br/>
            </w:r>
            <w:r w:rsidRPr="00487B19">
              <w:rPr>
                <w:b/>
                <w:bCs/>
              </w:rPr>
              <w:t>Billing</w:t>
            </w:r>
          </w:p>
        </w:tc>
        <w:bookmarkStart w:id="21" w:name="Weekly2ndPg"/>
        <w:bookmarkEnd w:id="21"/>
        <w:tc>
          <w:tcPr>
            <w:tcW w:w="1301" w:type="pct"/>
            <w:tcMar>
              <w:left w:w="43" w:type="dxa"/>
              <w:right w:w="43" w:type="dxa"/>
            </w:tcMar>
            <w:vAlign w:val="center"/>
          </w:tcPr>
          <w:p w14:paraId="47EFED7A" w14:textId="6B4B0FBB" w:rsidR="00F05CA3" w:rsidRPr="00871EA2" w:rsidRDefault="00000000" w:rsidP="005919FC">
            <w:pPr>
              <w:pStyle w:val="TableText"/>
              <w:keepNext/>
            </w:pPr>
            <w:r>
              <w:fldChar w:fldCharType="begin"/>
            </w:r>
            <w:r>
              <w:instrText>HYPERLINK \l "_Secondary_Insurance_Claims_1"</w:instrText>
            </w:r>
            <w:r>
              <w:fldChar w:fldCharType="separate"/>
            </w:r>
            <w:r w:rsidR="00F05CA3" w:rsidRPr="00871EA2">
              <w:rPr>
                <w:rStyle w:val="Hyperlink"/>
              </w:rPr>
              <w:t>Secondary Insurance Claims Not Created Report</w:t>
            </w:r>
            <w:r>
              <w:rPr>
                <w:rStyle w:val="Hyperlink"/>
              </w:rPr>
              <w:fldChar w:fldCharType="end"/>
            </w:r>
          </w:p>
        </w:tc>
        <w:tc>
          <w:tcPr>
            <w:tcW w:w="877" w:type="pct"/>
            <w:vAlign w:val="center"/>
          </w:tcPr>
          <w:p w14:paraId="5A764520" w14:textId="18691172" w:rsidR="00F05CA3" w:rsidRPr="00871EA2" w:rsidRDefault="00F05CA3" w:rsidP="005919FC">
            <w:pPr>
              <w:pStyle w:val="TableText"/>
            </w:pPr>
          </w:p>
        </w:tc>
        <w:tc>
          <w:tcPr>
            <w:tcW w:w="877" w:type="pct"/>
            <w:vAlign w:val="center"/>
          </w:tcPr>
          <w:p w14:paraId="58830921" w14:textId="77777777" w:rsidR="00F05CA3" w:rsidRPr="00871EA2" w:rsidRDefault="00F05CA3" w:rsidP="005919FC">
            <w:pPr>
              <w:pStyle w:val="TableText"/>
            </w:pPr>
          </w:p>
        </w:tc>
        <w:tc>
          <w:tcPr>
            <w:tcW w:w="877" w:type="pct"/>
            <w:vAlign w:val="center"/>
          </w:tcPr>
          <w:p w14:paraId="41C1B8DA" w14:textId="5E4A03DC" w:rsidR="00F05CA3" w:rsidRPr="00871EA2" w:rsidRDefault="00F05CA3" w:rsidP="005919FC">
            <w:pPr>
              <w:pStyle w:val="TableText"/>
            </w:pPr>
          </w:p>
        </w:tc>
        <w:tc>
          <w:tcPr>
            <w:tcW w:w="878" w:type="pct"/>
            <w:shd w:val="clear" w:color="auto" w:fill="auto"/>
            <w:vAlign w:val="center"/>
          </w:tcPr>
          <w:p w14:paraId="0646B45F" w14:textId="24789A3C" w:rsidR="00F05CA3" w:rsidRPr="00871EA2" w:rsidRDefault="00F05CA3" w:rsidP="005919FC">
            <w:pPr>
              <w:pStyle w:val="TableText"/>
            </w:pPr>
          </w:p>
        </w:tc>
      </w:tr>
      <w:tr w:rsidR="005919FC" w:rsidRPr="00EE4BD6" w14:paraId="44D4F465" w14:textId="77777777" w:rsidTr="005919FC">
        <w:trPr>
          <w:cantSplit/>
          <w:trHeight w:val="281"/>
        </w:trPr>
        <w:tc>
          <w:tcPr>
            <w:tcW w:w="190" w:type="pct"/>
            <w:vMerge/>
            <w:shd w:val="clear" w:color="auto" w:fill="F2F2F2" w:themeFill="background1" w:themeFillShade="F2"/>
            <w:textDirection w:val="btLr"/>
            <w:vAlign w:val="center"/>
          </w:tcPr>
          <w:p w14:paraId="59FCF0E8" w14:textId="77777777" w:rsidR="005919FC" w:rsidRPr="00487B19" w:rsidRDefault="005919FC" w:rsidP="005919FC">
            <w:pPr>
              <w:pStyle w:val="TableText"/>
              <w:spacing w:after="0"/>
              <w:jc w:val="center"/>
              <w:rPr>
                <w:b/>
                <w:bCs/>
              </w:rPr>
            </w:pPr>
          </w:p>
        </w:tc>
        <w:tc>
          <w:tcPr>
            <w:tcW w:w="1301" w:type="pct"/>
            <w:vAlign w:val="center"/>
          </w:tcPr>
          <w:p w14:paraId="4FD7FE3F" w14:textId="19D406B9" w:rsidR="005919FC" w:rsidRPr="00871EA2" w:rsidRDefault="00000000" w:rsidP="005919FC">
            <w:pPr>
              <w:pStyle w:val="TableText"/>
            </w:pPr>
            <w:hyperlink w:anchor="_Secondary_Pre-Treatment_Estimates" w:history="1">
              <w:r w:rsidR="005919FC" w:rsidRPr="00871EA2">
                <w:rPr>
                  <w:rStyle w:val="Hyperlink"/>
                </w:rPr>
                <w:t>Secondary Pre-Treatment Estimates Not Created Report</w:t>
              </w:r>
            </w:hyperlink>
          </w:p>
        </w:tc>
        <w:tc>
          <w:tcPr>
            <w:tcW w:w="877" w:type="pct"/>
            <w:vAlign w:val="center"/>
          </w:tcPr>
          <w:p w14:paraId="2C419885" w14:textId="11CEF91D" w:rsidR="005919FC" w:rsidRPr="00871EA2" w:rsidRDefault="005919FC" w:rsidP="005919FC">
            <w:pPr>
              <w:pStyle w:val="TableText"/>
            </w:pPr>
          </w:p>
        </w:tc>
        <w:tc>
          <w:tcPr>
            <w:tcW w:w="877" w:type="pct"/>
            <w:vAlign w:val="center"/>
          </w:tcPr>
          <w:p w14:paraId="00263A4F" w14:textId="77777777" w:rsidR="005919FC" w:rsidRPr="00871EA2" w:rsidRDefault="005919FC" w:rsidP="005919FC">
            <w:pPr>
              <w:pStyle w:val="TableText"/>
            </w:pPr>
          </w:p>
        </w:tc>
        <w:tc>
          <w:tcPr>
            <w:tcW w:w="877" w:type="pct"/>
            <w:vAlign w:val="center"/>
          </w:tcPr>
          <w:p w14:paraId="48CE0F1E" w14:textId="64147700" w:rsidR="005919FC" w:rsidRPr="00305356" w:rsidRDefault="005919FC" w:rsidP="005919FC"/>
        </w:tc>
        <w:tc>
          <w:tcPr>
            <w:tcW w:w="878" w:type="pct"/>
            <w:shd w:val="clear" w:color="auto" w:fill="auto"/>
            <w:vAlign w:val="center"/>
          </w:tcPr>
          <w:p w14:paraId="6B84F3CA" w14:textId="7710565C" w:rsidR="005919FC" w:rsidRPr="00871EA2" w:rsidRDefault="005919FC" w:rsidP="005919FC">
            <w:pPr>
              <w:pStyle w:val="TableText"/>
            </w:pPr>
          </w:p>
        </w:tc>
      </w:tr>
      <w:tr w:rsidR="005919FC" w:rsidRPr="00EE4BD6" w14:paraId="1A371707" w14:textId="77777777" w:rsidTr="00253844">
        <w:trPr>
          <w:cantSplit/>
          <w:trHeight w:val="302"/>
        </w:trPr>
        <w:tc>
          <w:tcPr>
            <w:tcW w:w="190" w:type="pct"/>
            <w:vMerge/>
            <w:shd w:val="clear" w:color="auto" w:fill="F2F2F2" w:themeFill="background1" w:themeFillShade="F2"/>
            <w:textDirection w:val="btLr"/>
            <w:vAlign w:val="center"/>
          </w:tcPr>
          <w:p w14:paraId="0D10F8A9" w14:textId="77777777" w:rsidR="005919FC" w:rsidRPr="00487B19" w:rsidRDefault="005919FC" w:rsidP="005919FC">
            <w:pPr>
              <w:pStyle w:val="TableText"/>
              <w:spacing w:after="0"/>
              <w:jc w:val="center"/>
              <w:rPr>
                <w:b/>
                <w:bCs/>
              </w:rPr>
            </w:pPr>
          </w:p>
        </w:tc>
        <w:tc>
          <w:tcPr>
            <w:tcW w:w="1301" w:type="pct"/>
            <w:tcMar>
              <w:left w:w="43" w:type="dxa"/>
              <w:right w:w="43" w:type="dxa"/>
            </w:tcMar>
            <w:vAlign w:val="center"/>
          </w:tcPr>
          <w:p w14:paraId="38B0AACC" w14:textId="55DAD63C" w:rsidR="005919FC" w:rsidRPr="00871EA2" w:rsidRDefault="00000000" w:rsidP="005919FC">
            <w:pPr>
              <w:pStyle w:val="TableText"/>
              <w:keepNext/>
            </w:pPr>
            <w:hyperlink w:anchor="_Audit_Reports" w:history="1">
              <w:r w:rsidR="005919FC" w:rsidRPr="00871EA2">
                <w:rPr>
                  <w:rStyle w:val="Hyperlink"/>
                </w:rPr>
                <w:t>Audit Reports</w:t>
              </w:r>
            </w:hyperlink>
          </w:p>
        </w:tc>
        <w:tc>
          <w:tcPr>
            <w:tcW w:w="877" w:type="pct"/>
            <w:vAlign w:val="center"/>
          </w:tcPr>
          <w:p w14:paraId="6C95215C" w14:textId="4C3797F0" w:rsidR="005919FC" w:rsidRPr="00871EA2" w:rsidRDefault="005919FC" w:rsidP="005919FC">
            <w:pPr>
              <w:pStyle w:val="TableText"/>
            </w:pPr>
          </w:p>
        </w:tc>
        <w:tc>
          <w:tcPr>
            <w:tcW w:w="877" w:type="pct"/>
            <w:vAlign w:val="center"/>
          </w:tcPr>
          <w:p w14:paraId="347A5EE5" w14:textId="77777777" w:rsidR="005919FC" w:rsidRPr="00871EA2" w:rsidRDefault="005919FC" w:rsidP="005919FC">
            <w:pPr>
              <w:pStyle w:val="TableText"/>
            </w:pPr>
          </w:p>
        </w:tc>
        <w:tc>
          <w:tcPr>
            <w:tcW w:w="877" w:type="pct"/>
            <w:vAlign w:val="center"/>
          </w:tcPr>
          <w:p w14:paraId="53BA5980" w14:textId="49754F92" w:rsidR="005919FC" w:rsidRPr="00871EA2" w:rsidRDefault="005919FC" w:rsidP="005919FC">
            <w:pPr>
              <w:pStyle w:val="TableText"/>
            </w:pPr>
          </w:p>
        </w:tc>
        <w:tc>
          <w:tcPr>
            <w:tcW w:w="878" w:type="pct"/>
            <w:shd w:val="clear" w:color="auto" w:fill="auto"/>
            <w:vAlign w:val="center"/>
          </w:tcPr>
          <w:p w14:paraId="302DAAAD" w14:textId="391E1FE5" w:rsidR="005919FC" w:rsidRPr="00871EA2" w:rsidRDefault="005919FC" w:rsidP="005919FC">
            <w:pPr>
              <w:pStyle w:val="TableText"/>
            </w:pPr>
          </w:p>
        </w:tc>
      </w:tr>
      <w:tr w:rsidR="005919FC" w:rsidRPr="00EE4BD6" w14:paraId="484B2CE2" w14:textId="77777777" w:rsidTr="00253844">
        <w:trPr>
          <w:cantSplit/>
          <w:trHeight w:val="288"/>
        </w:trPr>
        <w:tc>
          <w:tcPr>
            <w:tcW w:w="190" w:type="pct"/>
            <w:vMerge w:val="restart"/>
            <w:shd w:val="clear" w:color="auto" w:fill="F2F2F2" w:themeFill="background1" w:themeFillShade="F2"/>
            <w:textDirection w:val="btLr"/>
            <w:vAlign w:val="center"/>
          </w:tcPr>
          <w:p w14:paraId="317EA7EC" w14:textId="1D028B27" w:rsidR="005919FC" w:rsidRPr="00487B19" w:rsidRDefault="005919FC" w:rsidP="005919FC">
            <w:pPr>
              <w:pStyle w:val="TableText"/>
              <w:spacing w:after="0"/>
              <w:jc w:val="center"/>
              <w:rPr>
                <w:b/>
                <w:bCs/>
              </w:rPr>
            </w:pPr>
            <w:r w:rsidRPr="00487B19">
              <w:rPr>
                <w:b/>
                <w:bCs/>
              </w:rPr>
              <w:t>IT</w:t>
            </w:r>
          </w:p>
        </w:tc>
        <w:tc>
          <w:tcPr>
            <w:tcW w:w="1301" w:type="pct"/>
            <w:tcMar>
              <w:left w:w="43" w:type="dxa"/>
              <w:right w:w="43" w:type="dxa"/>
            </w:tcMar>
            <w:vAlign w:val="center"/>
          </w:tcPr>
          <w:p w14:paraId="54A42921" w14:textId="57676788" w:rsidR="005919FC" w:rsidRPr="00871EA2" w:rsidRDefault="00000000" w:rsidP="005919FC">
            <w:pPr>
              <w:pStyle w:val="TableText"/>
            </w:pPr>
            <w:hyperlink w:anchor="_Daily" w:history="1">
              <w:r w:rsidR="005919FC" w:rsidRPr="00871EA2">
                <w:rPr>
                  <w:rStyle w:val="Hyperlink"/>
                </w:rPr>
                <w:t>Windows Updates</w:t>
              </w:r>
            </w:hyperlink>
          </w:p>
        </w:tc>
        <w:tc>
          <w:tcPr>
            <w:tcW w:w="877" w:type="pct"/>
            <w:vAlign w:val="center"/>
          </w:tcPr>
          <w:p w14:paraId="38CAA9DC" w14:textId="480FA1C6" w:rsidR="005919FC" w:rsidRPr="00871EA2" w:rsidRDefault="005919FC" w:rsidP="005919FC">
            <w:pPr>
              <w:pStyle w:val="TableText"/>
            </w:pPr>
          </w:p>
        </w:tc>
        <w:tc>
          <w:tcPr>
            <w:tcW w:w="877" w:type="pct"/>
          </w:tcPr>
          <w:p w14:paraId="25652F5D" w14:textId="77777777" w:rsidR="005919FC" w:rsidRPr="00871EA2" w:rsidRDefault="005919FC" w:rsidP="005919FC">
            <w:pPr>
              <w:pStyle w:val="TableText"/>
            </w:pPr>
          </w:p>
        </w:tc>
        <w:tc>
          <w:tcPr>
            <w:tcW w:w="877" w:type="pct"/>
          </w:tcPr>
          <w:p w14:paraId="15BC7197" w14:textId="4524873E" w:rsidR="005919FC" w:rsidRPr="00871EA2" w:rsidRDefault="005919FC" w:rsidP="005919FC">
            <w:pPr>
              <w:pStyle w:val="TableText"/>
            </w:pPr>
          </w:p>
        </w:tc>
        <w:tc>
          <w:tcPr>
            <w:tcW w:w="878" w:type="pct"/>
            <w:shd w:val="clear" w:color="auto" w:fill="auto"/>
            <w:vAlign w:val="center"/>
          </w:tcPr>
          <w:p w14:paraId="51E332B7" w14:textId="3C01378A" w:rsidR="005919FC" w:rsidRPr="00871EA2" w:rsidRDefault="005919FC" w:rsidP="005919FC">
            <w:pPr>
              <w:pStyle w:val="TableText"/>
            </w:pPr>
          </w:p>
        </w:tc>
      </w:tr>
      <w:tr w:rsidR="005919FC" w:rsidRPr="00EE4BD6" w14:paraId="154994CD" w14:textId="77777777" w:rsidTr="00253844">
        <w:trPr>
          <w:cantSplit/>
          <w:trHeight w:val="288"/>
        </w:trPr>
        <w:tc>
          <w:tcPr>
            <w:tcW w:w="190" w:type="pct"/>
            <w:vMerge/>
            <w:shd w:val="clear" w:color="auto" w:fill="F2F2F2" w:themeFill="background1" w:themeFillShade="F2"/>
          </w:tcPr>
          <w:p w14:paraId="48273EC2" w14:textId="77777777" w:rsidR="005919FC" w:rsidRPr="00871EA2" w:rsidRDefault="005919FC" w:rsidP="005919FC">
            <w:pPr>
              <w:pStyle w:val="TableText"/>
            </w:pPr>
          </w:p>
        </w:tc>
        <w:tc>
          <w:tcPr>
            <w:tcW w:w="1301" w:type="pct"/>
            <w:tcMar>
              <w:left w:w="43" w:type="dxa"/>
              <w:right w:w="43" w:type="dxa"/>
            </w:tcMar>
            <w:vAlign w:val="center"/>
          </w:tcPr>
          <w:p w14:paraId="086F84AD" w14:textId="6A3CCCE2" w:rsidR="005919FC" w:rsidRPr="00871EA2" w:rsidRDefault="00000000" w:rsidP="005919FC">
            <w:pPr>
              <w:pStyle w:val="TableText"/>
            </w:pPr>
            <w:hyperlink w:anchor="_Daily" w:history="1">
              <w:r w:rsidR="005919FC" w:rsidRPr="00871EA2">
                <w:rPr>
                  <w:rStyle w:val="Hyperlink"/>
                </w:rPr>
                <w:t>Windows System Logs</w:t>
              </w:r>
            </w:hyperlink>
          </w:p>
        </w:tc>
        <w:tc>
          <w:tcPr>
            <w:tcW w:w="877" w:type="pct"/>
            <w:vAlign w:val="center"/>
          </w:tcPr>
          <w:p w14:paraId="39419E84" w14:textId="1ABDF6B5" w:rsidR="005919FC" w:rsidRPr="00871EA2" w:rsidRDefault="005919FC" w:rsidP="005919FC">
            <w:pPr>
              <w:pStyle w:val="TableText"/>
            </w:pPr>
          </w:p>
        </w:tc>
        <w:tc>
          <w:tcPr>
            <w:tcW w:w="877" w:type="pct"/>
          </w:tcPr>
          <w:p w14:paraId="301E64A0" w14:textId="77777777" w:rsidR="005919FC" w:rsidRPr="00871EA2" w:rsidRDefault="005919FC" w:rsidP="005919FC">
            <w:pPr>
              <w:pStyle w:val="TableText"/>
            </w:pPr>
          </w:p>
        </w:tc>
        <w:tc>
          <w:tcPr>
            <w:tcW w:w="877" w:type="pct"/>
          </w:tcPr>
          <w:p w14:paraId="69CD1D3F" w14:textId="03CED06C" w:rsidR="005919FC" w:rsidRPr="00871EA2" w:rsidRDefault="005919FC" w:rsidP="005919FC">
            <w:pPr>
              <w:pStyle w:val="TableText"/>
            </w:pPr>
          </w:p>
        </w:tc>
        <w:tc>
          <w:tcPr>
            <w:tcW w:w="878" w:type="pct"/>
            <w:shd w:val="clear" w:color="auto" w:fill="auto"/>
            <w:vAlign w:val="center"/>
          </w:tcPr>
          <w:p w14:paraId="256AF43D" w14:textId="2B40A380" w:rsidR="005919FC" w:rsidRPr="00871EA2" w:rsidRDefault="005919FC" w:rsidP="005919FC">
            <w:pPr>
              <w:pStyle w:val="TableText"/>
            </w:pPr>
          </w:p>
        </w:tc>
      </w:tr>
    </w:tbl>
    <w:p w14:paraId="2AB51C3C" w14:textId="35234E40" w:rsidR="00551298" w:rsidRDefault="00551298" w:rsidP="00D97A18">
      <w:pPr>
        <w:pStyle w:val="BodyText"/>
      </w:pPr>
      <w:bookmarkStart w:id="22" w:name="_Monthly_Checklist"/>
      <w:bookmarkEnd w:id="22"/>
    </w:p>
    <w:p w14:paraId="267DCF55" w14:textId="77777777" w:rsidR="00551298" w:rsidRDefault="00551298">
      <w:pPr>
        <w:spacing w:after="0"/>
        <w:rPr>
          <w:rFonts w:ascii="Times New Roman" w:hAnsi="Times New Roman"/>
        </w:rPr>
      </w:pPr>
      <w:r>
        <w:br w:type="page"/>
      </w:r>
    </w:p>
    <w:p w14:paraId="4C4537F4" w14:textId="1009FFD2" w:rsidR="00AA7387" w:rsidRDefault="00053F3E" w:rsidP="00786C42">
      <w:pPr>
        <w:pStyle w:val="Heading1"/>
      </w:pPr>
      <w:bookmarkStart w:id="23" w:name="_Monthly_Checklist_1"/>
      <w:bookmarkStart w:id="24" w:name="_Toc166834288"/>
      <w:bookmarkEnd w:id="23"/>
      <w:r>
        <w:lastRenderedPageBreak/>
        <w:t>Monthly</w:t>
      </w:r>
      <w:r w:rsidR="00786C42">
        <w:t xml:space="preserve"> </w:t>
      </w:r>
      <w:r w:rsidR="007D1CFF">
        <w:t>Checklist</w:t>
      </w:r>
      <w:bookmarkEnd w:id="24"/>
    </w:p>
    <w:p w14:paraId="655C4ECF" w14:textId="4DD7383E" w:rsidR="00D97A18" w:rsidRDefault="00D97A18" w:rsidP="00D97A18">
      <w:r w:rsidRPr="000F3D09">
        <w:t xml:space="preserve">The </w:t>
      </w:r>
      <w:r>
        <w:t xml:space="preserve">Monthly </w:t>
      </w:r>
      <w:r w:rsidRPr="00912847">
        <w:t xml:space="preserve">Clinic Closeout Duties </w:t>
      </w:r>
      <w:r>
        <w:t>checklist</w:t>
      </w:r>
      <w:r w:rsidRPr="00912847">
        <w:t xml:space="preserve"> </w:t>
      </w:r>
      <w:r>
        <w:t xml:space="preserve">is </w:t>
      </w:r>
      <w:r w:rsidRPr="00912847">
        <w:t>a comprehensive list of</w:t>
      </w:r>
      <w:r w:rsidRPr="000F3D09">
        <w:t xml:space="preserve"> checks and balances to ensure the accuracy of entries recorded within Dentrix Enterprise</w:t>
      </w:r>
      <w:r>
        <w:t xml:space="preserve"> and</w:t>
      </w:r>
      <w:r w:rsidRPr="000F3D09">
        <w:t xml:space="preserve"> allow </w:t>
      </w:r>
      <w:r>
        <w:t xml:space="preserve">the </w:t>
      </w:r>
      <w:r w:rsidRPr="000F3D09">
        <w:t>tracking and review</w:t>
      </w:r>
      <w:r>
        <w:t>ing</w:t>
      </w:r>
      <w:r w:rsidRPr="000F3D09">
        <w:t xml:space="preserve"> of internal key performance indicators. </w:t>
      </w:r>
      <w:r>
        <w:t>Use the Monthly Checklist Task / Report table below to access detailed task information via the hyperlinks</w:t>
      </w:r>
      <w:r w:rsidR="00FA5088">
        <w:t>,</w:t>
      </w:r>
      <w:r>
        <w:t xml:space="preserve"> and mark each box to indicate a completed task.</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4" w:type="dxa"/>
          <w:left w:w="14" w:type="dxa"/>
          <w:bottom w:w="14" w:type="dxa"/>
          <w:right w:w="14" w:type="dxa"/>
        </w:tblCellMar>
        <w:tblLook w:val="04A0" w:firstRow="1" w:lastRow="0" w:firstColumn="1" w:lastColumn="0" w:noHBand="0" w:noVBand="1"/>
      </w:tblPr>
      <w:tblGrid>
        <w:gridCol w:w="530"/>
        <w:gridCol w:w="2339"/>
        <w:gridCol w:w="1677"/>
        <w:gridCol w:w="1680"/>
        <w:gridCol w:w="1677"/>
        <w:gridCol w:w="1680"/>
        <w:gridCol w:w="1677"/>
        <w:gridCol w:w="1680"/>
      </w:tblGrid>
      <w:tr w:rsidR="003D2232" w:rsidRPr="00EE4BD6" w14:paraId="36AA7457" w14:textId="77777777" w:rsidTr="008026DA">
        <w:trPr>
          <w:cantSplit/>
          <w:trHeight w:val="360"/>
        </w:trPr>
        <w:tc>
          <w:tcPr>
            <w:tcW w:w="1109" w:type="pct"/>
            <w:gridSpan w:val="2"/>
            <w:vMerge w:val="restart"/>
            <w:shd w:val="clear" w:color="auto" w:fill="F2F2F2" w:themeFill="background1" w:themeFillShade="F2"/>
            <w:tcMar>
              <w:left w:w="648" w:type="dxa"/>
            </w:tcMar>
          </w:tcPr>
          <w:p w14:paraId="4C185B50" w14:textId="16830841" w:rsidR="003D2232" w:rsidRPr="00A47167" w:rsidRDefault="003D2232" w:rsidP="00C02ACE">
            <w:pPr>
              <w:pStyle w:val="TableText"/>
              <w:spacing w:before="60" w:after="0"/>
              <w:rPr>
                <w:b/>
                <w:bCs/>
                <w:sz w:val="24"/>
                <w:szCs w:val="24"/>
              </w:rPr>
            </w:pPr>
            <w:r w:rsidRPr="00A47167">
              <w:rPr>
                <w:b/>
                <w:bCs/>
                <w:sz w:val="24"/>
                <w:szCs w:val="24"/>
              </w:rPr>
              <w:t>Task / Report</w:t>
            </w:r>
          </w:p>
        </w:tc>
        <w:tc>
          <w:tcPr>
            <w:tcW w:w="3891" w:type="pct"/>
            <w:gridSpan w:val="6"/>
            <w:shd w:val="clear" w:color="auto" w:fill="F2F2F2" w:themeFill="background1" w:themeFillShade="F2"/>
          </w:tcPr>
          <w:p w14:paraId="419288BD" w14:textId="03D7CE42" w:rsidR="003D2232" w:rsidRPr="00A47167" w:rsidRDefault="003D2232" w:rsidP="008026DA">
            <w:pPr>
              <w:pStyle w:val="TableText"/>
              <w:spacing w:before="60" w:after="0"/>
              <w:jc w:val="center"/>
              <w:rPr>
                <w:b/>
                <w:bCs/>
                <w:sz w:val="24"/>
                <w:szCs w:val="24"/>
              </w:rPr>
            </w:pPr>
            <w:r w:rsidRPr="00A47167">
              <w:rPr>
                <w:b/>
                <w:bCs/>
                <w:sz w:val="24"/>
                <w:szCs w:val="24"/>
              </w:rPr>
              <w:t>Complet</w:t>
            </w:r>
            <w:r w:rsidR="005A14DC">
              <w:rPr>
                <w:b/>
                <w:bCs/>
                <w:sz w:val="24"/>
                <w:szCs w:val="24"/>
              </w:rPr>
              <w:t>ion Sign-off</w:t>
            </w:r>
          </w:p>
        </w:tc>
      </w:tr>
      <w:tr w:rsidR="003D2232" w:rsidRPr="00EE4BD6" w14:paraId="044F2C9E" w14:textId="77777777" w:rsidTr="00843F55">
        <w:trPr>
          <w:cantSplit/>
          <w:trHeight w:val="360"/>
        </w:trPr>
        <w:tc>
          <w:tcPr>
            <w:tcW w:w="1109" w:type="pct"/>
            <w:gridSpan w:val="2"/>
            <w:vMerge/>
            <w:shd w:val="clear" w:color="auto" w:fill="F2F2F2" w:themeFill="background1" w:themeFillShade="F2"/>
          </w:tcPr>
          <w:p w14:paraId="60AC6EC6" w14:textId="77777777" w:rsidR="003D2232" w:rsidRPr="00A47167" w:rsidRDefault="003D2232" w:rsidP="009F357F">
            <w:pPr>
              <w:pStyle w:val="TableText"/>
              <w:rPr>
                <w:b/>
                <w:bCs/>
                <w:sz w:val="24"/>
                <w:szCs w:val="24"/>
              </w:rPr>
            </w:pPr>
          </w:p>
        </w:tc>
        <w:tc>
          <w:tcPr>
            <w:tcW w:w="648" w:type="pct"/>
            <w:shd w:val="clear" w:color="auto" w:fill="F2F2F2" w:themeFill="background1" w:themeFillShade="F2"/>
            <w:vAlign w:val="center"/>
          </w:tcPr>
          <w:p w14:paraId="52229A90" w14:textId="5A5E53A7" w:rsidR="003D2232" w:rsidRPr="00A47167" w:rsidRDefault="005A14DC" w:rsidP="005A14DC">
            <w:pPr>
              <w:pStyle w:val="TableText"/>
              <w:jc w:val="center"/>
              <w:rPr>
                <w:b/>
                <w:bCs/>
                <w:sz w:val="24"/>
                <w:szCs w:val="24"/>
              </w:rPr>
            </w:pPr>
            <w:r>
              <w:rPr>
                <w:sz w:val="20"/>
                <w:szCs w:val="20"/>
              </w:rPr>
              <w:t>Month</w:t>
            </w:r>
            <w:r w:rsidRPr="005A14DC">
              <w:rPr>
                <w:sz w:val="20"/>
                <w:szCs w:val="20"/>
              </w:rPr>
              <w:t xml:space="preserve"> 1: ______</w:t>
            </w:r>
          </w:p>
        </w:tc>
        <w:tc>
          <w:tcPr>
            <w:tcW w:w="649" w:type="pct"/>
            <w:shd w:val="clear" w:color="auto" w:fill="F2F2F2" w:themeFill="background1" w:themeFillShade="F2"/>
            <w:vAlign w:val="center"/>
          </w:tcPr>
          <w:p w14:paraId="79039143" w14:textId="64BCBF3A" w:rsidR="003D2232" w:rsidRPr="00A47167" w:rsidRDefault="005A14DC" w:rsidP="00501153">
            <w:pPr>
              <w:pStyle w:val="TableText"/>
              <w:rPr>
                <w:b/>
                <w:bCs/>
                <w:sz w:val="24"/>
                <w:szCs w:val="24"/>
              </w:rPr>
            </w:pPr>
            <w:r>
              <w:rPr>
                <w:sz w:val="20"/>
                <w:szCs w:val="20"/>
              </w:rPr>
              <w:t>Month</w:t>
            </w:r>
            <w:r w:rsidRPr="005A14DC">
              <w:rPr>
                <w:sz w:val="20"/>
                <w:szCs w:val="20"/>
              </w:rPr>
              <w:t xml:space="preserve"> </w:t>
            </w:r>
            <w:r>
              <w:rPr>
                <w:sz w:val="20"/>
                <w:szCs w:val="20"/>
              </w:rPr>
              <w:t>2</w:t>
            </w:r>
            <w:r w:rsidRPr="005A14DC">
              <w:rPr>
                <w:sz w:val="20"/>
                <w:szCs w:val="20"/>
              </w:rPr>
              <w:t>: _______</w:t>
            </w:r>
          </w:p>
        </w:tc>
        <w:tc>
          <w:tcPr>
            <w:tcW w:w="648" w:type="pct"/>
            <w:shd w:val="clear" w:color="auto" w:fill="F2F2F2" w:themeFill="background1" w:themeFillShade="F2"/>
            <w:vAlign w:val="center"/>
          </w:tcPr>
          <w:p w14:paraId="26B43371" w14:textId="4A85D846" w:rsidR="003D2232" w:rsidRPr="00A47167" w:rsidRDefault="005A14DC" w:rsidP="00501153">
            <w:pPr>
              <w:pStyle w:val="TableText"/>
              <w:rPr>
                <w:b/>
                <w:bCs/>
                <w:sz w:val="24"/>
                <w:szCs w:val="24"/>
              </w:rPr>
            </w:pPr>
            <w:r>
              <w:rPr>
                <w:sz w:val="20"/>
                <w:szCs w:val="20"/>
              </w:rPr>
              <w:t>Month</w:t>
            </w:r>
            <w:r w:rsidRPr="005A14DC">
              <w:rPr>
                <w:sz w:val="20"/>
                <w:szCs w:val="20"/>
              </w:rPr>
              <w:t xml:space="preserve"> </w:t>
            </w:r>
            <w:r>
              <w:rPr>
                <w:sz w:val="20"/>
                <w:szCs w:val="20"/>
              </w:rPr>
              <w:t>3</w:t>
            </w:r>
            <w:r w:rsidRPr="005A14DC">
              <w:rPr>
                <w:sz w:val="20"/>
                <w:szCs w:val="20"/>
              </w:rPr>
              <w:t>: _______</w:t>
            </w:r>
          </w:p>
        </w:tc>
        <w:tc>
          <w:tcPr>
            <w:tcW w:w="649" w:type="pct"/>
            <w:shd w:val="clear" w:color="auto" w:fill="F2F2F2" w:themeFill="background1" w:themeFillShade="F2"/>
            <w:vAlign w:val="center"/>
          </w:tcPr>
          <w:p w14:paraId="071B5FEB" w14:textId="3D716654" w:rsidR="003D2232" w:rsidRPr="00A47167" w:rsidRDefault="005A14DC" w:rsidP="00501153">
            <w:pPr>
              <w:pStyle w:val="TableText"/>
              <w:rPr>
                <w:b/>
                <w:bCs/>
                <w:sz w:val="24"/>
                <w:szCs w:val="24"/>
              </w:rPr>
            </w:pPr>
            <w:r>
              <w:rPr>
                <w:sz w:val="20"/>
                <w:szCs w:val="20"/>
              </w:rPr>
              <w:t>Month</w:t>
            </w:r>
            <w:r w:rsidRPr="005A14DC">
              <w:rPr>
                <w:sz w:val="20"/>
                <w:szCs w:val="20"/>
              </w:rPr>
              <w:t xml:space="preserve"> </w:t>
            </w:r>
            <w:r>
              <w:rPr>
                <w:sz w:val="20"/>
                <w:szCs w:val="20"/>
              </w:rPr>
              <w:t>4</w:t>
            </w:r>
            <w:r w:rsidRPr="005A14DC">
              <w:rPr>
                <w:sz w:val="20"/>
                <w:szCs w:val="20"/>
              </w:rPr>
              <w:t>: _______</w:t>
            </w:r>
          </w:p>
        </w:tc>
        <w:tc>
          <w:tcPr>
            <w:tcW w:w="648" w:type="pct"/>
            <w:shd w:val="clear" w:color="auto" w:fill="F2F2F2" w:themeFill="background1" w:themeFillShade="F2"/>
            <w:vAlign w:val="center"/>
          </w:tcPr>
          <w:p w14:paraId="27A70D5B" w14:textId="670BDE30" w:rsidR="003D2232" w:rsidRPr="00A47167" w:rsidRDefault="005A14DC" w:rsidP="00501153">
            <w:pPr>
              <w:pStyle w:val="TableText"/>
              <w:rPr>
                <w:b/>
                <w:bCs/>
                <w:sz w:val="24"/>
                <w:szCs w:val="24"/>
              </w:rPr>
            </w:pPr>
            <w:r>
              <w:rPr>
                <w:sz w:val="20"/>
                <w:szCs w:val="20"/>
              </w:rPr>
              <w:t>Month</w:t>
            </w:r>
            <w:r w:rsidRPr="005A14DC">
              <w:rPr>
                <w:sz w:val="20"/>
                <w:szCs w:val="20"/>
              </w:rPr>
              <w:t xml:space="preserve"> </w:t>
            </w:r>
            <w:r>
              <w:rPr>
                <w:sz w:val="20"/>
                <w:szCs w:val="20"/>
              </w:rPr>
              <w:t>5</w:t>
            </w:r>
            <w:r w:rsidRPr="005A14DC">
              <w:rPr>
                <w:sz w:val="20"/>
                <w:szCs w:val="20"/>
              </w:rPr>
              <w:t>: _______</w:t>
            </w:r>
          </w:p>
        </w:tc>
        <w:tc>
          <w:tcPr>
            <w:tcW w:w="649" w:type="pct"/>
            <w:shd w:val="clear" w:color="auto" w:fill="F2F2F2" w:themeFill="background1" w:themeFillShade="F2"/>
            <w:vAlign w:val="center"/>
          </w:tcPr>
          <w:p w14:paraId="14907117" w14:textId="2555C92B" w:rsidR="003D2232" w:rsidRPr="00A47167" w:rsidRDefault="005A14DC" w:rsidP="00501153">
            <w:pPr>
              <w:pStyle w:val="TableText"/>
              <w:rPr>
                <w:b/>
                <w:bCs/>
                <w:sz w:val="24"/>
                <w:szCs w:val="24"/>
              </w:rPr>
            </w:pPr>
            <w:r>
              <w:rPr>
                <w:sz w:val="20"/>
                <w:szCs w:val="20"/>
              </w:rPr>
              <w:t>Month</w:t>
            </w:r>
            <w:r w:rsidRPr="005A14DC">
              <w:rPr>
                <w:sz w:val="20"/>
                <w:szCs w:val="20"/>
              </w:rPr>
              <w:t xml:space="preserve"> </w:t>
            </w:r>
            <w:r>
              <w:rPr>
                <w:sz w:val="20"/>
                <w:szCs w:val="20"/>
              </w:rPr>
              <w:t>6</w:t>
            </w:r>
            <w:r w:rsidRPr="005A14DC">
              <w:rPr>
                <w:sz w:val="20"/>
                <w:szCs w:val="20"/>
              </w:rPr>
              <w:t>: _______</w:t>
            </w:r>
          </w:p>
        </w:tc>
      </w:tr>
      <w:tr w:rsidR="00DA5078" w:rsidRPr="00EE4BD6" w14:paraId="3411F340" w14:textId="77777777" w:rsidTr="00843F55">
        <w:trPr>
          <w:cantSplit/>
          <w:trHeight w:val="360"/>
        </w:trPr>
        <w:tc>
          <w:tcPr>
            <w:tcW w:w="205" w:type="pct"/>
            <w:vMerge w:val="restart"/>
            <w:shd w:val="clear" w:color="auto" w:fill="F2F2F2" w:themeFill="background1" w:themeFillShade="F2"/>
            <w:textDirection w:val="btLr"/>
            <w:vAlign w:val="center"/>
          </w:tcPr>
          <w:p w14:paraId="24A8850D" w14:textId="19706DB6" w:rsidR="00DA5078" w:rsidRPr="002E03FA" w:rsidRDefault="00DA5078" w:rsidP="00501153">
            <w:pPr>
              <w:pStyle w:val="TableText"/>
              <w:spacing w:after="0"/>
              <w:jc w:val="center"/>
              <w:rPr>
                <w:b/>
                <w:bCs/>
              </w:rPr>
            </w:pPr>
            <w:r w:rsidRPr="002E03FA">
              <w:rPr>
                <w:b/>
                <w:bCs/>
              </w:rPr>
              <w:t>Dental Chief</w:t>
            </w:r>
          </w:p>
        </w:tc>
        <w:tc>
          <w:tcPr>
            <w:tcW w:w="904" w:type="pct"/>
            <w:tcMar>
              <w:left w:w="43" w:type="dxa"/>
              <w:right w:w="43" w:type="dxa"/>
            </w:tcMar>
            <w:vAlign w:val="center"/>
          </w:tcPr>
          <w:p w14:paraId="54AE54DE" w14:textId="5F5FAE51" w:rsidR="00DA5078" w:rsidRPr="00B052CA" w:rsidRDefault="00000000" w:rsidP="00923771">
            <w:pPr>
              <w:pStyle w:val="TableText"/>
            </w:pPr>
            <w:hyperlink w:anchor="_Adjustment_Summary_Report" w:history="1">
              <w:r w:rsidR="00DA5078" w:rsidRPr="00B052CA">
                <w:rPr>
                  <w:rStyle w:val="Hyperlink"/>
                </w:rPr>
                <w:t>Adjustment Summary Report</w:t>
              </w:r>
            </w:hyperlink>
          </w:p>
        </w:tc>
        <w:tc>
          <w:tcPr>
            <w:tcW w:w="648" w:type="pct"/>
            <w:vAlign w:val="center"/>
          </w:tcPr>
          <w:p w14:paraId="3EFAA470" w14:textId="1B40A115" w:rsidR="00DA5078" w:rsidRPr="00B052CA" w:rsidRDefault="00DA5078" w:rsidP="00501153">
            <w:pPr>
              <w:pStyle w:val="TableText"/>
            </w:pPr>
          </w:p>
        </w:tc>
        <w:tc>
          <w:tcPr>
            <w:tcW w:w="649" w:type="pct"/>
            <w:vAlign w:val="center"/>
          </w:tcPr>
          <w:p w14:paraId="7797C4A4" w14:textId="77777777" w:rsidR="00DA5078" w:rsidRPr="00B052CA" w:rsidRDefault="00DA5078" w:rsidP="00501153">
            <w:pPr>
              <w:pStyle w:val="TableText"/>
            </w:pPr>
          </w:p>
        </w:tc>
        <w:tc>
          <w:tcPr>
            <w:tcW w:w="648" w:type="pct"/>
            <w:vAlign w:val="center"/>
          </w:tcPr>
          <w:p w14:paraId="1C9737F1" w14:textId="77777777" w:rsidR="00DA5078" w:rsidRPr="00B052CA" w:rsidRDefault="00DA5078" w:rsidP="00501153">
            <w:pPr>
              <w:pStyle w:val="TableText"/>
            </w:pPr>
          </w:p>
        </w:tc>
        <w:tc>
          <w:tcPr>
            <w:tcW w:w="649" w:type="pct"/>
            <w:vAlign w:val="center"/>
          </w:tcPr>
          <w:p w14:paraId="00457D1A" w14:textId="77777777" w:rsidR="00DA5078" w:rsidRPr="00B052CA" w:rsidRDefault="00DA5078" w:rsidP="00501153">
            <w:pPr>
              <w:pStyle w:val="TableText"/>
            </w:pPr>
          </w:p>
        </w:tc>
        <w:tc>
          <w:tcPr>
            <w:tcW w:w="648" w:type="pct"/>
            <w:vAlign w:val="center"/>
          </w:tcPr>
          <w:p w14:paraId="7ADDE24E" w14:textId="6244B0F4" w:rsidR="00DA5078" w:rsidRPr="00B052CA" w:rsidRDefault="00DA5078" w:rsidP="00501153">
            <w:pPr>
              <w:pStyle w:val="TableText"/>
            </w:pPr>
          </w:p>
        </w:tc>
        <w:tc>
          <w:tcPr>
            <w:tcW w:w="649" w:type="pct"/>
            <w:shd w:val="clear" w:color="auto" w:fill="auto"/>
            <w:vAlign w:val="center"/>
          </w:tcPr>
          <w:p w14:paraId="30833195" w14:textId="7B22A341" w:rsidR="00DA5078" w:rsidRPr="00B052CA" w:rsidRDefault="00DA5078" w:rsidP="00501153">
            <w:pPr>
              <w:pStyle w:val="TableText"/>
            </w:pPr>
          </w:p>
        </w:tc>
      </w:tr>
      <w:tr w:rsidR="00DA5078" w:rsidRPr="00EE4BD6" w14:paraId="2C9AA731" w14:textId="77777777" w:rsidTr="00843F55">
        <w:trPr>
          <w:cantSplit/>
          <w:trHeight w:val="360"/>
        </w:trPr>
        <w:tc>
          <w:tcPr>
            <w:tcW w:w="205" w:type="pct"/>
            <w:vMerge/>
            <w:shd w:val="clear" w:color="auto" w:fill="F2F2F2" w:themeFill="background1" w:themeFillShade="F2"/>
            <w:textDirection w:val="btLr"/>
            <w:vAlign w:val="center"/>
          </w:tcPr>
          <w:p w14:paraId="4ACE4A82" w14:textId="77777777" w:rsidR="00DA5078" w:rsidRPr="002E03FA" w:rsidRDefault="00DA5078" w:rsidP="00501153">
            <w:pPr>
              <w:pStyle w:val="TableText"/>
              <w:spacing w:after="0"/>
              <w:jc w:val="center"/>
              <w:rPr>
                <w:b/>
                <w:bCs/>
              </w:rPr>
            </w:pPr>
          </w:p>
        </w:tc>
        <w:tc>
          <w:tcPr>
            <w:tcW w:w="904" w:type="pct"/>
            <w:tcMar>
              <w:left w:w="43" w:type="dxa"/>
              <w:right w:w="43" w:type="dxa"/>
            </w:tcMar>
            <w:vAlign w:val="center"/>
          </w:tcPr>
          <w:p w14:paraId="32C7BEF0" w14:textId="090CCAD7" w:rsidR="00DA5078" w:rsidRPr="00B052CA" w:rsidRDefault="00000000" w:rsidP="00923771">
            <w:pPr>
              <w:pStyle w:val="TableText"/>
            </w:pPr>
            <w:hyperlink w:anchor="_Production_Summary_Report" w:history="1">
              <w:r w:rsidR="00DA5078" w:rsidRPr="00B052CA">
                <w:rPr>
                  <w:rStyle w:val="Hyperlink"/>
                </w:rPr>
                <w:t>Production Summary Report</w:t>
              </w:r>
            </w:hyperlink>
          </w:p>
        </w:tc>
        <w:tc>
          <w:tcPr>
            <w:tcW w:w="648" w:type="pct"/>
            <w:vAlign w:val="center"/>
          </w:tcPr>
          <w:p w14:paraId="33F4C605" w14:textId="092D92BF" w:rsidR="00DA5078" w:rsidRPr="00B052CA" w:rsidRDefault="00DA5078" w:rsidP="00501153">
            <w:pPr>
              <w:pStyle w:val="TableText"/>
            </w:pPr>
          </w:p>
        </w:tc>
        <w:tc>
          <w:tcPr>
            <w:tcW w:w="649" w:type="pct"/>
            <w:vAlign w:val="center"/>
          </w:tcPr>
          <w:p w14:paraId="4D10CC21" w14:textId="77777777" w:rsidR="00DA5078" w:rsidRPr="00B052CA" w:rsidRDefault="00DA5078" w:rsidP="00501153">
            <w:pPr>
              <w:pStyle w:val="TableText"/>
            </w:pPr>
          </w:p>
        </w:tc>
        <w:tc>
          <w:tcPr>
            <w:tcW w:w="648" w:type="pct"/>
            <w:vAlign w:val="center"/>
          </w:tcPr>
          <w:p w14:paraId="4DC3D1C4" w14:textId="77777777" w:rsidR="00DA5078" w:rsidRPr="00B052CA" w:rsidRDefault="00DA5078" w:rsidP="00501153">
            <w:pPr>
              <w:pStyle w:val="TableText"/>
            </w:pPr>
          </w:p>
        </w:tc>
        <w:tc>
          <w:tcPr>
            <w:tcW w:w="649" w:type="pct"/>
            <w:vAlign w:val="center"/>
          </w:tcPr>
          <w:p w14:paraId="4DA6B3C8" w14:textId="77777777" w:rsidR="00DA5078" w:rsidRPr="00B052CA" w:rsidRDefault="00DA5078" w:rsidP="00501153">
            <w:pPr>
              <w:pStyle w:val="TableText"/>
            </w:pPr>
          </w:p>
        </w:tc>
        <w:tc>
          <w:tcPr>
            <w:tcW w:w="648" w:type="pct"/>
            <w:vAlign w:val="center"/>
          </w:tcPr>
          <w:p w14:paraId="60BFE213" w14:textId="5151E40D" w:rsidR="00DA5078" w:rsidRPr="00B052CA" w:rsidRDefault="00DA5078" w:rsidP="00501153">
            <w:pPr>
              <w:pStyle w:val="TableText"/>
            </w:pPr>
          </w:p>
        </w:tc>
        <w:tc>
          <w:tcPr>
            <w:tcW w:w="649" w:type="pct"/>
            <w:shd w:val="clear" w:color="auto" w:fill="auto"/>
            <w:vAlign w:val="center"/>
          </w:tcPr>
          <w:p w14:paraId="505D7692" w14:textId="096AC979" w:rsidR="00DA5078" w:rsidRPr="00B052CA" w:rsidRDefault="00DA5078" w:rsidP="00501153">
            <w:pPr>
              <w:pStyle w:val="TableText"/>
            </w:pPr>
          </w:p>
        </w:tc>
      </w:tr>
      <w:tr w:rsidR="00DA5078" w:rsidRPr="00EE4BD6" w14:paraId="1A33A5FC" w14:textId="77777777" w:rsidTr="00843F55">
        <w:trPr>
          <w:cantSplit/>
          <w:trHeight w:val="360"/>
        </w:trPr>
        <w:tc>
          <w:tcPr>
            <w:tcW w:w="205" w:type="pct"/>
            <w:vMerge/>
            <w:shd w:val="clear" w:color="auto" w:fill="F2F2F2" w:themeFill="background1" w:themeFillShade="F2"/>
            <w:textDirection w:val="btLr"/>
            <w:vAlign w:val="center"/>
          </w:tcPr>
          <w:p w14:paraId="19561A38" w14:textId="77777777" w:rsidR="00DA5078" w:rsidRPr="002E03FA" w:rsidRDefault="00DA5078" w:rsidP="00501153">
            <w:pPr>
              <w:pStyle w:val="TableText"/>
              <w:spacing w:after="0"/>
              <w:jc w:val="center"/>
              <w:rPr>
                <w:b/>
                <w:bCs/>
              </w:rPr>
            </w:pPr>
          </w:p>
        </w:tc>
        <w:tc>
          <w:tcPr>
            <w:tcW w:w="904" w:type="pct"/>
            <w:tcMar>
              <w:left w:w="43" w:type="dxa"/>
              <w:right w:w="43" w:type="dxa"/>
            </w:tcMar>
            <w:vAlign w:val="center"/>
          </w:tcPr>
          <w:p w14:paraId="193AD225" w14:textId="5F674F32" w:rsidR="00DA5078" w:rsidRPr="00B052CA" w:rsidRDefault="00000000" w:rsidP="00923771">
            <w:pPr>
              <w:pStyle w:val="TableText"/>
            </w:pPr>
            <w:hyperlink w:anchor="_Payment_Summary_Report" w:history="1">
              <w:r w:rsidR="00DA5078" w:rsidRPr="00B052CA">
                <w:rPr>
                  <w:rStyle w:val="Hyperlink"/>
                </w:rPr>
                <w:t>Payment Summary Report</w:t>
              </w:r>
            </w:hyperlink>
          </w:p>
        </w:tc>
        <w:tc>
          <w:tcPr>
            <w:tcW w:w="648" w:type="pct"/>
            <w:vAlign w:val="center"/>
          </w:tcPr>
          <w:p w14:paraId="009C8A92" w14:textId="346362A2" w:rsidR="00DA5078" w:rsidRPr="00B052CA" w:rsidRDefault="00DA5078" w:rsidP="00501153">
            <w:pPr>
              <w:pStyle w:val="TableText"/>
            </w:pPr>
          </w:p>
        </w:tc>
        <w:tc>
          <w:tcPr>
            <w:tcW w:w="649" w:type="pct"/>
            <w:vAlign w:val="center"/>
          </w:tcPr>
          <w:p w14:paraId="2701F63F" w14:textId="77777777" w:rsidR="00DA5078" w:rsidRPr="00B052CA" w:rsidRDefault="00DA5078" w:rsidP="00501153">
            <w:pPr>
              <w:pStyle w:val="TableText"/>
            </w:pPr>
          </w:p>
        </w:tc>
        <w:tc>
          <w:tcPr>
            <w:tcW w:w="648" w:type="pct"/>
            <w:vAlign w:val="center"/>
          </w:tcPr>
          <w:p w14:paraId="6710D436" w14:textId="77777777" w:rsidR="00DA5078" w:rsidRPr="00B052CA" w:rsidRDefault="00DA5078" w:rsidP="00501153">
            <w:pPr>
              <w:pStyle w:val="TableText"/>
            </w:pPr>
          </w:p>
        </w:tc>
        <w:tc>
          <w:tcPr>
            <w:tcW w:w="649" w:type="pct"/>
            <w:vAlign w:val="center"/>
          </w:tcPr>
          <w:p w14:paraId="4C78F675" w14:textId="77777777" w:rsidR="00DA5078" w:rsidRPr="00B052CA" w:rsidRDefault="00DA5078" w:rsidP="00501153">
            <w:pPr>
              <w:pStyle w:val="TableText"/>
            </w:pPr>
          </w:p>
        </w:tc>
        <w:tc>
          <w:tcPr>
            <w:tcW w:w="648" w:type="pct"/>
            <w:vAlign w:val="center"/>
          </w:tcPr>
          <w:p w14:paraId="5A0E5878" w14:textId="75620579" w:rsidR="00DA5078" w:rsidRPr="00B052CA" w:rsidRDefault="00DA5078" w:rsidP="00501153">
            <w:pPr>
              <w:pStyle w:val="TableText"/>
            </w:pPr>
          </w:p>
        </w:tc>
        <w:tc>
          <w:tcPr>
            <w:tcW w:w="649" w:type="pct"/>
            <w:shd w:val="clear" w:color="auto" w:fill="auto"/>
            <w:vAlign w:val="center"/>
          </w:tcPr>
          <w:p w14:paraId="107CAE33" w14:textId="5B1F47B2" w:rsidR="00DA5078" w:rsidRPr="00B052CA" w:rsidRDefault="00DA5078" w:rsidP="00501153">
            <w:pPr>
              <w:pStyle w:val="TableText"/>
            </w:pPr>
          </w:p>
        </w:tc>
      </w:tr>
      <w:tr w:rsidR="00DA5078" w:rsidRPr="00EE4BD6" w14:paraId="0047A848" w14:textId="77777777" w:rsidTr="00843F55">
        <w:trPr>
          <w:cantSplit/>
          <w:trHeight w:val="360"/>
        </w:trPr>
        <w:tc>
          <w:tcPr>
            <w:tcW w:w="205" w:type="pct"/>
            <w:vMerge/>
            <w:shd w:val="clear" w:color="auto" w:fill="F2F2F2" w:themeFill="background1" w:themeFillShade="F2"/>
            <w:textDirection w:val="btLr"/>
            <w:vAlign w:val="center"/>
          </w:tcPr>
          <w:p w14:paraId="1CAFA7D2" w14:textId="77777777" w:rsidR="00DA5078" w:rsidRPr="002E03FA" w:rsidRDefault="00DA5078" w:rsidP="00501153">
            <w:pPr>
              <w:pStyle w:val="TableText"/>
              <w:spacing w:after="0"/>
              <w:jc w:val="center"/>
              <w:rPr>
                <w:b/>
                <w:bCs/>
              </w:rPr>
            </w:pPr>
          </w:p>
        </w:tc>
        <w:tc>
          <w:tcPr>
            <w:tcW w:w="904" w:type="pct"/>
            <w:tcMar>
              <w:left w:w="43" w:type="dxa"/>
              <w:right w:w="43" w:type="dxa"/>
            </w:tcMar>
            <w:vAlign w:val="center"/>
          </w:tcPr>
          <w:p w14:paraId="57146337" w14:textId="073BD038" w:rsidR="00DA5078" w:rsidRPr="00B052CA" w:rsidRDefault="00000000" w:rsidP="00923771">
            <w:pPr>
              <w:pStyle w:val="TableText"/>
            </w:pPr>
            <w:hyperlink w:anchor="_Practice_Analysis" w:history="1">
              <w:r w:rsidR="00DA5078" w:rsidRPr="00B052CA">
                <w:rPr>
                  <w:rStyle w:val="Hyperlink"/>
                </w:rPr>
                <w:t>Practice Analysis</w:t>
              </w:r>
            </w:hyperlink>
          </w:p>
        </w:tc>
        <w:tc>
          <w:tcPr>
            <w:tcW w:w="648" w:type="pct"/>
            <w:vAlign w:val="center"/>
          </w:tcPr>
          <w:p w14:paraId="442F16B0" w14:textId="63CBB1FF" w:rsidR="00DA5078" w:rsidRPr="00B052CA" w:rsidRDefault="00DA5078" w:rsidP="00501153">
            <w:pPr>
              <w:pStyle w:val="TableText"/>
            </w:pPr>
          </w:p>
        </w:tc>
        <w:tc>
          <w:tcPr>
            <w:tcW w:w="649" w:type="pct"/>
            <w:vAlign w:val="center"/>
          </w:tcPr>
          <w:p w14:paraId="778A3043" w14:textId="77777777" w:rsidR="00DA5078" w:rsidRPr="00B052CA" w:rsidRDefault="00DA5078" w:rsidP="00501153">
            <w:pPr>
              <w:pStyle w:val="TableText"/>
            </w:pPr>
          </w:p>
        </w:tc>
        <w:tc>
          <w:tcPr>
            <w:tcW w:w="648" w:type="pct"/>
            <w:vAlign w:val="center"/>
          </w:tcPr>
          <w:p w14:paraId="65A7B2F0" w14:textId="77777777" w:rsidR="00DA5078" w:rsidRPr="00B052CA" w:rsidRDefault="00DA5078" w:rsidP="00501153">
            <w:pPr>
              <w:pStyle w:val="TableText"/>
            </w:pPr>
          </w:p>
        </w:tc>
        <w:tc>
          <w:tcPr>
            <w:tcW w:w="649" w:type="pct"/>
            <w:vAlign w:val="center"/>
          </w:tcPr>
          <w:p w14:paraId="3179A69C" w14:textId="77777777" w:rsidR="00DA5078" w:rsidRPr="00B052CA" w:rsidRDefault="00DA5078" w:rsidP="00501153">
            <w:pPr>
              <w:pStyle w:val="TableText"/>
            </w:pPr>
          </w:p>
        </w:tc>
        <w:tc>
          <w:tcPr>
            <w:tcW w:w="648" w:type="pct"/>
            <w:vAlign w:val="center"/>
          </w:tcPr>
          <w:p w14:paraId="59E3BD12" w14:textId="28B13637" w:rsidR="00DA5078" w:rsidRPr="00B052CA" w:rsidRDefault="00DA5078" w:rsidP="00501153">
            <w:pPr>
              <w:pStyle w:val="TableText"/>
            </w:pPr>
          </w:p>
        </w:tc>
        <w:tc>
          <w:tcPr>
            <w:tcW w:w="649" w:type="pct"/>
            <w:shd w:val="clear" w:color="auto" w:fill="auto"/>
            <w:vAlign w:val="center"/>
          </w:tcPr>
          <w:p w14:paraId="5D863261" w14:textId="342DBE21" w:rsidR="00DA5078" w:rsidRPr="00B052CA" w:rsidRDefault="00DA5078" w:rsidP="00501153">
            <w:pPr>
              <w:pStyle w:val="TableText"/>
            </w:pPr>
          </w:p>
        </w:tc>
      </w:tr>
      <w:tr w:rsidR="00DA5078" w:rsidRPr="00EE4BD6" w14:paraId="425D929E" w14:textId="77777777" w:rsidTr="00843F55">
        <w:trPr>
          <w:cantSplit/>
          <w:trHeight w:val="360"/>
        </w:trPr>
        <w:tc>
          <w:tcPr>
            <w:tcW w:w="205" w:type="pct"/>
            <w:vMerge/>
            <w:shd w:val="clear" w:color="auto" w:fill="F2F2F2" w:themeFill="background1" w:themeFillShade="F2"/>
            <w:textDirection w:val="btLr"/>
            <w:vAlign w:val="center"/>
          </w:tcPr>
          <w:p w14:paraId="4B81CF25" w14:textId="77777777" w:rsidR="00DA5078" w:rsidRPr="002E03FA" w:rsidRDefault="00DA5078" w:rsidP="00501153">
            <w:pPr>
              <w:pStyle w:val="TableText"/>
              <w:spacing w:after="0"/>
              <w:jc w:val="center"/>
              <w:rPr>
                <w:b/>
                <w:bCs/>
              </w:rPr>
            </w:pPr>
          </w:p>
        </w:tc>
        <w:tc>
          <w:tcPr>
            <w:tcW w:w="904" w:type="pct"/>
            <w:tcMar>
              <w:left w:w="43" w:type="dxa"/>
              <w:right w:w="43" w:type="dxa"/>
            </w:tcMar>
            <w:vAlign w:val="center"/>
          </w:tcPr>
          <w:p w14:paraId="432138F8" w14:textId="4ACD92B4" w:rsidR="00DA5078" w:rsidRPr="00B052CA" w:rsidRDefault="00000000" w:rsidP="003F36A1">
            <w:pPr>
              <w:pStyle w:val="TableText"/>
            </w:pPr>
            <w:hyperlink w:anchor="_Audit_Reports_Combined" w:history="1">
              <w:r w:rsidR="00DA5078" w:rsidRPr="00B052CA">
                <w:rPr>
                  <w:rStyle w:val="Hyperlink"/>
                </w:rPr>
                <w:t>Audit Reports Combined</w:t>
              </w:r>
            </w:hyperlink>
          </w:p>
        </w:tc>
        <w:tc>
          <w:tcPr>
            <w:tcW w:w="648" w:type="pct"/>
            <w:vAlign w:val="center"/>
          </w:tcPr>
          <w:p w14:paraId="6C935663" w14:textId="187878FA" w:rsidR="00DA5078" w:rsidRPr="00B052CA" w:rsidRDefault="00DA5078" w:rsidP="00501153">
            <w:pPr>
              <w:pStyle w:val="TableText"/>
            </w:pPr>
          </w:p>
        </w:tc>
        <w:tc>
          <w:tcPr>
            <w:tcW w:w="649" w:type="pct"/>
            <w:vAlign w:val="center"/>
          </w:tcPr>
          <w:p w14:paraId="1F776978" w14:textId="77777777" w:rsidR="00DA5078" w:rsidRPr="00B052CA" w:rsidRDefault="00DA5078" w:rsidP="00501153">
            <w:pPr>
              <w:pStyle w:val="TableText"/>
            </w:pPr>
          </w:p>
        </w:tc>
        <w:tc>
          <w:tcPr>
            <w:tcW w:w="648" w:type="pct"/>
            <w:vAlign w:val="center"/>
          </w:tcPr>
          <w:p w14:paraId="7E72169B" w14:textId="77777777" w:rsidR="00DA5078" w:rsidRPr="00B052CA" w:rsidRDefault="00DA5078" w:rsidP="00501153">
            <w:pPr>
              <w:pStyle w:val="TableText"/>
            </w:pPr>
          </w:p>
        </w:tc>
        <w:tc>
          <w:tcPr>
            <w:tcW w:w="649" w:type="pct"/>
            <w:vAlign w:val="center"/>
          </w:tcPr>
          <w:p w14:paraId="0E8E753E" w14:textId="77777777" w:rsidR="00DA5078" w:rsidRPr="00B052CA" w:rsidRDefault="00DA5078" w:rsidP="00501153">
            <w:pPr>
              <w:pStyle w:val="TableText"/>
            </w:pPr>
          </w:p>
        </w:tc>
        <w:tc>
          <w:tcPr>
            <w:tcW w:w="648" w:type="pct"/>
            <w:vAlign w:val="center"/>
          </w:tcPr>
          <w:p w14:paraId="769B2BB5" w14:textId="7A2C3F89" w:rsidR="00DA5078" w:rsidRPr="00B052CA" w:rsidRDefault="00DA5078" w:rsidP="00501153">
            <w:pPr>
              <w:pStyle w:val="TableText"/>
            </w:pPr>
          </w:p>
        </w:tc>
        <w:tc>
          <w:tcPr>
            <w:tcW w:w="649" w:type="pct"/>
            <w:shd w:val="clear" w:color="auto" w:fill="auto"/>
            <w:vAlign w:val="center"/>
          </w:tcPr>
          <w:p w14:paraId="6B65FB10" w14:textId="02F11ABB" w:rsidR="00DA5078" w:rsidRPr="00B052CA" w:rsidRDefault="00DA5078" w:rsidP="00501153">
            <w:pPr>
              <w:pStyle w:val="TableText"/>
            </w:pPr>
          </w:p>
        </w:tc>
      </w:tr>
      <w:tr w:rsidR="00DA5078" w:rsidRPr="00EE4BD6" w14:paraId="53CE0E9F" w14:textId="77777777" w:rsidTr="00843F55">
        <w:trPr>
          <w:cantSplit/>
          <w:trHeight w:val="360"/>
        </w:trPr>
        <w:tc>
          <w:tcPr>
            <w:tcW w:w="205" w:type="pct"/>
            <w:vMerge/>
            <w:shd w:val="clear" w:color="auto" w:fill="F2F2F2" w:themeFill="background1" w:themeFillShade="F2"/>
            <w:textDirection w:val="btLr"/>
            <w:vAlign w:val="center"/>
          </w:tcPr>
          <w:p w14:paraId="741E7F7E" w14:textId="77777777" w:rsidR="00DA5078" w:rsidRPr="002E03FA" w:rsidRDefault="00DA5078" w:rsidP="00501153">
            <w:pPr>
              <w:pStyle w:val="TableText"/>
              <w:spacing w:after="0"/>
              <w:jc w:val="center"/>
              <w:rPr>
                <w:b/>
                <w:bCs/>
              </w:rPr>
            </w:pPr>
          </w:p>
        </w:tc>
        <w:tc>
          <w:tcPr>
            <w:tcW w:w="904" w:type="pct"/>
            <w:tcMar>
              <w:left w:w="43" w:type="dxa"/>
              <w:right w:w="43" w:type="dxa"/>
            </w:tcMar>
            <w:vAlign w:val="center"/>
          </w:tcPr>
          <w:p w14:paraId="2760F75D" w14:textId="3CE5DEDD" w:rsidR="00DA5078" w:rsidRPr="00B052CA" w:rsidRDefault="00000000" w:rsidP="003F36A1">
            <w:pPr>
              <w:pStyle w:val="TableText"/>
            </w:pPr>
            <w:hyperlink w:anchor="_Audit_Reports_Transaction" w:history="1">
              <w:r w:rsidR="00DA5078" w:rsidRPr="00B052CA">
                <w:rPr>
                  <w:rStyle w:val="Hyperlink"/>
                </w:rPr>
                <w:t>Audit Reports Transaction</w:t>
              </w:r>
            </w:hyperlink>
          </w:p>
        </w:tc>
        <w:tc>
          <w:tcPr>
            <w:tcW w:w="648" w:type="pct"/>
            <w:vAlign w:val="center"/>
          </w:tcPr>
          <w:p w14:paraId="4DFE5F89" w14:textId="60C5D387" w:rsidR="00DA5078" w:rsidRPr="00B052CA" w:rsidRDefault="00DA5078" w:rsidP="00501153">
            <w:pPr>
              <w:pStyle w:val="TableText"/>
            </w:pPr>
          </w:p>
        </w:tc>
        <w:tc>
          <w:tcPr>
            <w:tcW w:w="649" w:type="pct"/>
            <w:vAlign w:val="center"/>
          </w:tcPr>
          <w:p w14:paraId="49A8BF72" w14:textId="77777777" w:rsidR="00DA5078" w:rsidRPr="00B052CA" w:rsidRDefault="00DA5078" w:rsidP="00501153">
            <w:pPr>
              <w:pStyle w:val="TableText"/>
            </w:pPr>
          </w:p>
        </w:tc>
        <w:tc>
          <w:tcPr>
            <w:tcW w:w="648" w:type="pct"/>
            <w:vAlign w:val="center"/>
          </w:tcPr>
          <w:p w14:paraId="7DAB6AE7" w14:textId="77777777" w:rsidR="00DA5078" w:rsidRPr="00B052CA" w:rsidRDefault="00DA5078" w:rsidP="00501153">
            <w:pPr>
              <w:pStyle w:val="TableText"/>
            </w:pPr>
          </w:p>
        </w:tc>
        <w:tc>
          <w:tcPr>
            <w:tcW w:w="649" w:type="pct"/>
            <w:vAlign w:val="center"/>
          </w:tcPr>
          <w:p w14:paraId="0F57148A" w14:textId="77777777" w:rsidR="00DA5078" w:rsidRPr="00B052CA" w:rsidRDefault="00DA5078" w:rsidP="00501153">
            <w:pPr>
              <w:pStyle w:val="TableText"/>
            </w:pPr>
          </w:p>
        </w:tc>
        <w:tc>
          <w:tcPr>
            <w:tcW w:w="648" w:type="pct"/>
            <w:vAlign w:val="center"/>
          </w:tcPr>
          <w:p w14:paraId="2454C239" w14:textId="7D99C63D" w:rsidR="00DA5078" w:rsidRPr="00B052CA" w:rsidRDefault="00DA5078" w:rsidP="00501153">
            <w:pPr>
              <w:pStyle w:val="TableText"/>
            </w:pPr>
          </w:p>
        </w:tc>
        <w:tc>
          <w:tcPr>
            <w:tcW w:w="649" w:type="pct"/>
            <w:shd w:val="clear" w:color="auto" w:fill="auto"/>
            <w:vAlign w:val="center"/>
          </w:tcPr>
          <w:p w14:paraId="32A3DFD0" w14:textId="2550B5A2" w:rsidR="00DA5078" w:rsidRPr="00B052CA" w:rsidRDefault="00DA5078" w:rsidP="00501153">
            <w:pPr>
              <w:pStyle w:val="TableText"/>
            </w:pPr>
          </w:p>
        </w:tc>
      </w:tr>
      <w:tr w:rsidR="00DA5078" w:rsidRPr="00EE4BD6" w14:paraId="697265DB" w14:textId="77777777" w:rsidTr="00843F55">
        <w:trPr>
          <w:cantSplit/>
          <w:trHeight w:val="360"/>
        </w:trPr>
        <w:tc>
          <w:tcPr>
            <w:tcW w:w="205" w:type="pct"/>
            <w:vMerge/>
            <w:shd w:val="clear" w:color="auto" w:fill="F2F2F2" w:themeFill="background1" w:themeFillShade="F2"/>
            <w:textDirection w:val="btLr"/>
            <w:vAlign w:val="center"/>
          </w:tcPr>
          <w:p w14:paraId="24DDF6BC" w14:textId="77777777" w:rsidR="00DA5078" w:rsidRPr="002E03FA" w:rsidRDefault="00DA5078" w:rsidP="00DA5078">
            <w:pPr>
              <w:pStyle w:val="TableText"/>
              <w:spacing w:after="0"/>
              <w:jc w:val="center"/>
              <w:rPr>
                <w:b/>
                <w:bCs/>
              </w:rPr>
            </w:pPr>
          </w:p>
        </w:tc>
        <w:tc>
          <w:tcPr>
            <w:tcW w:w="904" w:type="pct"/>
            <w:tcMar>
              <w:left w:w="43" w:type="dxa"/>
              <w:right w:w="43" w:type="dxa"/>
            </w:tcMar>
            <w:vAlign w:val="center"/>
          </w:tcPr>
          <w:p w14:paraId="724F6170" w14:textId="1B6FD98E" w:rsidR="00DA5078" w:rsidRPr="00FA5088" w:rsidRDefault="00000000" w:rsidP="00DA5078">
            <w:pPr>
              <w:pStyle w:val="TableText"/>
            </w:pPr>
            <w:hyperlink w:anchor="_Oral_Health_Status_1" w:history="1">
              <w:r w:rsidR="00DA5078" w:rsidRPr="006E3BEA">
                <w:rPr>
                  <w:rStyle w:val="Hyperlink"/>
                </w:rPr>
                <w:t>*NEW* OHS Report</w:t>
              </w:r>
            </w:hyperlink>
          </w:p>
        </w:tc>
        <w:tc>
          <w:tcPr>
            <w:tcW w:w="648" w:type="pct"/>
            <w:vAlign w:val="center"/>
          </w:tcPr>
          <w:p w14:paraId="6A59E90A" w14:textId="77777777" w:rsidR="00DA5078" w:rsidRPr="00B052CA" w:rsidRDefault="00DA5078" w:rsidP="00DA5078">
            <w:pPr>
              <w:pStyle w:val="TableText"/>
            </w:pPr>
          </w:p>
        </w:tc>
        <w:tc>
          <w:tcPr>
            <w:tcW w:w="649" w:type="pct"/>
            <w:vAlign w:val="center"/>
          </w:tcPr>
          <w:p w14:paraId="164E1F71" w14:textId="77777777" w:rsidR="00DA5078" w:rsidRPr="00B052CA" w:rsidRDefault="00DA5078" w:rsidP="00DA5078">
            <w:pPr>
              <w:pStyle w:val="TableText"/>
            </w:pPr>
          </w:p>
        </w:tc>
        <w:tc>
          <w:tcPr>
            <w:tcW w:w="648" w:type="pct"/>
            <w:vAlign w:val="center"/>
          </w:tcPr>
          <w:p w14:paraId="4E1900BA" w14:textId="77777777" w:rsidR="00DA5078" w:rsidRPr="00B052CA" w:rsidRDefault="00DA5078" w:rsidP="00DA5078">
            <w:pPr>
              <w:pStyle w:val="TableText"/>
            </w:pPr>
          </w:p>
        </w:tc>
        <w:tc>
          <w:tcPr>
            <w:tcW w:w="649" w:type="pct"/>
            <w:vAlign w:val="center"/>
          </w:tcPr>
          <w:p w14:paraId="303DAEC5" w14:textId="77777777" w:rsidR="00DA5078" w:rsidRPr="00B052CA" w:rsidRDefault="00DA5078" w:rsidP="00DA5078">
            <w:pPr>
              <w:pStyle w:val="TableText"/>
            </w:pPr>
          </w:p>
        </w:tc>
        <w:tc>
          <w:tcPr>
            <w:tcW w:w="648" w:type="pct"/>
            <w:vAlign w:val="center"/>
          </w:tcPr>
          <w:p w14:paraId="4966952E" w14:textId="77777777" w:rsidR="00DA5078" w:rsidRPr="00B052CA" w:rsidRDefault="00DA5078" w:rsidP="00DA5078">
            <w:pPr>
              <w:pStyle w:val="TableText"/>
            </w:pPr>
          </w:p>
        </w:tc>
        <w:tc>
          <w:tcPr>
            <w:tcW w:w="649" w:type="pct"/>
            <w:shd w:val="clear" w:color="auto" w:fill="auto"/>
            <w:vAlign w:val="center"/>
          </w:tcPr>
          <w:p w14:paraId="7F75E8D6" w14:textId="77777777" w:rsidR="00DA5078" w:rsidRPr="00B052CA" w:rsidRDefault="00DA5078" w:rsidP="00DA5078">
            <w:pPr>
              <w:pStyle w:val="TableText"/>
            </w:pPr>
          </w:p>
        </w:tc>
      </w:tr>
      <w:tr w:rsidR="00DA5078" w:rsidRPr="00EE4BD6" w14:paraId="301F37E5" w14:textId="77777777" w:rsidTr="00843F55">
        <w:trPr>
          <w:cantSplit/>
          <w:trHeight w:val="360"/>
        </w:trPr>
        <w:tc>
          <w:tcPr>
            <w:tcW w:w="205" w:type="pct"/>
            <w:vMerge/>
            <w:shd w:val="clear" w:color="auto" w:fill="F2F2F2" w:themeFill="background1" w:themeFillShade="F2"/>
            <w:textDirection w:val="btLr"/>
            <w:vAlign w:val="center"/>
          </w:tcPr>
          <w:p w14:paraId="142A84FA" w14:textId="77777777" w:rsidR="00DA5078" w:rsidRPr="002E03FA" w:rsidRDefault="00DA5078" w:rsidP="00DA5078">
            <w:pPr>
              <w:pStyle w:val="TableText"/>
              <w:spacing w:after="0"/>
              <w:jc w:val="center"/>
              <w:rPr>
                <w:b/>
                <w:bCs/>
              </w:rPr>
            </w:pPr>
          </w:p>
        </w:tc>
        <w:tc>
          <w:tcPr>
            <w:tcW w:w="904" w:type="pct"/>
            <w:tcMar>
              <w:left w:w="43" w:type="dxa"/>
              <w:right w:w="43" w:type="dxa"/>
            </w:tcMar>
            <w:vAlign w:val="center"/>
          </w:tcPr>
          <w:p w14:paraId="3E3C2258" w14:textId="40DF764A" w:rsidR="00DA5078" w:rsidRPr="00FA5088" w:rsidRDefault="00000000" w:rsidP="00DA5078">
            <w:pPr>
              <w:pStyle w:val="TableText"/>
            </w:pPr>
            <w:hyperlink w:anchor="_OHS_Outcome_after" w:history="1">
              <w:r w:rsidR="00DA5078" w:rsidRPr="006E3BEA">
                <w:rPr>
                  <w:rStyle w:val="Hyperlink"/>
                </w:rPr>
                <w:t>*NEW* OHS Outcome after Appointment Report</w:t>
              </w:r>
            </w:hyperlink>
          </w:p>
        </w:tc>
        <w:tc>
          <w:tcPr>
            <w:tcW w:w="648" w:type="pct"/>
            <w:vAlign w:val="center"/>
          </w:tcPr>
          <w:p w14:paraId="23FE544D" w14:textId="77777777" w:rsidR="00DA5078" w:rsidRPr="00B052CA" w:rsidRDefault="00DA5078" w:rsidP="00DA5078">
            <w:pPr>
              <w:pStyle w:val="TableText"/>
            </w:pPr>
          </w:p>
        </w:tc>
        <w:tc>
          <w:tcPr>
            <w:tcW w:w="649" w:type="pct"/>
            <w:vAlign w:val="center"/>
          </w:tcPr>
          <w:p w14:paraId="6EF4C8A4" w14:textId="77777777" w:rsidR="00DA5078" w:rsidRPr="00B052CA" w:rsidRDefault="00DA5078" w:rsidP="00DA5078">
            <w:pPr>
              <w:pStyle w:val="TableText"/>
            </w:pPr>
          </w:p>
        </w:tc>
        <w:tc>
          <w:tcPr>
            <w:tcW w:w="648" w:type="pct"/>
            <w:vAlign w:val="center"/>
          </w:tcPr>
          <w:p w14:paraId="3FC21E09" w14:textId="77777777" w:rsidR="00DA5078" w:rsidRPr="00B052CA" w:rsidRDefault="00DA5078" w:rsidP="00DA5078">
            <w:pPr>
              <w:pStyle w:val="TableText"/>
            </w:pPr>
          </w:p>
        </w:tc>
        <w:tc>
          <w:tcPr>
            <w:tcW w:w="649" w:type="pct"/>
            <w:vAlign w:val="center"/>
          </w:tcPr>
          <w:p w14:paraId="15070CD3" w14:textId="77777777" w:rsidR="00DA5078" w:rsidRPr="00B052CA" w:rsidRDefault="00DA5078" w:rsidP="00DA5078">
            <w:pPr>
              <w:pStyle w:val="TableText"/>
            </w:pPr>
          </w:p>
        </w:tc>
        <w:tc>
          <w:tcPr>
            <w:tcW w:w="648" w:type="pct"/>
            <w:vAlign w:val="center"/>
          </w:tcPr>
          <w:p w14:paraId="4A83AE0E" w14:textId="77777777" w:rsidR="00DA5078" w:rsidRPr="00B052CA" w:rsidRDefault="00DA5078" w:rsidP="00DA5078">
            <w:pPr>
              <w:pStyle w:val="TableText"/>
            </w:pPr>
          </w:p>
        </w:tc>
        <w:tc>
          <w:tcPr>
            <w:tcW w:w="649" w:type="pct"/>
            <w:shd w:val="clear" w:color="auto" w:fill="auto"/>
            <w:vAlign w:val="center"/>
          </w:tcPr>
          <w:p w14:paraId="38B919CA" w14:textId="77777777" w:rsidR="00DA5078" w:rsidRPr="00B052CA" w:rsidRDefault="00DA5078" w:rsidP="00DA5078">
            <w:pPr>
              <w:pStyle w:val="TableText"/>
            </w:pPr>
          </w:p>
        </w:tc>
      </w:tr>
      <w:tr w:rsidR="00501153" w:rsidRPr="00EE4BD6" w14:paraId="5571C50C" w14:textId="77777777" w:rsidTr="00843F55">
        <w:trPr>
          <w:cantSplit/>
          <w:trHeight w:val="369"/>
        </w:trPr>
        <w:tc>
          <w:tcPr>
            <w:tcW w:w="205" w:type="pct"/>
            <w:shd w:val="clear" w:color="auto" w:fill="F2F2F2" w:themeFill="background1" w:themeFillShade="F2"/>
            <w:textDirection w:val="btLr"/>
            <w:vAlign w:val="center"/>
          </w:tcPr>
          <w:p w14:paraId="193DA6A2" w14:textId="6288567A" w:rsidR="00320E1B" w:rsidRPr="002E03FA" w:rsidRDefault="00320E1B" w:rsidP="00501153">
            <w:pPr>
              <w:pStyle w:val="TableText"/>
              <w:spacing w:after="0"/>
              <w:jc w:val="center"/>
              <w:rPr>
                <w:b/>
                <w:bCs/>
              </w:rPr>
            </w:pPr>
            <w:r w:rsidRPr="002E03FA">
              <w:rPr>
                <w:b/>
                <w:bCs/>
              </w:rPr>
              <w:t>D</w:t>
            </w:r>
            <w:r w:rsidR="002E03FA">
              <w:rPr>
                <w:b/>
                <w:bCs/>
              </w:rPr>
              <w:t>C / B</w:t>
            </w:r>
            <w:r w:rsidR="00501153">
              <w:rPr>
                <w:b/>
                <w:bCs/>
              </w:rPr>
              <w:t>ill</w:t>
            </w:r>
          </w:p>
        </w:tc>
        <w:tc>
          <w:tcPr>
            <w:tcW w:w="904" w:type="pct"/>
            <w:tcMar>
              <w:left w:w="43" w:type="dxa"/>
              <w:right w:w="43" w:type="dxa"/>
            </w:tcMar>
            <w:vAlign w:val="center"/>
          </w:tcPr>
          <w:p w14:paraId="758FDC9E" w14:textId="7E22D476" w:rsidR="00320E1B" w:rsidRPr="00B052CA" w:rsidRDefault="00000000" w:rsidP="003F36A1">
            <w:pPr>
              <w:pStyle w:val="TableText"/>
            </w:pPr>
            <w:hyperlink w:anchor="_Aging/Credit_Balance_Report" w:history="1">
              <w:r w:rsidR="00320E1B" w:rsidRPr="00B052CA">
                <w:rPr>
                  <w:rStyle w:val="Hyperlink"/>
                </w:rPr>
                <w:t>Aging/Credit Balance Report</w:t>
              </w:r>
            </w:hyperlink>
          </w:p>
        </w:tc>
        <w:tc>
          <w:tcPr>
            <w:tcW w:w="648" w:type="pct"/>
            <w:vAlign w:val="center"/>
          </w:tcPr>
          <w:p w14:paraId="2B0F8D17" w14:textId="650975B8" w:rsidR="00320E1B" w:rsidRPr="00B052CA" w:rsidRDefault="00320E1B" w:rsidP="00501153">
            <w:pPr>
              <w:pStyle w:val="TableText"/>
            </w:pPr>
          </w:p>
        </w:tc>
        <w:tc>
          <w:tcPr>
            <w:tcW w:w="649" w:type="pct"/>
            <w:vAlign w:val="center"/>
          </w:tcPr>
          <w:p w14:paraId="6250DED9" w14:textId="77777777" w:rsidR="00320E1B" w:rsidRPr="00B052CA" w:rsidRDefault="00320E1B" w:rsidP="00501153">
            <w:pPr>
              <w:pStyle w:val="TableText"/>
            </w:pPr>
          </w:p>
        </w:tc>
        <w:tc>
          <w:tcPr>
            <w:tcW w:w="648" w:type="pct"/>
            <w:vAlign w:val="center"/>
          </w:tcPr>
          <w:p w14:paraId="06F0B52E" w14:textId="77777777" w:rsidR="00320E1B" w:rsidRPr="00B052CA" w:rsidRDefault="00320E1B" w:rsidP="00501153">
            <w:pPr>
              <w:pStyle w:val="TableText"/>
            </w:pPr>
          </w:p>
        </w:tc>
        <w:tc>
          <w:tcPr>
            <w:tcW w:w="649" w:type="pct"/>
            <w:vAlign w:val="center"/>
          </w:tcPr>
          <w:p w14:paraId="21261D54" w14:textId="77777777" w:rsidR="00320E1B" w:rsidRPr="00B052CA" w:rsidRDefault="00320E1B" w:rsidP="00501153">
            <w:pPr>
              <w:pStyle w:val="TableText"/>
            </w:pPr>
          </w:p>
        </w:tc>
        <w:tc>
          <w:tcPr>
            <w:tcW w:w="648" w:type="pct"/>
            <w:vAlign w:val="center"/>
          </w:tcPr>
          <w:p w14:paraId="372D7039" w14:textId="0785554D" w:rsidR="00320E1B" w:rsidRPr="00B052CA" w:rsidRDefault="00320E1B" w:rsidP="00501153">
            <w:pPr>
              <w:pStyle w:val="TableText"/>
            </w:pPr>
          </w:p>
        </w:tc>
        <w:tc>
          <w:tcPr>
            <w:tcW w:w="649" w:type="pct"/>
            <w:shd w:val="clear" w:color="auto" w:fill="auto"/>
            <w:vAlign w:val="center"/>
          </w:tcPr>
          <w:p w14:paraId="0EA47038" w14:textId="43D756E5" w:rsidR="00320E1B" w:rsidRPr="00B052CA" w:rsidRDefault="00320E1B" w:rsidP="00501153">
            <w:pPr>
              <w:pStyle w:val="TableText"/>
            </w:pPr>
          </w:p>
        </w:tc>
      </w:tr>
      <w:tr w:rsidR="00501153" w:rsidRPr="00EE4BD6" w14:paraId="165119A6" w14:textId="77777777" w:rsidTr="00843F55">
        <w:trPr>
          <w:cantSplit/>
          <w:trHeight w:val="360"/>
        </w:trPr>
        <w:tc>
          <w:tcPr>
            <w:tcW w:w="205" w:type="pct"/>
            <w:shd w:val="clear" w:color="auto" w:fill="F2F2F2" w:themeFill="background1" w:themeFillShade="F2"/>
            <w:textDirection w:val="btLr"/>
            <w:vAlign w:val="center"/>
          </w:tcPr>
          <w:p w14:paraId="61006757" w14:textId="4D29E6BC" w:rsidR="00320E1B" w:rsidRPr="002E03FA" w:rsidRDefault="00320E1B" w:rsidP="00501153">
            <w:pPr>
              <w:pStyle w:val="TableText"/>
              <w:spacing w:after="0"/>
              <w:jc w:val="center"/>
              <w:rPr>
                <w:b/>
                <w:bCs/>
              </w:rPr>
            </w:pPr>
            <w:r w:rsidRPr="002E03FA">
              <w:rPr>
                <w:b/>
                <w:bCs/>
              </w:rPr>
              <w:t>F</w:t>
            </w:r>
            <w:r w:rsidR="002E03FA" w:rsidRPr="002E03FA">
              <w:rPr>
                <w:b/>
                <w:bCs/>
              </w:rPr>
              <w:t>D</w:t>
            </w:r>
          </w:p>
        </w:tc>
        <w:tc>
          <w:tcPr>
            <w:tcW w:w="904" w:type="pct"/>
            <w:tcMar>
              <w:left w:w="43" w:type="dxa"/>
              <w:right w:w="43" w:type="dxa"/>
            </w:tcMar>
            <w:vAlign w:val="center"/>
          </w:tcPr>
          <w:p w14:paraId="056A2D75" w14:textId="42E8332F" w:rsidR="00320E1B" w:rsidRPr="00B052CA" w:rsidRDefault="00000000" w:rsidP="003F36A1">
            <w:pPr>
              <w:pStyle w:val="TableText"/>
            </w:pPr>
            <w:hyperlink w:anchor="_Reminder_Cards_Letter" w:history="1">
              <w:r w:rsidR="00320E1B" w:rsidRPr="00B052CA">
                <w:rPr>
                  <w:rStyle w:val="Hyperlink"/>
                </w:rPr>
                <w:t>Reminder Cards Letter Merge</w:t>
              </w:r>
            </w:hyperlink>
          </w:p>
        </w:tc>
        <w:tc>
          <w:tcPr>
            <w:tcW w:w="648" w:type="pct"/>
            <w:vAlign w:val="center"/>
          </w:tcPr>
          <w:p w14:paraId="555E882A" w14:textId="1333EDF5" w:rsidR="00320E1B" w:rsidRPr="00B052CA" w:rsidRDefault="00320E1B" w:rsidP="00501153">
            <w:pPr>
              <w:pStyle w:val="TableText"/>
            </w:pPr>
          </w:p>
        </w:tc>
        <w:tc>
          <w:tcPr>
            <w:tcW w:w="649" w:type="pct"/>
            <w:vAlign w:val="center"/>
          </w:tcPr>
          <w:p w14:paraId="4B2B9ED0" w14:textId="77777777" w:rsidR="00320E1B" w:rsidRPr="00B052CA" w:rsidRDefault="00320E1B" w:rsidP="00501153">
            <w:pPr>
              <w:pStyle w:val="TableText"/>
            </w:pPr>
          </w:p>
        </w:tc>
        <w:tc>
          <w:tcPr>
            <w:tcW w:w="648" w:type="pct"/>
            <w:vAlign w:val="center"/>
          </w:tcPr>
          <w:p w14:paraId="65C4687C" w14:textId="77777777" w:rsidR="00320E1B" w:rsidRPr="00B052CA" w:rsidRDefault="00320E1B" w:rsidP="00501153">
            <w:pPr>
              <w:pStyle w:val="TableText"/>
            </w:pPr>
          </w:p>
        </w:tc>
        <w:tc>
          <w:tcPr>
            <w:tcW w:w="649" w:type="pct"/>
            <w:vAlign w:val="center"/>
          </w:tcPr>
          <w:p w14:paraId="7326D10D" w14:textId="77777777" w:rsidR="00320E1B" w:rsidRPr="00B052CA" w:rsidRDefault="00320E1B" w:rsidP="00501153">
            <w:pPr>
              <w:pStyle w:val="TableText"/>
            </w:pPr>
          </w:p>
        </w:tc>
        <w:tc>
          <w:tcPr>
            <w:tcW w:w="648" w:type="pct"/>
            <w:vAlign w:val="center"/>
          </w:tcPr>
          <w:p w14:paraId="52FA09A7" w14:textId="0F05F8CF" w:rsidR="00320E1B" w:rsidRPr="00B052CA" w:rsidRDefault="00320E1B" w:rsidP="00501153">
            <w:pPr>
              <w:pStyle w:val="TableText"/>
            </w:pPr>
          </w:p>
        </w:tc>
        <w:tc>
          <w:tcPr>
            <w:tcW w:w="649" w:type="pct"/>
            <w:shd w:val="clear" w:color="auto" w:fill="auto"/>
            <w:vAlign w:val="center"/>
          </w:tcPr>
          <w:p w14:paraId="269AA8F9" w14:textId="12549C3A" w:rsidR="00320E1B" w:rsidRPr="00B052CA" w:rsidRDefault="00320E1B" w:rsidP="00501153">
            <w:pPr>
              <w:pStyle w:val="TableText"/>
            </w:pPr>
          </w:p>
        </w:tc>
      </w:tr>
      <w:tr w:rsidR="002E03FA" w:rsidRPr="00EE4BD6" w14:paraId="3C81D531" w14:textId="77777777" w:rsidTr="00843F55">
        <w:trPr>
          <w:cantSplit/>
          <w:trHeight w:val="360"/>
        </w:trPr>
        <w:tc>
          <w:tcPr>
            <w:tcW w:w="205" w:type="pct"/>
            <w:vMerge w:val="restart"/>
            <w:shd w:val="clear" w:color="auto" w:fill="F2F2F2" w:themeFill="background1" w:themeFillShade="F2"/>
            <w:textDirection w:val="btLr"/>
            <w:vAlign w:val="center"/>
          </w:tcPr>
          <w:p w14:paraId="4B043D3A" w14:textId="229EADB5" w:rsidR="002E03FA" w:rsidRPr="002E03FA" w:rsidRDefault="002E03FA" w:rsidP="00501153">
            <w:pPr>
              <w:pStyle w:val="TableText"/>
              <w:spacing w:after="0"/>
              <w:jc w:val="center"/>
              <w:rPr>
                <w:b/>
                <w:bCs/>
              </w:rPr>
            </w:pPr>
            <w:r w:rsidRPr="002E03FA">
              <w:rPr>
                <w:b/>
                <w:bCs/>
              </w:rPr>
              <w:t>Billing</w:t>
            </w:r>
          </w:p>
        </w:tc>
        <w:tc>
          <w:tcPr>
            <w:tcW w:w="904" w:type="pct"/>
            <w:tcMar>
              <w:left w:w="43" w:type="dxa"/>
              <w:right w:w="43" w:type="dxa"/>
            </w:tcMar>
            <w:vAlign w:val="center"/>
          </w:tcPr>
          <w:p w14:paraId="0A4C6C86" w14:textId="302D0ACE" w:rsidR="002E03FA" w:rsidRPr="00B052CA" w:rsidRDefault="00000000" w:rsidP="003F36A1">
            <w:pPr>
              <w:pStyle w:val="TableText"/>
            </w:pPr>
            <w:hyperlink w:anchor="_Insurance_Claims_Aging" w:history="1">
              <w:r w:rsidR="002E03FA" w:rsidRPr="00B052CA">
                <w:rPr>
                  <w:rStyle w:val="Hyperlink"/>
                </w:rPr>
                <w:t>Insurance Claims Aging Report</w:t>
              </w:r>
            </w:hyperlink>
          </w:p>
        </w:tc>
        <w:tc>
          <w:tcPr>
            <w:tcW w:w="648" w:type="pct"/>
            <w:vAlign w:val="center"/>
          </w:tcPr>
          <w:p w14:paraId="30EBF432" w14:textId="1D3F5B4F" w:rsidR="002E03FA" w:rsidRPr="00B052CA" w:rsidRDefault="002E03FA" w:rsidP="00501153">
            <w:pPr>
              <w:pStyle w:val="TableText"/>
            </w:pPr>
          </w:p>
        </w:tc>
        <w:tc>
          <w:tcPr>
            <w:tcW w:w="649" w:type="pct"/>
            <w:vAlign w:val="center"/>
          </w:tcPr>
          <w:p w14:paraId="07C8A1AF" w14:textId="77777777" w:rsidR="002E03FA" w:rsidRPr="00B052CA" w:rsidRDefault="002E03FA" w:rsidP="00501153">
            <w:pPr>
              <w:pStyle w:val="TableText"/>
            </w:pPr>
          </w:p>
        </w:tc>
        <w:tc>
          <w:tcPr>
            <w:tcW w:w="648" w:type="pct"/>
            <w:vAlign w:val="center"/>
          </w:tcPr>
          <w:p w14:paraId="7EA133E0" w14:textId="77777777" w:rsidR="002E03FA" w:rsidRPr="00B052CA" w:rsidRDefault="002E03FA" w:rsidP="00501153">
            <w:pPr>
              <w:pStyle w:val="TableText"/>
            </w:pPr>
          </w:p>
        </w:tc>
        <w:tc>
          <w:tcPr>
            <w:tcW w:w="649" w:type="pct"/>
            <w:vAlign w:val="center"/>
          </w:tcPr>
          <w:p w14:paraId="574F7DD0" w14:textId="77777777" w:rsidR="002E03FA" w:rsidRPr="00B052CA" w:rsidRDefault="002E03FA" w:rsidP="00501153">
            <w:pPr>
              <w:pStyle w:val="TableText"/>
            </w:pPr>
          </w:p>
        </w:tc>
        <w:tc>
          <w:tcPr>
            <w:tcW w:w="648" w:type="pct"/>
            <w:vAlign w:val="center"/>
          </w:tcPr>
          <w:p w14:paraId="10D6BF0D" w14:textId="5281C42B" w:rsidR="002E03FA" w:rsidRPr="00B052CA" w:rsidRDefault="002E03FA" w:rsidP="00501153">
            <w:pPr>
              <w:pStyle w:val="TableText"/>
            </w:pPr>
          </w:p>
        </w:tc>
        <w:tc>
          <w:tcPr>
            <w:tcW w:w="649" w:type="pct"/>
            <w:shd w:val="clear" w:color="auto" w:fill="auto"/>
            <w:vAlign w:val="center"/>
          </w:tcPr>
          <w:p w14:paraId="6703FFBF" w14:textId="55F41BAE" w:rsidR="002E03FA" w:rsidRPr="00B052CA" w:rsidRDefault="002E03FA" w:rsidP="00501153">
            <w:pPr>
              <w:pStyle w:val="TableText"/>
            </w:pPr>
          </w:p>
        </w:tc>
      </w:tr>
      <w:tr w:rsidR="002E03FA" w:rsidRPr="00EE4BD6" w14:paraId="5A97EEA4" w14:textId="77777777" w:rsidTr="00843F55">
        <w:trPr>
          <w:cantSplit/>
          <w:trHeight w:val="360"/>
        </w:trPr>
        <w:tc>
          <w:tcPr>
            <w:tcW w:w="205" w:type="pct"/>
            <w:vMerge/>
            <w:shd w:val="clear" w:color="auto" w:fill="F2F2F2" w:themeFill="background1" w:themeFillShade="F2"/>
            <w:textDirection w:val="btLr"/>
            <w:vAlign w:val="center"/>
          </w:tcPr>
          <w:p w14:paraId="569350EB" w14:textId="77777777" w:rsidR="002E03FA" w:rsidRPr="002E03FA" w:rsidRDefault="002E03FA" w:rsidP="00501153">
            <w:pPr>
              <w:pStyle w:val="TableText"/>
              <w:spacing w:after="0"/>
              <w:jc w:val="center"/>
              <w:rPr>
                <w:b/>
                <w:bCs/>
              </w:rPr>
            </w:pPr>
          </w:p>
        </w:tc>
        <w:tc>
          <w:tcPr>
            <w:tcW w:w="904" w:type="pct"/>
            <w:tcMar>
              <w:left w:w="43" w:type="dxa"/>
              <w:right w:w="43" w:type="dxa"/>
            </w:tcMar>
            <w:vAlign w:val="center"/>
          </w:tcPr>
          <w:p w14:paraId="5BDC99C2" w14:textId="7C8A094A" w:rsidR="002E03FA" w:rsidRPr="00B052CA" w:rsidRDefault="00000000" w:rsidP="003F36A1">
            <w:pPr>
              <w:pStyle w:val="TableText"/>
            </w:pPr>
            <w:hyperlink w:anchor="_Billing_Statements" w:history="1">
              <w:r w:rsidR="002E03FA" w:rsidRPr="00B052CA">
                <w:rPr>
                  <w:rStyle w:val="Hyperlink"/>
                </w:rPr>
                <w:t>Billing Statements</w:t>
              </w:r>
            </w:hyperlink>
          </w:p>
        </w:tc>
        <w:tc>
          <w:tcPr>
            <w:tcW w:w="648" w:type="pct"/>
            <w:vAlign w:val="center"/>
          </w:tcPr>
          <w:p w14:paraId="390382F7" w14:textId="3C7AC196" w:rsidR="002E03FA" w:rsidRPr="00B052CA" w:rsidRDefault="002E03FA" w:rsidP="00501153">
            <w:pPr>
              <w:pStyle w:val="TableText"/>
              <w:keepNext/>
              <w:keepLines/>
            </w:pPr>
          </w:p>
        </w:tc>
        <w:tc>
          <w:tcPr>
            <w:tcW w:w="649" w:type="pct"/>
            <w:vAlign w:val="center"/>
          </w:tcPr>
          <w:p w14:paraId="32FDA8EF" w14:textId="77777777" w:rsidR="002E03FA" w:rsidRPr="00B052CA" w:rsidRDefault="002E03FA" w:rsidP="00501153">
            <w:pPr>
              <w:pStyle w:val="TableText"/>
            </w:pPr>
          </w:p>
        </w:tc>
        <w:tc>
          <w:tcPr>
            <w:tcW w:w="648" w:type="pct"/>
            <w:vAlign w:val="center"/>
          </w:tcPr>
          <w:p w14:paraId="612EC092" w14:textId="77777777" w:rsidR="002E03FA" w:rsidRPr="00B052CA" w:rsidRDefault="002E03FA" w:rsidP="00501153">
            <w:pPr>
              <w:pStyle w:val="TableText"/>
            </w:pPr>
          </w:p>
        </w:tc>
        <w:tc>
          <w:tcPr>
            <w:tcW w:w="649" w:type="pct"/>
            <w:vAlign w:val="center"/>
          </w:tcPr>
          <w:p w14:paraId="0C7155EC" w14:textId="77777777" w:rsidR="002E03FA" w:rsidRPr="00B052CA" w:rsidRDefault="002E03FA" w:rsidP="00501153">
            <w:pPr>
              <w:pStyle w:val="TableText"/>
            </w:pPr>
          </w:p>
        </w:tc>
        <w:tc>
          <w:tcPr>
            <w:tcW w:w="648" w:type="pct"/>
            <w:vAlign w:val="center"/>
          </w:tcPr>
          <w:p w14:paraId="0E8EB713" w14:textId="74020471" w:rsidR="002E03FA" w:rsidRPr="00B052CA" w:rsidRDefault="002E03FA" w:rsidP="00501153">
            <w:pPr>
              <w:pStyle w:val="TableText"/>
            </w:pPr>
          </w:p>
        </w:tc>
        <w:tc>
          <w:tcPr>
            <w:tcW w:w="649" w:type="pct"/>
            <w:shd w:val="clear" w:color="auto" w:fill="auto"/>
            <w:vAlign w:val="center"/>
          </w:tcPr>
          <w:p w14:paraId="56C40F40" w14:textId="0BEC97F8" w:rsidR="002E03FA" w:rsidRPr="00B052CA" w:rsidRDefault="002E03FA" w:rsidP="00501153">
            <w:pPr>
              <w:pStyle w:val="TableText"/>
            </w:pPr>
          </w:p>
        </w:tc>
      </w:tr>
      <w:tr w:rsidR="002E03FA" w:rsidRPr="00EE4BD6" w14:paraId="0D148C7F" w14:textId="77777777" w:rsidTr="00843F55">
        <w:trPr>
          <w:cantSplit/>
          <w:trHeight w:val="360"/>
        </w:trPr>
        <w:tc>
          <w:tcPr>
            <w:tcW w:w="205" w:type="pct"/>
            <w:vMerge/>
            <w:shd w:val="clear" w:color="auto" w:fill="F2F2F2" w:themeFill="background1" w:themeFillShade="F2"/>
            <w:textDirection w:val="btLr"/>
            <w:vAlign w:val="center"/>
          </w:tcPr>
          <w:p w14:paraId="61705CD3" w14:textId="77777777" w:rsidR="002E03FA" w:rsidRPr="002E03FA" w:rsidRDefault="002E03FA" w:rsidP="00501153">
            <w:pPr>
              <w:pStyle w:val="TableText"/>
              <w:spacing w:after="0"/>
              <w:jc w:val="center"/>
              <w:rPr>
                <w:b/>
                <w:bCs/>
              </w:rPr>
            </w:pPr>
          </w:p>
        </w:tc>
        <w:tc>
          <w:tcPr>
            <w:tcW w:w="904" w:type="pct"/>
            <w:tcMar>
              <w:left w:w="43" w:type="dxa"/>
              <w:right w:w="43" w:type="dxa"/>
            </w:tcMar>
            <w:vAlign w:val="center"/>
          </w:tcPr>
          <w:p w14:paraId="1F54E6C3" w14:textId="06435DC1" w:rsidR="002E03FA" w:rsidRPr="00B052CA" w:rsidRDefault="00000000" w:rsidP="003F36A1">
            <w:pPr>
              <w:pStyle w:val="TableText"/>
            </w:pPr>
            <w:hyperlink w:anchor="_Suspended_Credits_Report_1" w:history="1">
              <w:r w:rsidR="002E03FA" w:rsidRPr="00B052CA">
                <w:rPr>
                  <w:rStyle w:val="Hyperlink"/>
                </w:rPr>
                <w:t>Suspended Credits Report</w:t>
              </w:r>
            </w:hyperlink>
          </w:p>
        </w:tc>
        <w:tc>
          <w:tcPr>
            <w:tcW w:w="648" w:type="pct"/>
            <w:vAlign w:val="center"/>
          </w:tcPr>
          <w:p w14:paraId="1725881B" w14:textId="4C61603F" w:rsidR="002E03FA" w:rsidRPr="00B052CA" w:rsidRDefault="002E03FA" w:rsidP="00501153">
            <w:pPr>
              <w:pStyle w:val="TableText"/>
            </w:pPr>
          </w:p>
        </w:tc>
        <w:tc>
          <w:tcPr>
            <w:tcW w:w="649" w:type="pct"/>
            <w:vAlign w:val="center"/>
          </w:tcPr>
          <w:p w14:paraId="1265BF2C" w14:textId="77777777" w:rsidR="002E03FA" w:rsidRPr="00B052CA" w:rsidRDefault="002E03FA" w:rsidP="00501153">
            <w:pPr>
              <w:pStyle w:val="TableText"/>
            </w:pPr>
          </w:p>
        </w:tc>
        <w:tc>
          <w:tcPr>
            <w:tcW w:w="648" w:type="pct"/>
            <w:vAlign w:val="center"/>
          </w:tcPr>
          <w:p w14:paraId="01F0DD22" w14:textId="77777777" w:rsidR="002E03FA" w:rsidRPr="00B052CA" w:rsidRDefault="002E03FA" w:rsidP="00501153">
            <w:pPr>
              <w:pStyle w:val="TableText"/>
            </w:pPr>
          </w:p>
        </w:tc>
        <w:tc>
          <w:tcPr>
            <w:tcW w:w="649" w:type="pct"/>
            <w:vAlign w:val="center"/>
          </w:tcPr>
          <w:p w14:paraId="6BDA0D53" w14:textId="77777777" w:rsidR="002E03FA" w:rsidRPr="00B052CA" w:rsidRDefault="002E03FA" w:rsidP="00501153">
            <w:pPr>
              <w:pStyle w:val="TableText"/>
            </w:pPr>
          </w:p>
        </w:tc>
        <w:tc>
          <w:tcPr>
            <w:tcW w:w="648" w:type="pct"/>
            <w:vAlign w:val="center"/>
          </w:tcPr>
          <w:p w14:paraId="75CAE883" w14:textId="7E144CFA" w:rsidR="002E03FA" w:rsidRPr="00B052CA" w:rsidRDefault="002E03FA" w:rsidP="00501153">
            <w:pPr>
              <w:pStyle w:val="TableText"/>
            </w:pPr>
          </w:p>
        </w:tc>
        <w:tc>
          <w:tcPr>
            <w:tcW w:w="649" w:type="pct"/>
            <w:shd w:val="clear" w:color="auto" w:fill="auto"/>
            <w:vAlign w:val="center"/>
          </w:tcPr>
          <w:p w14:paraId="15E32F4E" w14:textId="5588A265" w:rsidR="002E03FA" w:rsidRPr="00B052CA" w:rsidRDefault="002E03FA" w:rsidP="00501153">
            <w:pPr>
              <w:pStyle w:val="TableText"/>
            </w:pPr>
          </w:p>
        </w:tc>
      </w:tr>
      <w:tr w:rsidR="002E03FA" w:rsidRPr="00EE4BD6" w14:paraId="73BF342A" w14:textId="77777777" w:rsidTr="00843F55">
        <w:trPr>
          <w:cantSplit/>
          <w:trHeight w:val="360"/>
        </w:trPr>
        <w:tc>
          <w:tcPr>
            <w:tcW w:w="205" w:type="pct"/>
            <w:vMerge/>
            <w:shd w:val="clear" w:color="auto" w:fill="F2F2F2" w:themeFill="background1" w:themeFillShade="F2"/>
            <w:textDirection w:val="btLr"/>
            <w:vAlign w:val="center"/>
          </w:tcPr>
          <w:p w14:paraId="5CEA5E0B" w14:textId="77777777" w:rsidR="002E03FA" w:rsidRPr="002E03FA" w:rsidRDefault="002E03FA" w:rsidP="00501153">
            <w:pPr>
              <w:pStyle w:val="TableText"/>
              <w:spacing w:after="0"/>
              <w:jc w:val="center"/>
              <w:rPr>
                <w:b/>
                <w:bCs/>
              </w:rPr>
            </w:pPr>
          </w:p>
        </w:tc>
        <w:tc>
          <w:tcPr>
            <w:tcW w:w="904" w:type="pct"/>
            <w:tcMar>
              <w:left w:w="43" w:type="dxa"/>
              <w:right w:w="43" w:type="dxa"/>
            </w:tcMar>
            <w:vAlign w:val="center"/>
          </w:tcPr>
          <w:p w14:paraId="685E8DB8" w14:textId="51BD0EB7" w:rsidR="002E03FA" w:rsidRPr="00B052CA" w:rsidRDefault="00000000" w:rsidP="003F36A1">
            <w:pPr>
              <w:pStyle w:val="TableText"/>
            </w:pPr>
            <w:hyperlink w:anchor="_Insurance_Transaction_Analysis" w:history="1">
              <w:r w:rsidR="002E03FA" w:rsidRPr="00B052CA">
                <w:rPr>
                  <w:rStyle w:val="Hyperlink"/>
                </w:rPr>
                <w:t>Insurance Transaction Analysis</w:t>
              </w:r>
            </w:hyperlink>
          </w:p>
        </w:tc>
        <w:tc>
          <w:tcPr>
            <w:tcW w:w="648" w:type="pct"/>
            <w:vAlign w:val="center"/>
          </w:tcPr>
          <w:p w14:paraId="0E6FC4C8" w14:textId="4EB63909" w:rsidR="002E03FA" w:rsidRPr="00B052CA" w:rsidRDefault="002E03FA" w:rsidP="00501153">
            <w:pPr>
              <w:pStyle w:val="TableText"/>
            </w:pPr>
          </w:p>
        </w:tc>
        <w:tc>
          <w:tcPr>
            <w:tcW w:w="649" w:type="pct"/>
            <w:vAlign w:val="center"/>
          </w:tcPr>
          <w:p w14:paraId="6B18821D" w14:textId="77777777" w:rsidR="002E03FA" w:rsidRPr="00B052CA" w:rsidRDefault="002E03FA" w:rsidP="00501153">
            <w:pPr>
              <w:pStyle w:val="TableText"/>
            </w:pPr>
          </w:p>
        </w:tc>
        <w:tc>
          <w:tcPr>
            <w:tcW w:w="648" w:type="pct"/>
            <w:vAlign w:val="center"/>
          </w:tcPr>
          <w:p w14:paraId="4FE91BA2" w14:textId="77777777" w:rsidR="002E03FA" w:rsidRPr="00B052CA" w:rsidRDefault="002E03FA" w:rsidP="00501153">
            <w:pPr>
              <w:pStyle w:val="TableText"/>
            </w:pPr>
          </w:p>
        </w:tc>
        <w:tc>
          <w:tcPr>
            <w:tcW w:w="649" w:type="pct"/>
            <w:vAlign w:val="center"/>
          </w:tcPr>
          <w:p w14:paraId="58980AA5" w14:textId="77777777" w:rsidR="002E03FA" w:rsidRPr="00B052CA" w:rsidRDefault="002E03FA" w:rsidP="00501153">
            <w:pPr>
              <w:pStyle w:val="TableText"/>
            </w:pPr>
          </w:p>
        </w:tc>
        <w:tc>
          <w:tcPr>
            <w:tcW w:w="648" w:type="pct"/>
            <w:vAlign w:val="center"/>
          </w:tcPr>
          <w:p w14:paraId="4F94E812" w14:textId="39DFC512" w:rsidR="002E03FA" w:rsidRPr="00B052CA" w:rsidRDefault="002E03FA" w:rsidP="00501153">
            <w:pPr>
              <w:pStyle w:val="TableText"/>
            </w:pPr>
          </w:p>
        </w:tc>
        <w:tc>
          <w:tcPr>
            <w:tcW w:w="649" w:type="pct"/>
            <w:shd w:val="clear" w:color="auto" w:fill="auto"/>
            <w:vAlign w:val="center"/>
          </w:tcPr>
          <w:p w14:paraId="70DCE693" w14:textId="64669CA9" w:rsidR="002E03FA" w:rsidRPr="00B052CA" w:rsidRDefault="002E03FA" w:rsidP="00501153">
            <w:pPr>
              <w:pStyle w:val="TableText"/>
            </w:pPr>
          </w:p>
        </w:tc>
      </w:tr>
      <w:tr w:rsidR="002E03FA" w:rsidRPr="00EE4BD6" w14:paraId="20ED109C" w14:textId="77777777" w:rsidTr="00843F55">
        <w:trPr>
          <w:cantSplit/>
          <w:trHeight w:val="360"/>
        </w:trPr>
        <w:tc>
          <w:tcPr>
            <w:tcW w:w="205" w:type="pct"/>
            <w:vMerge/>
            <w:shd w:val="clear" w:color="auto" w:fill="F2F2F2" w:themeFill="background1" w:themeFillShade="F2"/>
            <w:textDirection w:val="btLr"/>
            <w:vAlign w:val="center"/>
          </w:tcPr>
          <w:p w14:paraId="42820521" w14:textId="77777777" w:rsidR="002E03FA" w:rsidRPr="002E03FA" w:rsidRDefault="002E03FA" w:rsidP="00501153">
            <w:pPr>
              <w:pStyle w:val="TableText"/>
              <w:spacing w:after="0"/>
              <w:jc w:val="center"/>
              <w:rPr>
                <w:b/>
                <w:bCs/>
              </w:rPr>
            </w:pPr>
          </w:p>
        </w:tc>
        <w:tc>
          <w:tcPr>
            <w:tcW w:w="904" w:type="pct"/>
            <w:tcMar>
              <w:left w:w="43" w:type="dxa"/>
              <w:right w:w="43" w:type="dxa"/>
            </w:tcMar>
            <w:vAlign w:val="center"/>
          </w:tcPr>
          <w:p w14:paraId="3D44092B" w14:textId="7A524DDD" w:rsidR="002E03FA" w:rsidRPr="00B052CA" w:rsidRDefault="00000000" w:rsidP="003F36A1">
            <w:pPr>
              <w:pStyle w:val="TableText"/>
            </w:pPr>
            <w:hyperlink w:anchor="_Month_End_Update" w:history="1">
              <w:r w:rsidR="002E03FA" w:rsidRPr="00B052CA">
                <w:rPr>
                  <w:rStyle w:val="Hyperlink"/>
                </w:rPr>
                <w:t>Month End Update</w:t>
              </w:r>
            </w:hyperlink>
          </w:p>
        </w:tc>
        <w:tc>
          <w:tcPr>
            <w:tcW w:w="648" w:type="pct"/>
            <w:vAlign w:val="center"/>
          </w:tcPr>
          <w:p w14:paraId="76207C87" w14:textId="3FB6FA8B" w:rsidR="002E03FA" w:rsidRPr="00B052CA" w:rsidRDefault="002E03FA" w:rsidP="00501153">
            <w:pPr>
              <w:pStyle w:val="TableText"/>
            </w:pPr>
          </w:p>
        </w:tc>
        <w:tc>
          <w:tcPr>
            <w:tcW w:w="649" w:type="pct"/>
            <w:vAlign w:val="center"/>
          </w:tcPr>
          <w:p w14:paraId="2A138CA1" w14:textId="77777777" w:rsidR="002E03FA" w:rsidRPr="00B052CA" w:rsidRDefault="002E03FA" w:rsidP="00501153">
            <w:pPr>
              <w:pStyle w:val="TableText"/>
            </w:pPr>
          </w:p>
        </w:tc>
        <w:tc>
          <w:tcPr>
            <w:tcW w:w="648" w:type="pct"/>
            <w:vAlign w:val="center"/>
          </w:tcPr>
          <w:p w14:paraId="760E8181" w14:textId="77777777" w:rsidR="002E03FA" w:rsidRPr="00B052CA" w:rsidRDefault="002E03FA" w:rsidP="00501153">
            <w:pPr>
              <w:pStyle w:val="TableText"/>
            </w:pPr>
          </w:p>
        </w:tc>
        <w:tc>
          <w:tcPr>
            <w:tcW w:w="649" w:type="pct"/>
            <w:vAlign w:val="center"/>
          </w:tcPr>
          <w:p w14:paraId="23E3FFA4" w14:textId="77777777" w:rsidR="002E03FA" w:rsidRPr="00B052CA" w:rsidRDefault="002E03FA" w:rsidP="00501153">
            <w:pPr>
              <w:pStyle w:val="TableText"/>
            </w:pPr>
          </w:p>
        </w:tc>
        <w:tc>
          <w:tcPr>
            <w:tcW w:w="648" w:type="pct"/>
            <w:vAlign w:val="center"/>
          </w:tcPr>
          <w:p w14:paraId="02275FBF" w14:textId="728643CD" w:rsidR="002E03FA" w:rsidRPr="00B052CA" w:rsidRDefault="002E03FA" w:rsidP="00501153">
            <w:pPr>
              <w:pStyle w:val="TableText"/>
            </w:pPr>
          </w:p>
        </w:tc>
        <w:tc>
          <w:tcPr>
            <w:tcW w:w="649" w:type="pct"/>
            <w:shd w:val="clear" w:color="auto" w:fill="auto"/>
            <w:vAlign w:val="center"/>
          </w:tcPr>
          <w:p w14:paraId="575632F0" w14:textId="174661EC" w:rsidR="002E03FA" w:rsidRPr="00B052CA" w:rsidRDefault="002E03FA" w:rsidP="00501153">
            <w:pPr>
              <w:pStyle w:val="TableText"/>
            </w:pPr>
          </w:p>
        </w:tc>
      </w:tr>
      <w:tr w:rsidR="0092253D" w:rsidRPr="00EE4BD6" w14:paraId="72ECACB8" w14:textId="77777777" w:rsidTr="00843F55">
        <w:trPr>
          <w:cantSplit/>
          <w:trHeight w:val="360"/>
        </w:trPr>
        <w:tc>
          <w:tcPr>
            <w:tcW w:w="205" w:type="pct"/>
            <w:vMerge w:val="restart"/>
            <w:shd w:val="clear" w:color="auto" w:fill="F2F2F2" w:themeFill="background1" w:themeFillShade="F2"/>
            <w:textDirection w:val="btLr"/>
            <w:vAlign w:val="center"/>
          </w:tcPr>
          <w:p w14:paraId="58C749C0" w14:textId="39527B07" w:rsidR="0092253D" w:rsidRPr="002E03FA" w:rsidRDefault="0092253D" w:rsidP="0092253D">
            <w:pPr>
              <w:pStyle w:val="TableText"/>
              <w:spacing w:after="0"/>
              <w:jc w:val="center"/>
              <w:rPr>
                <w:b/>
                <w:bCs/>
              </w:rPr>
            </w:pPr>
            <w:r w:rsidRPr="002E03FA">
              <w:rPr>
                <w:b/>
                <w:bCs/>
              </w:rPr>
              <w:t>IT</w:t>
            </w:r>
          </w:p>
        </w:tc>
        <w:tc>
          <w:tcPr>
            <w:tcW w:w="904" w:type="pct"/>
            <w:tcMar>
              <w:left w:w="43" w:type="dxa"/>
              <w:right w:w="43" w:type="dxa"/>
            </w:tcMar>
            <w:vAlign w:val="center"/>
          </w:tcPr>
          <w:p w14:paraId="7BA9D874" w14:textId="319C6B25" w:rsidR="0092253D" w:rsidRPr="00B052CA" w:rsidRDefault="00000000" w:rsidP="003F36A1">
            <w:pPr>
              <w:pStyle w:val="TableText"/>
            </w:pPr>
            <w:hyperlink w:anchor="_Data_Base_Backup" w:history="1">
              <w:r w:rsidR="0092253D" w:rsidRPr="00B052CA">
                <w:rPr>
                  <w:rStyle w:val="Hyperlink"/>
                </w:rPr>
                <w:t>Data Base Backup</w:t>
              </w:r>
            </w:hyperlink>
          </w:p>
        </w:tc>
        <w:tc>
          <w:tcPr>
            <w:tcW w:w="648" w:type="pct"/>
            <w:vAlign w:val="center"/>
          </w:tcPr>
          <w:p w14:paraId="3DE1E535" w14:textId="447EB607" w:rsidR="0092253D" w:rsidRPr="00B052CA" w:rsidRDefault="0092253D" w:rsidP="00501153">
            <w:pPr>
              <w:pStyle w:val="TableText"/>
            </w:pPr>
          </w:p>
        </w:tc>
        <w:tc>
          <w:tcPr>
            <w:tcW w:w="649" w:type="pct"/>
            <w:vAlign w:val="center"/>
          </w:tcPr>
          <w:p w14:paraId="0BF000AF" w14:textId="77777777" w:rsidR="0092253D" w:rsidRPr="00B052CA" w:rsidRDefault="0092253D" w:rsidP="00501153">
            <w:pPr>
              <w:pStyle w:val="TableText"/>
            </w:pPr>
          </w:p>
        </w:tc>
        <w:tc>
          <w:tcPr>
            <w:tcW w:w="648" w:type="pct"/>
            <w:vAlign w:val="center"/>
          </w:tcPr>
          <w:p w14:paraId="36474FED" w14:textId="77777777" w:rsidR="0092253D" w:rsidRPr="00B052CA" w:rsidRDefault="0092253D" w:rsidP="00501153">
            <w:pPr>
              <w:pStyle w:val="TableText"/>
            </w:pPr>
          </w:p>
        </w:tc>
        <w:tc>
          <w:tcPr>
            <w:tcW w:w="649" w:type="pct"/>
            <w:vAlign w:val="center"/>
          </w:tcPr>
          <w:p w14:paraId="2CCBFD2D" w14:textId="77777777" w:rsidR="0092253D" w:rsidRPr="00B052CA" w:rsidRDefault="0092253D" w:rsidP="00501153">
            <w:pPr>
              <w:pStyle w:val="TableText"/>
            </w:pPr>
          </w:p>
        </w:tc>
        <w:tc>
          <w:tcPr>
            <w:tcW w:w="648" w:type="pct"/>
            <w:vAlign w:val="center"/>
          </w:tcPr>
          <w:p w14:paraId="371A376D" w14:textId="69F3107A" w:rsidR="0092253D" w:rsidRPr="00B052CA" w:rsidRDefault="0092253D" w:rsidP="00501153">
            <w:pPr>
              <w:pStyle w:val="TableText"/>
            </w:pPr>
          </w:p>
        </w:tc>
        <w:tc>
          <w:tcPr>
            <w:tcW w:w="649" w:type="pct"/>
            <w:shd w:val="clear" w:color="auto" w:fill="auto"/>
            <w:vAlign w:val="center"/>
          </w:tcPr>
          <w:p w14:paraId="1E2300E4" w14:textId="184F591C" w:rsidR="0092253D" w:rsidRPr="00B052CA" w:rsidRDefault="0092253D" w:rsidP="00501153">
            <w:pPr>
              <w:pStyle w:val="TableText"/>
            </w:pPr>
          </w:p>
        </w:tc>
      </w:tr>
      <w:tr w:rsidR="0092253D" w:rsidRPr="00EE4BD6" w14:paraId="7522D357" w14:textId="77777777" w:rsidTr="00843F55">
        <w:trPr>
          <w:cantSplit/>
          <w:trHeight w:val="360"/>
        </w:trPr>
        <w:tc>
          <w:tcPr>
            <w:tcW w:w="205" w:type="pct"/>
            <w:vMerge/>
            <w:shd w:val="clear" w:color="auto" w:fill="F2F2F2" w:themeFill="background1" w:themeFillShade="F2"/>
            <w:textDirection w:val="btLr"/>
            <w:vAlign w:val="center"/>
          </w:tcPr>
          <w:p w14:paraId="185F2F3C" w14:textId="6F947570" w:rsidR="0092253D" w:rsidRPr="002E03FA" w:rsidRDefault="0092253D" w:rsidP="00501153">
            <w:pPr>
              <w:pStyle w:val="TableText"/>
              <w:spacing w:after="0"/>
              <w:jc w:val="center"/>
              <w:rPr>
                <w:b/>
                <w:bCs/>
              </w:rPr>
            </w:pPr>
          </w:p>
        </w:tc>
        <w:tc>
          <w:tcPr>
            <w:tcW w:w="904" w:type="pct"/>
            <w:tcMar>
              <w:left w:w="43" w:type="dxa"/>
              <w:right w:w="43" w:type="dxa"/>
            </w:tcMar>
            <w:vAlign w:val="center"/>
          </w:tcPr>
          <w:p w14:paraId="05C6B92D" w14:textId="5784AFF5" w:rsidR="0092253D" w:rsidRPr="00B052CA" w:rsidRDefault="00000000" w:rsidP="003F36A1">
            <w:pPr>
              <w:pStyle w:val="TableText"/>
            </w:pPr>
            <w:hyperlink w:anchor="_Hard/Virtual_Drive_Maintenance" w:history="1">
              <w:r w:rsidR="0092253D" w:rsidRPr="00B052CA">
                <w:rPr>
                  <w:rStyle w:val="Hyperlink"/>
                </w:rPr>
                <w:t>Hard/Virtual Drive Maintenance</w:t>
              </w:r>
            </w:hyperlink>
          </w:p>
        </w:tc>
        <w:tc>
          <w:tcPr>
            <w:tcW w:w="648" w:type="pct"/>
            <w:vAlign w:val="center"/>
          </w:tcPr>
          <w:p w14:paraId="33BAB7AF" w14:textId="30A206CA" w:rsidR="0092253D" w:rsidRPr="00B052CA" w:rsidRDefault="0092253D" w:rsidP="00501153">
            <w:pPr>
              <w:pStyle w:val="TableText"/>
            </w:pPr>
          </w:p>
        </w:tc>
        <w:tc>
          <w:tcPr>
            <w:tcW w:w="649" w:type="pct"/>
            <w:vAlign w:val="center"/>
          </w:tcPr>
          <w:p w14:paraId="529E315E" w14:textId="77777777" w:rsidR="0092253D" w:rsidRPr="00B052CA" w:rsidRDefault="0092253D" w:rsidP="00501153">
            <w:pPr>
              <w:pStyle w:val="TableText"/>
            </w:pPr>
          </w:p>
        </w:tc>
        <w:tc>
          <w:tcPr>
            <w:tcW w:w="648" w:type="pct"/>
            <w:vAlign w:val="center"/>
          </w:tcPr>
          <w:p w14:paraId="69A31449" w14:textId="77777777" w:rsidR="0092253D" w:rsidRPr="00B052CA" w:rsidRDefault="0092253D" w:rsidP="00501153">
            <w:pPr>
              <w:pStyle w:val="TableText"/>
            </w:pPr>
          </w:p>
        </w:tc>
        <w:tc>
          <w:tcPr>
            <w:tcW w:w="649" w:type="pct"/>
            <w:vAlign w:val="center"/>
          </w:tcPr>
          <w:p w14:paraId="413F2C6A" w14:textId="77777777" w:rsidR="0092253D" w:rsidRPr="00B052CA" w:rsidRDefault="0092253D" w:rsidP="00501153">
            <w:pPr>
              <w:pStyle w:val="TableText"/>
            </w:pPr>
          </w:p>
        </w:tc>
        <w:tc>
          <w:tcPr>
            <w:tcW w:w="648" w:type="pct"/>
            <w:vAlign w:val="center"/>
          </w:tcPr>
          <w:p w14:paraId="4512CD6E" w14:textId="73F60C34" w:rsidR="0092253D" w:rsidRPr="00B052CA" w:rsidRDefault="0092253D" w:rsidP="00501153">
            <w:pPr>
              <w:pStyle w:val="TableText"/>
            </w:pPr>
          </w:p>
        </w:tc>
        <w:tc>
          <w:tcPr>
            <w:tcW w:w="649" w:type="pct"/>
            <w:shd w:val="clear" w:color="auto" w:fill="auto"/>
            <w:vAlign w:val="center"/>
          </w:tcPr>
          <w:p w14:paraId="1D25813A" w14:textId="7882981F" w:rsidR="0092253D" w:rsidRPr="00B052CA" w:rsidRDefault="0092253D" w:rsidP="00501153">
            <w:pPr>
              <w:pStyle w:val="TableText"/>
            </w:pPr>
          </w:p>
        </w:tc>
      </w:tr>
    </w:tbl>
    <w:p w14:paraId="12F79CA1" w14:textId="77777777" w:rsidR="007C0B15" w:rsidRPr="00473CF9" w:rsidRDefault="007C0B15" w:rsidP="00473CF9">
      <w:pPr>
        <w:pStyle w:val="BodyText"/>
      </w:pPr>
      <w:r w:rsidRPr="00473CF9">
        <w:br w:type="page"/>
      </w:r>
    </w:p>
    <w:p w14:paraId="6420A16A" w14:textId="1B140852" w:rsidR="00584411" w:rsidRDefault="00434782" w:rsidP="001052F3">
      <w:pPr>
        <w:pStyle w:val="Heading1"/>
      </w:pPr>
      <w:bookmarkStart w:id="25" w:name="_Daily,_Weekly,_Monthly"/>
      <w:bookmarkStart w:id="26" w:name="_Toc166834289"/>
      <w:bookmarkEnd w:id="25"/>
      <w:r>
        <w:lastRenderedPageBreak/>
        <w:t>Administrative</w:t>
      </w:r>
      <w:r w:rsidR="000F0DFA">
        <w:t xml:space="preserve"> </w:t>
      </w:r>
      <w:r w:rsidR="000E41B3">
        <w:t>Checklist</w:t>
      </w:r>
      <w:bookmarkEnd w:id="26"/>
    </w:p>
    <w:p w14:paraId="01D36A07" w14:textId="74AF465E" w:rsidR="00434782" w:rsidRDefault="00434782" w:rsidP="00434782">
      <w:r w:rsidRPr="00972BD0">
        <w:t xml:space="preserve">The </w:t>
      </w:r>
      <w:r>
        <w:t>Administrative Reports checklist</w:t>
      </w:r>
      <w:r w:rsidRPr="00972BD0">
        <w:t xml:space="preserve"> </w:t>
      </w:r>
      <w:r>
        <w:t xml:space="preserve">is </w:t>
      </w:r>
      <w:r w:rsidRPr="00972BD0">
        <w:t>a comprehensive list of checks and balances to ensure the accuracy of entries recorded within Dentrix Enterprise</w:t>
      </w:r>
      <w:r>
        <w:t xml:space="preserve"> and</w:t>
      </w:r>
      <w:r w:rsidRPr="00972BD0">
        <w:t xml:space="preserve"> allow </w:t>
      </w:r>
      <w:r>
        <w:t xml:space="preserve">the </w:t>
      </w:r>
      <w:r w:rsidRPr="00972BD0">
        <w:t>tracking and review</w:t>
      </w:r>
      <w:r>
        <w:t>ing</w:t>
      </w:r>
      <w:r w:rsidRPr="00972BD0">
        <w:t xml:space="preserve"> of internal key performance indicators.</w:t>
      </w:r>
      <w:r>
        <w:t xml:space="preserve"> Use the Administrative Checklist table below to access detailed task information via the hyperlinks</w:t>
      </w:r>
      <w:r w:rsidR="00FA5088">
        <w:t>,</w:t>
      </w:r>
      <w:r>
        <w:t xml:space="preserve"> and mark each box to indicate a completed task.</w:t>
      </w:r>
    </w:p>
    <w:tbl>
      <w:tblPr>
        <w:tblStyle w:val="TableGrid"/>
        <w:tblW w:w="129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4" w:type="dxa"/>
          <w:left w:w="14" w:type="dxa"/>
          <w:bottom w:w="14" w:type="dxa"/>
          <w:right w:w="14" w:type="dxa"/>
        </w:tblCellMar>
        <w:tblLook w:val="04A0" w:firstRow="1" w:lastRow="0" w:firstColumn="1" w:lastColumn="0" w:noHBand="0" w:noVBand="1"/>
      </w:tblPr>
      <w:tblGrid>
        <w:gridCol w:w="2600"/>
        <w:gridCol w:w="1723"/>
        <w:gridCol w:w="1723"/>
        <w:gridCol w:w="1724"/>
        <w:gridCol w:w="1723"/>
        <w:gridCol w:w="1723"/>
        <w:gridCol w:w="1724"/>
      </w:tblGrid>
      <w:tr w:rsidR="0028469F" w:rsidRPr="00EE4BD6" w14:paraId="57BF3C7E" w14:textId="3D8E3783" w:rsidTr="00EB61A3">
        <w:trPr>
          <w:cantSplit/>
          <w:trHeight w:val="360"/>
        </w:trPr>
        <w:tc>
          <w:tcPr>
            <w:tcW w:w="2600" w:type="dxa"/>
            <w:vMerge w:val="restart"/>
            <w:shd w:val="clear" w:color="auto" w:fill="F2F2F2" w:themeFill="background1" w:themeFillShade="F2"/>
            <w:tcMar>
              <w:left w:w="43" w:type="dxa"/>
              <w:right w:w="43" w:type="dxa"/>
            </w:tcMar>
          </w:tcPr>
          <w:p w14:paraId="0C9B4D26" w14:textId="7C2DCC93" w:rsidR="0028469F" w:rsidRPr="00AF2A14" w:rsidRDefault="0028469F" w:rsidP="00E64CD6">
            <w:pPr>
              <w:pStyle w:val="TableText"/>
              <w:spacing w:before="60" w:after="0"/>
              <w:rPr>
                <w:b/>
                <w:bCs/>
                <w:sz w:val="24"/>
                <w:szCs w:val="24"/>
              </w:rPr>
            </w:pPr>
            <w:r w:rsidRPr="00AF2A14">
              <w:rPr>
                <w:b/>
                <w:bCs/>
                <w:sz w:val="24"/>
                <w:szCs w:val="24"/>
              </w:rPr>
              <w:t>Report</w:t>
            </w:r>
          </w:p>
        </w:tc>
        <w:tc>
          <w:tcPr>
            <w:tcW w:w="10340" w:type="dxa"/>
            <w:gridSpan w:val="6"/>
            <w:shd w:val="clear" w:color="auto" w:fill="F2F2F2" w:themeFill="background1" w:themeFillShade="F2"/>
          </w:tcPr>
          <w:p w14:paraId="13F4833F" w14:textId="07E153E8" w:rsidR="0028469F" w:rsidRPr="00AF2A14" w:rsidRDefault="0028469F" w:rsidP="00E64CD6">
            <w:pPr>
              <w:pStyle w:val="TableText"/>
              <w:spacing w:before="60" w:after="0"/>
              <w:jc w:val="center"/>
              <w:rPr>
                <w:b/>
                <w:bCs/>
                <w:sz w:val="24"/>
                <w:szCs w:val="24"/>
              </w:rPr>
            </w:pPr>
            <w:r w:rsidRPr="00AF2A14">
              <w:rPr>
                <w:b/>
                <w:bCs/>
                <w:sz w:val="24"/>
                <w:szCs w:val="24"/>
              </w:rPr>
              <w:t>Complet</w:t>
            </w:r>
            <w:r w:rsidR="005A14DC">
              <w:rPr>
                <w:b/>
                <w:bCs/>
                <w:sz w:val="24"/>
                <w:szCs w:val="24"/>
              </w:rPr>
              <w:t>ion Sign-off</w:t>
            </w:r>
          </w:p>
        </w:tc>
      </w:tr>
      <w:tr w:rsidR="0028469F" w:rsidRPr="00EE4BD6" w14:paraId="1A509995" w14:textId="77777777" w:rsidTr="00EB61A3">
        <w:trPr>
          <w:cantSplit/>
          <w:trHeight w:val="360"/>
        </w:trPr>
        <w:tc>
          <w:tcPr>
            <w:tcW w:w="2600" w:type="dxa"/>
            <w:vMerge/>
            <w:shd w:val="clear" w:color="auto" w:fill="F2F2F2" w:themeFill="background1" w:themeFillShade="F2"/>
            <w:tcMar>
              <w:left w:w="43" w:type="dxa"/>
              <w:right w:w="43" w:type="dxa"/>
            </w:tcMar>
            <w:vAlign w:val="center"/>
          </w:tcPr>
          <w:p w14:paraId="2DA27C28" w14:textId="77777777" w:rsidR="0028469F" w:rsidRPr="00AF2A14" w:rsidRDefault="0028469F" w:rsidP="00B82B50">
            <w:pPr>
              <w:pStyle w:val="TableText"/>
            </w:pPr>
          </w:p>
        </w:tc>
        <w:tc>
          <w:tcPr>
            <w:tcW w:w="1723" w:type="dxa"/>
            <w:shd w:val="clear" w:color="auto" w:fill="F2F2F2" w:themeFill="background1" w:themeFillShade="F2"/>
            <w:vAlign w:val="center"/>
          </w:tcPr>
          <w:p w14:paraId="4D81CF04" w14:textId="70B8878C" w:rsidR="0028469F" w:rsidRPr="00AF2A14" w:rsidRDefault="005A14DC" w:rsidP="005A14DC">
            <w:pPr>
              <w:pStyle w:val="TableText"/>
              <w:jc w:val="center"/>
            </w:pPr>
            <w:r>
              <w:rPr>
                <w:sz w:val="20"/>
                <w:szCs w:val="20"/>
              </w:rPr>
              <w:t>Date</w:t>
            </w:r>
            <w:r w:rsidRPr="005A14DC">
              <w:rPr>
                <w:sz w:val="20"/>
                <w:szCs w:val="20"/>
              </w:rPr>
              <w:t xml:space="preserve"> 1: _____</w:t>
            </w:r>
            <w:r>
              <w:rPr>
                <w:sz w:val="20"/>
                <w:szCs w:val="20"/>
              </w:rPr>
              <w:t>_</w:t>
            </w:r>
            <w:r w:rsidRPr="005A14DC">
              <w:rPr>
                <w:sz w:val="20"/>
                <w:szCs w:val="20"/>
              </w:rPr>
              <w:t>__</w:t>
            </w:r>
          </w:p>
        </w:tc>
        <w:tc>
          <w:tcPr>
            <w:tcW w:w="1723" w:type="dxa"/>
            <w:shd w:val="clear" w:color="auto" w:fill="F2F2F2" w:themeFill="background1" w:themeFillShade="F2"/>
            <w:vAlign w:val="center"/>
          </w:tcPr>
          <w:p w14:paraId="07EFA70C" w14:textId="730A4FDB" w:rsidR="0028469F" w:rsidRPr="00AF2A14" w:rsidRDefault="005A14DC" w:rsidP="005A14DC">
            <w:pPr>
              <w:pStyle w:val="TableText"/>
              <w:jc w:val="center"/>
            </w:pPr>
            <w:r>
              <w:rPr>
                <w:sz w:val="20"/>
                <w:szCs w:val="20"/>
              </w:rPr>
              <w:t>Date</w:t>
            </w:r>
            <w:r w:rsidRPr="005A14DC">
              <w:rPr>
                <w:sz w:val="20"/>
                <w:szCs w:val="20"/>
              </w:rPr>
              <w:t xml:space="preserve"> </w:t>
            </w:r>
            <w:r>
              <w:rPr>
                <w:sz w:val="20"/>
                <w:szCs w:val="20"/>
              </w:rPr>
              <w:t>2</w:t>
            </w:r>
            <w:r w:rsidRPr="005A14DC">
              <w:rPr>
                <w:sz w:val="20"/>
                <w:szCs w:val="20"/>
              </w:rPr>
              <w:t>: _____</w:t>
            </w:r>
            <w:r>
              <w:rPr>
                <w:sz w:val="20"/>
                <w:szCs w:val="20"/>
              </w:rPr>
              <w:t>_</w:t>
            </w:r>
            <w:r w:rsidRPr="005A14DC">
              <w:rPr>
                <w:sz w:val="20"/>
                <w:szCs w:val="20"/>
              </w:rPr>
              <w:t>__</w:t>
            </w:r>
          </w:p>
        </w:tc>
        <w:tc>
          <w:tcPr>
            <w:tcW w:w="1724" w:type="dxa"/>
            <w:shd w:val="clear" w:color="auto" w:fill="F2F2F2" w:themeFill="background1" w:themeFillShade="F2"/>
            <w:vAlign w:val="center"/>
          </w:tcPr>
          <w:p w14:paraId="0FE81BA1" w14:textId="26D5CEE2" w:rsidR="0028469F" w:rsidRPr="00AF2A14" w:rsidRDefault="005A14DC" w:rsidP="005A14DC">
            <w:pPr>
              <w:pStyle w:val="TableText"/>
              <w:jc w:val="center"/>
            </w:pPr>
            <w:r>
              <w:rPr>
                <w:sz w:val="20"/>
                <w:szCs w:val="20"/>
              </w:rPr>
              <w:t>Date</w:t>
            </w:r>
            <w:r w:rsidRPr="005A14DC">
              <w:rPr>
                <w:sz w:val="20"/>
                <w:szCs w:val="20"/>
              </w:rPr>
              <w:t xml:space="preserve"> </w:t>
            </w:r>
            <w:r>
              <w:rPr>
                <w:sz w:val="20"/>
                <w:szCs w:val="20"/>
              </w:rPr>
              <w:t>3</w:t>
            </w:r>
            <w:r w:rsidRPr="005A14DC">
              <w:rPr>
                <w:sz w:val="20"/>
                <w:szCs w:val="20"/>
              </w:rPr>
              <w:t>: _____</w:t>
            </w:r>
            <w:r>
              <w:rPr>
                <w:sz w:val="20"/>
                <w:szCs w:val="20"/>
              </w:rPr>
              <w:t>_</w:t>
            </w:r>
            <w:r w:rsidRPr="005A14DC">
              <w:rPr>
                <w:sz w:val="20"/>
                <w:szCs w:val="20"/>
              </w:rPr>
              <w:t>__</w:t>
            </w:r>
          </w:p>
        </w:tc>
        <w:tc>
          <w:tcPr>
            <w:tcW w:w="1723" w:type="dxa"/>
            <w:shd w:val="clear" w:color="auto" w:fill="F2F2F2" w:themeFill="background1" w:themeFillShade="F2"/>
            <w:vAlign w:val="center"/>
          </w:tcPr>
          <w:p w14:paraId="56789FAB" w14:textId="7198FB9E" w:rsidR="0028469F" w:rsidRPr="00AF2A14" w:rsidRDefault="005A14DC" w:rsidP="005A14DC">
            <w:pPr>
              <w:pStyle w:val="TableText"/>
              <w:jc w:val="center"/>
            </w:pPr>
            <w:r>
              <w:rPr>
                <w:sz w:val="20"/>
                <w:szCs w:val="20"/>
              </w:rPr>
              <w:t>Date</w:t>
            </w:r>
            <w:r w:rsidRPr="005A14DC">
              <w:rPr>
                <w:sz w:val="20"/>
                <w:szCs w:val="20"/>
              </w:rPr>
              <w:t xml:space="preserve"> </w:t>
            </w:r>
            <w:r>
              <w:rPr>
                <w:sz w:val="20"/>
                <w:szCs w:val="20"/>
              </w:rPr>
              <w:t>4</w:t>
            </w:r>
            <w:r w:rsidRPr="005A14DC">
              <w:rPr>
                <w:sz w:val="20"/>
                <w:szCs w:val="20"/>
              </w:rPr>
              <w:t>: _____</w:t>
            </w:r>
            <w:r>
              <w:rPr>
                <w:sz w:val="20"/>
                <w:szCs w:val="20"/>
              </w:rPr>
              <w:t>_</w:t>
            </w:r>
            <w:r w:rsidRPr="005A14DC">
              <w:rPr>
                <w:sz w:val="20"/>
                <w:szCs w:val="20"/>
              </w:rPr>
              <w:t>__</w:t>
            </w:r>
          </w:p>
        </w:tc>
        <w:tc>
          <w:tcPr>
            <w:tcW w:w="1723" w:type="dxa"/>
            <w:shd w:val="clear" w:color="auto" w:fill="F2F2F2" w:themeFill="background1" w:themeFillShade="F2"/>
            <w:vAlign w:val="center"/>
          </w:tcPr>
          <w:p w14:paraId="6C923517" w14:textId="181B8F0C" w:rsidR="0028469F" w:rsidRPr="00AF2A14" w:rsidRDefault="005A14DC" w:rsidP="005A14DC">
            <w:pPr>
              <w:pStyle w:val="TableText"/>
              <w:jc w:val="center"/>
            </w:pPr>
            <w:r>
              <w:rPr>
                <w:sz w:val="20"/>
                <w:szCs w:val="20"/>
              </w:rPr>
              <w:t>Date</w:t>
            </w:r>
            <w:r w:rsidRPr="005A14DC">
              <w:rPr>
                <w:sz w:val="20"/>
                <w:szCs w:val="20"/>
              </w:rPr>
              <w:t xml:space="preserve"> </w:t>
            </w:r>
            <w:r>
              <w:rPr>
                <w:sz w:val="20"/>
                <w:szCs w:val="20"/>
              </w:rPr>
              <w:t>5</w:t>
            </w:r>
            <w:r w:rsidRPr="005A14DC">
              <w:rPr>
                <w:sz w:val="20"/>
                <w:szCs w:val="20"/>
              </w:rPr>
              <w:t>: _____</w:t>
            </w:r>
            <w:r>
              <w:rPr>
                <w:sz w:val="20"/>
                <w:szCs w:val="20"/>
              </w:rPr>
              <w:t>_</w:t>
            </w:r>
            <w:r w:rsidRPr="005A14DC">
              <w:rPr>
                <w:sz w:val="20"/>
                <w:szCs w:val="20"/>
              </w:rPr>
              <w:t>__</w:t>
            </w:r>
          </w:p>
        </w:tc>
        <w:tc>
          <w:tcPr>
            <w:tcW w:w="1724" w:type="dxa"/>
            <w:shd w:val="clear" w:color="auto" w:fill="F2F2F2" w:themeFill="background1" w:themeFillShade="F2"/>
            <w:vAlign w:val="center"/>
          </w:tcPr>
          <w:p w14:paraId="400BA89E" w14:textId="0CC0B615" w:rsidR="0028469F" w:rsidRPr="00AF2A14" w:rsidRDefault="005A14DC" w:rsidP="005A14DC">
            <w:pPr>
              <w:pStyle w:val="TableText"/>
              <w:jc w:val="center"/>
            </w:pPr>
            <w:r>
              <w:rPr>
                <w:sz w:val="20"/>
                <w:szCs w:val="20"/>
              </w:rPr>
              <w:t>Date</w:t>
            </w:r>
            <w:r w:rsidRPr="005A14DC">
              <w:rPr>
                <w:sz w:val="20"/>
                <w:szCs w:val="20"/>
              </w:rPr>
              <w:t xml:space="preserve"> </w:t>
            </w:r>
            <w:r>
              <w:rPr>
                <w:sz w:val="20"/>
                <w:szCs w:val="20"/>
              </w:rPr>
              <w:t>6</w:t>
            </w:r>
            <w:r w:rsidRPr="005A14DC">
              <w:rPr>
                <w:sz w:val="20"/>
                <w:szCs w:val="20"/>
              </w:rPr>
              <w:t>: _____</w:t>
            </w:r>
            <w:r>
              <w:rPr>
                <w:sz w:val="20"/>
                <w:szCs w:val="20"/>
              </w:rPr>
              <w:t>_</w:t>
            </w:r>
            <w:r w:rsidRPr="005A14DC">
              <w:rPr>
                <w:sz w:val="20"/>
                <w:szCs w:val="20"/>
              </w:rPr>
              <w:t>__</w:t>
            </w:r>
          </w:p>
        </w:tc>
      </w:tr>
      <w:tr w:rsidR="00065BF9" w:rsidRPr="00EE4BD6" w14:paraId="71BFB0E2" w14:textId="2F1D0E6C" w:rsidTr="00EB61A3">
        <w:trPr>
          <w:cantSplit/>
          <w:trHeight w:val="360"/>
        </w:trPr>
        <w:tc>
          <w:tcPr>
            <w:tcW w:w="2600" w:type="dxa"/>
            <w:tcMar>
              <w:left w:w="43" w:type="dxa"/>
              <w:right w:w="43" w:type="dxa"/>
            </w:tcMar>
            <w:vAlign w:val="center"/>
          </w:tcPr>
          <w:p w14:paraId="3736E72C" w14:textId="1B0FB05A" w:rsidR="00065BF9" w:rsidRPr="00D262AE" w:rsidRDefault="00000000" w:rsidP="00B82B50">
            <w:pPr>
              <w:pStyle w:val="TableText"/>
            </w:pPr>
            <w:hyperlink w:anchor="_Patient_List" w:history="1">
              <w:r w:rsidR="00065BF9" w:rsidRPr="00D262AE">
                <w:rPr>
                  <w:rStyle w:val="Hyperlink"/>
                </w:rPr>
                <w:t>Patient List</w:t>
              </w:r>
            </w:hyperlink>
          </w:p>
        </w:tc>
        <w:tc>
          <w:tcPr>
            <w:tcW w:w="1723" w:type="dxa"/>
            <w:shd w:val="clear" w:color="auto" w:fill="auto"/>
            <w:vAlign w:val="center"/>
          </w:tcPr>
          <w:p w14:paraId="0FBA1B8D" w14:textId="77777777" w:rsidR="00065BF9" w:rsidRPr="00DE6C2A" w:rsidRDefault="00065BF9" w:rsidP="0028469F">
            <w:pPr>
              <w:pStyle w:val="TableText"/>
              <w:rPr>
                <w:sz w:val="20"/>
                <w:szCs w:val="20"/>
              </w:rPr>
            </w:pPr>
          </w:p>
        </w:tc>
        <w:tc>
          <w:tcPr>
            <w:tcW w:w="1723" w:type="dxa"/>
            <w:vAlign w:val="center"/>
          </w:tcPr>
          <w:p w14:paraId="680350E4" w14:textId="77777777" w:rsidR="00065BF9" w:rsidRPr="00DE6C2A" w:rsidRDefault="00065BF9" w:rsidP="0028469F">
            <w:pPr>
              <w:pStyle w:val="TableText"/>
              <w:rPr>
                <w:sz w:val="20"/>
                <w:szCs w:val="20"/>
              </w:rPr>
            </w:pPr>
          </w:p>
        </w:tc>
        <w:tc>
          <w:tcPr>
            <w:tcW w:w="1724" w:type="dxa"/>
            <w:vAlign w:val="center"/>
          </w:tcPr>
          <w:p w14:paraId="718C3F35" w14:textId="6FA6AB37" w:rsidR="00065BF9" w:rsidRPr="00DE6C2A" w:rsidRDefault="00065BF9" w:rsidP="0028469F">
            <w:pPr>
              <w:pStyle w:val="TableText"/>
              <w:rPr>
                <w:sz w:val="20"/>
                <w:szCs w:val="20"/>
              </w:rPr>
            </w:pPr>
          </w:p>
        </w:tc>
        <w:tc>
          <w:tcPr>
            <w:tcW w:w="1723" w:type="dxa"/>
            <w:vAlign w:val="center"/>
          </w:tcPr>
          <w:p w14:paraId="7568BBF7" w14:textId="538006A8" w:rsidR="00065BF9" w:rsidRPr="00DE6C2A" w:rsidRDefault="00065BF9" w:rsidP="0028469F">
            <w:pPr>
              <w:pStyle w:val="TableText"/>
              <w:rPr>
                <w:sz w:val="20"/>
                <w:szCs w:val="20"/>
              </w:rPr>
            </w:pPr>
          </w:p>
        </w:tc>
        <w:tc>
          <w:tcPr>
            <w:tcW w:w="1723" w:type="dxa"/>
            <w:vAlign w:val="center"/>
          </w:tcPr>
          <w:p w14:paraId="68CB3045" w14:textId="617F8D9D" w:rsidR="00065BF9" w:rsidRPr="00DE6C2A" w:rsidRDefault="00065BF9" w:rsidP="0028469F">
            <w:pPr>
              <w:pStyle w:val="TableText"/>
              <w:rPr>
                <w:sz w:val="20"/>
                <w:szCs w:val="20"/>
              </w:rPr>
            </w:pPr>
          </w:p>
        </w:tc>
        <w:tc>
          <w:tcPr>
            <w:tcW w:w="1724" w:type="dxa"/>
            <w:vAlign w:val="center"/>
          </w:tcPr>
          <w:p w14:paraId="08BF1C9B" w14:textId="253120FC" w:rsidR="00065BF9" w:rsidRPr="00DE6C2A" w:rsidRDefault="00065BF9" w:rsidP="0028469F">
            <w:pPr>
              <w:pStyle w:val="TableText"/>
              <w:rPr>
                <w:sz w:val="20"/>
                <w:szCs w:val="20"/>
              </w:rPr>
            </w:pPr>
          </w:p>
        </w:tc>
      </w:tr>
      <w:tr w:rsidR="00065BF9" w:rsidRPr="00EE4BD6" w14:paraId="1BA6DD90" w14:textId="66025847" w:rsidTr="00EB61A3">
        <w:trPr>
          <w:cantSplit/>
          <w:trHeight w:val="360"/>
        </w:trPr>
        <w:tc>
          <w:tcPr>
            <w:tcW w:w="2600" w:type="dxa"/>
            <w:tcMar>
              <w:left w:w="43" w:type="dxa"/>
              <w:right w:w="43" w:type="dxa"/>
            </w:tcMar>
            <w:vAlign w:val="center"/>
          </w:tcPr>
          <w:p w14:paraId="61F1C4F0" w14:textId="7FF752BA" w:rsidR="00065BF9" w:rsidRPr="00D262AE" w:rsidRDefault="00000000" w:rsidP="00B82B50">
            <w:pPr>
              <w:pStyle w:val="TableText"/>
            </w:pPr>
            <w:hyperlink w:anchor="_Appointment_Statistics" w:history="1">
              <w:r w:rsidR="00065BF9" w:rsidRPr="00D262AE">
                <w:rPr>
                  <w:rStyle w:val="Hyperlink"/>
                </w:rPr>
                <w:t>Appointment Statistics</w:t>
              </w:r>
            </w:hyperlink>
          </w:p>
        </w:tc>
        <w:tc>
          <w:tcPr>
            <w:tcW w:w="1723" w:type="dxa"/>
            <w:shd w:val="clear" w:color="auto" w:fill="auto"/>
            <w:vAlign w:val="center"/>
          </w:tcPr>
          <w:p w14:paraId="5BD52986" w14:textId="77777777" w:rsidR="00065BF9" w:rsidRPr="00DE6C2A" w:rsidRDefault="00065BF9" w:rsidP="0028469F">
            <w:pPr>
              <w:pStyle w:val="TableText"/>
              <w:rPr>
                <w:sz w:val="20"/>
                <w:szCs w:val="20"/>
              </w:rPr>
            </w:pPr>
          </w:p>
        </w:tc>
        <w:tc>
          <w:tcPr>
            <w:tcW w:w="1723" w:type="dxa"/>
            <w:vAlign w:val="center"/>
          </w:tcPr>
          <w:p w14:paraId="4F33A2C1" w14:textId="77777777" w:rsidR="00065BF9" w:rsidRPr="00DE6C2A" w:rsidRDefault="00065BF9" w:rsidP="0028469F">
            <w:pPr>
              <w:pStyle w:val="TableText"/>
              <w:rPr>
                <w:sz w:val="20"/>
                <w:szCs w:val="20"/>
              </w:rPr>
            </w:pPr>
          </w:p>
        </w:tc>
        <w:tc>
          <w:tcPr>
            <w:tcW w:w="1724" w:type="dxa"/>
            <w:vAlign w:val="center"/>
          </w:tcPr>
          <w:p w14:paraId="43254AAE" w14:textId="522ACE27" w:rsidR="00065BF9" w:rsidRPr="00DE6C2A" w:rsidRDefault="00065BF9" w:rsidP="0028469F">
            <w:pPr>
              <w:pStyle w:val="TableText"/>
              <w:rPr>
                <w:sz w:val="20"/>
                <w:szCs w:val="20"/>
              </w:rPr>
            </w:pPr>
          </w:p>
        </w:tc>
        <w:tc>
          <w:tcPr>
            <w:tcW w:w="1723" w:type="dxa"/>
            <w:vAlign w:val="center"/>
          </w:tcPr>
          <w:p w14:paraId="72C8415B" w14:textId="6628B7EF" w:rsidR="00065BF9" w:rsidRPr="00DE6C2A" w:rsidRDefault="00065BF9" w:rsidP="0028469F">
            <w:pPr>
              <w:pStyle w:val="TableText"/>
              <w:rPr>
                <w:sz w:val="20"/>
                <w:szCs w:val="20"/>
              </w:rPr>
            </w:pPr>
          </w:p>
        </w:tc>
        <w:tc>
          <w:tcPr>
            <w:tcW w:w="1723" w:type="dxa"/>
            <w:vAlign w:val="center"/>
          </w:tcPr>
          <w:p w14:paraId="11E107F3" w14:textId="09B4A91C" w:rsidR="00065BF9" w:rsidRPr="00DE6C2A" w:rsidRDefault="00065BF9" w:rsidP="0028469F">
            <w:pPr>
              <w:pStyle w:val="TableText"/>
              <w:rPr>
                <w:sz w:val="20"/>
                <w:szCs w:val="20"/>
              </w:rPr>
            </w:pPr>
          </w:p>
        </w:tc>
        <w:tc>
          <w:tcPr>
            <w:tcW w:w="1724" w:type="dxa"/>
            <w:vAlign w:val="center"/>
          </w:tcPr>
          <w:p w14:paraId="03018F09" w14:textId="2588F30D" w:rsidR="00065BF9" w:rsidRPr="00DE6C2A" w:rsidRDefault="00065BF9" w:rsidP="0028469F">
            <w:pPr>
              <w:pStyle w:val="TableText"/>
              <w:rPr>
                <w:sz w:val="20"/>
                <w:szCs w:val="20"/>
              </w:rPr>
            </w:pPr>
          </w:p>
        </w:tc>
      </w:tr>
      <w:tr w:rsidR="00065BF9" w:rsidRPr="00EE4BD6" w14:paraId="75F51C98" w14:textId="73AF6394" w:rsidTr="00EB61A3">
        <w:trPr>
          <w:cantSplit/>
          <w:trHeight w:val="360"/>
        </w:trPr>
        <w:tc>
          <w:tcPr>
            <w:tcW w:w="2600" w:type="dxa"/>
            <w:tcMar>
              <w:left w:w="43" w:type="dxa"/>
              <w:right w:w="43" w:type="dxa"/>
            </w:tcMar>
            <w:vAlign w:val="center"/>
          </w:tcPr>
          <w:p w14:paraId="6B8E95A8" w14:textId="2D01B01D" w:rsidR="00065BF9" w:rsidRPr="00D262AE" w:rsidRDefault="00000000" w:rsidP="00B82B50">
            <w:pPr>
              <w:pStyle w:val="TableText"/>
            </w:pPr>
            <w:hyperlink w:anchor="_Practice_Statistics" w:history="1">
              <w:r w:rsidR="00065BF9" w:rsidRPr="00D262AE">
                <w:rPr>
                  <w:rStyle w:val="Hyperlink"/>
                </w:rPr>
                <w:t>Practice Statistics</w:t>
              </w:r>
            </w:hyperlink>
          </w:p>
        </w:tc>
        <w:tc>
          <w:tcPr>
            <w:tcW w:w="1723" w:type="dxa"/>
            <w:shd w:val="clear" w:color="auto" w:fill="auto"/>
            <w:vAlign w:val="center"/>
          </w:tcPr>
          <w:p w14:paraId="02404073" w14:textId="77777777" w:rsidR="00065BF9" w:rsidRPr="00DE6C2A" w:rsidRDefault="00065BF9" w:rsidP="0028469F">
            <w:pPr>
              <w:pStyle w:val="TableText"/>
              <w:rPr>
                <w:sz w:val="20"/>
                <w:szCs w:val="20"/>
              </w:rPr>
            </w:pPr>
          </w:p>
        </w:tc>
        <w:tc>
          <w:tcPr>
            <w:tcW w:w="1723" w:type="dxa"/>
            <w:vAlign w:val="center"/>
          </w:tcPr>
          <w:p w14:paraId="74AB7D0F" w14:textId="77777777" w:rsidR="00065BF9" w:rsidRPr="00DE6C2A" w:rsidRDefault="00065BF9" w:rsidP="0028469F">
            <w:pPr>
              <w:pStyle w:val="TableText"/>
              <w:rPr>
                <w:sz w:val="20"/>
                <w:szCs w:val="20"/>
              </w:rPr>
            </w:pPr>
          </w:p>
        </w:tc>
        <w:tc>
          <w:tcPr>
            <w:tcW w:w="1724" w:type="dxa"/>
            <w:vAlign w:val="center"/>
          </w:tcPr>
          <w:p w14:paraId="286F0CC6" w14:textId="6F824C06" w:rsidR="00065BF9" w:rsidRPr="00DE6C2A" w:rsidRDefault="00065BF9" w:rsidP="0028469F">
            <w:pPr>
              <w:pStyle w:val="TableText"/>
              <w:rPr>
                <w:sz w:val="20"/>
                <w:szCs w:val="20"/>
              </w:rPr>
            </w:pPr>
          </w:p>
        </w:tc>
        <w:tc>
          <w:tcPr>
            <w:tcW w:w="1723" w:type="dxa"/>
            <w:vAlign w:val="center"/>
          </w:tcPr>
          <w:p w14:paraId="4A468C3F" w14:textId="0BB48C17" w:rsidR="00065BF9" w:rsidRPr="00DE6C2A" w:rsidRDefault="00065BF9" w:rsidP="0028469F">
            <w:pPr>
              <w:pStyle w:val="TableText"/>
              <w:rPr>
                <w:sz w:val="20"/>
                <w:szCs w:val="20"/>
              </w:rPr>
            </w:pPr>
          </w:p>
        </w:tc>
        <w:tc>
          <w:tcPr>
            <w:tcW w:w="1723" w:type="dxa"/>
            <w:vAlign w:val="center"/>
          </w:tcPr>
          <w:p w14:paraId="7E91DC90" w14:textId="44494771" w:rsidR="00065BF9" w:rsidRPr="00DE6C2A" w:rsidRDefault="00065BF9" w:rsidP="0028469F">
            <w:pPr>
              <w:pStyle w:val="TableText"/>
              <w:rPr>
                <w:sz w:val="20"/>
                <w:szCs w:val="20"/>
              </w:rPr>
            </w:pPr>
          </w:p>
        </w:tc>
        <w:tc>
          <w:tcPr>
            <w:tcW w:w="1724" w:type="dxa"/>
            <w:vAlign w:val="center"/>
          </w:tcPr>
          <w:p w14:paraId="2A8C1037" w14:textId="67568DFC" w:rsidR="00065BF9" w:rsidRPr="00DE6C2A" w:rsidRDefault="00065BF9" w:rsidP="0028469F">
            <w:pPr>
              <w:pStyle w:val="TableText"/>
              <w:rPr>
                <w:sz w:val="20"/>
                <w:szCs w:val="20"/>
              </w:rPr>
            </w:pPr>
          </w:p>
        </w:tc>
      </w:tr>
      <w:tr w:rsidR="00065BF9" w:rsidRPr="00EE4BD6" w14:paraId="00228B52" w14:textId="0B2DC010" w:rsidTr="00EB61A3">
        <w:trPr>
          <w:cantSplit/>
          <w:trHeight w:val="360"/>
        </w:trPr>
        <w:tc>
          <w:tcPr>
            <w:tcW w:w="2600" w:type="dxa"/>
            <w:tcMar>
              <w:left w:w="43" w:type="dxa"/>
              <w:right w:w="43" w:type="dxa"/>
            </w:tcMar>
            <w:vAlign w:val="center"/>
          </w:tcPr>
          <w:p w14:paraId="5756E27D" w14:textId="36FF1214" w:rsidR="00065BF9" w:rsidRPr="00D262AE" w:rsidRDefault="00000000" w:rsidP="00B82B50">
            <w:pPr>
              <w:pStyle w:val="TableText"/>
            </w:pPr>
            <w:hyperlink w:anchor="_Initial_Health_History" w:history="1">
              <w:r w:rsidR="00065BF9" w:rsidRPr="00D262AE">
                <w:rPr>
                  <w:rStyle w:val="Hyperlink"/>
                </w:rPr>
                <w:t>Initial Health History</w:t>
              </w:r>
            </w:hyperlink>
          </w:p>
        </w:tc>
        <w:tc>
          <w:tcPr>
            <w:tcW w:w="1723" w:type="dxa"/>
            <w:shd w:val="clear" w:color="auto" w:fill="auto"/>
            <w:vAlign w:val="center"/>
          </w:tcPr>
          <w:p w14:paraId="7DAD65AD" w14:textId="77777777" w:rsidR="00065BF9" w:rsidRPr="00DE6C2A" w:rsidRDefault="00065BF9" w:rsidP="0028469F">
            <w:pPr>
              <w:pStyle w:val="TableText"/>
              <w:rPr>
                <w:sz w:val="20"/>
                <w:szCs w:val="20"/>
              </w:rPr>
            </w:pPr>
          </w:p>
        </w:tc>
        <w:tc>
          <w:tcPr>
            <w:tcW w:w="1723" w:type="dxa"/>
            <w:vAlign w:val="center"/>
          </w:tcPr>
          <w:p w14:paraId="26BCBD45" w14:textId="77777777" w:rsidR="00065BF9" w:rsidRPr="00DE6C2A" w:rsidRDefault="00065BF9" w:rsidP="0028469F">
            <w:pPr>
              <w:pStyle w:val="TableText"/>
              <w:rPr>
                <w:sz w:val="20"/>
                <w:szCs w:val="20"/>
              </w:rPr>
            </w:pPr>
          </w:p>
        </w:tc>
        <w:tc>
          <w:tcPr>
            <w:tcW w:w="1724" w:type="dxa"/>
            <w:vAlign w:val="center"/>
          </w:tcPr>
          <w:p w14:paraId="318C549E" w14:textId="4001F910" w:rsidR="00065BF9" w:rsidRPr="00DE6C2A" w:rsidRDefault="00065BF9" w:rsidP="0028469F">
            <w:pPr>
              <w:pStyle w:val="TableText"/>
              <w:rPr>
                <w:sz w:val="20"/>
                <w:szCs w:val="20"/>
              </w:rPr>
            </w:pPr>
          </w:p>
        </w:tc>
        <w:tc>
          <w:tcPr>
            <w:tcW w:w="1723" w:type="dxa"/>
            <w:vAlign w:val="center"/>
          </w:tcPr>
          <w:p w14:paraId="53DDF833" w14:textId="39DB6A5D" w:rsidR="00065BF9" w:rsidRPr="00DE6C2A" w:rsidRDefault="00065BF9" w:rsidP="0028469F">
            <w:pPr>
              <w:pStyle w:val="TableText"/>
              <w:rPr>
                <w:sz w:val="20"/>
                <w:szCs w:val="20"/>
              </w:rPr>
            </w:pPr>
          </w:p>
        </w:tc>
        <w:tc>
          <w:tcPr>
            <w:tcW w:w="1723" w:type="dxa"/>
            <w:vAlign w:val="center"/>
          </w:tcPr>
          <w:p w14:paraId="26423E25" w14:textId="319C4A5F" w:rsidR="00065BF9" w:rsidRPr="00DE6C2A" w:rsidRDefault="00065BF9" w:rsidP="0028469F">
            <w:pPr>
              <w:pStyle w:val="TableText"/>
              <w:rPr>
                <w:sz w:val="20"/>
                <w:szCs w:val="20"/>
              </w:rPr>
            </w:pPr>
          </w:p>
        </w:tc>
        <w:tc>
          <w:tcPr>
            <w:tcW w:w="1724" w:type="dxa"/>
            <w:vAlign w:val="center"/>
          </w:tcPr>
          <w:p w14:paraId="752DDC5B" w14:textId="2F17270F" w:rsidR="00065BF9" w:rsidRPr="00DE6C2A" w:rsidRDefault="00065BF9" w:rsidP="0028469F">
            <w:pPr>
              <w:pStyle w:val="TableText"/>
              <w:rPr>
                <w:sz w:val="20"/>
                <w:szCs w:val="20"/>
              </w:rPr>
            </w:pPr>
          </w:p>
        </w:tc>
      </w:tr>
      <w:tr w:rsidR="00065BF9" w:rsidRPr="00EE4BD6" w14:paraId="36B07783" w14:textId="090E024F" w:rsidTr="00EB61A3">
        <w:trPr>
          <w:cantSplit/>
          <w:trHeight w:val="360"/>
        </w:trPr>
        <w:tc>
          <w:tcPr>
            <w:tcW w:w="2600" w:type="dxa"/>
            <w:tcMar>
              <w:left w:w="43" w:type="dxa"/>
              <w:right w:w="43" w:type="dxa"/>
            </w:tcMar>
            <w:vAlign w:val="center"/>
          </w:tcPr>
          <w:p w14:paraId="48478ACD" w14:textId="6688A059" w:rsidR="00065BF9" w:rsidRPr="00D262AE" w:rsidRDefault="00000000" w:rsidP="00B82B50">
            <w:pPr>
              <w:pStyle w:val="TableText"/>
            </w:pPr>
            <w:hyperlink w:anchor="_Oral_Health_" w:history="1">
              <w:r w:rsidR="00065BF9" w:rsidRPr="00D262AE">
                <w:rPr>
                  <w:rStyle w:val="Hyperlink"/>
                </w:rPr>
                <w:t>Oral Health Education</w:t>
              </w:r>
            </w:hyperlink>
          </w:p>
        </w:tc>
        <w:tc>
          <w:tcPr>
            <w:tcW w:w="1723" w:type="dxa"/>
            <w:shd w:val="clear" w:color="auto" w:fill="auto"/>
            <w:vAlign w:val="center"/>
          </w:tcPr>
          <w:p w14:paraId="78CB9F70" w14:textId="77777777" w:rsidR="00065BF9" w:rsidRPr="00DE6C2A" w:rsidRDefault="00065BF9" w:rsidP="0028469F">
            <w:pPr>
              <w:pStyle w:val="TableText"/>
              <w:rPr>
                <w:sz w:val="20"/>
                <w:szCs w:val="20"/>
              </w:rPr>
            </w:pPr>
          </w:p>
        </w:tc>
        <w:tc>
          <w:tcPr>
            <w:tcW w:w="1723" w:type="dxa"/>
            <w:vAlign w:val="center"/>
          </w:tcPr>
          <w:p w14:paraId="37B3BB79" w14:textId="77777777" w:rsidR="00065BF9" w:rsidRPr="00DE6C2A" w:rsidRDefault="00065BF9" w:rsidP="0028469F">
            <w:pPr>
              <w:pStyle w:val="TableText"/>
              <w:rPr>
                <w:sz w:val="20"/>
                <w:szCs w:val="20"/>
              </w:rPr>
            </w:pPr>
          </w:p>
        </w:tc>
        <w:tc>
          <w:tcPr>
            <w:tcW w:w="1724" w:type="dxa"/>
            <w:vAlign w:val="center"/>
          </w:tcPr>
          <w:p w14:paraId="65B34079" w14:textId="39EC422E" w:rsidR="00065BF9" w:rsidRPr="00DE6C2A" w:rsidRDefault="00065BF9" w:rsidP="0028469F">
            <w:pPr>
              <w:pStyle w:val="TableText"/>
              <w:rPr>
                <w:sz w:val="20"/>
                <w:szCs w:val="20"/>
              </w:rPr>
            </w:pPr>
          </w:p>
        </w:tc>
        <w:tc>
          <w:tcPr>
            <w:tcW w:w="1723" w:type="dxa"/>
            <w:vAlign w:val="center"/>
          </w:tcPr>
          <w:p w14:paraId="02769771" w14:textId="49A54E22" w:rsidR="00065BF9" w:rsidRPr="00DE6C2A" w:rsidRDefault="00065BF9" w:rsidP="0028469F">
            <w:pPr>
              <w:pStyle w:val="TableText"/>
              <w:rPr>
                <w:sz w:val="20"/>
                <w:szCs w:val="20"/>
              </w:rPr>
            </w:pPr>
          </w:p>
        </w:tc>
        <w:tc>
          <w:tcPr>
            <w:tcW w:w="1723" w:type="dxa"/>
            <w:vAlign w:val="center"/>
          </w:tcPr>
          <w:p w14:paraId="04A2D8DC" w14:textId="471EC4F4" w:rsidR="00065BF9" w:rsidRPr="00DE6C2A" w:rsidRDefault="00065BF9" w:rsidP="0028469F">
            <w:pPr>
              <w:pStyle w:val="TableText"/>
              <w:rPr>
                <w:sz w:val="20"/>
                <w:szCs w:val="20"/>
              </w:rPr>
            </w:pPr>
          </w:p>
        </w:tc>
        <w:tc>
          <w:tcPr>
            <w:tcW w:w="1724" w:type="dxa"/>
            <w:vAlign w:val="center"/>
          </w:tcPr>
          <w:p w14:paraId="797B4200" w14:textId="0D5EB06C" w:rsidR="00065BF9" w:rsidRPr="00DE6C2A" w:rsidRDefault="00065BF9" w:rsidP="0028469F">
            <w:pPr>
              <w:pStyle w:val="TableText"/>
              <w:rPr>
                <w:sz w:val="20"/>
                <w:szCs w:val="20"/>
              </w:rPr>
            </w:pPr>
          </w:p>
        </w:tc>
      </w:tr>
      <w:tr w:rsidR="00065BF9" w:rsidRPr="00EE4BD6" w14:paraId="15A6BBAD" w14:textId="704D8278" w:rsidTr="00EB61A3">
        <w:trPr>
          <w:cantSplit/>
          <w:trHeight w:val="360"/>
        </w:trPr>
        <w:tc>
          <w:tcPr>
            <w:tcW w:w="2600" w:type="dxa"/>
            <w:tcMar>
              <w:left w:w="43" w:type="dxa"/>
              <w:right w:w="43" w:type="dxa"/>
            </w:tcMar>
            <w:vAlign w:val="center"/>
          </w:tcPr>
          <w:p w14:paraId="2AE59EC1" w14:textId="537B8B36" w:rsidR="00065BF9" w:rsidRPr="00D262AE" w:rsidRDefault="00000000" w:rsidP="00B82B50">
            <w:pPr>
              <w:pStyle w:val="TableText"/>
            </w:pPr>
            <w:hyperlink w:anchor="_Periodontal_Exam" w:history="1">
              <w:r w:rsidR="00065BF9" w:rsidRPr="00D262AE">
                <w:rPr>
                  <w:rStyle w:val="Hyperlink"/>
                </w:rPr>
                <w:t>Periodontal Exam</w:t>
              </w:r>
            </w:hyperlink>
          </w:p>
        </w:tc>
        <w:tc>
          <w:tcPr>
            <w:tcW w:w="1723" w:type="dxa"/>
            <w:shd w:val="clear" w:color="auto" w:fill="auto"/>
            <w:vAlign w:val="center"/>
          </w:tcPr>
          <w:p w14:paraId="3F0749CB" w14:textId="77777777" w:rsidR="00065BF9" w:rsidRPr="00DE6C2A" w:rsidRDefault="00065BF9" w:rsidP="0028469F">
            <w:pPr>
              <w:pStyle w:val="TableText"/>
              <w:rPr>
                <w:sz w:val="20"/>
                <w:szCs w:val="20"/>
              </w:rPr>
            </w:pPr>
          </w:p>
        </w:tc>
        <w:tc>
          <w:tcPr>
            <w:tcW w:w="1723" w:type="dxa"/>
            <w:vAlign w:val="center"/>
          </w:tcPr>
          <w:p w14:paraId="7BEF8433" w14:textId="77777777" w:rsidR="00065BF9" w:rsidRPr="00DE6C2A" w:rsidRDefault="00065BF9" w:rsidP="0028469F">
            <w:pPr>
              <w:pStyle w:val="TableText"/>
              <w:rPr>
                <w:sz w:val="20"/>
                <w:szCs w:val="20"/>
              </w:rPr>
            </w:pPr>
          </w:p>
        </w:tc>
        <w:tc>
          <w:tcPr>
            <w:tcW w:w="1724" w:type="dxa"/>
            <w:vAlign w:val="center"/>
          </w:tcPr>
          <w:p w14:paraId="55A74EC5" w14:textId="0DB53644" w:rsidR="00065BF9" w:rsidRPr="00DE6C2A" w:rsidRDefault="00065BF9" w:rsidP="0028469F">
            <w:pPr>
              <w:pStyle w:val="TableText"/>
              <w:rPr>
                <w:sz w:val="20"/>
                <w:szCs w:val="20"/>
              </w:rPr>
            </w:pPr>
          </w:p>
        </w:tc>
        <w:tc>
          <w:tcPr>
            <w:tcW w:w="1723" w:type="dxa"/>
            <w:vAlign w:val="center"/>
          </w:tcPr>
          <w:p w14:paraId="063291CE" w14:textId="5BC2A7AC" w:rsidR="00065BF9" w:rsidRPr="00DE6C2A" w:rsidRDefault="00065BF9" w:rsidP="0028469F">
            <w:pPr>
              <w:pStyle w:val="TableText"/>
              <w:rPr>
                <w:sz w:val="20"/>
                <w:szCs w:val="20"/>
              </w:rPr>
            </w:pPr>
          </w:p>
        </w:tc>
        <w:tc>
          <w:tcPr>
            <w:tcW w:w="1723" w:type="dxa"/>
            <w:vAlign w:val="center"/>
          </w:tcPr>
          <w:p w14:paraId="4D516B69" w14:textId="3BAA0FF2" w:rsidR="00065BF9" w:rsidRPr="00DE6C2A" w:rsidRDefault="00065BF9" w:rsidP="0028469F">
            <w:pPr>
              <w:pStyle w:val="TableText"/>
              <w:rPr>
                <w:sz w:val="20"/>
                <w:szCs w:val="20"/>
              </w:rPr>
            </w:pPr>
          </w:p>
        </w:tc>
        <w:tc>
          <w:tcPr>
            <w:tcW w:w="1724" w:type="dxa"/>
            <w:vAlign w:val="center"/>
          </w:tcPr>
          <w:p w14:paraId="689316A0" w14:textId="646D39DB" w:rsidR="00065BF9" w:rsidRPr="00DE6C2A" w:rsidRDefault="00065BF9" w:rsidP="0028469F">
            <w:pPr>
              <w:pStyle w:val="TableText"/>
              <w:rPr>
                <w:sz w:val="20"/>
                <w:szCs w:val="20"/>
              </w:rPr>
            </w:pPr>
          </w:p>
        </w:tc>
      </w:tr>
      <w:tr w:rsidR="00065BF9" w:rsidRPr="00EE4BD6" w14:paraId="6FBAA2BA" w14:textId="5C7CBE46" w:rsidTr="00EB61A3">
        <w:trPr>
          <w:cantSplit/>
          <w:trHeight w:val="360"/>
        </w:trPr>
        <w:tc>
          <w:tcPr>
            <w:tcW w:w="2600" w:type="dxa"/>
            <w:tcMar>
              <w:left w:w="43" w:type="dxa"/>
              <w:right w:w="43" w:type="dxa"/>
            </w:tcMar>
            <w:vAlign w:val="center"/>
          </w:tcPr>
          <w:p w14:paraId="387AA7E7" w14:textId="60789AE6" w:rsidR="00065BF9" w:rsidRPr="00D262AE" w:rsidRDefault="00000000" w:rsidP="00B82B50">
            <w:pPr>
              <w:pStyle w:val="TableText"/>
            </w:pPr>
            <w:hyperlink w:anchor="_Visits_by_reports" w:history="1">
              <w:r w:rsidR="00065BF9" w:rsidRPr="00D262AE">
                <w:rPr>
                  <w:rStyle w:val="Hyperlink"/>
                </w:rPr>
                <w:t>Visits by reports</w:t>
              </w:r>
            </w:hyperlink>
          </w:p>
        </w:tc>
        <w:tc>
          <w:tcPr>
            <w:tcW w:w="1723" w:type="dxa"/>
            <w:shd w:val="clear" w:color="auto" w:fill="auto"/>
            <w:vAlign w:val="center"/>
          </w:tcPr>
          <w:p w14:paraId="0204082F" w14:textId="77777777" w:rsidR="00065BF9" w:rsidRPr="00DE6C2A" w:rsidRDefault="00065BF9" w:rsidP="0028469F">
            <w:pPr>
              <w:pStyle w:val="TableText"/>
              <w:rPr>
                <w:sz w:val="20"/>
                <w:szCs w:val="20"/>
              </w:rPr>
            </w:pPr>
          </w:p>
        </w:tc>
        <w:tc>
          <w:tcPr>
            <w:tcW w:w="1723" w:type="dxa"/>
            <w:vAlign w:val="center"/>
          </w:tcPr>
          <w:p w14:paraId="7FEF7C91" w14:textId="77777777" w:rsidR="00065BF9" w:rsidRPr="00DE6C2A" w:rsidRDefault="00065BF9" w:rsidP="0028469F">
            <w:pPr>
              <w:pStyle w:val="TableText"/>
              <w:rPr>
                <w:sz w:val="20"/>
                <w:szCs w:val="20"/>
              </w:rPr>
            </w:pPr>
          </w:p>
        </w:tc>
        <w:tc>
          <w:tcPr>
            <w:tcW w:w="1724" w:type="dxa"/>
            <w:vAlign w:val="center"/>
          </w:tcPr>
          <w:p w14:paraId="69FDE56E" w14:textId="45C3B47A" w:rsidR="00065BF9" w:rsidRPr="00DE6C2A" w:rsidRDefault="00065BF9" w:rsidP="0028469F">
            <w:pPr>
              <w:pStyle w:val="TableText"/>
              <w:rPr>
                <w:sz w:val="20"/>
                <w:szCs w:val="20"/>
              </w:rPr>
            </w:pPr>
          </w:p>
        </w:tc>
        <w:tc>
          <w:tcPr>
            <w:tcW w:w="1723" w:type="dxa"/>
            <w:vAlign w:val="center"/>
          </w:tcPr>
          <w:p w14:paraId="7545EA6D" w14:textId="4669F58C" w:rsidR="00065BF9" w:rsidRPr="00DE6C2A" w:rsidRDefault="00065BF9" w:rsidP="0028469F">
            <w:pPr>
              <w:pStyle w:val="TableText"/>
              <w:rPr>
                <w:sz w:val="20"/>
                <w:szCs w:val="20"/>
              </w:rPr>
            </w:pPr>
          </w:p>
        </w:tc>
        <w:tc>
          <w:tcPr>
            <w:tcW w:w="1723" w:type="dxa"/>
            <w:vAlign w:val="center"/>
          </w:tcPr>
          <w:p w14:paraId="1BA8B737" w14:textId="7F803A34" w:rsidR="00065BF9" w:rsidRPr="00DE6C2A" w:rsidRDefault="00065BF9" w:rsidP="0028469F">
            <w:pPr>
              <w:pStyle w:val="TableText"/>
              <w:rPr>
                <w:sz w:val="20"/>
                <w:szCs w:val="20"/>
              </w:rPr>
            </w:pPr>
          </w:p>
        </w:tc>
        <w:tc>
          <w:tcPr>
            <w:tcW w:w="1724" w:type="dxa"/>
            <w:vAlign w:val="center"/>
          </w:tcPr>
          <w:p w14:paraId="389C64B0" w14:textId="0CF7DB67" w:rsidR="00065BF9" w:rsidRPr="00DE6C2A" w:rsidRDefault="00065BF9" w:rsidP="0028469F">
            <w:pPr>
              <w:pStyle w:val="TableText"/>
              <w:rPr>
                <w:sz w:val="20"/>
                <w:szCs w:val="20"/>
              </w:rPr>
            </w:pPr>
          </w:p>
        </w:tc>
      </w:tr>
      <w:tr w:rsidR="00065BF9" w:rsidRPr="00EE4BD6" w14:paraId="2D3F176D" w14:textId="7C7AFA05" w:rsidTr="00EB61A3">
        <w:trPr>
          <w:cantSplit/>
          <w:trHeight w:val="360"/>
        </w:trPr>
        <w:tc>
          <w:tcPr>
            <w:tcW w:w="2600" w:type="dxa"/>
            <w:tcMar>
              <w:left w:w="43" w:type="dxa"/>
              <w:right w:w="43" w:type="dxa"/>
            </w:tcMar>
            <w:vAlign w:val="center"/>
          </w:tcPr>
          <w:p w14:paraId="6601A77E" w14:textId="4DFF51DC" w:rsidR="00065BF9" w:rsidRPr="00D262AE" w:rsidRDefault="00000000" w:rsidP="00B82B50">
            <w:pPr>
              <w:pStyle w:val="TableText"/>
            </w:pPr>
            <w:hyperlink w:anchor="_OHSS_Report" w:history="1">
              <w:r w:rsidR="00065BF9" w:rsidRPr="00D262AE">
                <w:rPr>
                  <w:rStyle w:val="Hyperlink"/>
                </w:rPr>
                <w:t>OHSS Report</w:t>
              </w:r>
            </w:hyperlink>
          </w:p>
        </w:tc>
        <w:tc>
          <w:tcPr>
            <w:tcW w:w="1723" w:type="dxa"/>
            <w:shd w:val="clear" w:color="auto" w:fill="auto"/>
            <w:vAlign w:val="center"/>
          </w:tcPr>
          <w:p w14:paraId="14662250" w14:textId="77777777" w:rsidR="00065BF9" w:rsidRPr="00DE6C2A" w:rsidRDefault="00065BF9" w:rsidP="0028469F">
            <w:pPr>
              <w:pStyle w:val="TableText"/>
              <w:rPr>
                <w:sz w:val="20"/>
                <w:szCs w:val="20"/>
              </w:rPr>
            </w:pPr>
          </w:p>
        </w:tc>
        <w:tc>
          <w:tcPr>
            <w:tcW w:w="1723" w:type="dxa"/>
            <w:vAlign w:val="center"/>
          </w:tcPr>
          <w:p w14:paraId="2F9C79B9" w14:textId="77777777" w:rsidR="00065BF9" w:rsidRPr="00DE6C2A" w:rsidRDefault="00065BF9" w:rsidP="0028469F">
            <w:pPr>
              <w:pStyle w:val="TableText"/>
              <w:rPr>
                <w:sz w:val="20"/>
                <w:szCs w:val="20"/>
              </w:rPr>
            </w:pPr>
          </w:p>
        </w:tc>
        <w:tc>
          <w:tcPr>
            <w:tcW w:w="1724" w:type="dxa"/>
            <w:vAlign w:val="center"/>
          </w:tcPr>
          <w:p w14:paraId="115B7654" w14:textId="50538830" w:rsidR="00065BF9" w:rsidRPr="00DE6C2A" w:rsidRDefault="00065BF9" w:rsidP="0028469F">
            <w:pPr>
              <w:pStyle w:val="TableText"/>
              <w:rPr>
                <w:sz w:val="20"/>
                <w:szCs w:val="20"/>
              </w:rPr>
            </w:pPr>
          </w:p>
        </w:tc>
        <w:tc>
          <w:tcPr>
            <w:tcW w:w="1723" w:type="dxa"/>
            <w:vAlign w:val="center"/>
          </w:tcPr>
          <w:p w14:paraId="76BAF110" w14:textId="72390AAD" w:rsidR="00065BF9" w:rsidRPr="00DE6C2A" w:rsidRDefault="00065BF9" w:rsidP="0028469F">
            <w:pPr>
              <w:pStyle w:val="TableText"/>
              <w:rPr>
                <w:sz w:val="20"/>
                <w:szCs w:val="20"/>
              </w:rPr>
            </w:pPr>
          </w:p>
        </w:tc>
        <w:tc>
          <w:tcPr>
            <w:tcW w:w="1723" w:type="dxa"/>
            <w:vAlign w:val="center"/>
          </w:tcPr>
          <w:p w14:paraId="125C68DB" w14:textId="49665AEC" w:rsidR="00065BF9" w:rsidRPr="00DE6C2A" w:rsidRDefault="00065BF9" w:rsidP="0028469F">
            <w:pPr>
              <w:pStyle w:val="TableText"/>
              <w:rPr>
                <w:sz w:val="20"/>
                <w:szCs w:val="20"/>
              </w:rPr>
            </w:pPr>
          </w:p>
        </w:tc>
        <w:tc>
          <w:tcPr>
            <w:tcW w:w="1724" w:type="dxa"/>
            <w:vAlign w:val="center"/>
          </w:tcPr>
          <w:p w14:paraId="14D68090" w14:textId="715CDB77" w:rsidR="00065BF9" w:rsidRPr="00DE6C2A" w:rsidRDefault="00065BF9" w:rsidP="0028469F">
            <w:pPr>
              <w:pStyle w:val="TableText"/>
              <w:rPr>
                <w:sz w:val="20"/>
                <w:szCs w:val="20"/>
              </w:rPr>
            </w:pPr>
          </w:p>
        </w:tc>
      </w:tr>
      <w:tr w:rsidR="00566B00" w:rsidRPr="00EE4BD6" w14:paraId="4385AD3E" w14:textId="77777777" w:rsidTr="00EB61A3">
        <w:trPr>
          <w:cantSplit/>
          <w:trHeight w:val="360"/>
        </w:trPr>
        <w:tc>
          <w:tcPr>
            <w:tcW w:w="2600" w:type="dxa"/>
            <w:tcMar>
              <w:left w:w="43" w:type="dxa"/>
              <w:right w:w="43" w:type="dxa"/>
            </w:tcMar>
            <w:vAlign w:val="center"/>
          </w:tcPr>
          <w:p w14:paraId="78D48EE8" w14:textId="3CEDE8F1" w:rsidR="00566B00" w:rsidRPr="00FA5088" w:rsidRDefault="00000000" w:rsidP="00566B00">
            <w:pPr>
              <w:pStyle w:val="TableText"/>
            </w:pPr>
            <w:hyperlink w:anchor="_Oral_Health_Status_2" w:history="1">
              <w:r w:rsidR="00566B00" w:rsidRPr="000B6808">
                <w:rPr>
                  <w:rStyle w:val="Hyperlink"/>
                </w:rPr>
                <w:t>*NEW* OHS Report</w:t>
              </w:r>
            </w:hyperlink>
          </w:p>
        </w:tc>
        <w:tc>
          <w:tcPr>
            <w:tcW w:w="1723" w:type="dxa"/>
            <w:shd w:val="clear" w:color="auto" w:fill="auto"/>
            <w:vAlign w:val="center"/>
          </w:tcPr>
          <w:p w14:paraId="0D7B60F8" w14:textId="77777777" w:rsidR="00566B00" w:rsidRPr="00DE6C2A" w:rsidRDefault="00566B00" w:rsidP="00566B00">
            <w:pPr>
              <w:pStyle w:val="TableText"/>
              <w:rPr>
                <w:sz w:val="20"/>
                <w:szCs w:val="20"/>
              </w:rPr>
            </w:pPr>
          </w:p>
        </w:tc>
        <w:tc>
          <w:tcPr>
            <w:tcW w:w="1723" w:type="dxa"/>
            <w:vAlign w:val="center"/>
          </w:tcPr>
          <w:p w14:paraId="5143BD92" w14:textId="77777777" w:rsidR="00566B00" w:rsidRPr="00DE6C2A" w:rsidRDefault="00566B00" w:rsidP="00566B00">
            <w:pPr>
              <w:pStyle w:val="TableText"/>
              <w:rPr>
                <w:sz w:val="20"/>
                <w:szCs w:val="20"/>
              </w:rPr>
            </w:pPr>
          </w:p>
        </w:tc>
        <w:tc>
          <w:tcPr>
            <w:tcW w:w="1724" w:type="dxa"/>
            <w:vAlign w:val="center"/>
          </w:tcPr>
          <w:p w14:paraId="2ECC5BB6" w14:textId="77777777" w:rsidR="00566B00" w:rsidRPr="00DE6C2A" w:rsidRDefault="00566B00" w:rsidP="00566B00">
            <w:pPr>
              <w:pStyle w:val="TableText"/>
              <w:rPr>
                <w:sz w:val="20"/>
                <w:szCs w:val="20"/>
              </w:rPr>
            </w:pPr>
          </w:p>
        </w:tc>
        <w:tc>
          <w:tcPr>
            <w:tcW w:w="1723" w:type="dxa"/>
            <w:vAlign w:val="center"/>
          </w:tcPr>
          <w:p w14:paraId="70E72E81" w14:textId="77777777" w:rsidR="00566B00" w:rsidRPr="00DE6C2A" w:rsidRDefault="00566B00" w:rsidP="00566B00">
            <w:pPr>
              <w:pStyle w:val="TableText"/>
              <w:rPr>
                <w:sz w:val="20"/>
                <w:szCs w:val="20"/>
              </w:rPr>
            </w:pPr>
          </w:p>
        </w:tc>
        <w:tc>
          <w:tcPr>
            <w:tcW w:w="1723" w:type="dxa"/>
            <w:vAlign w:val="center"/>
          </w:tcPr>
          <w:p w14:paraId="6FEFFF73" w14:textId="77777777" w:rsidR="00566B00" w:rsidRPr="00DE6C2A" w:rsidRDefault="00566B00" w:rsidP="00566B00">
            <w:pPr>
              <w:pStyle w:val="TableText"/>
              <w:rPr>
                <w:sz w:val="20"/>
                <w:szCs w:val="20"/>
              </w:rPr>
            </w:pPr>
          </w:p>
        </w:tc>
        <w:tc>
          <w:tcPr>
            <w:tcW w:w="1724" w:type="dxa"/>
            <w:vAlign w:val="center"/>
          </w:tcPr>
          <w:p w14:paraId="6527D0E4" w14:textId="77777777" w:rsidR="00566B00" w:rsidRPr="00DE6C2A" w:rsidRDefault="00566B00" w:rsidP="00566B00">
            <w:pPr>
              <w:pStyle w:val="TableText"/>
              <w:rPr>
                <w:sz w:val="20"/>
                <w:szCs w:val="20"/>
              </w:rPr>
            </w:pPr>
          </w:p>
        </w:tc>
      </w:tr>
      <w:tr w:rsidR="00566B00" w:rsidRPr="00EE4BD6" w14:paraId="7FB89DF0" w14:textId="77777777" w:rsidTr="00EB61A3">
        <w:trPr>
          <w:cantSplit/>
          <w:trHeight w:val="360"/>
        </w:trPr>
        <w:tc>
          <w:tcPr>
            <w:tcW w:w="2600" w:type="dxa"/>
            <w:tcMar>
              <w:left w:w="43" w:type="dxa"/>
              <w:right w:w="43" w:type="dxa"/>
            </w:tcMar>
            <w:vAlign w:val="center"/>
          </w:tcPr>
          <w:p w14:paraId="7D91BB24" w14:textId="3BFFBF6E" w:rsidR="00566B00" w:rsidRPr="00FA5088" w:rsidRDefault="00000000" w:rsidP="00566B00">
            <w:pPr>
              <w:pStyle w:val="TableText"/>
            </w:pPr>
            <w:hyperlink w:anchor="_OHS_Outcome_after_1" w:history="1">
              <w:r w:rsidR="00566B00" w:rsidRPr="000B6808">
                <w:rPr>
                  <w:rStyle w:val="Hyperlink"/>
                </w:rPr>
                <w:t>*NEW* OHS Outcome after Appointment Report</w:t>
              </w:r>
            </w:hyperlink>
          </w:p>
        </w:tc>
        <w:tc>
          <w:tcPr>
            <w:tcW w:w="1723" w:type="dxa"/>
            <w:shd w:val="clear" w:color="auto" w:fill="auto"/>
            <w:vAlign w:val="center"/>
          </w:tcPr>
          <w:p w14:paraId="5AC55E65" w14:textId="77777777" w:rsidR="00566B00" w:rsidRPr="00DE6C2A" w:rsidRDefault="00566B00" w:rsidP="00566B00">
            <w:pPr>
              <w:pStyle w:val="TableText"/>
              <w:rPr>
                <w:sz w:val="20"/>
                <w:szCs w:val="20"/>
              </w:rPr>
            </w:pPr>
          </w:p>
        </w:tc>
        <w:tc>
          <w:tcPr>
            <w:tcW w:w="1723" w:type="dxa"/>
            <w:vAlign w:val="center"/>
          </w:tcPr>
          <w:p w14:paraId="60C32E84" w14:textId="77777777" w:rsidR="00566B00" w:rsidRPr="00DE6C2A" w:rsidRDefault="00566B00" w:rsidP="00566B00">
            <w:pPr>
              <w:pStyle w:val="TableText"/>
              <w:rPr>
                <w:sz w:val="20"/>
                <w:szCs w:val="20"/>
              </w:rPr>
            </w:pPr>
          </w:p>
        </w:tc>
        <w:tc>
          <w:tcPr>
            <w:tcW w:w="1724" w:type="dxa"/>
            <w:vAlign w:val="center"/>
          </w:tcPr>
          <w:p w14:paraId="3ADC7863" w14:textId="77777777" w:rsidR="00566B00" w:rsidRPr="00DE6C2A" w:rsidRDefault="00566B00" w:rsidP="00566B00">
            <w:pPr>
              <w:pStyle w:val="TableText"/>
              <w:rPr>
                <w:sz w:val="20"/>
                <w:szCs w:val="20"/>
              </w:rPr>
            </w:pPr>
          </w:p>
        </w:tc>
        <w:tc>
          <w:tcPr>
            <w:tcW w:w="1723" w:type="dxa"/>
            <w:vAlign w:val="center"/>
          </w:tcPr>
          <w:p w14:paraId="37034029" w14:textId="77777777" w:rsidR="00566B00" w:rsidRPr="00DE6C2A" w:rsidRDefault="00566B00" w:rsidP="00566B00">
            <w:pPr>
              <w:pStyle w:val="TableText"/>
              <w:rPr>
                <w:sz w:val="20"/>
                <w:szCs w:val="20"/>
              </w:rPr>
            </w:pPr>
          </w:p>
        </w:tc>
        <w:tc>
          <w:tcPr>
            <w:tcW w:w="1723" w:type="dxa"/>
            <w:vAlign w:val="center"/>
          </w:tcPr>
          <w:p w14:paraId="12C148B4" w14:textId="77777777" w:rsidR="00566B00" w:rsidRPr="00DE6C2A" w:rsidRDefault="00566B00" w:rsidP="00566B00">
            <w:pPr>
              <w:pStyle w:val="TableText"/>
              <w:rPr>
                <w:sz w:val="20"/>
                <w:szCs w:val="20"/>
              </w:rPr>
            </w:pPr>
          </w:p>
        </w:tc>
        <w:tc>
          <w:tcPr>
            <w:tcW w:w="1724" w:type="dxa"/>
            <w:vAlign w:val="center"/>
          </w:tcPr>
          <w:p w14:paraId="1C0ED2C5" w14:textId="77777777" w:rsidR="00566B00" w:rsidRPr="00DE6C2A" w:rsidRDefault="00566B00" w:rsidP="00566B00">
            <w:pPr>
              <w:pStyle w:val="TableText"/>
              <w:rPr>
                <w:sz w:val="20"/>
                <w:szCs w:val="20"/>
              </w:rPr>
            </w:pPr>
          </w:p>
        </w:tc>
      </w:tr>
      <w:tr w:rsidR="00065BF9" w:rsidRPr="00EE4BD6" w14:paraId="685A22D4" w14:textId="52A8D23C" w:rsidTr="00EB61A3">
        <w:trPr>
          <w:cantSplit/>
          <w:trHeight w:val="360"/>
        </w:trPr>
        <w:tc>
          <w:tcPr>
            <w:tcW w:w="2600" w:type="dxa"/>
            <w:tcMar>
              <w:left w:w="43" w:type="dxa"/>
              <w:right w:w="43" w:type="dxa"/>
            </w:tcMar>
            <w:vAlign w:val="center"/>
          </w:tcPr>
          <w:p w14:paraId="68728B8F" w14:textId="30E68140" w:rsidR="00065BF9" w:rsidRPr="00D262AE" w:rsidRDefault="00000000" w:rsidP="00B82B50">
            <w:pPr>
              <w:pStyle w:val="TableText"/>
            </w:pPr>
            <w:hyperlink w:anchor="_Dentist_Activity_Reports" w:history="1">
              <w:r w:rsidR="00065BF9" w:rsidRPr="00D262AE">
                <w:rPr>
                  <w:rStyle w:val="Hyperlink"/>
                </w:rPr>
                <w:t>Dentist Activity Reports</w:t>
              </w:r>
            </w:hyperlink>
          </w:p>
        </w:tc>
        <w:tc>
          <w:tcPr>
            <w:tcW w:w="1723" w:type="dxa"/>
            <w:shd w:val="clear" w:color="auto" w:fill="auto"/>
            <w:vAlign w:val="center"/>
          </w:tcPr>
          <w:p w14:paraId="57A8232C" w14:textId="77777777" w:rsidR="00065BF9" w:rsidRPr="00DE6C2A" w:rsidRDefault="00065BF9" w:rsidP="0028469F">
            <w:pPr>
              <w:pStyle w:val="TableText"/>
              <w:rPr>
                <w:sz w:val="20"/>
                <w:szCs w:val="20"/>
              </w:rPr>
            </w:pPr>
          </w:p>
        </w:tc>
        <w:tc>
          <w:tcPr>
            <w:tcW w:w="1723" w:type="dxa"/>
            <w:vAlign w:val="center"/>
          </w:tcPr>
          <w:p w14:paraId="78830F69" w14:textId="77777777" w:rsidR="00065BF9" w:rsidRPr="00DE6C2A" w:rsidRDefault="00065BF9" w:rsidP="0028469F">
            <w:pPr>
              <w:pStyle w:val="TableText"/>
              <w:rPr>
                <w:sz w:val="20"/>
                <w:szCs w:val="20"/>
              </w:rPr>
            </w:pPr>
          </w:p>
        </w:tc>
        <w:tc>
          <w:tcPr>
            <w:tcW w:w="1724" w:type="dxa"/>
            <w:vAlign w:val="center"/>
          </w:tcPr>
          <w:p w14:paraId="3AB903BF" w14:textId="22E9A59C" w:rsidR="00065BF9" w:rsidRPr="00DE6C2A" w:rsidRDefault="00065BF9" w:rsidP="0028469F">
            <w:pPr>
              <w:pStyle w:val="TableText"/>
              <w:rPr>
                <w:sz w:val="20"/>
                <w:szCs w:val="20"/>
              </w:rPr>
            </w:pPr>
          </w:p>
        </w:tc>
        <w:tc>
          <w:tcPr>
            <w:tcW w:w="1723" w:type="dxa"/>
            <w:vAlign w:val="center"/>
          </w:tcPr>
          <w:p w14:paraId="7A2AF942" w14:textId="665735D4" w:rsidR="00065BF9" w:rsidRPr="00DE6C2A" w:rsidRDefault="00065BF9" w:rsidP="0028469F">
            <w:pPr>
              <w:pStyle w:val="TableText"/>
              <w:rPr>
                <w:sz w:val="20"/>
                <w:szCs w:val="20"/>
              </w:rPr>
            </w:pPr>
          </w:p>
        </w:tc>
        <w:tc>
          <w:tcPr>
            <w:tcW w:w="1723" w:type="dxa"/>
            <w:vAlign w:val="center"/>
          </w:tcPr>
          <w:p w14:paraId="053AF951" w14:textId="604CB790" w:rsidR="00065BF9" w:rsidRPr="00DE6C2A" w:rsidRDefault="00065BF9" w:rsidP="0028469F">
            <w:pPr>
              <w:pStyle w:val="TableText"/>
              <w:rPr>
                <w:sz w:val="20"/>
                <w:szCs w:val="20"/>
              </w:rPr>
            </w:pPr>
          </w:p>
        </w:tc>
        <w:tc>
          <w:tcPr>
            <w:tcW w:w="1724" w:type="dxa"/>
            <w:vAlign w:val="center"/>
          </w:tcPr>
          <w:p w14:paraId="31962336" w14:textId="7B1239A9" w:rsidR="00065BF9" w:rsidRPr="00DE6C2A" w:rsidRDefault="00065BF9" w:rsidP="0028469F">
            <w:pPr>
              <w:pStyle w:val="TableText"/>
              <w:rPr>
                <w:sz w:val="20"/>
                <w:szCs w:val="20"/>
              </w:rPr>
            </w:pPr>
          </w:p>
        </w:tc>
      </w:tr>
      <w:tr w:rsidR="00065BF9" w:rsidRPr="00EE4BD6" w14:paraId="51F93A70" w14:textId="3AFED00B" w:rsidTr="00EB61A3">
        <w:trPr>
          <w:cantSplit/>
          <w:trHeight w:val="360"/>
        </w:trPr>
        <w:tc>
          <w:tcPr>
            <w:tcW w:w="2600" w:type="dxa"/>
            <w:tcMar>
              <w:left w:w="43" w:type="dxa"/>
              <w:right w:w="43" w:type="dxa"/>
            </w:tcMar>
            <w:vAlign w:val="center"/>
          </w:tcPr>
          <w:p w14:paraId="64F702AB" w14:textId="32CFACA2" w:rsidR="00065BF9" w:rsidRPr="00D262AE" w:rsidRDefault="00000000" w:rsidP="00B82B50">
            <w:pPr>
              <w:pStyle w:val="TableText"/>
            </w:pPr>
            <w:hyperlink w:anchor="_Dental_Hygienists_Activity" w:history="1">
              <w:r w:rsidR="00065BF9" w:rsidRPr="00D262AE">
                <w:rPr>
                  <w:rStyle w:val="Hyperlink"/>
                </w:rPr>
                <w:t>Dental Hygienists Activity Reports</w:t>
              </w:r>
            </w:hyperlink>
          </w:p>
        </w:tc>
        <w:tc>
          <w:tcPr>
            <w:tcW w:w="1723" w:type="dxa"/>
            <w:shd w:val="clear" w:color="auto" w:fill="auto"/>
            <w:vAlign w:val="center"/>
          </w:tcPr>
          <w:p w14:paraId="51E4CF80" w14:textId="77777777" w:rsidR="00065BF9" w:rsidRPr="00DE6C2A" w:rsidRDefault="00065BF9" w:rsidP="0028469F">
            <w:pPr>
              <w:pStyle w:val="TableText"/>
              <w:rPr>
                <w:sz w:val="20"/>
                <w:szCs w:val="20"/>
              </w:rPr>
            </w:pPr>
          </w:p>
        </w:tc>
        <w:tc>
          <w:tcPr>
            <w:tcW w:w="1723" w:type="dxa"/>
            <w:vAlign w:val="center"/>
          </w:tcPr>
          <w:p w14:paraId="7C777829" w14:textId="77777777" w:rsidR="00065BF9" w:rsidRPr="00DE6C2A" w:rsidRDefault="00065BF9" w:rsidP="0028469F">
            <w:pPr>
              <w:pStyle w:val="TableText"/>
              <w:rPr>
                <w:sz w:val="20"/>
                <w:szCs w:val="20"/>
              </w:rPr>
            </w:pPr>
          </w:p>
        </w:tc>
        <w:tc>
          <w:tcPr>
            <w:tcW w:w="1724" w:type="dxa"/>
            <w:vAlign w:val="center"/>
          </w:tcPr>
          <w:p w14:paraId="4B27273D" w14:textId="56EDD0FE" w:rsidR="00065BF9" w:rsidRPr="00DE6C2A" w:rsidRDefault="00065BF9" w:rsidP="0028469F">
            <w:pPr>
              <w:pStyle w:val="TableText"/>
              <w:rPr>
                <w:sz w:val="20"/>
                <w:szCs w:val="20"/>
              </w:rPr>
            </w:pPr>
          </w:p>
        </w:tc>
        <w:tc>
          <w:tcPr>
            <w:tcW w:w="1723" w:type="dxa"/>
            <w:vAlign w:val="center"/>
          </w:tcPr>
          <w:p w14:paraId="00E6A2C4" w14:textId="5BF7C400" w:rsidR="00065BF9" w:rsidRPr="00DE6C2A" w:rsidRDefault="00065BF9" w:rsidP="0028469F">
            <w:pPr>
              <w:pStyle w:val="TableText"/>
              <w:rPr>
                <w:sz w:val="20"/>
                <w:szCs w:val="20"/>
              </w:rPr>
            </w:pPr>
          </w:p>
        </w:tc>
        <w:tc>
          <w:tcPr>
            <w:tcW w:w="1723" w:type="dxa"/>
            <w:vAlign w:val="center"/>
          </w:tcPr>
          <w:p w14:paraId="18BC938A" w14:textId="03697CD5" w:rsidR="00065BF9" w:rsidRPr="00DE6C2A" w:rsidRDefault="00065BF9" w:rsidP="0028469F">
            <w:pPr>
              <w:pStyle w:val="TableText"/>
              <w:rPr>
                <w:sz w:val="20"/>
                <w:szCs w:val="20"/>
              </w:rPr>
            </w:pPr>
          </w:p>
        </w:tc>
        <w:tc>
          <w:tcPr>
            <w:tcW w:w="1724" w:type="dxa"/>
            <w:vAlign w:val="center"/>
          </w:tcPr>
          <w:p w14:paraId="5C800498" w14:textId="1E9D6F1E" w:rsidR="00065BF9" w:rsidRPr="00DE6C2A" w:rsidRDefault="00065BF9" w:rsidP="0028469F">
            <w:pPr>
              <w:pStyle w:val="TableText"/>
              <w:rPr>
                <w:sz w:val="20"/>
                <w:szCs w:val="20"/>
              </w:rPr>
            </w:pPr>
          </w:p>
        </w:tc>
      </w:tr>
      <w:tr w:rsidR="00065BF9" w:rsidRPr="00EE4BD6" w14:paraId="4283A94C" w14:textId="57B7BC5D" w:rsidTr="00EB61A3">
        <w:trPr>
          <w:cantSplit/>
          <w:trHeight w:val="360"/>
        </w:trPr>
        <w:tc>
          <w:tcPr>
            <w:tcW w:w="2600" w:type="dxa"/>
            <w:tcMar>
              <w:left w:w="43" w:type="dxa"/>
              <w:right w:w="43" w:type="dxa"/>
            </w:tcMar>
            <w:vAlign w:val="center"/>
          </w:tcPr>
          <w:p w14:paraId="6143CBD4" w14:textId="35CABFF4" w:rsidR="00065BF9" w:rsidRPr="00D262AE" w:rsidRDefault="00000000" w:rsidP="00B82B50">
            <w:pPr>
              <w:pStyle w:val="TableText"/>
            </w:pPr>
            <w:hyperlink w:anchor="_Endodontic_Tooth_Access" w:history="1">
              <w:r w:rsidR="00065BF9" w:rsidRPr="00D262AE">
                <w:rPr>
                  <w:rStyle w:val="Hyperlink"/>
                </w:rPr>
                <w:t>Endodontic Tooth Access Report</w:t>
              </w:r>
            </w:hyperlink>
          </w:p>
        </w:tc>
        <w:tc>
          <w:tcPr>
            <w:tcW w:w="1723" w:type="dxa"/>
            <w:shd w:val="clear" w:color="auto" w:fill="auto"/>
            <w:vAlign w:val="center"/>
          </w:tcPr>
          <w:p w14:paraId="7B8899DD" w14:textId="77777777" w:rsidR="00065BF9" w:rsidRPr="00D262AE" w:rsidRDefault="00065BF9" w:rsidP="0028469F">
            <w:pPr>
              <w:pStyle w:val="TableText"/>
            </w:pPr>
          </w:p>
        </w:tc>
        <w:tc>
          <w:tcPr>
            <w:tcW w:w="1723" w:type="dxa"/>
            <w:vAlign w:val="center"/>
          </w:tcPr>
          <w:p w14:paraId="2DCACBC8" w14:textId="77777777" w:rsidR="00065BF9" w:rsidRPr="00D262AE" w:rsidRDefault="00065BF9" w:rsidP="0028469F">
            <w:pPr>
              <w:pStyle w:val="TableText"/>
            </w:pPr>
          </w:p>
        </w:tc>
        <w:tc>
          <w:tcPr>
            <w:tcW w:w="1724" w:type="dxa"/>
            <w:vAlign w:val="center"/>
          </w:tcPr>
          <w:p w14:paraId="47254E51" w14:textId="481020E5" w:rsidR="00065BF9" w:rsidRPr="00D262AE" w:rsidRDefault="00065BF9" w:rsidP="0028469F">
            <w:pPr>
              <w:pStyle w:val="TableText"/>
            </w:pPr>
          </w:p>
        </w:tc>
        <w:tc>
          <w:tcPr>
            <w:tcW w:w="1723" w:type="dxa"/>
            <w:vAlign w:val="center"/>
          </w:tcPr>
          <w:p w14:paraId="322248CA" w14:textId="2B03AD8A" w:rsidR="00065BF9" w:rsidRPr="00D262AE" w:rsidRDefault="00065BF9" w:rsidP="0028469F">
            <w:pPr>
              <w:pStyle w:val="TableText"/>
            </w:pPr>
          </w:p>
        </w:tc>
        <w:tc>
          <w:tcPr>
            <w:tcW w:w="1723" w:type="dxa"/>
            <w:vAlign w:val="center"/>
          </w:tcPr>
          <w:p w14:paraId="6CA5D2D0" w14:textId="4278DF7B" w:rsidR="00065BF9" w:rsidRPr="00D262AE" w:rsidRDefault="00065BF9" w:rsidP="0028469F">
            <w:pPr>
              <w:pStyle w:val="TableText"/>
            </w:pPr>
          </w:p>
        </w:tc>
        <w:tc>
          <w:tcPr>
            <w:tcW w:w="1724" w:type="dxa"/>
            <w:vAlign w:val="center"/>
          </w:tcPr>
          <w:p w14:paraId="3EC2250F" w14:textId="77860CCC" w:rsidR="00065BF9" w:rsidRPr="00D262AE" w:rsidRDefault="00065BF9" w:rsidP="0028469F">
            <w:pPr>
              <w:pStyle w:val="TableText"/>
            </w:pPr>
          </w:p>
        </w:tc>
      </w:tr>
      <w:tr w:rsidR="00065BF9" w:rsidRPr="00EE4BD6" w14:paraId="4AF347FE" w14:textId="2B25317F" w:rsidTr="00EB61A3">
        <w:trPr>
          <w:cantSplit/>
          <w:trHeight w:val="360"/>
        </w:trPr>
        <w:tc>
          <w:tcPr>
            <w:tcW w:w="2600" w:type="dxa"/>
            <w:tcMar>
              <w:left w:w="43" w:type="dxa"/>
              <w:right w:w="43" w:type="dxa"/>
            </w:tcMar>
            <w:vAlign w:val="center"/>
          </w:tcPr>
          <w:p w14:paraId="5002B149" w14:textId="406A823B" w:rsidR="00065BF9" w:rsidRPr="00D262AE" w:rsidRDefault="00000000" w:rsidP="008204D4">
            <w:pPr>
              <w:pStyle w:val="TableText"/>
            </w:pPr>
            <w:hyperlink w:anchor="_Appointment_Cycle_Time" w:history="1">
              <w:r w:rsidR="00065BF9" w:rsidRPr="00D262AE">
                <w:rPr>
                  <w:rStyle w:val="Hyperlink"/>
                </w:rPr>
                <w:t>Appointment Cycle Time</w:t>
              </w:r>
            </w:hyperlink>
          </w:p>
        </w:tc>
        <w:tc>
          <w:tcPr>
            <w:tcW w:w="1723" w:type="dxa"/>
            <w:shd w:val="clear" w:color="auto" w:fill="auto"/>
            <w:vAlign w:val="center"/>
          </w:tcPr>
          <w:p w14:paraId="5717E684" w14:textId="77777777" w:rsidR="00065BF9" w:rsidRPr="00D262AE" w:rsidRDefault="00065BF9" w:rsidP="0028469F">
            <w:pPr>
              <w:pStyle w:val="TableText"/>
            </w:pPr>
          </w:p>
        </w:tc>
        <w:tc>
          <w:tcPr>
            <w:tcW w:w="1723" w:type="dxa"/>
            <w:vAlign w:val="center"/>
          </w:tcPr>
          <w:p w14:paraId="01DCB213" w14:textId="77777777" w:rsidR="00065BF9" w:rsidRPr="00D262AE" w:rsidRDefault="00065BF9" w:rsidP="0028469F">
            <w:pPr>
              <w:pStyle w:val="TableText"/>
            </w:pPr>
          </w:p>
        </w:tc>
        <w:tc>
          <w:tcPr>
            <w:tcW w:w="1724" w:type="dxa"/>
            <w:vAlign w:val="center"/>
          </w:tcPr>
          <w:p w14:paraId="410B2E1A" w14:textId="025494CA" w:rsidR="00065BF9" w:rsidRPr="00D262AE" w:rsidRDefault="00065BF9" w:rsidP="0028469F">
            <w:pPr>
              <w:pStyle w:val="TableText"/>
            </w:pPr>
          </w:p>
        </w:tc>
        <w:tc>
          <w:tcPr>
            <w:tcW w:w="1723" w:type="dxa"/>
            <w:vAlign w:val="center"/>
          </w:tcPr>
          <w:p w14:paraId="6E2E543A" w14:textId="51ABA5F9" w:rsidR="00065BF9" w:rsidRPr="00D262AE" w:rsidRDefault="00065BF9" w:rsidP="0028469F">
            <w:pPr>
              <w:pStyle w:val="TableText"/>
            </w:pPr>
          </w:p>
        </w:tc>
        <w:tc>
          <w:tcPr>
            <w:tcW w:w="1723" w:type="dxa"/>
            <w:vAlign w:val="center"/>
          </w:tcPr>
          <w:p w14:paraId="765FB7A0" w14:textId="220D2AC4" w:rsidR="00065BF9" w:rsidRPr="00D262AE" w:rsidRDefault="00065BF9" w:rsidP="0028469F">
            <w:pPr>
              <w:pStyle w:val="TableText"/>
            </w:pPr>
          </w:p>
        </w:tc>
        <w:tc>
          <w:tcPr>
            <w:tcW w:w="1724" w:type="dxa"/>
            <w:vAlign w:val="center"/>
          </w:tcPr>
          <w:p w14:paraId="4CE8A456" w14:textId="0925489F" w:rsidR="00065BF9" w:rsidRPr="00D262AE" w:rsidRDefault="00065BF9" w:rsidP="0028469F">
            <w:pPr>
              <w:pStyle w:val="TableText"/>
            </w:pPr>
          </w:p>
        </w:tc>
      </w:tr>
      <w:tr w:rsidR="00065BF9" w:rsidRPr="00EE4BD6" w14:paraId="6CE8BCB0" w14:textId="3B2579B1" w:rsidTr="00EB61A3">
        <w:trPr>
          <w:cantSplit/>
          <w:trHeight w:val="360"/>
        </w:trPr>
        <w:tc>
          <w:tcPr>
            <w:tcW w:w="2600" w:type="dxa"/>
            <w:tcMar>
              <w:left w:w="43" w:type="dxa"/>
              <w:right w:w="43" w:type="dxa"/>
            </w:tcMar>
            <w:vAlign w:val="center"/>
          </w:tcPr>
          <w:p w14:paraId="721DC6A5" w14:textId="2EE15420" w:rsidR="00065BF9" w:rsidRPr="00D262AE" w:rsidRDefault="00000000" w:rsidP="008204D4">
            <w:pPr>
              <w:pStyle w:val="TableText"/>
            </w:pPr>
            <w:hyperlink w:anchor="_Fee_Schedule_Maintenance" w:history="1">
              <w:r w:rsidR="00065BF9" w:rsidRPr="00D262AE">
                <w:rPr>
                  <w:rStyle w:val="Hyperlink"/>
                </w:rPr>
                <w:t>Fee Schedule Maintenance</w:t>
              </w:r>
            </w:hyperlink>
          </w:p>
        </w:tc>
        <w:tc>
          <w:tcPr>
            <w:tcW w:w="1723" w:type="dxa"/>
            <w:shd w:val="clear" w:color="auto" w:fill="auto"/>
            <w:vAlign w:val="center"/>
          </w:tcPr>
          <w:p w14:paraId="5BDDF40F" w14:textId="77777777" w:rsidR="00065BF9" w:rsidRPr="00D262AE" w:rsidRDefault="00065BF9" w:rsidP="0028469F">
            <w:pPr>
              <w:pStyle w:val="TableText"/>
            </w:pPr>
          </w:p>
        </w:tc>
        <w:tc>
          <w:tcPr>
            <w:tcW w:w="1723" w:type="dxa"/>
            <w:vAlign w:val="center"/>
          </w:tcPr>
          <w:p w14:paraId="1C1AA11D" w14:textId="77777777" w:rsidR="00065BF9" w:rsidRPr="00D262AE" w:rsidRDefault="00065BF9" w:rsidP="0028469F">
            <w:pPr>
              <w:pStyle w:val="TableText"/>
            </w:pPr>
          </w:p>
        </w:tc>
        <w:tc>
          <w:tcPr>
            <w:tcW w:w="1724" w:type="dxa"/>
            <w:vAlign w:val="center"/>
          </w:tcPr>
          <w:p w14:paraId="6194555C" w14:textId="74E1F901" w:rsidR="00065BF9" w:rsidRPr="00D262AE" w:rsidRDefault="00065BF9" w:rsidP="0028469F">
            <w:pPr>
              <w:pStyle w:val="TableText"/>
            </w:pPr>
          </w:p>
        </w:tc>
        <w:tc>
          <w:tcPr>
            <w:tcW w:w="1723" w:type="dxa"/>
            <w:vAlign w:val="center"/>
          </w:tcPr>
          <w:p w14:paraId="4D347D88" w14:textId="142EC6FB" w:rsidR="00065BF9" w:rsidRPr="00D262AE" w:rsidRDefault="00065BF9" w:rsidP="0028469F">
            <w:pPr>
              <w:pStyle w:val="TableText"/>
            </w:pPr>
          </w:p>
        </w:tc>
        <w:tc>
          <w:tcPr>
            <w:tcW w:w="1723" w:type="dxa"/>
            <w:vAlign w:val="center"/>
          </w:tcPr>
          <w:p w14:paraId="44FEF79C" w14:textId="0EDCF1CA" w:rsidR="00065BF9" w:rsidRPr="00D262AE" w:rsidRDefault="00065BF9" w:rsidP="0028469F">
            <w:pPr>
              <w:pStyle w:val="TableText"/>
            </w:pPr>
          </w:p>
        </w:tc>
        <w:tc>
          <w:tcPr>
            <w:tcW w:w="1724" w:type="dxa"/>
            <w:vAlign w:val="center"/>
          </w:tcPr>
          <w:p w14:paraId="27BA4867" w14:textId="23A3263F" w:rsidR="00065BF9" w:rsidRPr="00D262AE" w:rsidRDefault="00065BF9" w:rsidP="0028469F">
            <w:pPr>
              <w:pStyle w:val="TableText"/>
            </w:pPr>
          </w:p>
        </w:tc>
      </w:tr>
      <w:tr w:rsidR="00065BF9" w:rsidRPr="00EE4BD6" w14:paraId="1445B6F2" w14:textId="5B53C2D5" w:rsidTr="00EB61A3">
        <w:trPr>
          <w:cantSplit/>
          <w:trHeight w:val="360"/>
        </w:trPr>
        <w:tc>
          <w:tcPr>
            <w:tcW w:w="2600" w:type="dxa"/>
            <w:tcMar>
              <w:left w:w="43" w:type="dxa"/>
              <w:right w:w="43" w:type="dxa"/>
            </w:tcMar>
            <w:vAlign w:val="center"/>
          </w:tcPr>
          <w:p w14:paraId="379B9297" w14:textId="5D197A3C" w:rsidR="00065BF9" w:rsidRPr="00D262AE" w:rsidRDefault="00000000" w:rsidP="008204D4">
            <w:pPr>
              <w:pStyle w:val="TableText"/>
            </w:pPr>
            <w:hyperlink w:anchor="_Insurance_Carrier_Maintenance" w:history="1">
              <w:r w:rsidR="00065BF9" w:rsidRPr="00D262AE">
                <w:rPr>
                  <w:rStyle w:val="Hyperlink"/>
                </w:rPr>
                <w:t>Insurance Carrier Maintenance</w:t>
              </w:r>
            </w:hyperlink>
          </w:p>
        </w:tc>
        <w:tc>
          <w:tcPr>
            <w:tcW w:w="1723" w:type="dxa"/>
            <w:shd w:val="clear" w:color="auto" w:fill="auto"/>
            <w:vAlign w:val="center"/>
          </w:tcPr>
          <w:p w14:paraId="2C3BFC2B" w14:textId="77777777" w:rsidR="00065BF9" w:rsidRPr="00D262AE" w:rsidRDefault="00065BF9" w:rsidP="0028469F">
            <w:pPr>
              <w:pStyle w:val="TableText"/>
            </w:pPr>
          </w:p>
        </w:tc>
        <w:tc>
          <w:tcPr>
            <w:tcW w:w="1723" w:type="dxa"/>
            <w:vAlign w:val="center"/>
          </w:tcPr>
          <w:p w14:paraId="070F3897" w14:textId="77777777" w:rsidR="00065BF9" w:rsidRPr="00D262AE" w:rsidRDefault="00065BF9" w:rsidP="0028469F">
            <w:pPr>
              <w:pStyle w:val="TableText"/>
            </w:pPr>
          </w:p>
        </w:tc>
        <w:tc>
          <w:tcPr>
            <w:tcW w:w="1724" w:type="dxa"/>
            <w:vAlign w:val="center"/>
          </w:tcPr>
          <w:p w14:paraId="49905E8D" w14:textId="13142655" w:rsidR="00065BF9" w:rsidRPr="00D262AE" w:rsidRDefault="00065BF9" w:rsidP="0028469F">
            <w:pPr>
              <w:pStyle w:val="TableText"/>
            </w:pPr>
          </w:p>
        </w:tc>
        <w:tc>
          <w:tcPr>
            <w:tcW w:w="1723" w:type="dxa"/>
            <w:vAlign w:val="center"/>
          </w:tcPr>
          <w:p w14:paraId="6C45F381" w14:textId="07A46A58" w:rsidR="00065BF9" w:rsidRPr="00D262AE" w:rsidRDefault="00065BF9" w:rsidP="0028469F">
            <w:pPr>
              <w:pStyle w:val="TableText"/>
            </w:pPr>
          </w:p>
        </w:tc>
        <w:tc>
          <w:tcPr>
            <w:tcW w:w="1723" w:type="dxa"/>
            <w:vAlign w:val="center"/>
          </w:tcPr>
          <w:p w14:paraId="0A167B75" w14:textId="5462C5AA" w:rsidR="00065BF9" w:rsidRPr="00D262AE" w:rsidRDefault="00065BF9" w:rsidP="0028469F">
            <w:pPr>
              <w:pStyle w:val="TableText"/>
            </w:pPr>
          </w:p>
        </w:tc>
        <w:tc>
          <w:tcPr>
            <w:tcW w:w="1724" w:type="dxa"/>
            <w:vAlign w:val="center"/>
          </w:tcPr>
          <w:p w14:paraId="3766485C" w14:textId="62058D9C" w:rsidR="00065BF9" w:rsidRPr="00D262AE" w:rsidRDefault="00065BF9" w:rsidP="0028469F">
            <w:pPr>
              <w:pStyle w:val="TableText"/>
            </w:pPr>
          </w:p>
        </w:tc>
      </w:tr>
      <w:tr w:rsidR="00065BF9" w:rsidRPr="00EE4BD6" w14:paraId="441C920A" w14:textId="1A16706F" w:rsidTr="00EB61A3">
        <w:trPr>
          <w:cantSplit/>
          <w:trHeight w:val="360"/>
        </w:trPr>
        <w:tc>
          <w:tcPr>
            <w:tcW w:w="2600" w:type="dxa"/>
            <w:tcMar>
              <w:left w:w="43" w:type="dxa"/>
              <w:right w:w="43" w:type="dxa"/>
            </w:tcMar>
            <w:vAlign w:val="center"/>
          </w:tcPr>
          <w:p w14:paraId="518813AA" w14:textId="0A9820B9" w:rsidR="00065BF9" w:rsidRPr="00D262AE" w:rsidRDefault="00000000" w:rsidP="008204D4">
            <w:pPr>
              <w:pStyle w:val="TableText"/>
            </w:pPr>
            <w:hyperlink w:anchor="_Practice_Organization_List" w:history="1">
              <w:r w:rsidR="00065BF9" w:rsidRPr="00D262AE">
                <w:rPr>
                  <w:rStyle w:val="Hyperlink"/>
                </w:rPr>
                <w:t>Practice Organization List</w:t>
              </w:r>
            </w:hyperlink>
          </w:p>
        </w:tc>
        <w:tc>
          <w:tcPr>
            <w:tcW w:w="1723" w:type="dxa"/>
            <w:shd w:val="clear" w:color="auto" w:fill="auto"/>
            <w:vAlign w:val="center"/>
          </w:tcPr>
          <w:p w14:paraId="52C0A8E7" w14:textId="77777777" w:rsidR="00065BF9" w:rsidRPr="00D262AE" w:rsidRDefault="00065BF9" w:rsidP="0028469F">
            <w:pPr>
              <w:pStyle w:val="TableText"/>
            </w:pPr>
          </w:p>
        </w:tc>
        <w:tc>
          <w:tcPr>
            <w:tcW w:w="1723" w:type="dxa"/>
            <w:vAlign w:val="center"/>
          </w:tcPr>
          <w:p w14:paraId="085C0C95" w14:textId="77777777" w:rsidR="00065BF9" w:rsidRPr="00D262AE" w:rsidRDefault="00065BF9" w:rsidP="0028469F">
            <w:pPr>
              <w:pStyle w:val="TableText"/>
            </w:pPr>
          </w:p>
        </w:tc>
        <w:tc>
          <w:tcPr>
            <w:tcW w:w="1724" w:type="dxa"/>
            <w:vAlign w:val="center"/>
          </w:tcPr>
          <w:p w14:paraId="7D7A98D1" w14:textId="0D3D6BC5" w:rsidR="00065BF9" w:rsidRPr="00D262AE" w:rsidRDefault="00065BF9" w:rsidP="0028469F">
            <w:pPr>
              <w:pStyle w:val="TableText"/>
            </w:pPr>
          </w:p>
        </w:tc>
        <w:tc>
          <w:tcPr>
            <w:tcW w:w="1723" w:type="dxa"/>
            <w:vAlign w:val="center"/>
          </w:tcPr>
          <w:p w14:paraId="714B52ED" w14:textId="5AC9742C" w:rsidR="00065BF9" w:rsidRPr="00D262AE" w:rsidRDefault="00065BF9" w:rsidP="0028469F">
            <w:pPr>
              <w:pStyle w:val="TableText"/>
            </w:pPr>
          </w:p>
        </w:tc>
        <w:tc>
          <w:tcPr>
            <w:tcW w:w="1723" w:type="dxa"/>
            <w:vAlign w:val="center"/>
          </w:tcPr>
          <w:p w14:paraId="1D9B7EC3" w14:textId="349272D0" w:rsidR="00065BF9" w:rsidRPr="00D262AE" w:rsidRDefault="00065BF9" w:rsidP="0028469F">
            <w:pPr>
              <w:pStyle w:val="TableText"/>
            </w:pPr>
          </w:p>
        </w:tc>
        <w:tc>
          <w:tcPr>
            <w:tcW w:w="1724" w:type="dxa"/>
            <w:vAlign w:val="center"/>
          </w:tcPr>
          <w:p w14:paraId="69E4166F" w14:textId="496E0AA7" w:rsidR="00065BF9" w:rsidRPr="00D262AE" w:rsidRDefault="00065BF9" w:rsidP="0028469F">
            <w:pPr>
              <w:pStyle w:val="TableText"/>
            </w:pPr>
          </w:p>
        </w:tc>
      </w:tr>
    </w:tbl>
    <w:p w14:paraId="7411E40B" w14:textId="77777777" w:rsidR="000E41B3" w:rsidRPr="004E7679" w:rsidRDefault="000E41B3">
      <w:pPr>
        <w:spacing w:after="0"/>
        <w:rPr>
          <w:rFonts w:ascii="Times New Roman" w:hAnsi="Times New Roman" w:cs="Times New Roman"/>
          <w:sz w:val="2"/>
          <w:szCs w:val="2"/>
        </w:rPr>
      </w:pPr>
      <w:r w:rsidRPr="004E7679">
        <w:rPr>
          <w:rFonts w:ascii="Times New Roman" w:hAnsi="Times New Roman" w:cs="Times New Roman"/>
          <w:sz w:val="2"/>
          <w:szCs w:val="2"/>
        </w:rPr>
        <w:br w:type="page"/>
      </w:r>
    </w:p>
    <w:p w14:paraId="4A9DA27E" w14:textId="4A6288F9" w:rsidR="009817AF" w:rsidRDefault="00901319" w:rsidP="00786C42">
      <w:pPr>
        <w:pStyle w:val="Heading1"/>
      </w:pPr>
      <w:bookmarkStart w:id="27" w:name="_Annually_Checklist"/>
      <w:bookmarkStart w:id="28" w:name="_Toc166834290"/>
      <w:bookmarkEnd w:id="27"/>
      <w:r>
        <w:lastRenderedPageBreak/>
        <w:t>Annually</w:t>
      </w:r>
      <w:r w:rsidR="00786C42">
        <w:t xml:space="preserve"> Checklist</w:t>
      </w:r>
      <w:bookmarkEnd w:id="28"/>
    </w:p>
    <w:tbl>
      <w:tblPr>
        <w:tblStyle w:val="TableGrid"/>
        <w:tblW w:w="104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4" w:type="dxa"/>
          <w:left w:w="14" w:type="dxa"/>
          <w:bottom w:w="14" w:type="dxa"/>
          <w:right w:w="14" w:type="dxa"/>
        </w:tblCellMar>
        <w:tblLook w:val="04A0" w:firstRow="1" w:lastRow="0" w:firstColumn="1" w:lastColumn="0" w:noHBand="0" w:noVBand="1"/>
      </w:tblPr>
      <w:tblGrid>
        <w:gridCol w:w="1610"/>
        <w:gridCol w:w="6120"/>
        <w:gridCol w:w="2700"/>
      </w:tblGrid>
      <w:tr w:rsidR="00BA5059" w:rsidRPr="00EE4BD6" w14:paraId="42D4080C" w14:textId="77777777" w:rsidTr="00646884">
        <w:trPr>
          <w:cantSplit/>
          <w:trHeight w:val="383"/>
          <w:tblHeader/>
        </w:trPr>
        <w:tc>
          <w:tcPr>
            <w:tcW w:w="7730" w:type="dxa"/>
            <w:gridSpan w:val="2"/>
            <w:vMerge w:val="restart"/>
            <w:shd w:val="clear" w:color="auto" w:fill="F2F2F2" w:themeFill="background1" w:themeFillShade="F2"/>
            <w:tcMar>
              <w:left w:w="648" w:type="dxa"/>
            </w:tcMar>
          </w:tcPr>
          <w:p w14:paraId="3684C34C" w14:textId="10B6C7C6" w:rsidR="00BA5059" w:rsidRPr="00AF2A14" w:rsidRDefault="00BA5059" w:rsidP="009841EE">
            <w:pPr>
              <w:pStyle w:val="TableText"/>
              <w:spacing w:before="60" w:after="0"/>
              <w:rPr>
                <w:b/>
                <w:bCs/>
                <w:sz w:val="24"/>
                <w:szCs w:val="24"/>
              </w:rPr>
            </w:pPr>
            <w:r w:rsidRPr="00AF2A14">
              <w:rPr>
                <w:b/>
                <w:bCs/>
                <w:sz w:val="24"/>
                <w:szCs w:val="24"/>
              </w:rPr>
              <w:t>Task</w:t>
            </w:r>
          </w:p>
        </w:tc>
        <w:tc>
          <w:tcPr>
            <w:tcW w:w="2700" w:type="dxa"/>
            <w:shd w:val="clear" w:color="auto" w:fill="F2F2F2" w:themeFill="background1" w:themeFillShade="F2"/>
          </w:tcPr>
          <w:p w14:paraId="1E450158" w14:textId="4C32B916" w:rsidR="00BA5059" w:rsidRPr="00AF2A14" w:rsidRDefault="00BA5059" w:rsidP="009841EE">
            <w:pPr>
              <w:pStyle w:val="TableText"/>
              <w:spacing w:before="60" w:after="0"/>
              <w:jc w:val="center"/>
              <w:rPr>
                <w:b/>
                <w:bCs/>
                <w:sz w:val="24"/>
                <w:szCs w:val="24"/>
              </w:rPr>
            </w:pPr>
            <w:r w:rsidRPr="00AF2A14">
              <w:rPr>
                <w:b/>
                <w:bCs/>
                <w:sz w:val="24"/>
                <w:szCs w:val="24"/>
              </w:rPr>
              <w:t>Complet</w:t>
            </w:r>
            <w:r w:rsidR="005A14DC">
              <w:rPr>
                <w:b/>
                <w:bCs/>
                <w:sz w:val="24"/>
                <w:szCs w:val="24"/>
              </w:rPr>
              <w:t>ion Sign-off</w:t>
            </w:r>
          </w:p>
        </w:tc>
      </w:tr>
      <w:tr w:rsidR="00BA5059" w:rsidRPr="00EE4BD6" w14:paraId="396C07FA" w14:textId="77777777" w:rsidTr="00646884">
        <w:trPr>
          <w:cantSplit/>
          <w:trHeight w:val="383"/>
          <w:tblHeader/>
        </w:trPr>
        <w:tc>
          <w:tcPr>
            <w:tcW w:w="7730" w:type="dxa"/>
            <w:gridSpan w:val="2"/>
            <w:vMerge/>
            <w:shd w:val="clear" w:color="auto" w:fill="F2F2F2" w:themeFill="background1" w:themeFillShade="F2"/>
            <w:vAlign w:val="center"/>
          </w:tcPr>
          <w:p w14:paraId="5DB8AC1C" w14:textId="77777777" w:rsidR="00BA5059" w:rsidRPr="00AF2A14" w:rsidRDefault="00BA5059" w:rsidP="009F357F">
            <w:pPr>
              <w:pStyle w:val="TableText"/>
              <w:rPr>
                <w:b/>
                <w:bCs/>
                <w:sz w:val="24"/>
                <w:szCs w:val="24"/>
              </w:rPr>
            </w:pPr>
          </w:p>
        </w:tc>
        <w:tc>
          <w:tcPr>
            <w:tcW w:w="2700" w:type="dxa"/>
            <w:shd w:val="clear" w:color="auto" w:fill="F2F2F2" w:themeFill="background1" w:themeFillShade="F2"/>
            <w:vAlign w:val="center"/>
          </w:tcPr>
          <w:p w14:paraId="10AF8AC9" w14:textId="3E4EFD2D" w:rsidR="00BA5059" w:rsidRPr="005A14DC" w:rsidRDefault="005A14DC" w:rsidP="009F357F">
            <w:pPr>
              <w:pStyle w:val="TableText"/>
              <w:jc w:val="center"/>
              <w:rPr>
                <w:sz w:val="24"/>
                <w:szCs w:val="24"/>
              </w:rPr>
            </w:pPr>
            <w:r w:rsidRPr="005A14DC">
              <w:rPr>
                <w:sz w:val="20"/>
                <w:szCs w:val="20"/>
              </w:rPr>
              <w:t>Date: ____</w:t>
            </w:r>
            <w:r>
              <w:rPr>
                <w:sz w:val="20"/>
                <w:szCs w:val="20"/>
              </w:rPr>
              <w:t>_</w:t>
            </w:r>
            <w:r w:rsidRPr="005A14DC">
              <w:rPr>
                <w:sz w:val="20"/>
                <w:szCs w:val="20"/>
              </w:rPr>
              <w:t>_______</w:t>
            </w:r>
          </w:p>
        </w:tc>
      </w:tr>
      <w:tr w:rsidR="00896DD8" w:rsidRPr="00EE4BD6" w14:paraId="6FC03952" w14:textId="77777777" w:rsidTr="00646884">
        <w:trPr>
          <w:cantSplit/>
          <w:trHeight w:val="383"/>
        </w:trPr>
        <w:tc>
          <w:tcPr>
            <w:tcW w:w="1610" w:type="dxa"/>
            <w:shd w:val="clear" w:color="auto" w:fill="F2F2F2" w:themeFill="background1" w:themeFillShade="F2"/>
            <w:vAlign w:val="center"/>
          </w:tcPr>
          <w:p w14:paraId="5239E5CB" w14:textId="709857B1" w:rsidR="00896DD8" w:rsidRPr="001E16B0" w:rsidRDefault="00896DD8" w:rsidP="008678FE">
            <w:pPr>
              <w:pStyle w:val="TableText"/>
              <w:jc w:val="center"/>
              <w:rPr>
                <w:b/>
                <w:bCs/>
                <w:sz w:val="20"/>
                <w:szCs w:val="20"/>
              </w:rPr>
            </w:pPr>
            <w:r>
              <w:rPr>
                <w:b/>
                <w:bCs/>
                <w:sz w:val="20"/>
                <w:szCs w:val="20"/>
              </w:rPr>
              <w:t>IT</w:t>
            </w:r>
          </w:p>
        </w:tc>
        <w:tc>
          <w:tcPr>
            <w:tcW w:w="6120" w:type="dxa"/>
            <w:tcMar>
              <w:left w:w="43" w:type="dxa"/>
              <w:right w:w="43" w:type="dxa"/>
            </w:tcMar>
            <w:vAlign w:val="center"/>
          </w:tcPr>
          <w:p w14:paraId="1231813A" w14:textId="31609533" w:rsidR="00896DD8" w:rsidRPr="002E2E9D" w:rsidRDefault="00000000" w:rsidP="004F7BDB">
            <w:pPr>
              <w:pStyle w:val="TableText"/>
            </w:pPr>
            <w:hyperlink w:anchor="_Data_Recovery" w:history="1">
              <w:r w:rsidR="00896DD8" w:rsidRPr="002E2E9D">
                <w:rPr>
                  <w:rStyle w:val="Hyperlink"/>
                </w:rPr>
                <w:t>Data Recovery</w:t>
              </w:r>
            </w:hyperlink>
          </w:p>
        </w:tc>
        <w:tc>
          <w:tcPr>
            <w:tcW w:w="2700" w:type="dxa"/>
            <w:shd w:val="clear" w:color="auto" w:fill="auto"/>
            <w:vAlign w:val="center"/>
          </w:tcPr>
          <w:p w14:paraId="103757CE" w14:textId="77777777" w:rsidR="00896DD8" w:rsidRPr="00DE6C2A" w:rsidRDefault="00896DD8" w:rsidP="004F7BDB">
            <w:pPr>
              <w:pStyle w:val="TableText"/>
              <w:rPr>
                <w:sz w:val="20"/>
                <w:szCs w:val="20"/>
              </w:rPr>
            </w:pPr>
          </w:p>
        </w:tc>
      </w:tr>
      <w:tr w:rsidR="00646884" w:rsidRPr="00EE4BD6" w14:paraId="11D560D0" w14:textId="77777777" w:rsidTr="00646884">
        <w:trPr>
          <w:cantSplit/>
          <w:trHeight w:val="383"/>
        </w:trPr>
        <w:tc>
          <w:tcPr>
            <w:tcW w:w="1610" w:type="dxa"/>
            <w:shd w:val="clear" w:color="auto" w:fill="F2F2F2" w:themeFill="background1" w:themeFillShade="F2"/>
            <w:vAlign w:val="center"/>
          </w:tcPr>
          <w:p w14:paraId="645EE643" w14:textId="3E1332D4" w:rsidR="00646884" w:rsidRPr="001E16B0" w:rsidRDefault="00646884" w:rsidP="00B47A80">
            <w:pPr>
              <w:pStyle w:val="TableText"/>
              <w:jc w:val="center"/>
              <w:rPr>
                <w:b/>
                <w:bCs/>
                <w:sz w:val="20"/>
                <w:szCs w:val="20"/>
              </w:rPr>
            </w:pPr>
            <w:r>
              <w:rPr>
                <w:b/>
                <w:bCs/>
                <w:sz w:val="20"/>
                <w:szCs w:val="20"/>
              </w:rPr>
              <w:t>Front Desk</w:t>
            </w:r>
          </w:p>
        </w:tc>
        <w:tc>
          <w:tcPr>
            <w:tcW w:w="6120" w:type="dxa"/>
            <w:tcMar>
              <w:left w:w="43" w:type="dxa"/>
              <w:right w:w="43" w:type="dxa"/>
            </w:tcMar>
            <w:vAlign w:val="center"/>
          </w:tcPr>
          <w:p w14:paraId="27B47D45" w14:textId="082E49BD" w:rsidR="00646884" w:rsidRPr="002E2E9D" w:rsidRDefault="00000000" w:rsidP="00B47A80">
            <w:pPr>
              <w:pStyle w:val="TableText"/>
            </w:pPr>
            <w:hyperlink w:anchor="_NIPRS_Validation_(non-RPMS;_1" w:history="1">
              <w:r w:rsidR="00646884" w:rsidRPr="000B6808">
                <w:rPr>
                  <w:rStyle w:val="Hyperlink"/>
                </w:rPr>
                <w:t>*NEW* NPIRS Reports (non-RPMS; v. 11.0.44 and later)</w:t>
              </w:r>
            </w:hyperlink>
          </w:p>
        </w:tc>
        <w:tc>
          <w:tcPr>
            <w:tcW w:w="2700" w:type="dxa"/>
            <w:shd w:val="clear" w:color="auto" w:fill="auto"/>
            <w:vAlign w:val="center"/>
          </w:tcPr>
          <w:p w14:paraId="52368D3E" w14:textId="77777777" w:rsidR="00646884" w:rsidRPr="00DE6C2A" w:rsidRDefault="00646884" w:rsidP="00B47A80">
            <w:pPr>
              <w:pStyle w:val="TableText"/>
              <w:rPr>
                <w:sz w:val="20"/>
                <w:szCs w:val="20"/>
              </w:rPr>
            </w:pPr>
          </w:p>
        </w:tc>
      </w:tr>
      <w:tr w:rsidR="00646884" w:rsidRPr="00EE4BD6" w14:paraId="4B1CA599" w14:textId="77777777" w:rsidTr="00646884">
        <w:trPr>
          <w:cantSplit/>
          <w:trHeight w:val="383"/>
        </w:trPr>
        <w:tc>
          <w:tcPr>
            <w:tcW w:w="1610" w:type="dxa"/>
            <w:shd w:val="clear" w:color="auto" w:fill="F2F2F2" w:themeFill="background1" w:themeFillShade="F2"/>
            <w:vAlign w:val="center"/>
          </w:tcPr>
          <w:p w14:paraId="41EFC482" w14:textId="2CB28675" w:rsidR="00646884" w:rsidRDefault="00646884" w:rsidP="00B47A80">
            <w:pPr>
              <w:pStyle w:val="TableText"/>
              <w:jc w:val="center"/>
              <w:rPr>
                <w:b/>
                <w:bCs/>
                <w:sz w:val="20"/>
                <w:szCs w:val="20"/>
              </w:rPr>
            </w:pPr>
            <w:r>
              <w:rPr>
                <w:b/>
                <w:bCs/>
                <w:sz w:val="20"/>
                <w:szCs w:val="20"/>
              </w:rPr>
              <w:t>Dental Chief / Provider</w:t>
            </w:r>
          </w:p>
        </w:tc>
        <w:tc>
          <w:tcPr>
            <w:tcW w:w="6120" w:type="dxa"/>
            <w:tcMar>
              <w:left w:w="43" w:type="dxa"/>
              <w:right w:w="43" w:type="dxa"/>
            </w:tcMar>
            <w:vAlign w:val="center"/>
          </w:tcPr>
          <w:p w14:paraId="26528ADE" w14:textId="0995C29A" w:rsidR="00646884" w:rsidRPr="00FA5088" w:rsidRDefault="00000000" w:rsidP="00B47A80">
            <w:pPr>
              <w:pStyle w:val="TableText"/>
            </w:pPr>
            <w:hyperlink w:anchor="_Clinical_Note_Review" w:history="1">
              <w:r w:rsidR="00646884" w:rsidRPr="000B6808">
                <w:rPr>
                  <w:rStyle w:val="Hyperlink"/>
                </w:rPr>
                <w:t>*NEW* Clinical Note Review Dashboard</w:t>
              </w:r>
            </w:hyperlink>
          </w:p>
        </w:tc>
        <w:tc>
          <w:tcPr>
            <w:tcW w:w="2700" w:type="dxa"/>
            <w:shd w:val="clear" w:color="auto" w:fill="auto"/>
            <w:vAlign w:val="center"/>
          </w:tcPr>
          <w:p w14:paraId="47A61FBE" w14:textId="77777777" w:rsidR="00646884" w:rsidRPr="00DE6C2A" w:rsidRDefault="00646884" w:rsidP="00B47A80">
            <w:pPr>
              <w:pStyle w:val="TableText"/>
              <w:rPr>
                <w:sz w:val="20"/>
                <w:szCs w:val="20"/>
              </w:rPr>
            </w:pPr>
          </w:p>
        </w:tc>
      </w:tr>
    </w:tbl>
    <w:p w14:paraId="66FDFE8A" w14:textId="77777777" w:rsidR="00640785" w:rsidRDefault="00640785" w:rsidP="002B12FB"/>
    <w:p w14:paraId="0BD46A1D" w14:textId="77777777" w:rsidR="00827F51" w:rsidRDefault="00827F51" w:rsidP="002B12FB"/>
    <w:p w14:paraId="49801DDF" w14:textId="77777777" w:rsidR="00FE0224" w:rsidRDefault="00FE0224" w:rsidP="002B12FB">
      <w:pPr>
        <w:sectPr w:rsidR="00FE0224" w:rsidSect="00C616BD">
          <w:headerReference w:type="even" r:id="rId27"/>
          <w:headerReference w:type="default" r:id="rId28"/>
          <w:footerReference w:type="even" r:id="rId29"/>
          <w:footerReference w:type="default" r:id="rId30"/>
          <w:pgSz w:w="15840" w:h="12240" w:orient="landscape"/>
          <w:pgMar w:top="1170" w:right="1440" w:bottom="900" w:left="1440" w:header="360" w:footer="360" w:gutter="0"/>
          <w:cols w:space="720"/>
          <w:docGrid w:linePitch="299"/>
        </w:sectPr>
      </w:pPr>
    </w:p>
    <w:p w14:paraId="5FC6D245" w14:textId="00CA4ADE" w:rsidR="00B629CF" w:rsidRDefault="00B629CF" w:rsidP="00B629CF">
      <w:pPr>
        <w:pStyle w:val="Heading1"/>
      </w:pPr>
      <w:bookmarkStart w:id="29" w:name="_bookmark2"/>
      <w:bookmarkStart w:id="30" w:name="_bookmark7"/>
      <w:bookmarkStart w:id="31" w:name="_Toc135416592"/>
      <w:bookmarkStart w:id="32" w:name="_Toc135416657"/>
      <w:bookmarkStart w:id="33" w:name="_Toc166834291"/>
      <w:bookmarkEnd w:id="14"/>
      <w:bookmarkEnd w:id="29"/>
      <w:bookmarkEnd w:id="30"/>
      <w:r>
        <w:lastRenderedPageBreak/>
        <w:t>IT Security Protocols</w:t>
      </w:r>
      <w:bookmarkEnd w:id="31"/>
      <w:bookmarkEnd w:id="32"/>
      <w:bookmarkEnd w:id="33"/>
    </w:p>
    <w:p w14:paraId="6BA6D241" w14:textId="7B440E12" w:rsidR="00B629CF" w:rsidRDefault="00972BD0" w:rsidP="00972BD0">
      <w:pPr>
        <w:pStyle w:val="BodyText"/>
      </w:pPr>
      <w:r>
        <w:t xml:space="preserve">The following IT security protocols are a sequence of operations </w:t>
      </w:r>
      <w:r w:rsidR="00FC522C">
        <w:t xml:space="preserve">that must be </w:t>
      </w:r>
      <w:r>
        <w:t xml:space="preserve">performed by an IT System Administrator or local office IT representative </w:t>
      </w:r>
      <w:r w:rsidR="00FC522C">
        <w:t>to help</w:t>
      </w:r>
      <w:r>
        <w:t xml:space="preserve"> mitigate potential EDR data loss and improve </w:t>
      </w:r>
      <w:r w:rsidR="00FC522C">
        <w:t>s</w:t>
      </w:r>
      <w:r>
        <w:t>erver</w:t>
      </w:r>
      <w:r w:rsidR="00FC522C">
        <w:t xml:space="preserve"> and w</w:t>
      </w:r>
      <w:r>
        <w:t>orkstation operational performance.</w:t>
      </w:r>
      <w:r w:rsidR="00FC522C">
        <w:t xml:space="preserve"> </w:t>
      </w:r>
      <w:r>
        <w:t xml:space="preserve">In the event of data loss or </w:t>
      </w:r>
      <w:r w:rsidR="00FC522C">
        <w:t xml:space="preserve">a </w:t>
      </w:r>
      <w:r>
        <w:t>malicious outside attack (</w:t>
      </w:r>
      <w:r w:rsidR="00FC522C">
        <w:t>such as r</w:t>
      </w:r>
      <w:r>
        <w:t xml:space="preserve">ansomware), your EDR data would be recoverable if the </w:t>
      </w:r>
      <w:r w:rsidR="00FC522C">
        <w:t xml:space="preserve">following </w:t>
      </w:r>
      <w:r>
        <w:t xml:space="preserve">IT security protocols </w:t>
      </w:r>
      <w:r w:rsidR="00FC522C">
        <w:t>have been</w:t>
      </w:r>
      <w:r>
        <w:t xml:space="preserve"> </w:t>
      </w:r>
      <w:r w:rsidR="00FC522C">
        <w:t>completed</w:t>
      </w:r>
      <w:r>
        <w:t xml:space="preserve"> successfully.</w:t>
      </w:r>
    </w:p>
    <w:p w14:paraId="09BDD298" w14:textId="52DC7170" w:rsidR="00972BD0" w:rsidRPr="00762137" w:rsidRDefault="00972BD0" w:rsidP="004F45B6">
      <w:pPr>
        <w:pStyle w:val="Heading2"/>
        <w:numPr>
          <w:ilvl w:val="0"/>
          <w:numId w:val="159"/>
        </w:numPr>
      </w:pPr>
      <w:bookmarkStart w:id="34" w:name="_Toc135416658"/>
      <w:bookmarkStart w:id="35" w:name="_Toc166834292"/>
      <w:r w:rsidRPr="00762137">
        <w:t>Systems Administration</w:t>
      </w:r>
      <w:bookmarkEnd w:id="34"/>
      <w:bookmarkEnd w:id="35"/>
      <w:r w:rsidRPr="00762137">
        <w:t xml:space="preserve"> </w:t>
      </w:r>
    </w:p>
    <w:p w14:paraId="4A8B8792" w14:textId="0FC2E99B" w:rsidR="00972BD0" w:rsidRPr="00D42C5A" w:rsidRDefault="00972BD0" w:rsidP="00776AB8">
      <w:pPr>
        <w:pStyle w:val="Heading3"/>
      </w:pPr>
      <w:bookmarkStart w:id="36" w:name="_Toc135416659"/>
      <w:bookmarkStart w:id="37" w:name="_Hlk99114914"/>
      <w:bookmarkStart w:id="38" w:name="_Toc166834293"/>
      <w:r w:rsidRPr="00D42C5A">
        <w:t>Nightly Backup Verification</w:t>
      </w:r>
      <w:bookmarkEnd w:id="36"/>
      <w:bookmarkEnd w:id="38"/>
    </w:p>
    <w:p w14:paraId="5244D328" w14:textId="5DDBF5B4" w:rsidR="00972BD0" w:rsidRPr="00395C6B" w:rsidRDefault="00972BD0" w:rsidP="00395C6B">
      <w:pPr>
        <w:pStyle w:val="BodyText"/>
        <w:rPr>
          <w:rFonts w:eastAsia="Calibri"/>
          <w:b/>
          <w:bCs/>
          <w:lang w:bidi="en-US"/>
        </w:rPr>
      </w:pPr>
      <w:r w:rsidRPr="00395C6B">
        <w:rPr>
          <w:shd w:val="clear" w:color="auto" w:fill="FFFFFF"/>
        </w:rPr>
        <w:t>Backup is crucial for data protection. A regular nightly data backup saves your important files from inevitable data loss situations due to common events such as system crash, malware infection, hard drive corruption and failure.</w:t>
      </w:r>
    </w:p>
    <w:p w14:paraId="35657961" w14:textId="4147E0F9" w:rsidR="00972BD0" w:rsidRPr="0086426B" w:rsidRDefault="00972BD0">
      <w:pPr>
        <w:pStyle w:val="BodyText"/>
        <w:numPr>
          <w:ilvl w:val="0"/>
          <w:numId w:val="1"/>
        </w:numPr>
        <w:ind w:left="540"/>
      </w:pPr>
      <w:bookmarkStart w:id="39" w:name="_Hlk99113328"/>
      <w:r w:rsidRPr="0086426B">
        <w:t xml:space="preserve">Backup critical system and application files on a nightly basis. </w:t>
      </w:r>
    </w:p>
    <w:p w14:paraId="10EE3B88" w14:textId="39128B31" w:rsidR="00972BD0" w:rsidRPr="0086426B" w:rsidRDefault="00972BD0">
      <w:pPr>
        <w:pStyle w:val="BodyText"/>
        <w:numPr>
          <w:ilvl w:val="0"/>
          <w:numId w:val="1"/>
        </w:numPr>
        <w:ind w:left="540"/>
      </w:pPr>
      <w:r w:rsidRPr="0086426B">
        <w:t xml:space="preserve">Typical schedules will be set to run Monday through Friday after business hours. If the facility is open for business on Saturday or Sunday, then a Saturday/Sunday night backup is recommended as well. </w:t>
      </w:r>
    </w:p>
    <w:p w14:paraId="1E6E9A37" w14:textId="659B6E36" w:rsidR="00972BD0" w:rsidRPr="0086426B" w:rsidRDefault="00972BD0">
      <w:pPr>
        <w:pStyle w:val="BodyText"/>
        <w:numPr>
          <w:ilvl w:val="0"/>
          <w:numId w:val="1"/>
        </w:numPr>
        <w:ind w:left="540"/>
      </w:pPr>
      <w:r w:rsidRPr="0086426B">
        <w:t>Every morning the backup logs should be reviewed (verified) to confirm a successful backup completed.</w:t>
      </w:r>
    </w:p>
    <w:p w14:paraId="141EE03D" w14:textId="69F6DAE2" w:rsidR="00972BD0" w:rsidRPr="0086426B" w:rsidRDefault="00972BD0">
      <w:pPr>
        <w:pStyle w:val="BodyText"/>
        <w:numPr>
          <w:ilvl w:val="0"/>
          <w:numId w:val="1"/>
        </w:numPr>
        <w:ind w:left="540"/>
      </w:pPr>
      <w:r w:rsidRPr="0086426B">
        <w:t>Removable media (</w:t>
      </w:r>
      <w:r w:rsidR="0082516D">
        <w:t>such as</w:t>
      </w:r>
      <w:r w:rsidRPr="0086426B">
        <w:t xml:space="preserve"> tape, disk</w:t>
      </w:r>
      <w:r w:rsidR="0082516D">
        <w:t>,</w:t>
      </w:r>
      <w:r w:rsidRPr="0086426B">
        <w:t xml:space="preserve"> or external hard drive) should be disconnected and replaced with the next device.</w:t>
      </w:r>
    </w:p>
    <w:p w14:paraId="7F8D36BC" w14:textId="5FE8EDF0" w:rsidR="00972BD0" w:rsidRPr="0086426B" w:rsidRDefault="00972BD0">
      <w:pPr>
        <w:pStyle w:val="BodyText"/>
        <w:numPr>
          <w:ilvl w:val="0"/>
          <w:numId w:val="1"/>
        </w:numPr>
        <w:ind w:left="540"/>
        <w:rPr>
          <w:shd w:val="clear" w:color="auto" w:fill="FFFFFF"/>
        </w:rPr>
      </w:pPr>
      <w:r w:rsidRPr="0086426B">
        <w:t>Disconnected backup media should be stored in a fire-safe location or taken securely offsite.</w:t>
      </w:r>
      <w:bookmarkEnd w:id="39"/>
    </w:p>
    <w:p w14:paraId="7F31A717" w14:textId="5EB1CB93" w:rsidR="00972BD0" w:rsidRDefault="005D3D37" w:rsidP="004C1FD6">
      <w:pPr>
        <w:pStyle w:val="BodyText"/>
        <w:rPr>
          <w:i/>
          <w:iCs/>
        </w:rPr>
      </w:pPr>
      <w:r>
        <w:rPr>
          <w:noProof/>
        </w:rPr>
        <w:drawing>
          <wp:anchor distT="0" distB="0" distL="114300" distR="114300" simplePos="0" relativeHeight="251707396" behindDoc="0" locked="0" layoutInCell="1" allowOverlap="1" wp14:anchorId="65DBABC7" wp14:editId="653BDA33">
            <wp:simplePos x="0" y="0"/>
            <wp:positionH relativeFrom="column">
              <wp:posOffset>-457200</wp:posOffset>
            </wp:positionH>
            <wp:positionV relativeFrom="paragraph">
              <wp:posOffset>0</wp:posOffset>
            </wp:positionV>
            <wp:extent cx="365760" cy="365760"/>
            <wp:effectExtent l="0" t="0" r="0" b="0"/>
            <wp:wrapTight wrapText="bothSides">
              <wp:wrapPolygon edited="0">
                <wp:start x="0" y="0"/>
                <wp:lineTo x="0" y="20250"/>
                <wp:lineTo x="20250" y="20250"/>
                <wp:lineTo x="20250" y="0"/>
                <wp:lineTo x="0" y="0"/>
              </wp:wrapPolygon>
            </wp:wrapTight>
            <wp:docPr id="1935310858" name="Picture 1" descr="A red sign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0858" name="Picture 1" descr="A red sign with a exclamation mark&#10;&#10;Description automatically generated"/>
                    <pic:cNvPicPr/>
                  </pic:nvPicPr>
                  <pic:blipFill>
                    <a:blip r:embed="rId31"/>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72BD0" w:rsidRPr="0082516D">
        <w:rPr>
          <w:b/>
          <w:bCs/>
          <w:i/>
          <w:iCs/>
        </w:rPr>
        <w:t>Critical</w:t>
      </w:r>
      <w:r w:rsidR="0082516D" w:rsidRPr="0082516D">
        <w:rPr>
          <w:i/>
          <w:iCs/>
        </w:rPr>
        <w:t xml:space="preserve">: </w:t>
      </w:r>
      <w:r w:rsidR="00972BD0" w:rsidRPr="0082516D">
        <w:rPr>
          <w:i/>
          <w:iCs/>
        </w:rPr>
        <w:t>Check your backup software application log for successful backups and remedy any unsuccessful backup job as soon as possible.</w:t>
      </w:r>
    </w:p>
    <w:p w14:paraId="2EE40B20" w14:textId="3C49D2FA" w:rsidR="00972BD0" w:rsidRPr="002804C0" w:rsidRDefault="004C1FD6" w:rsidP="00D42C5A">
      <w:pPr>
        <w:pStyle w:val="Heading3"/>
      </w:pPr>
      <w:bookmarkStart w:id="40" w:name="_Toc166834294"/>
      <w:r w:rsidRPr="004C1FD6">
        <w:t xml:space="preserve">EDR </w:t>
      </w:r>
      <w:r w:rsidR="00E37A7E">
        <w:t xml:space="preserve">and </w:t>
      </w:r>
      <w:r w:rsidRPr="004C1FD6">
        <w:t>Image Server</w:t>
      </w:r>
      <w:r w:rsidR="00E37A7E">
        <w:t xml:space="preserve"> Backup Folders</w:t>
      </w:r>
      <w:bookmarkEnd w:id="40"/>
    </w:p>
    <w:p w14:paraId="7D8BA882" w14:textId="6AC5BF01" w:rsidR="00972BD0" w:rsidRPr="00256E01" w:rsidRDefault="00972BD0" w:rsidP="0086426B">
      <w:pPr>
        <w:pStyle w:val="BodyText"/>
      </w:pPr>
      <w:r w:rsidRPr="00256E01">
        <w:t>The following are the file/folders located on the EDR server and/or Image file server that should be backed up to either a NAS</w:t>
      </w:r>
      <w:r>
        <w:t xml:space="preserve"> (Network-attached storage)</w:t>
      </w:r>
      <w:r w:rsidRPr="00256E01">
        <w:t xml:space="preserve"> or external media on a nightly basis. Local IT personnel should review their local drives, directories, and files to determine what other data should be </w:t>
      </w:r>
      <w:r w:rsidR="00E37A7E">
        <w:t>included in the backup</w:t>
      </w:r>
      <w:r w:rsidRPr="00256E01">
        <w:t xml:space="preserve"> process.</w:t>
      </w:r>
    </w:p>
    <w:p w14:paraId="369254F3" w14:textId="3F3D8632" w:rsidR="00972BD0" w:rsidRPr="004C1FD6" w:rsidRDefault="00972BD0">
      <w:pPr>
        <w:pStyle w:val="BodyText"/>
        <w:numPr>
          <w:ilvl w:val="0"/>
          <w:numId w:val="8"/>
        </w:numPr>
        <w:ind w:left="540"/>
      </w:pPr>
      <w:r w:rsidRPr="00E37A7E">
        <w:rPr>
          <w:b/>
          <w:bCs/>
        </w:rPr>
        <w:t>DXONE</w:t>
      </w:r>
      <w:r w:rsidR="0082516D">
        <w:t xml:space="preserve"> –</w:t>
      </w:r>
      <w:r w:rsidR="0082516D" w:rsidRPr="004C1FD6">
        <w:t xml:space="preserve"> </w:t>
      </w:r>
      <w:r w:rsidR="0082516D">
        <w:t>S</w:t>
      </w:r>
      <w:r w:rsidRPr="004C1FD6">
        <w:t>hared</w:t>
      </w:r>
      <w:r w:rsidR="0082516D">
        <w:t>,</w:t>
      </w:r>
      <w:r w:rsidRPr="004C1FD6">
        <w:t xml:space="preserve"> </w:t>
      </w:r>
      <w:r w:rsidR="0082516D">
        <w:t>w</w:t>
      </w:r>
      <w:r w:rsidRPr="004C1FD6">
        <w:t>riteable folder containing customizations</w:t>
      </w:r>
      <w:r w:rsidR="0082516D">
        <w:t xml:space="preserve"> and</w:t>
      </w:r>
      <w:r w:rsidRPr="004C1FD6">
        <w:t xml:space="preserve"> report templates</w:t>
      </w:r>
      <w:r w:rsidR="0082516D">
        <w:t>.</w:t>
      </w:r>
    </w:p>
    <w:p w14:paraId="26D1C2A6" w14:textId="3651F751" w:rsidR="00972BD0" w:rsidRPr="004C1FD6" w:rsidRDefault="00972BD0">
      <w:pPr>
        <w:pStyle w:val="BodyText"/>
        <w:numPr>
          <w:ilvl w:val="0"/>
          <w:numId w:val="8"/>
        </w:numPr>
        <w:ind w:left="540"/>
      </w:pPr>
      <w:r w:rsidRPr="00E37A7E">
        <w:rPr>
          <w:b/>
          <w:bCs/>
        </w:rPr>
        <w:t>Original</w:t>
      </w:r>
      <w:r w:rsidR="0082516D">
        <w:t xml:space="preserve"> –</w:t>
      </w:r>
      <w:r w:rsidR="0082516D" w:rsidRPr="004C1FD6">
        <w:t xml:space="preserve"> </w:t>
      </w:r>
      <w:r w:rsidR="0082516D">
        <w:t>A</w:t>
      </w:r>
      <w:r w:rsidRPr="004C1FD6">
        <w:t>ll software and settings needed to reinstall the EDR implementation</w:t>
      </w:r>
      <w:r w:rsidR="0082516D">
        <w:t>.</w:t>
      </w:r>
    </w:p>
    <w:p w14:paraId="58252203" w14:textId="0189BF63" w:rsidR="00972BD0" w:rsidRPr="004C1FD6" w:rsidRDefault="00972BD0">
      <w:pPr>
        <w:pStyle w:val="BodyText"/>
        <w:numPr>
          <w:ilvl w:val="0"/>
          <w:numId w:val="8"/>
        </w:numPr>
        <w:ind w:left="540"/>
      </w:pPr>
      <w:r w:rsidRPr="00E37A7E">
        <w:rPr>
          <w:b/>
          <w:bCs/>
        </w:rPr>
        <w:t>SQLBACKUPS</w:t>
      </w:r>
      <w:r w:rsidR="0082516D">
        <w:t xml:space="preserve"> –</w:t>
      </w:r>
      <w:r w:rsidR="0082516D" w:rsidRPr="004C1FD6">
        <w:t xml:space="preserve"> </w:t>
      </w:r>
      <w:r w:rsidRPr="004C1FD6">
        <w:t>SQL Database backups for Dentrix</w:t>
      </w:r>
      <w:r w:rsidR="0082516D">
        <w:t xml:space="preserve"> and</w:t>
      </w:r>
      <w:r w:rsidRPr="004C1FD6">
        <w:t xml:space="preserve"> D</w:t>
      </w:r>
      <w:r w:rsidR="0082516D">
        <w:t>EXIS</w:t>
      </w:r>
      <w:r w:rsidRPr="004C1FD6">
        <w:t>/MiPACS</w:t>
      </w:r>
      <w:r w:rsidR="0082516D">
        <w:t>.</w:t>
      </w:r>
    </w:p>
    <w:p w14:paraId="2396A06A" w14:textId="6B852E6E" w:rsidR="00972BD0" w:rsidRPr="004C1FD6" w:rsidRDefault="00972BD0">
      <w:pPr>
        <w:pStyle w:val="BodyText"/>
        <w:numPr>
          <w:ilvl w:val="0"/>
          <w:numId w:val="8"/>
        </w:numPr>
        <w:ind w:left="540"/>
        <w:rPr>
          <w:rFonts w:eastAsiaTheme="minorEastAsia"/>
          <w:color w:val="FF0000"/>
        </w:rPr>
      </w:pPr>
      <w:r w:rsidRPr="00E37A7E">
        <w:rPr>
          <w:b/>
          <w:bCs/>
        </w:rPr>
        <w:t>X-</w:t>
      </w:r>
      <w:r w:rsidR="0082516D" w:rsidRPr="00E37A7E">
        <w:rPr>
          <w:b/>
          <w:bCs/>
        </w:rPr>
        <w:t>r</w:t>
      </w:r>
      <w:r w:rsidRPr="00E37A7E">
        <w:rPr>
          <w:b/>
          <w:bCs/>
        </w:rPr>
        <w:t xml:space="preserve">ay </w:t>
      </w:r>
      <w:r w:rsidR="0082516D" w:rsidRPr="00E37A7E">
        <w:rPr>
          <w:b/>
          <w:bCs/>
        </w:rPr>
        <w:t>i</w:t>
      </w:r>
      <w:r w:rsidRPr="00E37A7E">
        <w:rPr>
          <w:b/>
          <w:bCs/>
        </w:rPr>
        <w:t>mages</w:t>
      </w:r>
      <w:r w:rsidR="0082516D">
        <w:t xml:space="preserve"> –</w:t>
      </w:r>
      <w:r w:rsidRPr="004C1FD6">
        <w:t xml:space="preserve"> D</w:t>
      </w:r>
      <w:r w:rsidR="0082516D">
        <w:t>EXIS</w:t>
      </w:r>
      <w:r w:rsidRPr="004C1FD6">
        <w:t xml:space="preserve"> </w:t>
      </w:r>
      <w:r w:rsidR="0082516D">
        <w:t>or</w:t>
      </w:r>
      <w:r w:rsidRPr="004C1FD6">
        <w:t xml:space="preserve"> MiPACS</w:t>
      </w:r>
      <w:r w:rsidR="0082516D">
        <w:t>:</w:t>
      </w:r>
    </w:p>
    <w:p w14:paraId="6494B562" w14:textId="621560F5" w:rsidR="00972BD0" w:rsidRPr="004C1FD6" w:rsidRDefault="00972BD0" w:rsidP="004F45B6">
      <w:pPr>
        <w:pStyle w:val="BodyText"/>
        <w:numPr>
          <w:ilvl w:val="1"/>
          <w:numId w:val="142"/>
        </w:numPr>
        <w:ind w:left="1080"/>
        <w:rPr>
          <w:rFonts w:eastAsiaTheme="minorEastAsia"/>
          <w:color w:val="FF0000"/>
        </w:rPr>
      </w:pPr>
      <w:r w:rsidRPr="00E37A7E">
        <w:rPr>
          <w:b/>
          <w:bCs/>
        </w:rPr>
        <w:t>D</w:t>
      </w:r>
      <w:r w:rsidR="0082516D" w:rsidRPr="00E37A7E">
        <w:rPr>
          <w:b/>
          <w:bCs/>
        </w:rPr>
        <w:t>EXIS</w:t>
      </w:r>
      <w:r w:rsidR="0082516D">
        <w:t xml:space="preserve"> –</w:t>
      </w:r>
      <w:r w:rsidR="0082516D" w:rsidRPr="004C1FD6">
        <w:t xml:space="preserve"> </w:t>
      </w:r>
      <w:r w:rsidRPr="004C1FD6">
        <w:t>D</w:t>
      </w:r>
      <w:r w:rsidR="0082516D">
        <w:t>EXIS</w:t>
      </w:r>
      <w:r w:rsidRPr="004C1FD6">
        <w:t xml:space="preserve"> Imaging Suite /TXOUT</w:t>
      </w:r>
      <w:r w:rsidR="0082516D">
        <w:t>.</w:t>
      </w:r>
    </w:p>
    <w:p w14:paraId="59C32C9B" w14:textId="772399AF" w:rsidR="00972BD0" w:rsidRPr="00676296" w:rsidRDefault="00247BC5" w:rsidP="004F45B6">
      <w:pPr>
        <w:pStyle w:val="BodyText"/>
        <w:numPr>
          <w:ilvl w:val="1"/>
          <w:numId w:val="142"/>
        </w:numPr>
        <w:ind w:left="1080"/>
        <w:rPr>
          <w:rFonts w:eastAsiaTheme="minorEastAsia"/>
          <w:color w:val="FF0000"/>
        </w:rPr>
      </w:pPr>
      <w:r>
        <w:rPr>
          <w:noProof/>
        </w:rPr>
        <w:drawing>
          <wp:anchor distT="0" distB="0" distL="0" distR="91440" simplePos="0" relativeHeight="251705348" behindDoc="0" locked="0" layoutInCell="1" allowOverlap="1" wp14:anchorId="4BF7B109" wp14:editId="1B4931B6">
            <wp:simplePos x="0" y="0"/>
            <wp:positionH relativeFrom="column">
              <wp:posOffset>-462915</wp:posOffset>
            </wp:positionH>
            <wp:positionV relativeFrom="page">
              <wp:posOffset>8701405</wp:posOffset>
            </wp:positionV>
            <wp:extent cx="367030" cy="420370"/>
            <wp:effectExtent l="0" t="0" r="0" b="0"/>
            <wp:wrapTight wrapText="right">
              <wp:wrapPolygon edited="0">
                <wp:start x="0" y="0"/>
                <wp:lineTo x="0" y="20556"/>
                <wp:lineTo x="20180" y="20556"/>
                <wp:lineTo x="20180" y="0"/>
                <wp:lineTo x="0" y="0"/>
              </wp:wrapPolygon>
            </wp:wrapTight>
            <wp:docPr id="97966038"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6038"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030" cy="420370"/>
                    </a:xfrm>
                    <a:prstGeom prst="rect">
                      <a:avLst/>
                    </a:prstGeom>
                  </pic:spPr>
                </pic:pic>
              </a:graphicData>
            </a:graphic>
            <wp14:sizeRelH relativeFrom="margin">
              <wp14:pctWidth>0</wp14:pctWidth>
            </wp14:sizeRelH>
            <wp14:sizeRelV relativeFrom="margin">
              <wp14:pctHeight>0</wp14:pctHeight>
            </wp14:sizeRelV>
          </wp:anchor>
        </w:drawing>
      </w:r>
      <w:r w:rsidR="00972BD0" w:rsidRPr="00E37A7E">
        <w:rPr>
          <w:b/>
          <w:bCs/>
        </w:rPr>
        <w:t>MiPACS</w:t>
      </w:r>
      <w:r w:rsidR="0082516D">
        <w:t xml:space="preserve"> –</w:t>
      </w:r>
      <w:r w:rsidR="0082516D" w:rsidRPr="004C1FD6">
        <w:t xml:space="preserve"> </w:t>
      </w:r>
      <w:r w:rsidR="00972BD0" w:rsidRPr="00676296">
        <w:rPr>
          <w:rFonts w:eastAsia="Calibri"/>
        </w:rPr>
        <w:t>D:\MIPACS\Images and D:\MIPACS\TXT_OUT</w:t>
      </w:r>
      <w:r w:rsidR="0082516D">
        <w:rPr>
          <w:rFonts w:eastAsia="Calibri"/>
        </w:rPr>
        <w:t>.</w:t>
      </w:r>
    </w:p>
    <w:p w14:paraId="3B6E8A7B" w14:textId="17F6EE60" w:rsidR="00972BD0" w:rsidRPr="0082516D" w:rsidRDefault="00972BD0" w:rsidP="004C1FD6">
      <w:pPr>
        <w:pStyle w:val="BodyText"/>
        <w:rPr>
          <w:i/>
          <w:iCs/>
        </w:rPr>
      </w:pPr>
      <w:r w:rsidRPr="0082516D">
        <w:rPr>
          <w:b/>
          <w:bCs/>
          <w:i/>
          <w:iCs/>
        </w:rPr>
        <w:t>Note</w:t>
      </w:r>
      <w:r w:rsidRPr="0082516D">
        <w:rPr>
          <w:i/>
          <w:iCs/>
        </w:rPr>
        <w:t>: If other X-ray image software is used, please refer to the X-ray software manual to verify the file/folders that contain X-ray images and back</w:t>
      </w:r>
      <w:r w:rsidR="0082516D">
        <w:rPr>
          <w:i/>
          <w:iCs/>
        </w:rPr>
        <w:t xml:space="preserve"> them </w:t>
      </w:r>
      <w:r w:rsidRPr="0082516D">
        <w:rPr>
          <w:i/>
          <w:iCs/>
        </w:rPr>
        <w:t>up accordingly.</w:t>
      </w:r>
      <w:bookmarkEnd w:id="37"/>
    </w:p>
    <w:p w14:paraId="1D0473DE" w14:textId="028AA66E" w:rsidR="00972BD0" w:rsidRPr="00972BD0" w:rsidRDefault="00972BD0" w:rsidP="00D42C5A">
      <w:pPr>
        <w:pStyle w:val="Heading3"/>
        <w:rPr>
          <w:color w:val="202124"/>
          <w:shd w:val="clear" w:color="auto" w:fill="FFFFFF"/>
        </w:rPr>
      </w:pPr>
      <w:bookmarkStart w:id="41" w:name="_Toc135416660"/>
      <w:bookmarkStart w:id="42" w:name="_Toc166834295"/>
      <w:r w:rsidRPr="00972BD0">
        <w:lastRenderedPageBreak/>
        <w:t>Data Recovery</w:t>
      </w:r>
      <w:bookmarkEnd w:id="41"/>
      <w:bookmarkEnd w:id="42"/>
    </w:p>
    <w:p w14:paraId="1AC3680D" w14:textId="4FC393A8" w:rsidR="00972BD0" w:rsidRPr="00972BD0" w:rsidRDefault="00972BD0" w:rsidP="002202F7">
      <w:pPr>
        <w:pStyle w:val="BodyText"/>
        <w:keepNext/>
        <w:keepLines/>
        <w:rPr>
          <w:shd w:val="clear" w:color="auto" w:fill="FFFFFF"/>
        </w:rPr>
      </w:pPr>
      <w:r w:rsidRPr="00972BD0">
        <w:rPr>
          <w:shd w:val="clear" w:color="auto" w:fill="FFFFFF"/>
        </w:rPr>
        <w:t>A backup and recovery test is the process of assessing the effectiveness of an organization's software and methods of replicating data for security and its ability to reliably retrieve that data should the need arise. Backup and recovery testing is an essential part of a disaster recovery plan.</w:t>
      </w:r>
    </w:p>
    <w:p w14:paraId="557B8C9E" w14:textId="4810692A" w:rsidR="00972BD0" w:rsidRPr="00256E01" w:rsidRDefault="00972BD0">
      <w:pPr>
        <w:pStyle w:val="BodyText"/>
        <w:keepNext/>
        <w:keepLines/>
        <w:numPr>
          <w:ilvl w:val="0"/>
          <w:numId w:val="5"/>
        </w:numPr>
        <w:ind w:left="540"/>
      </w:pPr>
      <w:r w:rsidRPr="00256E01">
        <w:rPr>
          <w:shd w:val="clear" w:color="auto" w:fill="FFFFFF"/>
        </w:rPr>
        <w:t xml:space="preserve">Backup and </w:t>
      </w:r>
      <w:r w:rsidR="0082516D">
        <w:rPr>
          <w:shd w:val="clear" w:color="auto" w:fill="FFFFFF"/>
        </w:rPr>
        <w:t>r</w:t>
      </w:r>
      <w:r w:rsidRPr="00256E01">
        <w:rPr>
          <w:shd w:val="clear" w:color="auto" w:fill="FFFFFF"/>
        </w:rPr>
        <w:t>ecovery (restoring) testing on an annual basis is highly recommend</w:t>
      </w:r>
      <w:r w:rsidR="00EC3DF9">
        <w:rPr>
          <w:shd w:val="clear" w:color="auto" w:fill="FFFFFF"/>
        </w:rPr>
        <w:t>ed</w:t>
      </w:r>
      <w:r w:rsidRPr="00256E01">
        <w:rPr>
          <w:shd w:val="clear" w:color="auto" w:fill="FFFFFF"/>
        </w:rPr>
        <w:t xml:space="preserve"> and should be part of the sites D&amp;R</w:t>
      </w:r>
      <w:r>
        <w:rPr>
          <w:shd w:val="clear" w:color="auto" w:fill="FFFFFF"/>
        </w:rPr>
        <w:t xml:space="preserve"> (Disaster and Recovery)</w:t>
      </w:r>
      <w:r w:rsidRPr="00256E01">
        <w:rPr>
          <w:shd w:val="clear" w:color="auto" w:fill="FFFFFF"/>
        </w:rPr>
        <w:t xml:space="preserve"> procedures</w:t>
      </w:r>
      <w:r w:rsidRPr="00256E01">
        <w:t>.</w:t>
      </w:r>
    </w:p>
    <w:p w14:paraId="7FCE77B0" w14:textId="2A0064BE" w:rsidR="00972BD0" w:rsidRPr="00256E01" w:rsidRDefault="00972BD0">
      <w:pPr>
        <w:pStyle w:val="BodyText"/>
        <w:keepNext/>
        <w:keepLines/>
        <w:numPr>
          <w:ilvl w:val="0"/>
          <w:numId w:val="5"/>
        </w:numPr>
        <w:ind w:left="540"/>
      </w:pPr>
      <w:r w:rsidRPr="00256E01">
        <w:rPr>
          <w:shd w:val="clear" w:color="auto" w:fill="FFFFFF"/>
        </w:rPr>
        <w:t xml:space="preserve">Restoring your EDR data to a </w:t>
      </w:r>
      <w:r w:rsidR="0082516D">
        <w:rPr>
          <w:shd w:val="clear" w:color="auto" w:fill="FFFFFF"/>
        </w:rPr>
        <w:t>t</w:t>
      </w:r>
      <w:r w:rsidRPr="00256E01">
        <w:rPr>
          <w:shd w:val="clear" w:color="auto" w:fill="FFFFFF"/>
        </w:rPr>
        <w:t xml:space="preserve">est SQL instance is essential in verifying that the EDR data can be restored correctly and completely. </w:t>
      </w:r>
    </w:p>
    <w:p w14:paraId="62BE6CFE" w14:textId="1D0E1AEF" w:rsidR="00972BD0" w:rsidRPr="0082516D" w:rsidRDefault="00972BD0">
      <w:pPr>
        <w:pStyle w:val="BodyText"/>
        <w:numPr>
          <w:ilvl w:val="0"/>
          <w:numId w:val="5"/>
        </w:numPr>
        <w:ind w:left="540"/>
      </w:pPr>
      <w:r w:rsidRPr="00256E01">
        <w:rPr>
          <w:shd w:val="clear" w:color="auto" w:fill="FFFFFF"/>
        </w:rPr>
        <w:t xml:space="preserve">The D&amp;R procedures can be performed with assistance from the EDR </w:t>
      </w:r>
      <w:r>
        <w:rPr>
          <w:shd w:val="clear" w:color="auto" w:fill="FFFFFF"/>
        </w:rPr>
        <w:t>S</w:t>
      </w:r>
      <w:r w:rsidRPr="00256E01">
        <w:rPr>
          <w:shd w:val="clear" w:color="auto" w:fill="FFFFFF"/>
        </w:rPr>
        <w:t>upport team which can be contacte</w:t>
      </w:r>
      <w:r w:rsidRPr="0082516D">
        <w:t xml:space="preserve">d </w:t>
      </w:r>
      <w:r w:rsidR="0082516D">
        <w:t>by phone at</w:t>
      </w:r>
      <w:r w:rsidRPr="0082516D">
        <w:t xml:space="preserve"> </w:t>
      </w:r>
      <w:bookmarkStart w:id="43" w:name="_Hlk99530859"/>
      <w:r w:rsidRPr="0082516D">
        <w:rPr>
          <w:u w:val="single"/>
        </w:rPr>
        <w:t>(800) 459-8067</w:t>
      </w:r>
      <w:r w:rsidRPr="0082516D">
        <w:t xml:space="preserve"> </w:t>
      </w:r>
      <w:bookmarkEnd w:id="43"/>
      <w:r w:rsidRPr="0082516D">
        <w:t xml:space="preserve">or </w:t>
      </w:r>
      <w:r w:rsidR="0082516D">
        <w:t xml:space="preserve">by </w:t>
      </w:r>
      <w:r w:rsidRPr="0082516D">
        <w:t xml:space="preserve">email at </w:t>
      </w:r>
      <w:r w:rsidRPr="0082516D">
        <w:rPr>
          <w:u w:val="single"/>
        </w:rPr>
        <w:t>ihs-support@henryscheinone.com</w:t>
      </w:r>
      <w:r w:rsidRPr="0082516D">
        <w:t xml:space="preserve">. </w:t>
      </w:r>
    </w:p>
    <w:p w14:paraId="3521D506" w14:textId="2F63A30D" w:rsidR="00972BD0" w:rsidRPr="00972BD0" w:rsidRDefault="00972BD0" w:rsidP="00D42C5A">
      <w:pPr>
        <w:pStyle w:val="Heading3"/>
      </w:pPr>
      <w:bookmarkStart w:id="44" w:name="_Toc135416661"/>
      <w:bookmarkStart w:id="45" w:name="_Toc166834296"/>
      <w:r w:rsidRPr="00972BD0">
        <w:t>SQL Maintenance Plans</w:t>
      </w:r>
      <w:bookmarkEnd w:id="44"/>
      <w:bookmarkEnd w:id="45"/>
    </w:p>
    <w:p w14:paraId="3FACF420" w14:textId="51065B5A" w:rsidR="00972BD0" w:rsidRPr="00836DEE" w:rsidRDefault="00972BD0" w:rsidP="0086426B">
      <w:pPr>
        <w:pStyle w:val="BodyText"/>
        <w:rPr>
          <w:lang w:bidi="en-US"/>
        </w:rPr>
      </w:pPr>
      <w:r w:rsidRPr="00972BD0">
        <w:rPr>
          <w:lang w:bidi="en-US"/>
        </w:rPr>
        <w:t xml:space="preserve">SQL maintenance plans are configured during your EDR installation which backup your EDR Dentrix Enterprise data and provide SQL administration to the SQL database. The SQL data backup files are placed in the </w:t>
      </w:r>
      <w:r w:rsidRPr="0082516D">
        <w:rPr>
          <w:b/>
          <w:bCs/>
          <w:lang w:bidi="en-US"/>
        </w:rPr>
        <w:t>SQL BACKUPS</w:t>
      </w:r>
      <w:r w:rsidRPr="00972BD0">
        <w:rPr>
          <w:lang w:bidi="en-US"/>
        </w:rPr>
        <w:t xml:space="preserve"> folder mentioned </w:t>
      </w:r>
      <w:r w:rsidR="00E37A7E">
        <w:rPr>
          <w:lang w:bidi="en-US"/>
        </w:rPr>
        <w:t>previously</w:t>
      </w:r>
      <w:r w:rsidRPr="00972BD0">
        <w:rPr>
          <w:lang w:bidi="en-US"/>
        </w:rPr>
        <w:t xml:space="preserve">. </w:t>
      </w:r>
      <w:r w:rsidR="00E37A7E">
        <w:rPr>
          <w:lang w:bidi="en-US"/>
        </w:rPr>
        <w:t xml:space="preserve">Backing up SQL databases </w:t>
      </w:r>
      <w:r w:rsidRPr="00972BD0">
        <w:rPr>
          <w:lang w:bidi="en-US"/>
        </w:rPr>
        <w:t xml:space="preserve">should be part of your daily </w:t>
      </w:r>
      <w:r w:rsidR="00E37A7E">
        <w:rPr>
          <w:lang w:bidi="en-US"/>
        </w:rPr>
        <w:t xml:space="preserve">software </w:t>
      </w:r>
      <w:r w:rsidR="00D74918">
        <w:rPr>
          <w:lang w:bidi="en-US"/>
        </w:rPr>
        <w:t>b</w:t>
      </w:r>
      <w:r w:rsidRPr="00972BD0">
        <w:rPr>
          <w:lang w:bidi="en-US"/>
        </w:rPr>
        <w:t xml:space="preserve">ackup </w:t>
      </w:r>
      <w:r w:rsidR="00E37A7E">
        <w:rPr>
          <w:lang w:bidi="en-US"/>
        </w:rPr>
        <w:t>routine</w:t>
      </w:r>
      <w:r w:rsidRPr="00972BD0">
        <w:rPr>
          <w:lang w:bidi="en-US"/>
        </w:rPr>
        <w:t>.</w:t>
      </w:r>
      <w:r w:rsidR="00E37A7E">
        <w:rPr>
          <w:lang w:bidi="en-US"/>
        </w:rPr>
        <w:t xml:space="preserve"> </w:t>
      </w:r>
      <w:r w:rsidRPr="00836DEE">
        <w:rPr>
          <w:lang w:bidi="en-US"/>
        </w:rPr>
        <w:t xml:space="preserve">The SQL </w:t>
      </w:r>
      <w:r w:rsidR="0082516D">
        <w:rPr>
          <w:lang w:bidi="en-US"/>
        </w:rPr>
        <w:t>m</w:t>
      </w:r>
      <w:r w:rsidRPr="00836DEE">
        <w:rPr>
          <w:lang w:bidi="en-US"/>
        </w:rPr>
        <w:t xml:space="preserve">aintenance plan is configured to keep the last </w:t>
      </w:r>
      <w:r w:rsidR="00D74918">
        <w:rPr>
          <w:lang w:bidi="en-US"/>
        </w:rPr>
        <w:t>five</w:t>
      </w:r>
      <w:r w:rsidRPr="00836DEE">
        <w:rPr>
          <w:lang w:bidi="en-US"/>
        </w:rPr>
        <w:t xml:space="preserve"> days of EDR data.</w:t>
      </w:r>
    </w:p>
    <w:p w14:paraId="691E4A23" w14:textId="2DE229F7" w:rsidR="00972BD0" w:rsidRPr="00836DEE" w:rsidRDefault="00972BD0" w:rsidP="0086426B">
      <w:pPr>
        <w:pStyle w:val="BodyText"/>
        <w:rPr>
          <w:lang w:bidi="en-US"/>
        </w:rPr>
      </w:pPr>
      <w:r w:rsidRPr="00836DEE">
        <w:rPr>
          <w:lang w:bidi="en-US"/>
        </w:rPr>
        <w:t>There are two ways to check the successful completion of a</w:t>
      </w:r>
      <w:r w:rsidR="0082516D">
        <w:rPr>
          <w:lang w:bidi="en-US"/>
        </w:rPr>
        <w:t>n</w:t>
      </w:r>
      <w:r w:rsidRPr="00836DEE">
        <w:rPr>
          <w:lang w:bidi="en-US"/>
        </w:rPr>
        <w:t xml:space="preserve"> SQL </w:t>
      </w:r>
      <w:r w:rsidR="0082516D">
        <w:rPr>
          <w:lang w:bidi="en-US"/>
        </w:rPr>
        <w:t>m</w:t>
      </w:r>
      <w:r w:rsidRPr="00836DEE">
        <w:rPr>
          <w:lang w:bidi="en-US"/>
        </w:rPr>
        <w:t>aintenance plan job.</w:t>
      </w:r>
    </w:p>
    <w:p w14:paraId="4A0F0ABD" w14:textId="7E966308" w:rsidR="00972BD0" w:rsidRPr="00836DEE" w:rsidRDefault="00972BD0">
      <w:pPr>
        <w:pStyle w:val="BodyText"/>
        <w:numPr>
          <w:ilvl w:val="0"/>
          <w:numId w:val="6"/>
        </w:numPr>
        <w:ind w:left="540"/>
        <w:rPr>
          <w:lang w:bidi="en-US"/>
        </w:rPr>
      </w:pPr>
      <w:r w:rsidRPr="00F91ADF">
        <w:rPr>
          <w:b/>
          <w:bCs/>
          <w:lang w:bidi="en-US"/>
        </w:rPr>
        <w:t xml:space="preserve">SQL </w:t>
      </w:r>
      <w:r w:rsidR="00D74918">
        <w:rPr>
          <w:b/>
          <w:bCs/>
          <w:lang w:bidi="en-US"/>
        </w:rPr>
        <w:t xml:space="preserve">Server </w:t>
      </w:r>
      <w:r w:rsidRPr="00F91ADF">
        <w:rPr>
          <w:b/>
          <w:bCs/>
          <w:lang w:bidi="en-US"/>
        </w:rPr>
        <w:t xml:space="preserve">Management </w:t>
      </w:r>
      <w:r w:rsidR="00D74918">
        <w:rPr>
          <w:b/>
          <w:bCs/>
          <w:lang w:bidi="en-US"/>
        </w:rPr>
        <w:t>Studio</w:t>
      </w:r>
      <w:r w:rsidRPr="00F91ADF">
        <w:rPr>
          <w:b/>
          <w:bCs/>
          <w:lang w:bidi="en-US"/>
        </w:rPr>
        <w:t xml:space="preserve"> (Method 1)</w:t>
      </w:r>
      <w:r w:rsidR="00F91ADF">
        <w:rPr>
          <w:lang w:bidi="en-US"/>
        </w:rPr>
        <w:t>:</w:t>
      </w:r>
    </w:p>
    <w:p w14:paraId="3E1BCF53" w14:textId="5221FA1E" w:rsidR="00972BD0" w:rsidRPr="00836DEE" w:rsidRDefault="00972BD0">
      <w:pPr>
        <w:pStyle w:val="BodyText"/>
        <w:numPr>
          <w:ilvl w:val="0"/>
          <w:numId w:val="7"/>
        </w:numPr>
        <w:ind w:left="1080"/>
        <w:rPr>
          <w:lang w:bidi="en-US"/>
        </w:rPr>
      </w:pPr>
      <w:r w:rsidRPr="00836DEE">
        <w:rPr>
          <w:lang w:bidi="en-US"/>
        </w:rPr>
        <w:t>Open SQL Server Management Studio.</w:t>
      </w:r>
    </w:p>
    <w:p w14:paraId="4BED74C0" w14:textId="4E3D6E02" w:rsidR="00972BD0" w:rsidRPr="00836DEE" w:rsidRDefault="00972BD0">
      <w:pPr>
        <w:pStyle w:val="BodyText"/>
        <w:numPr>
          <w:ilvl w:val="0"/>
          <w:numId w:val="7"/>
        </w:numPr>
        <w:ind w:left="1080"/>
        <w:rPr>
          <w:lang w:bidi="en-US"/>
        </w:rPr>
      </w:pPr>
      <w:r w:rsidRPr="00836DEE">
        <w:rPr>
          <w:lang w:bidi="en-US"/>
        </w:rPr>
        <w:t>Log</w:t>
      </w:r>
      <w:r w:rsidR="00D74918">
        <w:rPr>
          <w:lang w:bidi="en-US"/>
        </w:rPr>
        <w:t xml:space="preserve"> </w:t>
      </w:r>
      <w:r w:rsidRPr="00836DEE">
        <w:rPr>
          <w:lang w:bidi="en-US"/>
        </w:rPr>
        <w:t xml:space="preserve">in </w:t>
      </w:r>
      <w:r w:rsidR="00D74918">
        <w:rPr>
          <w:lang w:bidi="en-US"/>
        </w:rPr>
        <w:t>using the following options and c</w:t>
      </w:r>
      <w:r w:rsidRPr="00836DEE">
        <w:rPr>
          <w:lang w:bidi="en-US"/>
        </w:rPr>
        <w:t>redentials:</w:t>
      </w:r>
    </w:p>
    <w:p w14:paraId="6FA4BC2B" w14:textId="71240FBD" w:rsidR="00972BD0" w:rsidRPr="0086426B" w:rsidRDefault="00972BD0">
      <w:pPr>
        <w:pStyle w:val="BodyText"/>
        <w:numPr>
          <w:ilvl w:val="0"/>
          <w:numId w:val="6"/>
        </w:numPr>
        <w:ind w:left="1620"/>
        <w:rPr>
          <w:lang w:bidi="en-US"/>
        </w:rPr>
      </w:pPr>
      <w:r w:rsidRPr="00B3072B">
        <w:rPr>
          <w:b/>
          <w:bCs/>
          <w:lang w:bidi="en-US"/>
        </w:rPr>
        <w:t>Server type</w:t>
      </w:r>
      <w:r w:rsidRPr="0086426B">
        <w:rPr>
          <w:lang w:bidi="en-US"/>
        </w:rPr>
        <w:t>: Database Engine</w:t>
      </w:r>
      <w:r w:rsidR="00D74918">
        <w:rPr>
          <w:lang w:bidi="en-US"/>
        </w:rPr>
        <w:t>.</w:t>
      </w:r>
    </w:p>
    <w:p w14:paraId="1DD3B655" w14:textId="0F7CB010" w:rsidR="00972BD0" w:rsidRPr="00D74918" w:rsidRDefault="00972BD0">
      <w:pPr>
        <w:pStyle w:val="BodyText"/>
        <w:numPr>
          <w:ilvl w:val="0"/>
          <w:numId w:val="6"/>
        </w:numPr>
        <w:ind w:left="1620"/>
      </w:pPr>
      <w:r w:rsidRPr="00B3072B">
        <w:rPr>
          <w:b/>
          <w:bCs/>
          <w:lang w:bidi="en-US"/>
        </w:rPr>
        <w:t>Server name</w:t>
      </w:r>
      <w:r w:rsidRPr="0086426B">
        <w:rPr>
          <w:lang w:bidi="en-US"/>
        </w:rPr>
        <w:t xml:space="preserve">: </w:t>
      </w:r>
      <w:r w:rsidR="00D74918">
        <w:rPr>
          <w:lang w:bidi="en-US"/>
        </w:rPr>
        <w:t>[</w:t>
      </w:r>
      <w:r w:rsidRPr="00D74918">
        <w:t>EDR server name</w:t>
      </w:r>
      <w:r w:rsidR="00D74918">
        <w:t>]</w:t>
      </w:r>
      <w:r w:rsidRPr="00D74918">
        <w:t>\Dentrix_Live</w:t>
      </w:r>
      <w:r w:rsidR="00D74918">
        <w:t>.</w:t>
      </w:r>
    </w:p>
    <w:p w14:paraId="5E06A655" w14:textId="3D7B0697" w:rsidR="00972BD0" w:rsidRPr="0086426B" w:rsidRDefault="00972BD0">
      <w:pPr>
        <w:pStyle w:val="BodyText"/>
        <w:numPr>
          <w:ilvl w:val="0"/>
          <w:numId w:val="6"/>
        </w:numPr>
        <w:ind w:left="1620"/>
        <w:rPr>
          <w:lang w:bidi="en-US"/>
        </w:rPr>
      </w:pPr>
      <w:r w:rsidRPr="00B3072B">
        <w:rPr>
          <w:b/>
          <w:bCs/>
          <w:lang w:bidi="en-US"/>
        </w:rPr>
        <w:t>Authentication</w:t>
      </w:r>
      <w:r w:rsidRPr="0086426B">
        <w:rPr>
          <w:lang w:bidi="en-US"/>
        </w:rPr>
        <w:t>: Windows Authentication</w:t>
      </w:r>
      <w:r w:rsidR="0086426B" w:rsidRPr="0086426B">
        <w:rPr>
          <w:lang w:bidi="en-US"/>
        </w:rPr>
        <w:t xml:space="preserve"> or SQL Server Authentication</w:t>
      </w:r>
      <w:r w:rsidR="00D74918">
        <w:rPr>
          <w:lang w:bidi="en-US"/>
        </w:rPr>
        <w:t>.</w:t>
      </w:r>
    </w:p>
    <w:p w14:paraId="2A801744" w14:textId="55F85330" w:rsidR="00972BD0" w:rsidRPr="0086426B" w:rsidRDefault="00972BD0">
      <w:pPr>
        <w:pStyle w:val="BodyText"/>
        <w:numPr>
          <w:ilvl w:val="0"/>
          <w:numId w:val="6"/>
        </w:numPr>
        <w:ind w:left="1620"/>
        <w:rPr>
          <w:lang w:bidi="en-US"/>
        </w:rPr>
      </w:pPr>
      <w:r w:rsidRPr="00B3072B">
        <w:rPr>
          <w:b/>
          <w:bCs/>
          <w:lang w:bidi="en-US"/>
        </w:rPr>
        <w:t>User name</w:t>
      </w:r>
      <w:r w:rsidRPr="0086426B">
        <w:rPr>
          <w:lang w:bidi="en-US"/>
        </w:rPr>
        <w:t xml:space="preserve">: </w:t>
      </w:r>
      <w:r w:rsidRPr="00D74918">
        <w:t>D1\</w:t>
      </w:r>
      <w:r w:rsidR="00D74918">
        <w:t>[</w:t>
      </w:r>
      <w:r w:rsidRPr="00D74918">
        <w:t>D1 User name</w:t>
      </w:r>
      <w:r w:rsidR="00D74918">
        <w:t>]</w:t>
      </w:r>
      <w:r w:rsidR="0086426B" w:rsidRPr="00D74918">
        <w:t xml:space="preserve"> </w:t>
      </w:r>
      <w:r w:rsidR="0086426B" w:rsidRPr="0086426B">
        <w:rPr>
          <w:lang w:bidi="en-US"/>
        </w:rPr>
        <w:t>(</w:t>
      </w:r>
      <w:r w:rsidR="00E37A7E">
        <w:rPr>
          <w:lang w:bidi="en-US"/>
        </w:rPr>
        <w:t>for</w:t>
      </w:r>
      <w:r w:rsidR="00D74918">
        <w:rPr>
          <w:lang w:bidi="en-US"/>
        </w:rPr>
        <w:t xml:space="preserve"> </w:t>
      </w:r>
      <w:r w:rsidR="0086426B" w:rsidRPr="0086426B">
        <w:rPr>
          <w:lang w:bidi="en-US"/>
        </w:rPr>
        <w:t xml:space="preserve">SQL Server </w:t>
      </w:r>
      <w:r w:rsidR="00D74918">
        <w:rPr>
          <w:lang w:bidi="en-US"/>
        </w:rPr>
        <w:t>a</w:t>
      </w:r>
      <w:r w:rsidR="0086426B" w:rsidRPr="0086426B">
        <w:rPr>
          <w:lang w:bidi="en-US"/>
        </w:rPr>
        <w:t>uthentication</w:t>
      </w:r>
      <w:r w:rsidR="00E37A7E">
        <w:rPr>
          <w:lang w:bidi="en-US"/>
        </w:rPr>
        <w:t xml:space="preserve"> only</w:t>
      </w:r>
      <w:r w:rsidR="0086426B" w:rsidRPr="0086426B">
        <w:rPr>
          <w:lang w:bidi="en-US"/>
        </w:rPr>
        <w:t>)</w:t>
      </w:r>
      <w:r w:rsidR="00D74918">
        <w:rPr>
          <w:lang w:bidi="en-US"/>
        </w:rPr>
        <w:t>.</w:t>
      </w:r>
    </w:p>
    <w:p w14:paraId="73C082BD" w14:textId="664267D7" w:rsidR="00972BD0" w:rsidRPr="0086426B" w:rsidRDefault="00972BD0">
      <w:pPr>
        <w:pStyle w:val="BodyText"/>
        <w:numPr>
          <w:ilvl w:val="0"/>
          <w:numId w:val="6"/>
        </w:numPr>
        <w:ind w:left="1620"/>
        <w:rPr>
          <w:lang w:bidi="en-US"/>
        </w:rPr>
      </w:pPr>
      <w:r w:rsidRPr="00B3072B">
        <w:rPr>
          <w:b/>
          <w:bCs/>
          <w:lang w:bidi="en-US"/>
        </w:rPr>
        <w:t>Password</w:t>
      </w:r>
      <w:r w:rsidRPr="0086426B">
        <w:rPr>
          <w:lang w:bidi="en-US"/>
        </w:rPr>
        <w:t xml:space="preserve">: </w:t>
      </w:r>
      <w:r w:rsidR="00D74918">
        <w:t>T</w:t>
      </w:r>
      <w:r w:rsidRPr="00D74918">
        <w:t>he SA password supplied to IT during installation</w:t>
      </w:r>
      <w:r w:rsidR="0086426B" w:rsidRPr="00D74918">
        <w:t xml:space="preserve"> </w:t>
      </w:r>
      <w:r w:rsidR="0086426B" w:rsidRPr="0086426B">
        <w:rPr>
          <w:lang w:bidi="en-US"/>
        </w:rPr>
        <w:t>(</w:t>
      </w:r>
      <w:r w:rsidR="00E37A7E">
        <w:rPr>
          <w:lang w:bidi="en-US"/>
        </w:rPr>
        <w:t>for</w:t>
      </w:r>
      <w:r w:rsidR="00D74918">
        <w:rPr>
          <w:lang w:bidi="en-US"/>
        </w:rPr>
        <w:t xml:space="preserve"> </w:t>
      </w:r>
      <w:r w:rsidR="0086426B" w:rsidRPr="0086426B">
        <w:rPr>
          <w:lang w:bidi="en-US"/>
        </w:rPr>
        <w:t xml:space="preserve">SQL Server </w:t>
      </w:r>
      <w:r w:rsidR="00D74918">
        <w:rPr>
          <w:lang w:bidi="en-US"/>
        </w:rPr>
        <w:t>a</w:t>
      </w:r>
      <w:r w:rsidR="0086426B" w:rsidRPr="0086426B">
        <w:rPr>
          <w:lang w:bidi="en-US"/>
        </w:rPr>
        <w:t>uthentication</w:t>
      </w:r>
      <w:r w:rsidR="00E37A7E">
        <w:rPr>
          <w:lang w:bidi="en-US"/>
        </w:rPr>
        <w:t xml:space="preserve"> only</w:t>
      </w:r>
      <w:r w:rsidR="0086426B" w:rsidRPr="0086426B">
        <w:rPr>
          <w:lang w:bidi="en-US"/>
        </w:rPr>
        <w:t>)</w:t>
      </w:r>
      <w:r w:rsidR="00D74918">
        <w:rPr>
          <w:lang w:bidi="en-US"/>
        </w:rPr>
        <w:t>.</w:t>
      </w:r>
    </w:p>
    <w:p w14:paraId="24413C97" w14:textId="47FA96AA" w:rsidR="00972BD0" w:rsidRPr="0086426B" w:rsidRDefault="00972BD0">
      <w:pPr>
        <w:pStyle w:val="BodyText"/>
        <w:numPr>
          <w:ilvl w:val="0"/>
          <w:numId w:val="7"/>
        </w:numPr>
        <w:ind w:left="1080"/>
        <w:rPr>
          <w:lang w:bidi="en-US"/>
        </w:rPr>
      </w:pPr>
      <w:r w:rsidRPr="00836DEE">
        <w:rPr>
          <w:lang w:bidi="en-US"/>
        </w:rPr>
        <w:t xml:space="preserve">Click the </w:t>
      </w:r>
      <w:r w:rsidRPr="00B3072B">
        <w:rPr>
          <w:b/>
          <w:bCs/>
          <w:lang w:bidi="en-US"/>
        </w:rPr>
        <w:t>Connect</w:t>
      </w:r>
      <w:r w:rsidRPr="00836DEE">
        <w:rPr>
          <w:lang w:bidi="en-US"/>
        </w:rPr>
        <w:t xml:space="preserve"> tab.</w:t>
      </w:r>
    </w:p>
    <w:p w14:paraId="75BE28CC" w14:textId="025174B9" w:rsidR="00972BD0" w:rsidRPr="0086426B" w:rsidRDefault="00E37A7E">
      <w:pPr>
        <w:pStyle w:val="BodyText"/>
        <w:keepNext/>
        <w:keepLines/>
        <w:numPr>
          <w:ilvl w:val="0"/>
          <w:numId w:val="7"/>
        </w:numPr>
        <w:ind w:left="1080"/>
        <w:rPr>
          <w:lang w:bidi="en-US"/>
        </w:rPr>
      </w:pPr>
      <w:r>
        <w:rPr>
          <w:lang w:bidi="en-US"/>
        </w:rPr>
        <w:lastRenderedPageBreak/>
        <w:t>O</w:t>
      </w:r>
      <w:r w:rsidR="00972BD0" w:rsidRPr="0086426B">
        <w:rPr>
          <w:lang w:bidi="en-US"/>
        </w:rPr>
        <w:t>n the left</w:t>
      </w:r>
      <w:r w:rsidR="00D74918">
        <w:rPr>
          <w:lang w:bidi="en-US"/>
        </w:rPr>
        <w:t>,</w:t>
      </w:r>
      <w:r w:rsidR="00972BD0" w:rsidRPr="0086426B">
        <w:rPr>
          <w:lang w:bidi="en-US"/>
        </w:rPr>
        <w:t xml:space="preserve"> </w:t>
      </w:r>
      <w:r w:rsidR="00D74918">
        <w:rPr>
          <w:lang w:bidi="en-US"/>
        </w:rPr>
        <w:t xml:space="preserve">expand </w:t>
      </w:r>
      <w:r w:rsidR="00D74918" w:rsidRPr="00D74918">
        <w:rPr>
          <w:b/>
          <w:bCs/>
          <w:lang w:bidi="en-US"/>
        </w:rPr>
        <w:t>Management</w:t>
      </w:r>
      <w:r w:rsidR="00D74918">
        <w:rPr>
          <w:lang w:bidi="en-US"/>
        </w:rPr>
        <w:t xml:space="preserve"> and </w:t>
      </w:r>
      <w:r w:rsidR="00972BD0" w:rsidRPr="00D74918">
        <w:rPr>
          <w:b/>
          <w:bCs/>
          <w:lang w:bidi="en-US"/>
        </w:rPr>
        <w:t>SQL Server Logs</w:t>
      </w:r>
      <w:r>
        <w:rPr>
          <w:lang w:bidi="en-US"/>
        </w:rPr>
        <w:t xml:space="preserve">, and then click </w:t>
      </w:r>
      <w:r w:rsidRPr="00D74918">
        <w:rPr>
          <w:b/>
          <w:bCs/>
          <w:lang w:bidi="en-US"/>
        </w:rPr>
        <w:t>Current – [</w:t>
      </w:r>
      <w:r>
        <w:rPr>
          <w:b/>
          <w:bCs/>
          <w:lang w:bidi="en-US"/>
        </w:rPr>
        <w:t>M/D/YYYY</w:t>
      </w:r>
      <w:r w:rsidRPr="00D74918">
        <w:rPr>
          <w:b/>
          <w:bCs/>
          <w:lang w:bidi="en-US"/>
        </w:rPr>
        <w:t xml:space="preserve"> </w:t>
      </w:r>
      <w:r>
        <w:rPr>
          <w:b/>
          <w:bCs/>
          <w:lang w:bidi="en-US"/>
        </w:rPr>
        <w:t>H:MM:SS AM/PM</w:t>
      </w:r>
      <w:r w:rsidRPr="00D74918">
        <w:rPr>
          <w:b/>
          <w:bCs/>
          <w:lang w:bidi="en-US"/>
        </w:rPr>
        <w:t>]</w:t>
      </w:r>
      <w:r>
        <w:rPr>
          <w:lang w:bidi="en-US"/>
        </w:rPr>
        <w:t>.</w:t>
      </w:r>
    </w:p>
    <w:p w14:paraId="1B7A6E56" w14:textId="116C8ED6" w:rsidR="00972BD0" w:rsidRPr="00CF44FC" w:rsidRDefault="00972BD0" w:rsidP="00595AC7">
      <w:pPr>
        <w:pStyle w:val="BodyText"/>
        <w:ind w:left="1080"/>
        <w:rPr>
          <w:rFonts w:ascii="Calibri" w:eastAsia="Calibri" w:hAnsi="Calibri" w:cs="Calibri"/>
          <w:lang w:bidi="en-US"/>
        </w:rPr>
      </w:pPr>
      <w:r w:rsidRPr="00CF44FC">
        <w:rPr>
          <w:noProof/>
        </w:rPr>
        <w:drawing>
          <wp:inline distT="0" distB="0" distL="0" distR="0" wp14:anchorId="1F4AE4DD" wp14:editId="674BC69F">
            <wp:extent cx="2246133" cy="2992582"/>
            <wp:effectExtent l="19050" t="19050" r="20955" b="1778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6133" cy="2992582"/>
                    </a:xfrm>
                    <a:prstGeom prst="rect">
                      <a:avLst/>
                    </a:prstGeom>
                    <a:noFill/>
                    <a:ln>
                      <a:solidFill>
                        <a:schemeClr val="bg1">
                          <a:lumMod val="50000"/>
                        </a:schemeClr>
                      </a:solidFill>
                    </a:ln>
                  </pic:spPr>
                </pic:pic>
              </a:graphicData>
            </a:graphic>
          </wp:inline>
        </w:drawing>
      </w:r>
    </w:p>
    <w:p w14:paraId="47F461AE" w14:textId="43225E30" w:rsidR="00972BD0" w:rsidRPr="00836DEE" w:rsidRDefault="00972BD0" w:rsidP="00D74918">
      <w:pPr>
        <w:pStyle w:val="BodyText"/>
        <w:ind w:left="1080"/>
        <w:rPr>
          <w:lang w:bidi="en-US"/>
        </w:rPr>
      </w:pPr>
      <w:r w:rsidRPr="00836DEE">
        <w:rPr>
          <w:lang w:bidi="en-US"/>
        </w:rPr>
        <w:t xml:space="preserve">The </w:t>
      </w:r>
      <w:r w:rsidR="00D74918">
        <w:rPr>
          <w:lang w:bidi="en-US"/>
        </w:rPr>
        <w:t>l</w:t>
      </w:r>
      <w:r w:rsidR="00D74918" w:rsidRPr="00836DEE">
        <w:rPr>
          <w:lang w:bidi="en-US"/>
        </w:rPr>
        <w:t xml:space="preserve">og </w:t>
      </w:r>
      <w:r w:rsidR="00D74918">
        <w:rPr>
          <w:lang w:bidi="en-US"/>
        </w:rPr>
        <w:t>f</w:t>
      </w:r>
      <w:r w:rsidR="00D74918" w:rsidRPr="00836DEE">
        <w:rPr>
          <w:lang w:bidi="en-US"/>
        </w:rPr>
        <w:t>ile summary</w:t>
      </w:r>
      <w:r w:rsidR="00D74918">
        <w:rPr>
          <w:lang w:bidi="en-US"/>
        </w:rPr>
        <w:t xml:space="preserve"> appears on the right</w:t>
      </w:r>
      <w:r w:rsidRPr="00836DEE">
        <w:rPr>
          <w:lang w:bidi="en-US"/>
        </w:rPr>
        <w:t>.</w:t>
      </w:r>
    </w:p>
    <w:p w14:paraId="05542855" w14:textId="23D8E8A3" w:rsidR="00972BD0" w:rsidRPr="00836DEE" w:rsidRDefault="00972BD0">
      <w:pPr>
        <w:pStyle w:val="BodyText"/>
        <w:numPr>
          <w:ilvl w:val="0"/>
          <w:numId w:val="7"/>
        </w:numPr>
        <w:ind w:left="1080"/>
        <w:rPr>
          <w:lang w:bidi="en-US"/>
        </w:rPr>
      </w:pPr>
      <w:r w:rsidRPr="00836DEE">
        <w:rPr>
          <w:lang w:bidi="en-US"/>
        </w:rPr>
        <w:t>Review the log</w:t>
      </w:r>
      <w:r w:rsidR="00D74918">
        <w:rPr>
          <w:lang w:bidi="en-US"/>
        </w:rPr>
        <w:t>,</w:t>
      </w:r>
      <w:r w:rsidRPr="00836DEE">
        <w:rPr>
          <w:lang w:bidi="en-US"/>
        </w:rPr>
        <w:t xml:space="preserve"> and verify that the SQL backup from the night before successfully completed.</w:t>
      </w:r>
    </w:p>
    <w:p w14:paraId="6054A698" w14:textId="0199B05D" w:rsidR="00972BD0" w:rsidRPr="0086426B" w:rsidRDefault="00972BD0">
      <w:pPr>
        <w:pStyle w:val="BodyText"/>
        <w:numPr>
          <w:ilvl w:val="0"/>
          <w:numId w:val="7"/>
        </w:numPr>
        <w:ind w:left="1080"/>
        <w:rPr>
          <w:rFonts w:ascii="Calibri" w:eastAsia="Calibri" w:hAnsi="Calibri" w:cs="Calibri"/>
          <w:color w:val="0000FF"/>
          <w:u w:val="single"/>
          <w:lang w:bidi="en-US"/>
        </w:rPr>
      </w:pPr>
      <w:r w:rsidRPr="00836DEE">
        <w:rPr>
          <w:lang w:bidi="en-US"/>
        </w:rPr>
        <w:t xml:space="preserve">If the </w:t>
      </w:r>
      <w:r w:rsidR="00D74918">
        <w:rPr>
          <w:lang w:bidi="en-US"/>
        </w:rPr>
        <w:t>l</w:t>
      </w:r>
      <w:r w:rsidRPr="00836DEE">
        <w:rPr>
          <w:lang w:bidi="en-US"/>
        </w:rPr>
        <w:t xml:space="preserve">og </w:t>
      </w:r>
      <w:r w:rsidR="00D74918">
        <w:rPr>
          <w:lang w:bidi="en-US"/>
        </w:rPr>
        <w:t>f</w:t>
      </w:r>
      <w:r w:rsidRPr="00836DEE">
        <w:rPr>
          <w:lang w:bidi="en-US"/>
        </w:rPr>
        <w:t>ile summary indicates that the SQL backup did not complete successfully, call E</w:t>
      </w:r>
      <w:r w:rsidRPr="00D74918">
        <w:t xml:space="preserve">DR </w:t>
      </w:r>
      <w:r w:rsidR="001125DA">
        <w:t>S</w:t>
      </w:r>
      <w:r w:rsidRPr="00D74918">
        <w:t xml:space="preserve">upport </w:t>
      </w:r>
      <w:r w:rsidR="00D74918">
        <w:t xml:space="preserve">by phone </w:t>
      </w:r>
      <w:r w:rsidRPr="00D74918">
        <w:t xml:space="preserve">at </w:t>
      </w:r>
      <w:bookmarkStart w:id="46" w:name="_Hlk99530712"/>
      <w:r w:rsidRPr="00D74918">
        <w:rPr>
          <w:u w:val="single"/>
        </w:rPr>
        <w:t>(800) 459-8067</w:t>
      </w:r>
      <w:r w:rsidRPr="00D74918">
        <w:t xml:space="preserve"> </w:t>
      </w:r>
      <w:bookmarkEnd w:id="46"/>
      <w:r w:rsidRPr="00D74918">
        <w:t xml:space="preserve">or </w:t>
      </w:r>
      <w:r w:rsidR="00D74918">
        <w:t xml:space="preserve">by </w:t>
      </w:r>
      <w:r w:rsidRPr="00D74918">
        <w:t>email</w:t>
      </w:r>
      <w:r w:rsidR="00D74918">
        <w:t xml:space="preserve"> at</w:t>
      </w:r>
      <w:r w:rsidRPr="00D74918">
        <w:t xml:space="preserve"> </w:t>
      </w:r>
      <w:hyperlink r:id="rId34" w:history="1">
        <w:r w:rsidRPr="00D74918">
          <w:rPr>
            <w:u w:val="single"/>
          </w:rPr>
          <w:t>ihs-support@henryscheinone.com</w:t>
        </w:r>
      </w:hyperlink>
      <w:r w:rsidRPr="00D74918">
        <w:t xml:space="preserve">. </w:t>
      </w:r>
    </w:p>
    <w:p w14:paraId="031B23C0" w14:textId="7506A2D8" w:rsidR="0086426B" w:rsidRDefault="00972BD0">
      <w:pPr>
        <w:pStyle w:val="BodyText"/>
        <w:numPr>
          <w:ilvl w:val="0"/>
          <w:numId w:val="6"/>
        </w:numPr>
        <w:ind w:left="540"/>
        <w:rPr>
          <w:lang w:bidi="en-US"/>
        </w:rPr>
      </w:pPr>
      <w:r w:rsidRPr="00F91ADF">
        <w:rPr>
          <w:b/>
          <w:bCs/>
          <w:lang w:bidi="en-US"/>
        </w:rPr>
        <w:t xml:space="preserve">SQL BACKUP </w:t>
      </w:r>
      <w:r w:rsidR="00D74918">
        <w:rPr>
          <w:b/>
          <w:bCs/>
          <w:lang w:bidi="en-US"/>
        </w:rPr>
        <w:t>f</w:t>
      </w:r>
      <w:r w:rsidRPr="00F91ADF">
        <w:rPr>
          <w:b/>
          <w:bCs/>
          <w:lang w:bidi="en-US"/>
        </w:rPr>
        <w:t xml:space="preserve">older </w:t>
      </w:r>
      <w:r w:rsidR="00D74918">
        <w:rPr>
          <w:b/>
          <w:bCs/>
          <w:lang w:bidi="en-US"/>
        </w:rPr>
        <w:t>r</w:t>
      </w:r>
      <w:r w:rsidRPr="00F91ADF">
        <w:rPr>
          <w:b/>
          <w:bCs/>
          <w:lang w:bidi="en-US"/>
        </w:rPr>
        <w:t>eview (Method 2)</w:t>
      </w:r>
      <w:r w:rsidR="00F91ADF">
        <w:rPr>
          <w:lang w:bidi="en-US"/>
        </w:rPr>
        <w:t>:</w:t>
      </w:r>
    </w:p>
    <w:p w14:paraId="3EA284D3" w14:textId="493D96E6" w:rsidR="00972BD0" w:rsidRPr="0086426B" w:rsidRDefault="00972BD0">
      <w:pPr>
        <w:pStyle w:val="BodyText"/>
        <w:numPr>
          <w:ilvl w:val="1"/>
          <w:numId w:val="6"/>
        </w:numPr>
        <w:ind w:left="1080"/>
        <w:rPr>
          <w:lang w:bidi="en-US"/>
        </w:rPr>
      </w:pPr>
      <w:r w:rsidRPr="0086426B">
        <w:rPr>
          <w:lang w:bidi="en-US"/>
        </w:rPr>
        <w:t xml:space="preserve">On your EDR SQL server, </w:t>
      </w:r>
      <w:r w:rsidR="00504D49" w:rsidRPr="0086426B">
        <w:rPr>
          <w:lang w:bidi="en-US"/>
        </w:rPr>
        <w:t>using File Explorer</w:t>
      </w:r>
      <w:r w:rsidR="00504D49">
        <w:rPr>
          <w:lang w:bidi="en-US"/>
        </w:rPr>
        <w:t xml:space="preserve">, </w:t>
      </w:r>
      <w:r w:rsidRPr="0086426B">
        <w:rPr>
          <w:lang w:bidi="en-US"/>
        </w:rPr>
        <w:t xml:space="preserve">navigate to </w:t>
      </w:r>
      <w:r w:rsidRPr="00D74918">
        <w:rPr>
          <w:b/>
          <w:bCs/>
          <w:lang w:bidi="en-US"/>
        </w:rPr>
        <w:t>D</w:t>
      </w:r>
      <w:r w:rsidR="00D74918" w:rsidRPr="00D74918">
        <w:rPr>
          <w:b/>
          <w:bCs/>
          <w:lang w:bidi="en-US"/>
        </w:rPr>
        <w:t>:\</w:t>
      </w:r>
      <w:r w:rsidRPr="00D74918">
        <w:rPr>
          <w:b/>
          <w:bCs/>
          <w:lang w:bidi="en-US"/>
        </w:rPr>
        <w:t>SQLBACKUPS</w:t>
      </w:r>
      <w:r w:rsidR="00D74918" w:rsidRPr="00D74918">
        <w:rPr>
          <w:b/>
          <w:bCs/>
          <w:lang w:bidi="en-US"/>
        </w:rPr>
        <w:t>\</w:t>
      </w:r>
      <w:r w:rsidRPr="00D74918">
        <w:rPr>
          <w:b/>
          <w:bCs/>
          <w:lang w:bidi="en-US"/>
        </w:rPr>
        <w:t>Dentrix_L</w:t>
      </w:r>
      <w:r w:rsidR="00D74918" w:rsidRPr="00D74918">
        <w:rPr>
          <w:b/>
          <w:bCs/>
          <w:lang w:bidi="en-US"/>
        </w:rPr>
        <w:t>IVE\</w:t>
      </w:r>
      <w:r w:rsidRPr="00D74918">
        <w:rPr>
          <w:b/>
          <w:bCs/>
          <w:lang w:bidi="en-US"/>
        </w:rPr>
        <w:t>Dentrix</w:t>
      </w:r>
      <w:r w:rsidR="00D74918">
        <w:rPr>
          <w:lang w:bidi="en-US"/>
        </w:rPr>
        <w:t>.</w:t>
      </w:r>
    </w:p>
    <w:p w14:paraId="7BCE6C30" w14:textId="14C5EB09" w:rsidR="00972BD0" w:rsidRPr="00CB2417" w:rsidRDefault="00972BD0" w:rsidP="00A30FFA">
      <w:pPr>
        <w:pStyle w:val="BodyText"/>
        <w:ind w:left="1080"/>
        <w:rPr>
          <w:rFonts w:ascii="Calibri" w:eastAsia="Calibri" w:hAnsi="Calibri" w:cs="Calibri"/>
          <w:lang w:bidi="en-US"/>
        </w:rPr>
      </w:pPr>
      <w:r w:rsidRPr="00CB2417">
        <w:rPr>
          <w:noProof/>
        </w:rPr>
        <w:drawing>
          <wp:inline distT="0" distB="0" distL="0" distR="0" wp14:anchorId="421B02D0" wp14:editId="5E94FD4A">
            <wp:extent cx="4335780" cy="1740334"/>
            <wp:effectExtent l="19050" t="19050" r="26670" b="1270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335780" cy="1740334"/>
                    </a:xfrm>
                    <a:prstGeom prst="rect">
                      <a:avLst/>
                    </a:prstGeom>
                    <a:ln>
                      <a:solidFill>
                        <a:schemeClr val="bg1">
                          <a:lumMod val="50000"/>
                        </a:schemeClr>
                      </a:solidFill>
                    </a:ln>
                  </pic:spPr>
                </pic:pic>
              </a:graphicData>
            </a:graphic>
          </wp:inline>
        </w:drawing>
      </w:r>
    </w:p>
    <w:p w14:paraId="39196FF7" w14:textId="4226277A" w:rsidR="00972BD0" w:rsidRPr="00D74918" w:rsidRDefault="00972BD0" w:rsidP="00A30FFA">
      <w:pPr>
        <w:pStyle w:val="BodyText"/>
        <w:ind w:left="1080"/>
        <w:rPr>
          <w:i/>
          <w:iCs/>
          <w:lang w:bidi="en-US"/>
        </w:rPr>
      </w:pPr>
      <w:r w:rsidRPr="00D74918">
        <w:rPr>
          <w:b/>
          <w:bCs/>
          <w:i/>
          <w:iCs/>
          <w:lang w:bidi="en-US"/>
        </w:rPr>
        <w:t>Note:</w:t>
      </w:r>
      <w:r w:rsidRPr="00D74918">
        <w:rPr>
          <w:i/>
          <w:iCs/>
          <w:lang w:bidi="en-US"/>
        </w:rPr>
        <w:t xml:space="preserve"> </w:t>
      </w:r>
      <w:r w:rsidR="00D74918" w:rsidRPr="00D74918">
        <w:rPr>
          <w:i/>
          <w:iCs/>
          <w:lang w:bidi="en-US"/>
        </w:rPr>
        <w:t>T</w:t>
      </w:r>
      <w:r w:rsidRPr="00D74918">
        <w:rPr>
          <w:i/>
          <w:iCs/>
          <w:lang w:bidi="en-US"/>
        </w:rPr>
        <w:t>he .bak files are the database data file</w:t>
      </w:r>
      <w:r w:rsidR="00504D49">
        <w:rPr>
          <w:i/>
          <w:iCs/>
          <w:lang w:bidi="en-US"/>
        </w:rPr>
        <w:t>s. T</w:t>
      </w:r>
      <w:r w:rsidRPr="00D74918">
        <w:rPr>
          <w:i/>
          <w:iCs/>
          <w:lang w:bidi="en-US"/>
        </w:rPr>
        <w:t>he .trn files are the transaction log files.</w:t>
      </w:r>
    </w:p>
    <w:p w14:paraId="1FE91A65" w14:textId="5C99F4B5" w:rsidR="00972BD0" w:rsidRPr="000D0BCD" w:rsidRDefault="00972BD0">
      <w:pPr>
        <w:pStyle w:val="BodyText"/>
        <w:numPr>
          <w:ilvl w:val="1"/>
          <w:numId w:val="6"/>
        </w:numPr>
        <w:ind w:left="1080"/>
        <w:rPr>
          <w:lang w:bidi="en-US"/>
        </w:rPr>
      </w:pPr>
      <w:r w:rsidRPr="000D0BCD">
        <w:rPr>
          <w:lang w:bidi="en-US"/>
        </w:rPr>
        <w:t xml:space="preserve">The last </w:t>
      </w:r>
      <w:r w:rsidR="00D74918">
        <w:rPr>
          <w:lang w:bidi="en-US"/>
        </w:rPr>
        <w:t>five</w:t>
      </w:r>
      <w:r w:rsidRPr="000D0BCD">
        <w:rPr>
          <w:lang w:bidi="en-US"/>
        </w:rPr>
        <w:t xml:space="preserve"> days of SQL backups are listed (.bak and</w:t>
      </w:r>
      <w:r>
        <w:rPr>
          <w:lang w:bidi="en-US"/>
        </w:rPr>
        <w:t xml:space="preserve"> </w:t>
      </w:r>
      <w:r w:rsidRPr="000D0BCD">
        <w:rPr>
          <w:lang w:bidi="en-US"/>
        </w:rPr>
        <w:t>.trn</w:t>
      </w:r>
      <w:r w:rsidR="00D74918">
        <w:rPr>
          <w:lang w:bidi="en-US"/>
        </w:rPr>
        <w:t xml:space="preserve"> files</w:t>
      </w:r>
      <w:r w:rsidRPr="000D0BCD">
        <w:rPr>
          <w:lang w:bidi="en-US"/>
        </w:rPr>
        <w:t xml:space="preserve">). In </w:t>
      </w:r>
      <w:r w:rsidR="00D74918">
        <w:rPr>
          <w:lang w:bidi="en-US"/>
        </w:rPr>
        <w:t xml:space="preserve">the </w:t>
      </w:r>
      <w:r w:rsidRPr="000D0BCD">
        <w:rPr>
          <w:lang w:bidi="en-US"/>
        </w:rPr>
        <w:t>example above</w:t>
      </w:r>
      <w:r w:rsidR="00D74918">
        <w:rPr>
          <w:lang w:bidi="en-US"/>
        </w:rPr>
        <w:t>,</w:t>
      </w:r>
      <w:r w:rsidRPr="000D0BCD">
        <w:rPr>
          <w:lang w:bidi="en-US"/>
        </w:rPr>
        <w:t xml:space="preserve"> the SQL maintenance backup plan is configured to run Monday through Friday.</w:t>
      </w:r>
    </w:p>
    <w:p w14:paraId="6A44389D" w14:textId="563CDF50" w:rsidR="00504D49" w:rsidRDefault="00D74918" w:rsidP="00776AB8">
      <w:pPr>
        <w:pStyle w:val="BodyText"/>
        <w:keepNext/>
        <w:keepLines/>
        <w:numPr>
          <w:ilvl w:val="1"/>
          <w:numId w:val="6"/>
        </w:numPr>
        <w:ind w:left="1080"/>
        <w:rPr>
          <w:lang w:bidi="en-US"/>
        </w:rPr>
      </w:pPr>
      <w:r>
        <w:rPr>
          <w:lang w:bidi="en-US"/>
        </w:rPr>
        <w:lastRenderedPageBreak/>
        <w:t>For e</w:t>
      </w:r>
      <w:r w:rsidR="00972BD0" w:rsidRPr="000D0BCD">
        <w:rPr>
          <w:lang w:bidi="en-US"/>
        </w:rPr>
        <w:t xml:space="preserve">ach .bak </w:t>
      </w:r>
      <w:r w:rsidR="001125DA">
        <w:rPr>
          <w:lang w:bidi="en-US"/>
        </w:rPr>
        <w:t>or</w:t>
      </w:r>
      <w:r w:rsidR="00972BD0" w:rsidRPr="000D0BCD">
        <w:rPr>
          <w:lang w:bidi="en-US"/>
        </w:rPr>
        <w:t xml:space="preserve"> .trn file</w:t>
      </w:r>
      <w:r>
        <w:rPr>
          <w:lang w:bidi="en-US"/>
        </w:rPr>
        <w:t>,</w:t>
      </w:r>
      <w:r w:rsidR="00972BD0" w:rsidRPr="000D0BCD">
        <w:rPr>
          <w:lang w:bidi="en-US"/>
        </w:rPr>
        <w:t xml:space="preserve"> </w:t>
      </w:r>
      <w:r>
        <w:rPr>
          <w:lang w:bidi="en-US"/>
        </w:rPr>
        <w:t xml:space="preserve">the date it was created and </w:t>
      </w:r>
      <w:r w:rsidR="001125DA">
        <w:rPr>
          <w:lang w:bidi="en-US"/>
        </w:rPr>
        <w:t xml:space="preserve">the </w:t>
      </w:r>
      <w:r>
        <w:rPr>
          <w:lang w:bidi="en-US"/>
        </w:rPr>
        <w:t>file size appear</w:t>
      </w:r>
      <w:r w:rsidR="001125DA">
        <w:rPr>
          <w:lang w:bidi="en-US"/>
        </w:rPr>
        <w:t xml:space="preserve">. </w:t>
      </w:r>
      <w:r w:rsidR="001125DA" w:rsidRPr="000D0BCD">
        <w:rPr>
          <w:lang w:bidi="en-US"/>
        </w:rPr>
        <w:t>The</w:t>
      </w:r>
      <w:r w:rsidR="001125DA">
        <w:rPr>
          <w:lang w:bidi="en-US"/>
        </w:rPr>
        <w:t>re should be .bak and .trn files for the last five</w:t>
      </w:r>
      <w:r w:rsidR="001125DA" w:rsidRPr="000D0BCD">
        <w:rPr>
          <w:lang w:bidi="en-US"/>
        </w:rPr>
        <w:t xml:space="preserve"> business days</w:t>
      </w:r>
      <w:r w:rsidR="001125DA">
        <w:rPr>
          <w:lang w:bidi="en-US"/>
        </w:rPr>
        <w:t>.</w:t>
      </w:r>
    </w:p>
    <w:p w14:paraId="4A9EB19C" w14:textId="77777777" w:rsidR="00504D49" w:rsidRPr="000D0BCD" w:rsidRDefault="00504D49" w:rsidP="004F45B6">
      <w:pPr>
        <w:pStyle w:val="BodyText"/>
        <w:keepNext/>
        <w:keepLines/>
        <w:numPr>
          <w:ilvl w:val="2"/>
          <w:numId w:val="143"/>
        </w:numPr>
        <w:ind w:left="1620"/>
        <w:rPr>
          <w:lang w:bidi="en-US"/>
        </w:rPr>
      </w:pPr>
      <w:r>
        <w:rPr>
          <w:lang w:bidi="en-US"/>
        </w:rPr>
        <w:t>The</w:t>
      </w:r>
      <w:r w:rsidRPr="000D0BCD">
        <w:rPr>
          <w:lang w:bidi="en-US"/>
        </w:rPr>
        <w:t xml:space="preserve"> .bak files </w:t>
      </w:r>
      <w:r>
        <w:rPr>
          <w:lang w:bidi="en-US"/>
        </w:rPr>
        <w:t xml:space="preserve">usually </w:t>
      </w:r>
      <w:r w:rsidRPr="000D0BCD">
        <w:rPr>
          <w:lang w:bidi="en-US"/>
        </w:rPr>
        <w:t>increase</w:t>
      </w:r>
      <w:r>
        <w:rPr>
          <w:lang w:bidi="en-US"/>
        </w:rPr>
        <w:t xml:space="preserve"> in size each day </w:t>
      </w:r>
      <w:r w:rsidRPr="000D0BCD">
        <w:rPr>
          <w:lang w:bidi="en-US"/>
        </w:rPr>
        <w:t>(as more data is input)</w:t>
      </w:r>
      <w:r>
        <w:rPr>
          <w:lang w:bidi="en-US"/>
        </w:rPr>
        <w:t>, but the sizes can be the same from one day to the next</w:t>
      </w:r>
      <w:r w:rsidRPr="000D0BCD">
        <w:rPr>
          <w:lang w:bidi="en-US"/>
        </w:rPr>
        <w:t>.</w:t>
      </w:r>
    </w:p>
    <w:p w14:paraId="784FD8B3" w14:textId="2FB717C2" w:rsidR="00504D49" w:rsidRDefault="00504D49" w:rsidP="004F45B6">
      <w:pPr>
        <w:pStyle w:val="BodyText"/>
        <w:keepNext/>
        <w:keepLines/>
        <w:numPr>
          <w:ilvl w:val="2"/>
          <w:numId w:val="143"/>
        </w:numPr>
        <w:ind w:left="1620"/>
        <w:rPr>
          <w:lang w:bidi="en-US"/>
        </w:rPr>
      </w:pPr>
      <w:r w:rsidRPr="000D0BCD">
        <w:rPr>
          <w:lang w:bidi="en-US"/>
        </w:rPr>
        <w:t>The .trn files will vary in size but are much smaller (in size) than the .bak files.</w:t>
      </w:r>
    </w:p>
    <w:p w14:paraId="06E7C7DE" w14:textId="0ABC0624" w:rsidR="00972BD0" w:rsidRPr="001125DA" w:rsidRDefault="00972BD0" w:rsidP="00504D49">
      <w:pPr>
        <w:pStyle w:val="BodyText"/>
        <w:numPr>
          <w:ilvl w:val="1"/>
          <w:numId w:val="6"/>
        </w:numPr>
        <w:ind w:left="1080"/>
        <w:rPr>
          <w:lang w:bidi="en-US"/>
        </w:rPr>
      </w:pPr>
      <w:r w:rsidRPr="000D0BCD">
        <w:rPr>
          <w:lang w:bidi="en-US"/>
        </w:rPr>
        <w:t xml:space="preserve">If the last </w:t>
      </w:r>
      <w:r w:rsidR="001125DA">
        <w:rPr>
          <w:lang w:bidi="en-US"/>
        </w:rPr>
        <w:t>five</w:t>
      </w:r>
      <w:r w:rsidRPr="000D0BCD">
        <w:rPr>
          <w:lang w:bidi="en-US"/>
        </w:rPr>
        <w:t xml:space="preserve"> business dates are missing or incorrect and/or the .bak file size is less than the previous days SQL backup, there could be issues with the SQL maintenance backup plan. Review the SQL maintenance backup plan for errors or call EDR </w:t>
      </w:r>
      <w:r w:rsidR="001125DA">
        <w:t>S</w:t>
      </w:r>
      <w:r w:rsidRPr="001125DA">
        <w:t xml:space="preserve">upport </w:t>
      </w:r>
      <w:r w:rsidR="001125DA">
        <w:t xml:space="preserve">by phone at </w:t>
      </w:r>
      <w:r w:rsidRPr="00504D49">
        <w:rPr>
          <w:u w:val="single"/>
        </w:rPr>
        <w:t>(800) 459-8067</w:t>
      </w:r>
      <w:r w:rsidRPr="001125DA">
        <w:t xml:space="preserve"> or </w:t>
      </w:r>
      <w:r w:rsidR="001125DA">
        <w:t xml:space="preserve">by </w:t>
      </w:r>
      <w:r w:rsidRPr="001125DA">
        <w:t>email</w:t>
      </w:r>
      <w:r w:rsidR="001125DA">
        <w:t xml:space="preserve"> at</w:t>
      </w:r>
      <w:r w:rsidRPr="001125DA">
        <w:t xml:space="preserve"> </w:t>
      </w:r>
      <w:hyperlink r:id="rId36" w:history="1">
        <w:r w:rsidRPr="00504D49">
          <w:rPr>
            <w:u w:val="single"/>
          </w:rPr>
          <w:t>ihs-support@henryscheinone.com</w:t>
        </w:r>
      </w:hyperlink>
      <w:r w:rsidRPr="001125DA">
        <w:t xml:space="preserve">. </w:t>
      </w:r>
    </w:p>
    <w:p w14:paraId="3BEA6CCF" w14:textId="2B5D15F2" w:rsidR="00972BD0" w:rsidRPr="00972BD0" w:rsidRDefault="00972BD0" w:rsidP="00D42C5A">
      <w:pPr>
        <w:pStyle w:val="Heading3"/>
        <w:rPr>
          <w:rFonts w:cstheme="minorHAnsi"/>
          <w:lang w:bidi="en-US"/>
        </w:rPr>
      </w:pPr>
      <w:bookmarkStart w:id="47" w:name="_Toc135416662"/>
      <w:bookmarkStart w:id="48" w:name="_Toc166834297"/>
      <w:r w:rsidRPr="00972BD0">
        <w:t>Windows Updates/Patches</w:t>
      </w:r>
      <w:bookmarkEnd w:id="47"/>
      <w:bookmarkEnd w:id="48"/>
    </w:p>
    <w:p w14:paraId="04EB38CA" w14:textId="719D559D" w:rsidR="00972BD0" w:rsidRPr="00972BD0" w:rsidRDefault="00972BD0" w:rsidP="004C1FD6">
      <w:pPr>
        <w:pStyle w:val="BodyText"/>
        <w:rPr>
          <w:rFonts w:cstheme="minorHAnsi"/>
          <w:b/>
          <w:bCs/>
          <w:color w:val="202124"/>
          <w:shd w:val="clear" w:color="auto" w:fill="FFFFFF"/>
        </w:rPr>
      </w:pPr>
      <w:r w:rsidRPr="00972BD0">
        <w:rPr>
          <w:lang w:bidi="en-US"/>
        </w:rPr>
        <w:t>Installing Microsoft Windows updates is a critical task that allows for fixes to known issues in Microsoft products. The modifications to hardware and software help improve performance, reliability, and security.</w:t>
      </w:r>
    </w:p>
    <w:p w14:paraId="47734F3E" w14:textId="00A43E15" w:rsidR="00972BD0" w:rsidRPr="004C1FD6" w:rsidRDefault="00972BD0" w:rsidP="004C1FD6">
      <w:pPr>
        <w:pStyle w:val="BodyText"/>
        <w:rPr>
          <w:rFonts w:eastAsia="Calibri" w:cs="Calibri"/>
          <w:lang w:bidi="en-US"/>
        </w:rPr>
      </w:pPr>
      <w:r w:rsidRPr="000D0BCD">
        <w:rPr>
          <w:rFonts w:eastAsia="Calibri" w:cs="Calibri"/>
          <w:lang w:bidi="en-US"/>
        </w:rPr>
        <w:t>Configuring your server and workstations to receive Windows updates automatically is recommended so the latest update is applied on a regular basis.</w:t>
      </w:r>
      <w:r w:rsidR="00504D49">
        <w:rPr>
          <w:rFonts w:eastAsia="Calibri" w:cs="Calibri"/>
          <w:lang w:bidi="en-US"/>
        </w:rPr>
        <w:t xml:space="preserve"> </w:t>
      </w:r>
      <w:r w:rsidRPr="000D0BCD">
        <w:rPr>
          <w:rFonts w:eastAsia="Calibri" w:cs="Calibri"/>
          <w:lang w:bidi="en-US"/>
        </w:rPr>
        <w:t>Review the Microsoft update routine for your Windows version.</w:t>
      </w:r>
      <w:bookmarkStart w:id="49" w:name="_Hlk99115513"/>
    </w:p>
    <w:p w14:paraId="018966DE" w14:textId="53027DC9" w:rsidR="00972BD0" w:rsidRPr="00972BD0" w:rsidRDefault="00972BD0" w:rsidP="00D42C5A">
      <w:pPr>
        <w:pStyle w:val="Heading3"/>
        <w:rPr>
          <w:rFonts w:ascii="Calibri" w:eastAsia="Calibri" w:hAnsi="Calibri" w:cs="Calibri"/>
          <w:lang w:bidi="en-US"/>
        </w:rPr>
      </w:pPr>
      <w:bookmarkStart w:id="50" w:name="_Toc135416663"/>
      <w:bookmarkStart w:id="51" w:name="_Toc166834298"/>
      <w:r w:rsidRPr="00972BD0">
        <w:t>Windows System Logs</w:t>
      </w:r>
      <w:bookmarkEnd w:id="49"/>
      <w:bookmarkEnd w:id="50"/>
      <w:bookmarkEnd w:id="51"/>
    </w:p>
    <w:p w14:paraId="2DB3E2E7" w14:textId="048BC822" w:rsidR="00972BD0" w:rsidRPr="00972BD0" w:rsidRDefault="00972BD0" w:rsidP="00F91ADF">
      <w:pPr>
        <w:pStyle w:val="BodyText"/>
        <w:rPr>
          <w:rFonts w:ascii="Calibri" w:eastAsia="Calibri" w:hAnsi="Calibri" w:cs="Calibri"/>
          <w:b/>
          <w:bCs/>
          <w:color w:val="1F4E79"/>
          <w:lang w:bidi="en-US"/>
        </w:rPr>
      </w:pPr>
      <w:r w:rsidRPr="00972BD0">
        <w:t>Windows event log management is important for security, troubleshooting, and compliance. When you look at your logs, you can monitor and report on file access, network connections, unauthorized activity, error messages, and unusual network and system behavior.</w:t>
      </w:r>
    </w:p>
    <w:p w14:paraId="53C7010E" w14:textId="417C76AB" w:rsidR="00972BD0" w:rsidRPr="00F91ADF" w:rsidRDefault="00972BD0" w:rsidP="00F91ADF">
      <w:pPr>
        <w:pStyle w:val="BodyText"/>
        <w:rPr>
          <w:shd w:val="clear" w:color="auto" w:fill="FFFFFF"/>
        </w:rPr>
      </w:pPr>
      <w:r w:rsidRPr="000D0BCD">
        <w:rPr>
          <w:shd w:val="clear" w:color="auto" w:fill="FFFFFF"/>
        </w:rPr>
        <w:t>The Windows Event Viewer shows a log of application and system messages, including errors, information messages, and warnings. It's a useful tool for troubleshooting all kinds of different Windows problems.</w:t>
      </w:r>
    </w:p>
    <w:p w14:paraId="148057A5" w14:textId="0D2E6C8B" w:rsidR="00972BD0" w:rsidRPr="001125DA" w:rsidRDefault="00972BD0" w:rsidP="001125DA">
      <w:pPr>
        <w:pStyle w:val="BodyText"/>
      </w:pPr>
      <w:r w:rsidRPr="001125DA">
        <w:t xml:space="preserve">Examples of </w:t>
      </w:r>
      <w:r w:rsidR="001125DA">
        <w:t>l</w:t>
      </w:r>
      <w:r w:rsidRPr="001125DA">
        <w:t>og</w:t>
      </w:r>
      <w:r w:rsidR="00504D49">
        <w:t>ged</w:t>
      </w:r>
      <w:r w:rsidRPr="001125DA">
        <w:t xml:space="preserve"> </w:t>
      </w:r>
      <w:r w:rsidR="001125DA">
        <w:t>e</w:t>
      </w:r>
      <w:r w:rsidRPr="001125DA">
        <w:t>rrors</w:t>
      </w:r>
      <w:r w:rsidR="00504D49">
        <w:t xml:space="preserve"> and </w:t>
      </w:r>
      <w:r w:rsidR="001125DA">
        <w:t>e</w:t>
      </w:r>
      <w:r w:rsidRPr="001125DA">
        <w:t>vents</w:t>
      </w:r>
      <w:r w:rsidR="00F91ADF" w:rsidRPr="001125DA">
        <w:t>:</w:t>
      </w:r>
    </w:p>
    <w:p w14:paraId="1AAF1B74" w14:textId="7082EDCD" w:rsidR="00972BD0" w:rsidRPr="000D0BCD" w:rsidRDefault="00972BD0">
      <w:pPr>
        <w:pStyle w:val="BodyText"/>
        <w:numPr>
          <w:ilvl w:val="0"/>
          <w:numId w:val="9"/>
        </w:numPr>
        <w:ind w:left="540"/>
      </w:pPr>
      <w:r w:rsidRPr="000D0BCD">
        <w:t xml:space="preserve">Disk error messages referring to </w:t>
      </w:r>
      <w:r w:rsidR="001125DA">
        <w:t>“</w:t>
      </w:r>
      <w:r w:rsidRPr="000D0BCD">
        <w:t>bad blocks” that warn of likely drive failures</w:t>
      </w:r>
      <w:r w:rsidR="00133CF9" w:rsidRPr="0066798B">
        <w:rPr>
          <w:lang w:bidi="en-US"/>
        </w:rPr>
        <w:t>—</w:t>
      </w:r>
      <w:r w:rsidRPr="000D0BCD">
        <w:t>the event logs are often the first</w:t>
      </w:r>
      <w:r w:rsidR="001125DA">
        <w:t xml:space="preserve"> or </w:t>
      </w:r>
      <w:r w:rsidRPr="000D0BCD">
        <w:t>only place you will learn of such problems.</w:t>
      </w:r>
    </w:p>
    <w:p w14:paraId="4ABCE1B2" w14:textId="77777777" w:rsidR="00972BD0" w:rsidRPr="000D0BCD" w:rsidRDefault="00972BD0">
      <w:pPr>
        <w:pStyle w:val="BodyText"/>
        <w:numPr>
          <w:ilvl w:val="0"/>
          <w:numId w:val="9"/>
        </w:numPr>
        <w:ind w:left="540"/>
      </w:pPr>
      <w:r w:rsidRPr="000D0BCD">
        <w:t xml:space="preserve">Security events that can reveal someone making a sustained effort to access </w:t>
      </w:r>
      <w:r>
        <w:t>the</w:t>
      </w:r>
      <w:r w:rsidRPr="000D0BCD">
        <w:t xml:space="preserve"> system.</w:t>
      </w:r>
    </w:p>
    <w:p w14:paraId="54149131" w14:textId="2A612E64" w:rsidR="00972BD0" w:rsidRPr="00733114" w:rsidRDefault="00972BD0">
      <w:pPr>
        <w:pStyle w:val="BodyText"/>
        <w:numPr>
          <w:ilvl w:val="0"/>
          <w:numId w:val="9"/>
        </w:numPr>
        <w:ind w:left="540"/>
      </w:pPr>
      <w:r w:rsidRPr="000D0BCD">
        <w:t>Application errors relating to SQL connection errors.</w:t>
      </w:r>
    </w:p>
    <w:p w14:paraId="29216FB8" w14:textId="02C7BC04" w:rsidR="00972BD0" w:rsidRPr="00972BD0" w:rsidRDefault="00972BD0" w:rsidP="00D42C5A">
      <w:pPr>
        <w:pStyle w:val="Heading3"/>
        <w:rPr>
          <w:rFonts w:eastAsia="Calibri" w:cstheme="minorHAnsi"/>
          <w:lang w:bidi="en-US"/>
        </w:rPr>
      </w:pPr>
      <w:bookmarkStart w:id="52" w:name="_Toc135416664"/>
      <w:bookmarkStart w:id="53" w:name="_Toc166834299"/>
      <w:r w:rsidRPr="00972BD0">
        <w:t>Hard/Virtual Drive Maintenance</w:t>
      </w:r>
      <w:bookmarkEnd w:id="52"/>
      <w:bookmarkEnd w:id="53"/>
    </w:p>
    <w:p w14:paraId="3412EAC7" w14:textId="74FE3192" w:rsidR="00972BD0" w:rsidRPr="00F91ADF" w:rsidRDefault="00972BD0" w:rsidP="00F91ADF">
      <w:pPr>
        <w:pStyle w:val="BodyText"/>
        <w:rPr>
          <w:sz w:val="24"/>
        </w:rPr>
      </w:pPr>
      <w:r w:rsidRPr="00F91ADF">
        <w:rPr>
          <w:shd w:val="clear" w:color="auto" w:fill="FFFFFF"/>
        </w:rPr>
        <w:t xml:space="preserve">Optimizing your drives can help your </w:t>
      </w:r>
      <w:r w:rsidR="001125DA">
        <w:rPr>
          <w:shd w:val="clear" w:color="auto" w:fill="FFFFFF"/>
        </w:rPr>
        <w:t>s</w:t>
      </w:r>
      <w:r w:rsidRPr="00F91ADF">
        <w:rPr>
          <w:shd w:val="clear" w:color="auto" w:fill="FFFFFF"/>
        </w:rPr>
        <w:t>erver</w:t>
      </w:r>
      <w:r w:rsidR="001125DA">
        <w:rPr>
          <w:shd w:val="clear" w:color="auto" w:fill="FFFFFF"/>
        </w:rPr>
        <w:t xml:space="preserve"> or computer</w:t>
      </w:r>
      <w:r w:rsidRPr="00F91ADF">
        <w:rPr>
          <w:shd w:val="clear" w:color="auto" w:fill="FFFFFF"/>
        </w:rPr>
        <w:t xml:space="preserve"> run smoother and increase performance.</w:t>
      </w:r>
      <w:r w:rsidRPr="00F91ADF">
        <w:t xml:space="preserve"> The process of defragmenting</w:t>
      </w:r>
      <w:r w:rsidR="001125DA">
        <w:t xml:space="preserve"> or </w:t>
      </w:r>
      <w:r w:rsidRPr="00F91ADF">
        <w:t xml:space="preserve">optimizing the hard drive is an essential step to keep it in good condition. </w:t>
      </w:r>
    </w:p>
    <w:p w14:paraId="54C5B64C" w14:textId="023D8DF6" w:rsidR="00972BD0" w:rsidRDefault="00972BD0" w:rsidP="00F91ADF">
      <w:pPr>
        <w:pStyle w:val="BodyText"/>
        <w:rPr>
          <w:shd w:val="clear" w:color="auto" w:fill="FFFFFF"/>
        </w:rPr>
      </w:pPr>
      <w:r w:rsidRPr="00F91ADF">
        <w:rPr>
          <w:shd w:val="clear" w:color="auto" w:fill="FFFFFF"/>
        </w:rPr>
        <w:t xml:space="preserve">When your hard drive becomes more than 80 percent filled, your computer will start to work less efficiently. </w:t>
      </w:r>
      <w:r w:rsidR="001125DA">
        <w:rPr>
          <w:shd w:val="clear" w:color="auto" w:fill="FFFFFF"/>
        </w:rPr>
        <w:t xml:space="preserve">The reason for this is because, </w:t>
      </w:r>
      <w:r w:rsidRPr="00F91ADF">
        <w:rPr>
          <w:shd w:val="clear" w:color="auto" w:fill="FFFFFF"/>
        </w:rPr>
        <w:t>when your computer runs out of memory</w:t>
      </w:r>
      <w:r w:rsidR="001125DA">
        <w:rPr>
          <w:shd w:val="clear" w:color="auto" w:fill="FFFFFF"/>
        </w:rPr>
        <w:t>,</w:t>
      </w:r>
      <w:r w:rsidRPr="00F91ADF">
        <w:rPr>
          <w:shd w:val="clear" w:color="auto" w:fill="FFFFFF"/>
        </w:rPr>
        <w:t xml:space="preserve"> it will start to use the hard drive space </w:t>
      </w:r>
      <w:r w:rsidR="00504D49">
        <w:rPr>
          <w:shd w:val="clear" w:color="auto" w:fill="FFFFFF"/>
        </w:rPr>
        <w:t>as</w:t>
      </w:r>
      <w:r w:rsidRPr="00F91ADF">
        <w:rPr>
          <w:shd w:val="clear" w:color="auto" w:fill="FFFFFF"/>
        </w:rPr>
        <w:t xml:space="preserve"> </w:t>
      </w:r>
      <w:r w:rsidR="00504D49">
        <w:rPr>
          <w:shd w:val="clear" w:color="auto" w:fill="FFFFFF"/>
        </w:rPr>
        <w:t>“</w:t>
      </w:r>
      <w:r w:rsidRPr="00F91ADF">
        <w:rPr>
          <w:shd w:val="clear" w:color="auto" w:fill="FFFFFF"/>
        </w:rPr>
        <w:t>virtual memory</w:t>
      </w:r>
      <w:r w:rsidR="00504D49">
        <w:rPr>
          <w:shd w:val="clear" w:color="auto" w:fill="FFFFFF"/>
        </w:rPr>
        <w:t>”</w:t>
      </w:r>
      <w:r w:rsidRPr="00F91ADF">
        <w:rPr>
          <w:shd w:val="clear" w:color="auto" w:fill="FFFFFF"/>
        </w:rPr>
        <w:t xml:space="preserve"> to compensate.</w:t>
      </w:r>
    </w:p>
    <w:p w14:paraId="0F2694DC" w14:textId="13D54DD1" w:rsidR="00F91ADF" w:rsidRPr="00F91ADF" w:rsidRDefault="00504D49" w:rsidP="00776AB8">
      <w:pPr>
        <w:pStyle w:val="BodyText"/>
        <w:keepNext/>
        <w:keepLines/>
      </w:pPr>
      <w:r>
        <w:rPr>
          <w:shd w:val="clear" w:color="auto" w:fill="FFFFFF"/>
        </w:rPr>
        <w:lastRenderedPageBreak/>
        <w:t>Use the following guidelines for drive maintenance</w:t>
      </w:r>
      <w:r w:rsidR="00F91ADF">
        <w:rPr>
          <w:shd w:val="clear" w:color="auto" w:fill="FFFFFF"/>
        </w:rPr>
        <w:t>:</w:t>
      </w:r>
    </w:p>
    <w:p w14:paraId="5A1B89B1" w14:textId="1B0E3825" w:rsidR="00F640A4" w:rsidRDefault="00504D49" w:rsidP="00776AB8">
      <w:pPr>
        <w:pStyle w:val="BodyText"/>
        <w:keepNext/>
        <w:keepLines/>
        <w:numPr>
          <w:ilvl w:val="0"/>
          <w:numId w:val="10"/>
        </w:numPr>
        <w:ind w:left="540"/>
      </w:pPr>
      <w:r>
        <w:t>D</w:t>
      </w:r>
      <w:r w:rsidR="00972BD0" w:rsidRPr="00F91ADF">
        <w:t xml:space="preserve">efrag </w:t>
      </w:r>
      <w:r w:rsidR="00021CB4">
        <w:t xml:space="preserve">the drive </w:t>
      </w:r>
      <w:r w:rsidR="00972BD0" w:rsidRPr="00F91ADF">
        <w:t>monthly.</w:t>
      </w:r>
    </w:p>
    <w:p w14:paraId="5FF275A6" w14:textId="72FD724F" w:rsidR="00972BD0" w:rsidRPr="00F640A4" w:rsidRDefault="001F36A8" w:rsidP="00F640A4">
      <w:pPr>
        <w:pStyle w:val="BodyText"/>
        <w:numPr>
          <w:ilvl w:val="0"/>
          <w:numId w:val="10"/>
        </w:numPr>
        <w:ind w:left="540"/>
      </w:pPr>
      <w:r>
        <w:rPr>
          <w:noProof/>
        </w:rPr>
        <w:drawing>
          <wp:anchor distT="0" distB="0" distL="0" distR="91440" simplePos="0" relativeHeight="251709444" behindDoc="0" locked="0" layoutInCell="1" allowOverlap="1" wp14:anchorId="0C707057" wp14:editId="686EB7E3">
            <wp:simplePos x="0" y="0"/>
            <wp:positionH relativeFrom="column">
              <wp:posOffset>-457200</wp:posOffset>
            </wp:positionH>
            <wp:positionV relativeFrom="paragraph">
              <wp:posOffset>280911</wp:posOffset>
            </wp:positionV>
            <wp:extent cx="365760" cy="420624"/>
            <wp:effectExtent l="0" t="0" r="0" b="0"/>
            <wp:wrapTight wrapText="right">
              <wp:wrapPolygon edited="0">
                <wp:start x="0" y="0"/>
                <wp:lineTo x="0" y="20556"/>
                <wp:lineTo x="20250" y="20556"/>
                <wp:lineTo x="20250" y="0"/>
                <wp:lineTo x="0" y="0"/>
              </wp:wrapPolygon>
            </wp:wrapTight>
            <wp:docPr id="1192196319"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6038"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 cy="420624"/>
                    </a:xfrm>
                    <a:prstGeom prst="rect">
                      <a:avLst/>
                    </a:prstGeom>
                  </pic:spPr>
                </pic:pic>
              </a:graphicData>
            </a:graphic>
            <wp14:sizeRelH relativeFrom="margin">
              <wp14:pctWidth>0</wp14:pctWidth>
            </wp14:sizeRelH>
            <wp14:sizeRelV relativeFrom="margin">
              <wp14:pctHeight>0</wp14:pctHeight>
            </wp14:sizeRelV>
          </wp:anchor>
        </w:drawing>
      </w:r>
      <w:r w:rsidR="00504D49">
        <w:t>Make sure</w:t>
      </w:r>
      <w:r w:rsidR="00021CB4">
        <w:t xml:space="preserve"> the free space on the</w:t>
      </w:r>
      <w:r w:rsidR="00504D49">
        <w:t xml:space="preserve"> drive </w:t>
      </w:r>
      <w:r w:rsidR="00021CB4">
        <w:t>is</w:t>
      </w:r>
      <w:r w:rsidR="00504D49">
        <w:t xml:space="preserve"> at least</w:t>
      </w:r>
      <w:r w:rsidR="00972BD0" w:rsidRPr="00F640A4">
        <w:t xml:space="preserve"> </w:t>
      </w:r>
      <w:hyperlink r:id="rId37" w:history="1">
        <w:r w:rsidR="00972BD0" w:rsidRPr="00F640A4">
          <w:t xml:space="preserve">15% </w:t>
        </w:r>
      </w:hyperlink>
      <w:r w:rsidR="00021CB4">
        <w:t>of the total size of the drive</w:t>
      </w:r>
      <w:r w:rsidR="00972BD0" w:rsidRPr="00F640A4">
        <w:t xml:space="preserve"> so Windows can defrag the drive efficiently.</w:t>
      </w:r>
    </w:p>
    <w:p w14:paraId="3682D9AD" w14:textId="71A5716E" w:rsidR="00972BD0" w:rsidRPr="00F640A4" w:rsidRDefault="00972BD0" w:rsidP="00F91ADF">
      <w:pPr>
        <w:pStyle w:val="BodyText"/>
        <w:rPr>
          <w:i/>
          <w:iCs/>
        </w:rPr>
      </w:pPr>
      <w:r w:rsidRPr="00F640A4">
        <w:rPr>
          <w:b/>
          <w:bCs/>
          <w:i/>
          <w:iCs/>
          <w:shd w:val="clear" w:color="auto" w:fill="FFFFFF"/>
        </w:rPr>
        <w:t>Note</w:t>
      </w:r>
      <w:r w:rsidR="00F91ADF" w:rsidRPr="00F640A4">
        <w:rPr>
          <w:i/>
          <w:iCs/>
          <w:shd w:val="clear" w:color="auto" w:fill="FFFFFF"/>
        </w:rPr>
        <w:t>:</w:t>
      </w:r>
      <w:r w:rsidRPr="00F640A4">
        <w:rPr>
          <w:i/>
          <w:iCs/>
          <w:shd w:val="clear" w:color="auto" w:fill="FFFFFF"/>
        </w:rPr>
        <w:t xml:space="preserve"> Virtual </w:t>
      </w:r>
      <w:r w:rsidR="00F91ADF" w:rsidRPr="00F640A4">
        <w:rPr>
          <w:i/>
          <w:iCs/>
          <w:shd w:val="clear" w:color="auto" w:fill="FFFFFF"/>
        </w:rPr>
        <w:t>h</w:t>
      </w:r>
      <w:r w:rsidRPr="00F640A4">
        <w:rPr>
          <w:i/>
          <w:iCs/>
          <w:shd w:val="clear" w:color="auto" w:fill="FFFFFF"/>
        </w:rPr>
        <w:t>ard drives may not need to be defragged.</w:t>
      </w:r>
    </w:p>
    <w:p w14:paraId="0CDDF36A" w14:textId="0E05F19C" w:rsidR="00972BD0" w:rsidRPr="00972BD0" w:rsidRDefault="00972BD0" w:rsidP="00D42C5A">
      <w:pPr>
        <w:pStyle w:val="Heading3"/>
        <w:rPr>
          <w:rFonts w:eastAsia="Times New Roman" w:cstheme="minorHAnsi"/>
          <w:color w:val="0A0A0A"/>
          <w:sz w:val="24"/>
        </w:rPr>
      </w:pPr>
      <w:bookmarkStart w:id="54" w:name="_Toc135416665"/>
      <w:bookmarkStart w:id="55" w:name="_Toc166834300"/>
      <w:r w:rsidRPr="00972BD0">
        <w:t>Antivirus Scans</w:t>
      </w:r>
      <w:bookmarkEnd w:id="54"/>
      <w:bookmarkEnd w:id="55"/>
    </w:p>
    <w:p w14:paraId="54E59F48" w14:textId="72C9C0F1" w:rsidR="00972BD0" w:rsidRPr="00972BD0" w:rsidRDefault="00972BD0" w:rsidP="002202F7">
      <w:pPr>
        <w:pStyle w:val="BodyText"/>
        <w:keepNext/>
        <w:keepLines/>
        <w:rPr>
          <w:rFonts w:eastAsia="Times New Roman"/>
          <w:color w:val="0A0A0A"/>
          <w:sz w:val="24"/>
        </w:rPr>
      </w:pPr>
      <w:r w:rsidRPr="00972BD0">
        <w:rPr>
          <w:shd w:val="clear" w:color="auto" w:fill="FFFFFF"/>
        </w:rPr>
        <w:t xml:space="preserve">Antivirus programs and computer protection software are designed to evaluate data such as </w:t>
      </w:r>
      <w:r w:rsidR="00F640A4">
        <w:rPr>
          <w:shd w:val="clear" w:color="auto" w:fill="FFFFFF"/>
        </w:rPr>
        <w:t>W</w:t>
      </w:r>
      <w:r w:rsidRPr="00972BD0">
        <w:rPr>
          <w:shd w:val="clear" w:color="auto" w:fill="FFFFFF"/>
        </w:rPr>
        <w:t xml:space="preserve">eb pages, files, software, and applications to help find and eradicate malware as quickly as possible. Even if you are experienced with using a computer and cautious in avoiding contact with a virus, </w:t>
      </w:r>
      <w:r w:rsidRPr="00F640A4">
        <w:rPr>
          <w:u w:val="single"/>
          <w:shd w:val="clear" w:color="auto" w:fill="FFFFFF"/>
        </w:rPr>
        <w:t>antivirus software is </w:t>
      </w:r>
      <w:r w:rsidRPr="00F91ADF">
        <w:rPr>
          <w:u w:val="single"/>
          <w:shd w:val="clear" w:color="auto" w:fill="FFFFFF"/>
        </w:rPr>
        <w:t>an essential part of a good security strategy</w:t>
      </w:r>
      <w:r w:rsidRPr="00972BD0">
        <w:rPr>
          <w:shd w:val="clear" w:color="auto" w:fill="FFFFFF"/>
        </w:rPr>
        <w:t>.</w:t>
      </w:r>
    </w:p>
    <w:p w14:paraId="081C7A68" w14:textId="1E99DD39" w:rsidR="00972BD0" w:rsidRPr="005E1F92" w:rsidRDefault="00972BD0" w:rsidP="002202F7">
      <w:pPr>
        <w:pStyle w:val="BodyText"/>
        <w:keepNext/>
        <w:keepLines/>
        <w:rPr>
          <w:shd w:val="clear" w:color="auto" w:fill="FFFFFF"/>
        </w:rPr>
      </w:pPr>
      <w:r w:rsidRPr="005E1F92">
        <w:rPr>
          <w:shd w:val="clear" w:color="auto" w:fill="FFFFFF"/>
        </w:rPr>
        <w:t>Virus scans search through your system </w:t>
      </w:r>
      <w:r w:rsidRPr="00F91ADF">
        <w:rPr>
          <w:u w:val="single"/>
          <w:shd w:val="clear" w:color="auto" w:fill="FFFFFF"/>
        </w:rPr>
        <w:t>to locate and remove any malicious threats on your device</w:t>
      </w:r>
      <w:r w:rsidRPr="005E1F92">
        <w:rPr>
          <w:shd w:val="clear" w:color="auto" w:fill="FFFFFF"/>
        </w:rPr>
        <w:t xml:space="preserve">. </w:t>
      </w:r>
      <w:r>
        <w:rPr>
          <w:shd w:val="clear" w:color="auto" w:fill="FFFFFF"/>
        </w:rPr>
        <w:t>M</w:t>
      </w:r>
      <w:r w:rsidRPr="005E1F92">
        <w:rPr>
          <w:shd w:val="clear" w:color="auto" w:fill="FFFFFF"/>
        </w:rPr>
        <w:t>ost antivirus software guards against malware. This can include threats like viruses</w:t>
      </w:r>
      <w:r w:rsidR="00F640A4">
        <w:rPr>
          <w:shd w:val="clear" w:color="auto" w:fill="FFFFFF"/>
        </w:rPr>
        <w:t>,</w:t>
      </w:r>
      <w:r w:rsidRPr="005E1F92">
        <w:rPr>
          <w:shd w:val="clear" w:color="auto" w:fill="FFFFFF"/>
        </w:rPr>
        <w:t xml:space="preserve"> worms, spyware, Trojans, ransomware, and adware.</w:t>
      </w:r>
    </w:p>
    <w:p w14:paraId="479094D0" w14:textId="4BA10CC6" w:rsidR="00972BD0" w:rsidRPr="005E1F92" w:rsidRDefault="001F36A8" w:rsidP="002202F7">
      <w:pPr>
        <w:pStyle w:val="BodyText"/>
        <w:keepNext/>
        <w:keepLines/>
        <w:rPr>
          <w:shd w:val="clear" w:color="auto" w:fill="FFFFFF"/>
        </w:rPr>
      </w:pPr>
      <w:r>
        <w:rPr>
          <w:noProof/>
        </w:rPr>
        <w:drawing>
          <wp:anchor distT="0" distB="0" distL="0" distR="91440" simplePos="0" relativeHeight="251711492" behindDoc="0" locked="0" layoutInCell="1" allowOverlap="1" wp14:anchorId="33042C9D" wp14:editId="2EFC4540">
            <wp:simplePos x="0" y="0"/>
            <wp:positionH relativeFrom="column">
              <wp:posOffset>-457200</wp:posOffset>
            </wp:positionH>
            <wp:positionV relativeFrom="paragraph">
              <wp:posOffset>120849</wp:posOffset>
            </wp:positionV>
            <wp:extent cx="365760" cy="420624"/>
            <wp:effectExtent l="0" t="0" r="0" b="0"/>
            <wp:wrapTight wrapText="right">
              <wp:wrapPolygon edited="0">
                <wp:start x="0" y="0"/>
                <wp:lineTo x="0" y="20556"/>
                <wp:lineTo x="20250" y="20556"/>
                <wp:lineTo x="20250" y="0"/>
                <wp:lineTo x="0" y="0"/>
              </wp:wrapPolygon>
            </wp:wrapTight>
            <wp:docPr id="1552856189"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6038"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 cy="420624"/>
                    </a:xfrm>
                    <a:prstGeom prst="rect">
                      <a:avLst/>
                    </a:prstGeom>
                  </pic:spPr>
                </pic:pic>
              </a:graphicData>
            </a:graphic>
            <wp14:sizeRelH relativeFrom="margin">
              <wp14:pctWidth>0</wp14:pctWidth>
            </wp14:sizeRelH>
            <wp14:sizeRelV relativeFrom="margin">
              <wp14:pctHeight>0</wp14:pctHeight>
            </wp14:sizeRelV>
          </wp:anchor>
        </w:drawing>
      </w:r>
      <w:r w:rsidR="00972BD0" w:rsidRPr="005E1F92">
        <w:rPr>
          <w:shd w:val="clear" w:color="auto" w:fill="FFFFFF"/>
        </w:rPr>
        <w:t xml:space="preserve">Follow </w:t>
      </w:r>
      <w:r w:rsidR="00F640A4">
        <w:rPr>
          <w:shd w:val="clear" w:color="auto" w:fill="FFFFFF"/>
        </w:rPr>
        <w:t>l</w:t>
      </w:r>
      <w:r w:rsidR="00972BD0" w:rsidRPr="005E1F92">
        <w:rPr>
          <w:shd w:val="clear" w:color="auto" w:fill="FFFFFF"/>
        </w:rPr>
        <w:t xml:space="preserve">ocal and </w:t>
      </w:r>
      <w:r w:rsidR="00F640A4">
        <w:rPr>
          <w:shd w:val="clear" w:color="auto" w:fill="FFFFFF"/>
        </w:rPr>
        <w:t>a</w:t>
      </w:r>
      <w:r w:rsidR="00972BD0" w:rsidRPr="005E1F92">
        <w:rPr>
          <w:shd w:val="clear" w:color="auto" w:fill="FFFFFF"/>
        </w:rPr>
        <w:t xml:space="preserve">rea policies for reporting issues detected by your </w:t>
      </w:r>
      <w:r w:rsidR="00F640A4">
        <w:rPr>
          <w:shd w:val="clear" w:color="auto" w:fill="FFFFFF"/>
        </w:rPr>
        <w:t>a</w:t>
      </w:r>
      <w:r w:rsidR="00972BD0" w:rsidRPr="005E1F92">
        <w:rPr>
          <w:shd w:val="clear" w:color="auto" w:fill="FFFFFF"/>
        </w:rPr>
        <w:t>ntivirus application.</w:t>
      </w:r>
    </w:p>
    <w:p w14:paraId="290EE274" w14:textId="7EC44BE8" w:rsidR="00972BD0" w:rsidRPr="00F640A4" w:rsidRDefault="00972BD0" w:rsidP="00F91ADF">
      <w:pPr>
        <w:pStyle w:val="BodyText"/>
        <w:rPr>
          <w:i/>
          <w:iCs/>
          <w:shd w:val="clear" w:color="auto" w:fill="FFFFFF"/>
        </w:rPr>
      </w:pPr>
      <w:r w:rsidRPr="00F640A4">
        <w:rPr>
          <w:b/>
          <w:bCs/>
          <w:i/>
          <w:iCs/>
          <w:shd w:val="clear" w:color="auto" w:fill="FFFFFF"/>
        </w:rPr>
        <w:t>Note</w:t>
      </w:r>
      <w:r w:rsidRPr="00F640A4">
        <w:rPr>
          <w:i/>
          <w:iCs/>
          <w:shd w:val="clear" w:color="auto" w:fill="FFFFFF"/>
        </w:rPr>
        <w:t xml:space="preserve">: IHS currently uses CrowdStrike and other </w:t>
      </w:r>
      <w:r w:rsidR="00F640A4" w:rsidRPr="00F640A4">
        <w:rPr>
          <w:i/>
          <w:iCs/>
          <w:shd w:val="clear" w:color="auto" w:fill="FFFFFF"/>
        </w:rPr>
        <w:t>a</w:t>
      </w:r>
      <w:r w:rsidRPr="00F640A4">
        <w:rPr>
          <w:i/>
          <w:iCs/>
          <w:shd w:val="clear" w:color="auto" w:fill="FFFFFF"/>
        </w:rPr>
        <w:t>nti</w:t>
      </w:r>
      <w:r w:rsidR="00F640A4" w:rsidRPr="00F640A4">
        <w:rPr>
          <w:i/>
          <w:iCs/>
          <w:shd w:val="clear" w:color="auto" w:fill="FFFFFF"/>
        </w:rPr>
        <w:t>v</w:t>
      </w:r>
      <w:r w:rsidRPr="00F640A4">
        <w:rPr>
          <w:i/>
          <w:iCs/>
          <w:shd w:val="clear" w:color="auto" w:fill="FFFFFF"/>
        </w:rPr>
        <w:t>irus applications.</w:t>
      </w:r>
    </w:p>
    <w:p w14:paraId="3B1243D9" w14:textId="77777777" w:rsidR="00972BD0" w:rsidRPr="00704091" w:rsidRDefault="00972BD0" w:rsidP="004267C0">
      <w:pPr>
        <w:pStyle w:val="Heading2"/>
      </w:pPr>
      <w:bookmarkStart w:id="56" w:name="_Toc135416666"/>
      <w:bookmarkStart w:id="57" w:name="_Toc166834301"/>
      <w:r w:rsidRPr="00704091">
        <w:t>General Firewall Rules</w:t>
      </w:r>
      <w:bookmarkEnd w:id="56"/>
      <w:bookmarkEnd w:id="57"/>
    </w:p>
    <w:p w14:paraId="0F694469" w14:textId="4D13881F" w:rsidR="00972BD0" w:rsidRPr="00022322" w:rsidRDefault="00972BD0" w:rsidP="00F91ADF">
      <w:pPr>
        <w:pStyle w:val="BodyText"/>
        <w:rPr>
          <w:lang w:bidi="en-US"/>
        </w:rPr>
      </w:pPr>
      <w:r w:rsidRPr="00022322">
        <w:rPr>
          <w:lang w:bidi="en-US"/>
        </w:rPr>
        <w:t xml:space="preserve">A network firewall is </w:t>
      </w:r>
      <w:r>
        <w:rPr>
          <w:lang w:bidi="en-US"/>
        </w:rPr>
        <w:t>a</w:t>
      </w:r>
      <w:r w:rsidRPr="00022322">
        <w:rPr>
          <w:lang w:bidi="en-US"/>
        </w:rPr>
        <w:t xml:space="preserve"> crucial security tool that must be as robust as </w:t>
      </w:r>
      <w:r w:rsidR="00F640A4">
        <w:rPr>
          <w:lang w:bidi="en-US"/>
        </w:rPr>
        <w:t>possible</w:t>
      </w:r>
      <w:r>
        <w:rPr>
          <w:lang w:bidi="en-US"/>
        </w:rPr>
        <w:t xml:space="preserve"> while balancing</w:t>
      </w:r>
      <w:r w:rsidRPr="00022322">
        <w:rPr>
          <w:lang w:bidi="en-US"/>
        </w:rPr>
        <w:t xml:space="preserve"> security </w:t>
      </w:r>
      <w:r w:rsidR="00F640A4">
        <w:rPr>
          <w:lang w:bidi="en-US"/>
        </w:rPr>
        <w:t>and</w:t>
      </w:r>
      <w:r w:rsidRPr="00022322">
        <w:rPr>
          <w:lang w:bidi="en-US"/>
        </w:rPr>
        <w:t xml:space="preserve"> performance for the users.</w:t>
      </w:r>
      <w:r>
        <w:rPr>
          <w:lang w:bidi="en-US"/>
        </w:rPr>
        <w:t xml:space="preserve"> </w:t>
      </w:r>
      <w:r w:rsidRPr="00022322">
        <w:rPr>
          <w:lang w:bidi="en-US"/>
        </w:rPr>
        <w:t>Network firewall</w:t>
      </w:r>
      <w:r w:rsidR="00F640A4">
        <w:rPr>
          <w:lang w:bidi="en-US"/>
        </w:rPr>
        <w:t>s</w:t>
      </w:r>
      <w:r w:rsidRPr="00022322">
        <w:rPr>
          <w:lang w:bidi="en-US"/>
        </w:rPr>
        <w:t xml:space="preserve"> </w:t>
      </w:r>
      <w:r>
        <w:rPr>
          <w:lang w:bidi="en-US"/>
        </w:rPr>
        <w:t>should protect</w:t>
      </w:r>
      <w:r w:rsidRPr="00022322">
        <w:rPr>
          <w:lang w:bidi="en-US"/>
        </w:rPr>
        <w:t xml:space="preserve"> against external security threats</w:t>
      </w:r>
      <w:r>
        <w:rPr>
          <w:lang w:bidi="en-US"/>
        </w:rPr>
        <w:t xml:space="preserve">, </w:t>
      </w:r>
      <w:r w:rsidRPr="00022322">
        <w:rPr>
          <w:lang w:bidi="en-US"/>
        </w:rPr>
        <w:t>protect from malware that could exfiltrate sensitive data from your network to other locations</w:t>
      </w:r>
      <w:r>
        <w:rPr>
          <w:lang w:bidi="en-US"/>
        </w:rPr>
        <w:t xml:space="preserve">, and </w:t>
      </w:r>
      <w:r w:rsidRPr="00022322">
        <w:rPr>
          <w:lang w:bidi="en-US"/>
        </w:rPr>
        <w:t>protect the network from any prospective security threats in the future</w:t>
      </w:r>
      <w:r>
        <w:rPr>
          <w:lang w:bidi="en-US"/>
        </w:rPr>
        <w:t>.</w:t>
      </w:r>
    </w:p>
    <w:p w14:paraId="5472306F" w14:textId="0D7E396B" w:rsidR="00972BD0" w:rsidRDefault="00972BD0" w:rsidP="00F91ADF">
      <w:pPr>
        <w:pStyle w:val="BodyText"/>
        <w:rPr>
          <w:lang w:bidi="en-US"/>
        </w:rPr>
      </w:pPr>
      <w:r w:rsidRPr="00022322">
        <w:rPr>
          <w:lang w:bidi="en-US"/>
        </w:rPr>
        <w:t xml:space="preserve">Firewall rules are very specific to the business running the firewall. For network administrators, </w:t>
      </w:r>
      <w:r w:rsidR="00F640A4">
        <w:rPr>
          <w:lang w:bidi="en-US"/>
        </w:rPr>
        <w:t>the following are</w:t>
      </w:r>
      <w:r w:rsidRPr="00022322">
        <w:rPr>
          <w:lang w:bidi="en-US"/>
        </w:rPr>
        <w:t xml:space="preserve"> best practices </w:t>
      </w:r>
      <w:r w:rsidR="00F640A4">
        <w:rPr>
          <w:lang w:bidi="en-US"/>
        </w:rPr>
        <w:t>for using firewalls to protect</w:t>
      </w:r>
      <w:r w:rsidRPr="00022322">
        <w:rPr>
          <w:lang w:bidi="en-US"/>
        </w:rPr>
        <w:t xml:space="preserve"> the network from any existing or potential threat</w:t>
      </w:r>
      <w:r w:rsidR="00F91ADF">
        <w:rPr>
          <w:lang w:bidi="en-US"/>
        </w:rPr>
        <w:t>.</w:t>
      </w:r>
    </w:p>
    <w:p w14:paraId="5AC4852D" w14:textId="5A9271A1" w:rsidR="00972BD0" w:rsidRPr="00D42C5A" w:rsidRDefault="00972BD0" w:rsidP="00D42C5A">
      <w:pPr>
        <w:pStyle w:val="Heading3"/>
        <w:rPr>
          <w:rFonts w:eastAsia="Calibri"/>
          <w:lang w:bidi="en-US"/>
        </w:rPr>
      </w:pPr>
      <w:bookmarkStart w:id="58" w:name="_Toc135416667"/>
      <w:bookmarkStart w:id="59" w:name="_Toc166834302"/>
      <w:r w:rsidRPr="00D42C5A">
        <w:rPr>
          <w:rFonts w:eastAsia="Calibri"/>
          <w:lang w:bidi="en-US"/>
        </w:rPr>
        <w:t>Block traffic by default and monitor user access</w:t>
      </w:r>
      <w:bookmarkEnd w:id="58"/>
      <w:bookmarkEnd w:id="59"/>
    </w:p>
    <w:p w14:paraId="3BB8E652" w14:textId="7BA72B41" w:rsidR="00972BD0" w:rsidRDefault="00972BD0" w:rsidP="00F91ADF">
      <w:pPr>
        <w:pStyle w:val="BodyText"/>
        <w:rPr>
          <w:lang w:bidi="en-US"/>
        </w:rPr>
      </w:pPr>
      <w:r w:rsidRPr="0084792E">
        <w:rPr>
          <w:lang w:bidi="en-US"/>
        </w:rPr>
        <w:t>In general, the firewall rules should follow a “deny all” philosophy with the exceptions being those few allowed I</w:t>
      </w:r>
      <w:r w:rsidR="00F640A4">
        <w:rPr>
          <w:lang w:bidi="en-US"/>
        </w:rPr>
        <w:t>P</w:t>
      </w:r>
      <w:r w:rsidRPr="0084792E">
        <w:rPr>
          <w:lang w:bidi="en-US"/>
        </w:rPr>
        <w:t>s</w:t>
      </w:r>
      <w:r w:rsidR="00F640A4">
        <w:rPr>
          <w:lang w:bidi="en-US"/>
        </w:rPr>
        <w:t xml:space="preserve"> or </w:t>
      </w:r>
      <w:r w:rsidRPr="0084792E">
        <w:rPr>
          <w:lang w:bidi="en-US"/>
        </w:rPr>
        <w:t xml:space="preserve">URLs </w:t>
      </w:r>
      <w:r w:rsidR="00F640A4">
        <w:rPr>
          <w:lang w:bidi="en-US"/>
        </w:rPr>
        <w:t>that</w:t>
      </w:r>
      <w:r w:rsidRPr="0084792E">
        <w:rPr>
          <w:lang w:bidi="en-US"/>
        </w:rPr>
        <w:t xml:space="preserve"> the </w:t>
      </w:r>
      <w:r>
        <w:rPr>
          <w:lang w:bidi="en-US"/>
        </w:rPr>
        <w:t>organization</w:t>
      </w:r>
      <w:r w:rsidRPr="0084792E">
        <w:rPr>
          <w:lang w:bidi="en-US"/>
        </w:rPr>
        <w:t xml:space="preserve"> has deemed necessary for business.</w:t>
      </w:r>
      <w:r>
        <w:rPr>
          <w:lang w:bidi="en-US"/>
        </w:rPr>
        <w:t xml:space="preserve"> </w:t>
      </w:r>
      <w:r w:rsidRPr="00022322">
        <w:rPr>
          <w:lang w:bidi="en-US"/>
        </w:rPr>
        <w:t xml:space="preserve">This helps control who can access </w:t>
      </w:r>
      <w:r>
        <w:rPr>
          <w:lang w:bidi="en-US"/>
        </w:rPr>
        <w:t xml:space="preserve">the </w:t>
      </w:r>
      <w:r w:rsidRPr="00022322">
        <w:rPr>
          <w:lang w:bidi="en-US"/>
        </w:rPr>
        <w:t>network and prevents security breaches from occurring.</w:t>
      </w:r>
      <w:r>
        <w:rPr>
          <w:lang w:bidi="en-US"/>
        </w:rPr>
        <w:t xml:space="preserve"> </w:t>
      </w:r>
    </w:p>
    <w:p w14:paraId="3C9B1FCB" w14:textId="6B11B9CF" w:rsidR="00972BD0" w:rsidRPr="00574B65" w:rsidRDefault="00972BD0" w:rsidP="00D42C5A">
      <w:pPr>
        <w:pStyle w:val="Heading3"/>
        <w:rPr>
          <w:rFonts w:eastAsia="Calibri"/>
          <w:lang w:bidi="en-US"/>
        </w:rPr>
      </w:pPr>
      <w:bookmarkStart w:id="60" w:name="_Toc135416668"/>
      <w:bookmarkStart w:id="61" w:name="_Toc166834303"/>
      <w:r w:rsidRPr="00574B65">
        <w:rPr>
          <w:rFonts w:eastAsia="Calibri"/>
          <w:lang w:bidi="en-US"/>
        </w:rPr>
        <w:t>Establish a firewall configuration change plan</w:t>
      </w:r>
      <w:bookmarkEnd w:id="60"/>
      <w:bookmarkEnd w:id="61"/>
    </w:p>
    <w:p w14:paraId="3F68A304" w14:textId="57463CE6" w:rsidR="00972BD0" w:rsidRPr="00A83388" w:rsidRDefault="00972BD0" w:rsidP="00733114">
      <w:pPr>
        <w:pStyle w:val="BodyText"/>
        <w:rPr>
          <w:lang w:bidi="en-US"/>
        </w:rPr>
      </w:pPr>
      <w:r w:rsidRPr="00A83388">
        <w:rPr>
          <w:lang w:bidi="en-US"/>
        </w:rPr>
        <w:t>A network’s firewall will need to be updated from time to time for various reasons to ensure that the firewall remains strong and capable of protecting against new threats. It is important to have a change management plan so that the process is smooth and secure. Any unplanned configuration change leaves a loophole in your network’s security.</w:t>
      </w:r>
    </w:p>
    <w:p w14:paraId="2C42B861" w14:textId="77777777" w:rsidR="00972BD0" w:rsidRDefault="00972BD0" w:rsidP="00776AB8">
      <w:pPr>
        <w:pStyle w:val="BodyText"/>
        <w:keepNext/>
        <w:keepLines/>
        <w:rPr>
          <w:lang w:bidi="en-US"/>
        </w:rPr>
      </w:pPr>
      <w:r w:rsidRPr="00A83388">
        <w:rPr>
          <w:lang w:bidi="en-US"/>
        </w:rPr>
        <w:lastRenderedPageBreak/>
        <w:t xml:space="preserve">A well-defined and robust firewall change management plan </w:t>
      </w:r>
      <w:r>
        <w:rPr>
          <w:lang w:bidi="en-US"/>
        </w:rPr>
        <w:t>includes</w:t>
      </w:r>
      <w:r w:rsidRPr="00A83388">
        <w:rPr>
          <w:lang w:bidi="en-US"/>
        </w:rPr>
        <w:t xml:space="preserve"> certain basic features:</w:t>
      </w:r>
    </w:p>
    <w:p w14:paraId="16A8389C" w14:textId="77777777" w:rsidR="00972BD0" w:rsidRDefault="00972BD0" w:rsidP="00776AB8">
      <w:pPr>
        <w:pStyle w:val="BodyText"/>
        <w:keepNext/>
        <w:keepLines/>
        <w:numPr>
          <w:ilvl w:val="0"/>
          <w:numId w:val="11"/>
        </w:numPr>
        <w:ind w:left="540"/>
        <w:rPr>
          <w:lang w:bidi="en-US"/>
        </w:rPr>
      </w:pPr>
      <w:r>
        <w:rPr>
          <w:lang w:bidi="en-US"/>
        </w:rPr>
        <w:t>D</w:t>
      </w:r>
      <w:r w:rsidRPr="00A83388">
        <w:rPr>
          <w:lang w:bidi="en-US"/>
        </w:rPr>
        <w:t>efine the changes that are required and their objectives.</w:t>
      </w:r>
    </w:p>
    <w:p w14:paraId="4E906434" w14:textId="3098F13F" w:rsidR="00972BD0" w:rsidRDefault="00972BD0">
      <w:pPr>
        <w:pStyle w:val="BodyText"/>
        <w:numPr>
          <w:ilvl w:val="0"/>
          <w:numId w:val="11"/>
        </w:numPr>
        <w:ind w:left="540"/>
        <w:rPr>
          <w:lang w:bidi="en-US"/>
        </w:rPr>
      </w:pPr>
      <w:r w:rsidRPr="00A83388">
        <w:rPr>
          <w:lang w:bidi="en-US"/>
        </w:rPr>
        <w:t>List the risks involved due to the policy changes</w:t>
      </w:r>
      <w:r w:rsidR="00F640A4">
        <w:rPr>
          <w:lang w:bidi="en-US"/>
        </w:rPr>
        <w:t xml:space="preserve"> and</w:t>
      </w:r>
      <w:r w:rsidRPr="00A83388">
        <w:rPr>
          <w:lang w:bidi="en-US"/>
        </w:rPr>
        <w:t xml:space="preserve"> their impacts on the network, and </w:t>
      </w:r>
      <w:r w:rsidR="00F640A4">
        <w:rPr>
          <w:lang w:bidi="en-US"/>
        </w:rPr>
        <w:t xml:space="preserve">provide </w:t>
      </w:r>
      <w:r w:rsidRPr="00A83388">
        <w:rPr>
          <w:lang w:bidi="en-US"/>
        </w:rPr>
        <w:t>a mitigation plan to minimize the risks.</w:t>
      </w:r>
    </w:p>
    <w:p w14:paraId="14610D30" w14:textId="7BF118E1" w:rsidR="00972BD0" w:rsidRPr="00A83388" w:rsidRDefault="00F640A4">
      <w:pPr>
        <w:pStyle w:val="BodyText"/>
        <w:numPr>
          <w:ilvl w:val="0"/>
          <w:numId w:val="11"/>
        </w:numPr>
        <w:ind w:left="540"/>
        <w:rPr>
          <w:lang w:bidi="en-US"/>
        </w:rPr>
      </w:pPr>
      <w:r>
        <w:rPr>
          <w:lang w:bidi="en-US"/>
        </w:rPr>
        <w:t>Have p</w:t>
      </w:r>
      <w:r w:rsidR="00972BD0" w:rsidRPr="00A83388">
        <w:rPr>
          <w:lang w:bidi="en-US"/>
        </w:rPr>
        <w:t>roper audit trails that record who made the change, why</w:t>
      </w:r>
      <w:r>
        <w:rPr>
          <w:lang w:bidi="en-US"/>
        </w:rPr>
        <w:t xml:space="preserve"> it was made</w:t>
      </w:r>
      <w:r w:rsidR="00972BD0" w:rsidRPr="00A83388">
        <w:rPr>
          <w:lang w:bidi="en-US"/>
        </w:rPr>
        <w:t>, and when</w:t>
      </w:r>
      <w:r>
        <w:rPr>
          <w:lang w:bidi="en-US"/>
        </w:rPr>
        <w:t xml:space="preserve"> it occurred</w:t>
      </w:r>
      <w:r w:rsidR="00972BD0" w:rsidRPr="00A83388">
        <w:rPr>
          <w:lang w:bidi="en-US"/>
        </w:rPr>
        <w:t>.</w:t>
      </w:r>
    </w:p>
    <w:p w14:paraId="207A6EAE" w14:textId="7E8DA7DF" w:rsidR="00972BD0" w:rsidRDefault="00972BD0" w:rsidP="00D42C5A">
      <w:pPr>
        <w:pStyle w:val="Heading3"/>
        <w:rPr>
          <w:rFonts w:eastAsia="Calibri"/>
          <w:lang w:bidi="en-US"/>
        </w:rPr>
      </w:pPr>
      <w:bookmarkStart w:id="62" w:name="_Toc135416669"/>
      <w:bookmarkStart w:id="63" w:name="_Toc166834304"/>
      <w:r w:rsidRPr="0066798B">
        <w:rPr>
          <w:rFonts w:eastAsia="Calibri"/>
          <w:lang w:bidi="en-US"/>
        </w:rPr>
        <w:t>Optimize the firewall rules of your network</w:t>
      </w:r>
      <w:bookmarkEnd w:id="62"/>
      <w:bookmarkEnd w:id="63"/>
    </w:p>
    <w:p w14:paraId="6A43AC4C" w14:textId="0B7292A6" w:rsidR="00972BD0" w:rsidRDefault="00972BD0" w:rsidP="004A2A35">
      <w:pPr>
        <w:pStyle w:val="BodyText"/>
        <w:keepLines/>
        <w:rPr>
          <w:lang w:bidi="en-US"/>
        </w:rPr>
      </w:pPr>
      <w:r w:rsidRPr="0066798B">
        <w:rPr>
          <w:lang w:bidi="en-US"/>
        </w:rPr>
        <w:t>The firewall rules must be well-defined and optimized to provide the expected protection. Be specific and purposeful with rules.</w:t>
      </w:r>
      <w:r>
        <w:rPr>
          <w:lang w:bidi="en-US"/>
        </w:rPr>
        <w:t xml:space="preserve"> </w:t>
      </w:r>
      <w:r w:rsidRPr="0066798B">
        <w:rPr>
          <w:lang w:bidi="en-US"/>
        </w:rPr>
        <w:t>If possible, create different groups of I</w:t>
      </w:r>
      <w:r w:rsidR="00133CF9">
        <w:rPr>
          <w:lang w:bidi="en-US"/>
        </w:rPr>
        <w:t>P</w:t>
      </w:r>
      <w:r w:rsidRPr="0066798B">
        <w:rPr>
          <w:lang w:bidi="en-US"/>
        </w:rPr>
        <w:t>s and ports that make sense, which allows you to create a set of firewall rules, and primarily use groups where you can add/remove individual components. Ensure your rules specify the destination and source IP addresses</w:t>
      </w:r>
      <w:r w:rsidR="00133CF9">
        <w:rPr>
          <w:lang w:bidi="en-US"/>
        </w:rPr>
        <w:t xml:space="preserve"> (</w:t>
      </w:r>
      <w:r w:rsidRPr="0066798B">
        <w:rPr>
          <w:lang w:bidi="en-US"/>
        </w:rPr>
        <w:t>or sometimes ranges</w:t>
      </w:r>
      <w:r w:rsidR="00133CF9">
        <w:rPr>
          <w:lang w:bidi="en-US"/>
        </w:rPr>
        <w:t xml:space="preserve">) </w:t>
      </w:r>
      <w:r w:rsidRPr="0066798B">
        <w:rPr>
          <w:lang w:bidi="en-US"/>
        </w:rPr>
        <w:t>and destination port</w:t>
      </w:r>
      <w:r w:rsidR="00133CF9">
        <w:rPr>
          <w:lang w:bidi="en-US"/>
        </w:rPr>
        <w:t>s</w:t>
      </w:r>
      <w:r w:rsidRPr="0066798B">
        <w:rPr>
          <w:lang w:bidi="en-US"/>
        </w:rPr>
        <w:t xml:space="preserve"> whenever possible. </w:t>
      </w:r>
    </w:p>
    <w:p w14:paraId="4135D2D9" w14:textId="1FFABFBD" w:rsidR="00972BD0" w:rsidRPr="0066798B" w:rsidRDefault="00972BD0" w:rsidP="00733114">
      <w:pPr>
        <w:pStyle w:val="BodyText"/>
        <w:rPr>
          <w:lang w:bidi="en-US"/>
        </w:rPr>
      </w:pPr>
      <w:r w:rsidRPr="0066798B">
        <w:rPr>
          <w:lang w:bidi="en-US"/>
        </w:rPr>
        <w:t xml:space="preserve">Cleaning up the firewall rule base </w:t>
      </w:r>
      <w:r w:rsidR="00133CF9">
        <w:rPr>
          <w:lang w:bidi="en-US"/>
        </w:rPr>
        <w:t>to remove</w:t>
      </w:r>
      <w:r w:rsidRPr="0066798B">
        <w:rPr>
          <w:lang w:bidi="en-US"/>
        </w:rPr>
        <w:t xml:space="preserve"> any kind of unnecessary clutter can have a positive impact on network security. </w:t>
      </w:r>
    </w:p>
    <w:p w14:paraId="48E6B69C" w14:textId="16E5E9BC" w:rsidR="00972BD0" w:rsidRPr="008A208F" w:rsidRDefault="00972BD0" w:rsidP="00F91ADF">
      <w:pPr>
        <w:pStyle w:val="BodyText"/>
        <w:rPr>
          <w:lang w:bidi="en-US"/>
        </w:rPr>
      </w:pPr>
      <w:r w:rsidRPr="008A208F">
        <w:rPr>
          <w:lang w:bidi="en-US"/>
        </w:rPr>
        <w:t>To clean your firewall rule base</w:t>
      </w:r>
      <w:r w:rsidR="00133CF9">
        <w:rPr>
          <w:lang w:bidi="en-US"/>
        </w:rPr>
        <w:t>, do the following</w:t>
      </w:r>
      <w:r w:rsidRPr="008A208F">
        <w:rPr>
          <w:lang w:bidi="en-US"/>
        </w:rPr>
        <w:t>:</w:t>
      </w:r>
    </w:p>
    <w:p w14:paraId="55F8481A" w14:textId="34DB2C8A" w:rsidR="00972BD0" w:rsidRPr="0030508E" w:rsidRDefault="00972BD0">
      <w:pPr>
        <w:pStyle w:val="BodyText"/>
        <w:numPr>
          <w:ilvl w:val="0"/>
          <w:numId w:val="12"/>
        </w:numPr>
        <w:ind w:left="540"/>
        <w:rPr>
          <w:lang w:bidi="en-US"/>
        </w:rPr>
      </w:pPr>
      <w:r w:rsidRPr="0030508E">
        <w:rPr>
          <w:lang w:bidi="en-US"/>
        </w:rPr>
        <w:t>Eliminate redundant or duplicate rules</w:t>
      </w:r>
      <w:r w:rsidR="00133CF9">
        <w:rPr>
          <w:lang w:bidi="en-US"/>
        </w:rPr>
        <w:t xml:space="preserve">. These </w:t>
      </w:r>
      <w:r w:rsidR="002804C0">
        <w:rPr>
          <w:lang w:bidi="en-US"/>
        </w:rPr>
        <w:t>may</w:t>
      </w:r>
      <w:r w:rsidR="00133CF9">
        <w:rPr>
          <w:lang w:bidi="en-US"/>
        </w:rPr>
        <w:t xml:space="preserve"> negatively impact</w:t>
      </w:r>
      <w:r w:rsidRPr="0030508E">
        <w:rPr>
          <w:lang w:bidi="en-US"/>
        </w:rPr>
        <w:t xml:space="preserve"> firewall performance </w:t>
      </w:r>
      <w:r w:rsidR="00133CF9">
        <w:rPr>
          <w:lang w:bidi="en-US"/>
        </w:rPr>
        <w:t>because</w:t>
      </w:r>
      <w:r w:rsidRPr="0030508E">
        <w:rPr>
          <w:lang w:bidi="en-US"/>
        </w:rPr>
        <w:t xml:space="preserve"> the firewall </w:t>
      </w:r>
      <w:r w:rsidR="00133CF9">
        <w:rPr>
          <w:lang w:bidi="en-US"/>
        </w:rPr>
        <w:t>has t</w:t>
      </w:r>
      <w:r w:rsidRPr="0030508E">
        <w:rPr>
          <w:lang w:bidi="en-US"/>
        </w:rPr>
        <w:t>o process more rules than necessary.</w:t>
      </w:r>
    </w:p>
    <w:p w14:paraId="30F2E796" w14:textId="79F167DC" w:rsidR="00972BD0" w:rsidRPr="0030508E" w:rsidRDefault="00972BD0">
      <w:pPr>
        <w:pStyle w:val="BodyText"/>
        <w:numPr>
          <w:ilvl w:val="0"/>
          <w:numId w:val="12"/>
        </w:numPr>
        <w:ind w:left="540"/>
        <w:rPr>
          <w:lang w:bidi="en-US"/>
        </w:rPr>
      </w:pPr>
      <w:r w:rsidRPr="0030508E">
        <w:rPr>
          <w:lang w:bidi="en-US"/>
        </w:rPr>
        <w:t xml:space="preserve">Remove the rules that are obsolete or no longer in use. These make the firewall management more complex and </w:t>
      </w:r>
      <w:r w:rsidR="002804C0">
        <w:rPr>
          <w:lang w:bidi="en-US"/>
        </w:rPr>
        <w:t>may</w:t>
      </w:r>
      <w:r w:rsidRPr="0030508E">
        <w:rPr>
          <w:lang w:bidi="en-US"/>
        </w:rPr>
        <w:t xml:space="preserve"> even be a threat to network security if not updated.</w:t>
      </w:r>
    </w:p>
    <w:p w14:paraId="71AB2CAC" w14:textId="77777777" w:rsidR="00972BD0" w:rsidRPr="0030508E" w:rsidRDefault="00972BD0">
      <w:pPr>
        <w:pStyle w:val="BodyText"/>
        <w:numPr>
          <w:ilvl w:val="0"/>
          <w:numId w:val="12"/>
        </w:numPr>
        <w:ind w:left="540"/>
        <w:rPr>
          <w:lang w:bidi="en-US"/>
        </w:rPr>
      </w:pPr>
      <w:r w:rsidRPr="0030508E">
        <w:rPr>
          <w:lang w:bidi="en-US"/>
        </w:rPr>
        <w:t>Remove shadowed rules that are not essential. These may lead to more critical rules being neglected.</w:t>
      </w:r>
    </w:p>
    <w:p w14:paraId="4EDDB1C1" w14:textId="23053D1D" w:rsidR="00972BD0" w:rsidRPr="0030508E" w:rsidRDefault="00133CF9">
      <w:pPr>
        <w:pStyle w:val="BodyText"/>
        <w:numPr>
          <w:ilvl w:val="0"/>
          <w:numId w:val="12"/>
        </w:numPr>
        <w:ind w:left="540"/>
        <w:rPr>
          <w:lang w:bidi="en-US"/>
        </w:rPr>
      </w:pPr>
      <w:r>
        <w:rPr>
          <w:lang w:bidi="en-US"/>
        </w:rPr>
        <w:t>Eliminate c</w:t>
      </w:r>
      <w:r w:rsidR="00972BD0" w:rsidRPr="0030508E">
        <w:rPr>
          <w:lang w:bidi="en-US"/>
        </w:rPr>
        <w:t>onflicting rules.</w:t>
      </w:r>
    </w:p>
    <w:p w14:paraId="29F908EA" w14:textId="0DF28EC0" w:rsidR="00972BD0" w:rsidRDefault="00133CF9">
      <w:pPr>
        <w:pStyle w:val="BodyText"/>
        <w:numPr>
          <w:ilvl w:val="0"/>
          <w:numId w:val="12"/>
        </w:numPr>
        <w:ind w:left="540"/>
        <w:rPr>
          <w:lang w:bidi="en-US"/>
        </w:rPr>
      </w:pPr>
      <w:r>
        <w:rPr>
          <w:lang w:bidi="en-US"/>
        </w:rPr>
        <w:t>Eliminate a</w:t>
      </w:r>
      <w:r w:rsidR="00972BD0" w:rsidRPr="0030508E">
        <w:rPr>
          <w:lang w:bidi="en-US"/>
        </w:rPr>
        <w:t>ny errors or inaccuracies in the rules</w:t>
      </w:r>
      <w:r>
        <w:rPr>
          <w:lang w:bidi="en-US"/>
        </w:rPr>
        <w:t xml:space="preserve">. These may </w:t>
      </w:r>
      <w:r w:rsidR="00972BD0" w:rsidRPr="0030508E">
        <w:rPr>
          <w:lang w:bidi="en-US"/>
        </w:rPr>
        <w:t>result in malfunctions.</w:t>
      </w:r>
    </w:p>
    <w:p w14:paraId="353D91F3" w14:textId="128B82B8" w:rsidR="00733114" w:rsidRDefault="00972BD0" w:rsidP="00D42C5A">
      <w:pPr>
        <w:pStyle w:val="Heading3"/>
        <w:rPr>
          <w:rFonts w:eastAsia="Calibri"/>
          <w:lang w:bidi="en-US"/>
        </w:rPr>
      </w:pPr>
      <w:bookmarkStart w:id="64" w:name="_Toc135416670"/>
      <w:bookmarkStart w:id="65" w:name="_Toc166834305"/>
      <w:r w:rsidRPr="00CC5DB4">
        <w:rPr>
          <w:rFonts w:eastAsia="Calibri"/>
          <w:lang w:bidi="en-US"/>
        </w:rPr>
        <w:t>Update your firewall software regularly</w:t>
      </w:r>
      <w:bookmarkEnd w:id="64"/>
      <w:bookmarkEnd w:id="65"/>
    </w:p>
    <w:p w14:paraId="51D7BDA4" w14:textId="2F969E5A" w:rsidR="00972BD0" w:rsidRDefault="00972BD0" w:rsidP="00733114">
      <w:pPr>
        <w:pStyle w:val="BodyText"/>
        <w:rPr>
          <w:lang w:bidi="en-US"/>
        </w:rPr>
      </w:pPr>
      <w:r w:rsidRPr="00CC5DB4">
        <w:rPr>
          <w:lang w:bidi="en-US"/>
        </w:rPr>
        <w:t xml:space="preserve">It is important to keep updating </w:t>
      </w:r>
      <w:r>
        <w:rPr>
          <w:lang w:bidi="en-US"/>
        </w:rPr>
        <w:t>your</w:t>
      </w:r>
      <w:r w:rsidRPr="00CC5DB4">
        <w:rPr>
          <w:lang w:bidi="en-US"/>
        </w:rPr>
        <w:t xml:space="preserve"> firewall software to ensure that your network is secure and </w:t>
      </w:r>
      <w:r w:rsidR="002804C0">
        <w:rPr>
          <w:lang w:bidi="en-US"/>
        </w:rPr>
        <w:t xml:space="preserve">that </w:t>
      </w:r>
      <w:r w:rsidRPr="00CC5DB4">
        <w:rPr>
          <w:lang w:bidi="en-US"/>
        </w:rPr>
        <w:t xml:space="preserve">there are no loopholes in the system that could pose a threat to security. </w:t>
      </w:r>
      <w:r w:rsidR="002804C0">
        <w:rPr>
          <w:lang w:bidi="en-US"/>
        </w:rPr>
        <w:t>F</w:t>
      </w:r>
      <w:r w:rsidRPr="00CC5DB4">
        <w:rPr>
          <w:lang w:bidi="en-US"/>
        </w:rPr>
        <w:t>rom time to time</w:t>
      </w:r>
      <w:r w:rsidR="002804C0">
        <w:rPr>
          <w:lang w:bidi="en-US"/>
        </w:rPr>
        <w:t>, check</w:t>
      </w:r>
      <w:r w:rsidRPr="00CC5DB4">
        <w:rPr>
          <w:lang w:bidi="en-US"/>
        </w:rPr>
        <w:t xml:space="preserve"> if your firewall software is updated to the latest version.</w:t>
      </w:r>
    </w:p>
    <w:p w14:paraId="390ED021" w14:textId="027F52CC" w:rsidR="00733114" w:rsidRDefault="00972BD0" w:rsidP="00D42C5A">
      <w:pPr>
        <w:pStyle w:val="Heading3"/>
        <w:rPr>
          <w:rFonts w:eastAsia="Calibri"/>
          <w:lang w:bidi="en-US"/>
        </w:rPr>
      </w:pPr>
      <w:bookmarkStart w:id="66" w:name="_Toc135416671"/>
      <w:bookmarkStart w:id="67" w:name="_Toc166834306"/>
      <w:r w:rsidRPr="0066798B">
        <w:rPr>
          <w:rFonts w:eastAsia="Calibri"/>
          <w:lang w:bidi="en-US"/>
        </w:rPr>
        <w:t>Conduct regular firewall security audits</w:t>
      </w:r>
      <w:bookmarkEnd w:id="66"/>
      <w:bookmarkEnd w:id="67"/>
    </w:p>
    <w:p w14:paraId="5C93251A" w14:textId="6B40183D" w:rsidR="00972BD0" w:rsidRDefault="00972BD0" w:rsidP="00733114">
      <w:pPr>
        <w:pStyle w:val="BodyText"/>
        <w:rPr>
          <w:lang w:bidi="en-US"/>
        </w:rPr>
      </w:pPr>
      <w:r w:rsidRPr="0066798B">
        <w:rPr>
          <w:lang w:bidi="en-US"/>
        </w:rPr>
        <w:t>Security audits are necessary to ensure that the firewall rules comply with the organizational</w:t>
      </w:r>
      <w:r w:rsidR="002804C0">
        <w:rPr>
          <w:lang w:bidi="en-US"/>
        </w:rPr>
        <w:t xml:space="preserve"> and</w:t>
      </w:r>
      <w:r w:rsidRPr="0066798B">
        <w:rPr>
          <w:lang w:bidi="en-US"/>
        </w:rPr>
        <w:t xml:space="preserve"> external security regulations that apply to the network. </w:t>
      </w:r>
    </w:p>
    <w:p w14:paraId="5B9C3874" w14:textId="2623C7F7" w:rsidR="00972BD0" w:rsidRPr="00F91ADF" w:rsidRDefault="00972BD0" w:rsidP="00F91ADF">
      <w:pPr>
        <w:pStyle w:val="BodyText"/>
        <w:rPr>
          <w:lang w:bidi="en-US"/>
        </w:rPr>
      </w:pPr>
      <w:r w:rsidRPr="0066798B">
        <w:rPr>
          <w:lang w:bidi="en-US"/>
        </w:rPr>
        <w:t xml:space="preserve">Unauthorized firewall configuration changes that are a policy violation can cause non-compliance. It is important for administrators and IT security staff to carry out regular security audits to ensure </w:t>
      </w:r>
      <w:r w:rsidR="002804C0">
        <w:rPr>
          <w:lang w:bidi="en-US"/>
        </w:rPr>
        <w:t xml:space="preserve">that </w:t>
      </w:r>
      <w:r w:rsidRPr="0066798B">
        <w:rPr>
          <w:lang w:bidi="en-US"/>
        </w:rPr>
        <w:t>no unauthorized changes have taken place.</w:t>
      </w:r>
    </w:p>
    <w:p w14:paraId="132EAB6F" w14:textId="77777777" w:rsidR="00972BD0" w:rsidRPr="00BB395E" w:rsidRDefault="00972BD0" w:rsidP="004267C0">
      <w:pPr>
        <w:pStyle w:val="Heading2"/>
        <w:rPr>
          <w:rFonts w:ascii="Calibri" w:eastAsia="Calibri" w:hAnsi="Calibri" w:cs="Calibri"/>
          <w:color w:val="1F4E79"/>
          <w:lang w:bidi="en-US"/>
        </w:rPr>
      </w:pPr>
      <w:bookmarkStart w:id="68" w:name="_Toc135416672"/>
      <w:bookmarkStart w:id="69" w:name="_Toc166834307"/>
      <w:r w:rsidRPr="00BB395E">
        <w:lastRenderedPageBreak/>
        <w:t>Incident</w:t>
      </w:r>
      <w:r w:rsidRPr="00BB395E">
        <w:rPr>
          <w:rFonts w:ascii="Calibri" w:eastAsia="Calibri" w:hAnsi="Calibri" w:cs="Calibri"/>
          <w:color w:val="1F4E79"/>
          <w:lang w:bidi="en-US"/>
        </w:rPr>
        <w:t xml:space="preserve"> </w:t>
      </w:r>
      <w:r w:rsidRPr="00BB395E">
        <w:t>Response and Log Review Protocol</w:t>
      </w:r>
      <w:bookmarkEnd w:id="68"/>
      <w:bookmarkEnd w:id="69"/>
    </w:p>
    <w:p w14:paraId="00738D61" w14:textId="24D520FC" w:rsidR="00972BD0" w:rsidRDefault="00972BD0" w:rsidP="00D42C5A">
      <w:pPr>
        <w:pStyle w:val="Heading3"/>
        <w:rPr>
          <w:rFonts w:eastAsia="Calibri"/>
          <w:lang w:bidi="en-US"/>
        </w:rPr>
      </w:pPr>
      <w:bookmarkStart w:id="70" w:name="_Toc135416673"/>
      <w:bookmarkStart w:id="71" w:name="_Toc166834308"/>
      <w:r>
        <w:rPr>
          <w:rFonts w:eastAsia="Calibri"/>
          <w:lang w:bidi="en-US"/>
        </w:rPr>
        <w:t>Information System Contingency Plan (ISCP)</w:t>
      </w:r>
      <w:bookmarkEnd w:id="70"/>
      <w:bookmarkEnd w:id="71"/>
    </w:p>
    <w:p w14:paraId="5DE146F8" w14:textId="1FD5C5E8" w:rsidR="00972BD0" w:rsidRPr="009A0D76" w:rsidRDefault="00972BD0" w:rsidP="004A2A35">
      <w:pPr>
        <w:pStyle w:val="BodyText"/>
        <w:keepNext/>
        <w:keepLines/>
        <w:rPr>
          <w:lang w:bidi="en-US"/>
        </w:rPr>
      </w:pPr>
      <w:r w:rsidRPr="009A0D76">
        <w:rPr>
          <w:lang w:bidi="en-US"/>
        </w:rPr>
        <w:t>An Information System Contingency Plan (ISCP) establishes comprehensive procedures to recover EDR quickly and effectively following a service disruption.</w:t>
      </w:r>
      <w:r w:rsidR="00021CB4">
        <w:rPr>
          <w:lang w:bidi="en-US"/>
        </w:rPr>
        <w:t xml:space="preserve"> Each clinic must have a</w:t>
      </w:r>
      <w:r w:rsidRPr="009A0D76">
        <w:rPr>
          <w:lang w:bidi="en-US"/>
        </w:rPr>
        <w:t xml:space="preserve"> robust IS</w:t>
      </w:r>
      <w:r w:rsidR="00021CB4">
        <w:rPr>
          <w:lang w:bidi="en-US"/>
        </w:rPr>
        <w:t>CP</w:t>
      </w:r>
      <w:r w:rsidRPr="009A0D76">
        <w:rPr>
          <w:lang w:bidi="en-US"/>
        </w:rPr>
        <w:t xml:space="preserve"> </w:t>
      </w:r>
      <w:r w:rsidR="00021CB4">
        <w:rPr>
          <w:lang w:bidi="en-US"/>
        </w:rPr>
        <w:t xml:space="preserve">that includes a </w:t>
      </w:r>
      <w:r w:rsidRPr="009A0D76">
        <w:rPr>
          <w:lang w:bidi="en-US"/>
        </w:rPr>
        <w:t>Disaster Recovery Plan (DRP).</w:t>
      </w:r>
    </w:p>
    <w:p w14:paraId="266C79BA" w14:textId="77777777" w:rsidR="00972BD0" w:rsidRPr="00F91ADF" w:rsidRDefault="00972BD0" w:rsidP="004A2A35">
      <w:pPr>
        <w:pStyle w:val="BodyText"/>
        <w:keepNext/>
        <w:keepLines/>
        <w:rPr>
          <w:lang w:bidi="en-US"/>
        </w:rPr>
      </w:pPr>
      <w:r w:rsidRPr="00F91ADF">
        <w:rPr>
          <w:lang w:bidi="en-US"/>
        </w:rPr>
        <w:t>The following recovery plan objectives have been established by IHS:</w:t>
      </w:r>
    </w:p>
    <w:p w14:paraId="2A86A20C" w14:textId="77777777" w:rsidR="00972BD0" w:rsidRDefault="00972BD0" w:rsidP="004A2A35">
      <w:pPr>
        <w:pStyle w:val="BodyText"/>
        <w:keepNext/>
        <w:keepLines/>
        <w:numPr>
          <w:ilvl w:val="0"/>
          <w:numId w:val="13"/>
        </w:numPr>
        <w:ind w:left="547"/>
        <w:rPr>
          <w:b/>
          <w:bCs/>
          <w:lang w:bidi="en-US"/>
        </w:rPr>
      </w:pPr>
      <w:r w:rsidRPr="003306BC">
        <w:rPr>
          <w:lang w:bidi="en-US"/>
        </w:rPr>
        <w:t>Maximize the effectiveness of contingency operations through an established plan that consists of the following phases:</w:t>
      </w:r>
    </w:p>
    <w:p w14:paraId="0A037929" w14:textId="7A30897E" w:rsidR="00972BD0" w:rsidRDefault="00972BD0" w:rsidP="004F45B6">
      <w:pPr>
        <w:pStyle w:val="BodyText"/>
        <w:numPr>
          <w:ilvl w:val="1"/>
          <w:numId w:val="144"/>
        </w:numPr>
        <w:ind w:left="1080"/>
        <w:rPr>
          <w:b/>
          <w:bCs/>
          <w:lang w:bidi="en-US"/>
        </w:rPr>
      </w:pPr>
      <w:r w:rsidRPr="003306BC">
        <w:rPr>
          <w:lang w:bidi="en-US"/>
        </w:rPr>
        <w:t>A</w:t>
      </w:r>
      <w:r w:rsidR="00A21C07">
        <w:rPr>
          <w:lang w:bidi="en-US"/>
        </w:rPr>
        <w:t>n a</w:t>
      </w:r>
      <w:r w:rsidRPr="003306BC">
        <w:rPr>
          <w:lang w:bidi="en-US"/>
        </w:rPr>
        <w:t>ctivation and notification phase to activate the plan and determine the extent of damage</w:t>
      </w:r>
      <w:r w:rsidR="00021CB4">
        <w:rPr>
          <w:lang w:bidi="en-US"/>
        </w:rPr>
        <w:t>.</w:t>
      </w:r>
    </w:p>
    <w:p w14:paraId="424BC25B" w14:textId="5DBE17BD" w:rsidR="00972BD0" w:rsidRDefault="00A21C07" w:rsidP="004F45B6">
      <w:pPr>
        <w:pStyle w:val="BodyText"/>
        <w:numPr>
          <w:ilvl w:val="1"/>
          <w:numId w:val="144"/>
        </w:numPr>
        <w:ind w:left="1080"/>
        <w:rPr>
          <w:b/>
          <w:bCs/>
          <w:lang w:bidi="en-US"/>
        </w:rPr>
      </w:pPr>
      <w:r>
        <w:rPr>
          <w:lang w:bidi="en-US"/>
        </w:rPr>
        <w:t>A r</w:t>
      </w:r>
      <w:r w:rsidR="00972BD0" w:rsidRPr="003306BC">
        <w:rPr>
          <w:lang w:bidi="en-US"/>
        </w:rPr>
        <w:t>ecovery phase to restore EDR operations</w:t>
      </w:r>
      <w:r w:rsidR="00021CB4">
        <w:rPr>
          <w:lang w:bidi="en-US"/>
        </w:rPr>
        <w:t>.</w:t>
      </w:r>
    </w:p>
    <w:p w14:paraId="6F6BFA31" w14:textId="274E0C6B" w:rsidR="00972BD0" w:rsidRDefault="00A21C07" w:rsidP="004F45B6">
      <w:pPr>
        <w:pStyle w:val="BodyText"/>
        <w:numPr>
          <w:ilvl w:val="1"/>
          <w:numId w:val="144"/>
        </w:numPr>
        <w:ind w:left="1080"/>
        <w:rPr>
          <w:b/>
          <w:bCs/>
          <w:lang w:bidi="en-US"/>
        </w:rPr>
      </w:pPr>
      <w:r>
        <w:rPr>
          <w:lang w:bidi="en-US"/>
        </w:rPr>
        <w:t>A r</w:t>
      </w:r>
      <w:r w:rsidR="00972BD0" w:rsidRPr="003306BC">
        <w:rPr>
          <w:lang w:bidi="en-US"/>
        </w:rPr>
        <w:t>econstitution phase to ensure that EDR is validated through testing and that normal operations are resumed.</w:t>
      </w:r>
    </w:p>
    <w:p w14:paraId="1C6A218A" w14:textId="77777777" w:rsidR="00972BD0" w:rsidRDefault="00972BD0">
      <w:pPr>
        <w:pStyle w:val="BodyText"/>
        <w:numPr>
          <w:ilvl w:val="0"/>
          <w:numId w:val="13"/>
        </w:numPr>
        <w:ind w:left="540"/>
        <w:rPr>
          <w:b/>
          <w:bCs/>
          <w:lang w:bidi="en-US"/>
        </w:rPr>
      </w:pPr>
      <w:r w:rsidRPr="003306BC">
        <w:rPr>
          <w:lang w:bidi="en-US"/>
        </w:rPr>
        <w:t>Identify the activities, resources, and procedures to carry out EDR processing requirements during prolonged interruptions to normal operations.</w:t>
      </w:r>
    </w:p>
    <w:p w14:paraId="2E9568CD" w14:textId="77777777" w:rsidR="00972BD0" w:rsidRDefault="00972BD0">
      <w:pPr>
        <w:pStyle w:val="BodyText"/>
        <w:numPr>
          <w:ilvl w:val="0"/>
          <w:numId w:val="13"/>
        </w:numPr>
        <w:ind w:left="540"/>
        <w:rPr>
          <w:b/>
          <w:bCs/>
          <w:lang w:bidi="en-US"/>
        </w:rPr>
      </w:pPr>
      <w:r w:rsidRPr="003306BC">
        <w:rPr>
          <w:lang w:bidi="en-US"/>
        </w:rPr>
        <w:t xml:space="preserve">Assign responsibilities to designated EDR personnel and provide guidance for recovering EDR during prolonged periods of interruption to normal operations. </w:t>
      </w:r>
    </w:p>
    <w:p w14:paraId="34E246C2" w14:textId="77777777" w:rsidR="00972BD0" w:rsidRDefault="00972BD0">
      <w:pPr>
        <w:pStyle w:val="BodyText"/>
        <w:numPr>
          <w:ilvl w:val="0"/>
          <w:numId w:val="13"/>
        </w:numPr>
        <w:ind w:left="540"/>
        <w:rPr>
          <w:b/>
          <w:bCs/>
          <w:lang w:bidi="en-US"/>
        </w:rPr>
      </w:pPr>
      <w:r w:rsidRPr="003306BC">
        <w:rPr>
          <w:lang w:bidi="en-US"/>
        </w:rPr>
        <w:t>Ensure coordination with other internal personnel responsible for EDR contingency planning strategies.</w:t>
      </w:r>
    </w:p>
    <w:p w14:paraId="67C1427C" w14:textId="77777777" w:rsidR="00972BD0" w:rsidRPr="003306BC" w:rsidRDefault="00972BD0">
      <w:pPr>
        <w:pStyle w:val="BodyText"/>
        <w:numPr>
          <w:ilvl w:val="0"/>
          <w:numId w:val="13"/>
        </w:numPr>
        <w:ind w:left="540"/>
        <w:rPr>
          <w:b/>
          <w:bCs/>
          <w:lang w:bidi="en-US"/>
        </w:rPr>
      </w:pPr>
      <w:r w:rsidRPr="003306BC">
        <w:rPr>
          <w:lang w:bidi="en-US"/>
        </w:rPr>
        <w:t>Ensure coordination with external points of contact (POC) and vendors associated with the execution of this ISCP.</w:t>
      </w:r>
    </w:p>
    <w:p w14:paraId="30B94DF8" w14:textId="77777777" w:rsidR="001C6E97" w:rsidRDefault="00972BD0" w:rsidP="002202F7">
      <w:pPr>
        <w:pStyle w:val="BodyText"/>
        <w:keepNext/>
        <w:keepLines/>
        <w:rPr>
          <w:lang w:bidi="en-US"/>
        </w:rPr>
      </w:pPr>
      <w:r>
        <w:rPr>
          <w:lang w:bidi="en-US"/>
        </w:rPr>
        <w:t>The ISCP has the following three phases:</w:t>
      </w:r>
    </w:p>
    <w:p w14:paraId="0849BA3F" w14:textId="52A8CC7A" w:rsidR="00972BD0" w:rsidRPr="001C6E97" w:rsidRDefault="00972BD0">
      <w:pPr>
        <w:pStyle w:val="BodyText"/>
        <w:keepNext/>
        <w:keepLines/>
        <w:numPr>
          <w:ilvl w:val="0"/>
          <w:numId w:val="14"/>
        </w:numPr>
        <w:ind w:left="540"/>
      </w:pPr>
      <w:r w:rsidRPr="00B3072B">
        <w:rPr>
          <w:b/>
          <w:bCs/>
        </w:rPr>
        <w:t>Activation and Notification Phase</w:t>
      </w:r>
      <w:r w:rsidRPr="001C6E97">
        <w:t xml:space="preserve"> – Activation of the ISCP occurs after a disruption or outage that may reasonably extend beyond the Recovery Time Objective (RTO) established for a system.</w:t>
      </w:r>
    </w:p>
    <w:p w14:paraId="0F7AA6C8" w14:textId="77777777" w:rsidR="00972BD0" w:rsidRPr="001C6E97" w:rsidRDefault="00972BD0">
      <w:pPr>
        <w:pStyle w:val="BodyText"/>
        <w:keepNext/>
        <w:keepLines/>
        <w:numPr>
          <w:ilvl w:val="0"/>
          <w:numId w:val="14"/>
        </w:numPr>
        <w:ind w:left="540"/>
      </w:pPr>
      <w:r w:rsidRPr="00B3072B">
        <w:rPr>
          <w:b/>
          <w:bCs/>
        </w:rPr>
        <w:t>Recovery Phase</w:t>
      </w:r>
      <w:r w:rsidRPr="001C6E97">
        <w:t xml:space="preserve"> – The recovery phase details the activities and procedures for recovery of the affected system. Activities and procedures are written at a level that an appropriately skilled technician can recover the system without intimate system knowledge. This phase includes notification and awareness of escalation procedures for communication of recovery status to system owners and users.</w:t>
      </w:r>
    </w:p>
    <w:p w14:paraId="6F5CFA5B" w14:textId="55467442" w:rsidR="00972BD0" w:rsidRPr="001C6E97" w:rsidRDefault="00972BD0">
      <w:pPr>
        <w:pStyle w:val="BodyText"/>
        <w:keepLines/>
        <w:numPr>
          <w:ilvl w:val="0"/>
          <w:numId w:val="14"/>
        </w:numPr>
        <w:ind w:left="547"/>
      </w:pPr>
      <w:r w:rsidRPr="00B3072B">
        <w:rPr>
          <w:b/>
          <w:bCs/>
        </w:rPr>
        <w:t>Reconstitution Phase</w:t>
      </w:r>
      <w:r w:rsidRPr="001C6E97">
        <w:t xml:space="preserve"> – The reconstitution phase defines the actions taken to test and validate system capability and functionality. This phase consists of two major activities: validating successful recovery and deactivating the plan. During validation, the system is tested and validated as operational prior to returning operation to its normal state. Validation procedures may include functionality or regression testing, concurrent processing, and/or data validation. The system is declared recovered and operational by system owners upon successful completion of validation testing. Deactivation includes activities to notify users of system operational status. This phase also addresses recovery effort documentation, activity log finalization, incorporation of lessons learned into plan updates, and readying resources for any future recovery events.</w:t>
      </w:r>
    </w:p>
    <w:p w14:paraId="5CFD5BA2" w14:textId="77777777" w:rsidR="00972BD0" w:rsidRDefault="00972BD0" w:rsidP="00D42C5A">
      <w:pPr>
        <w:pStyle w:val="Heading3"/>
        <w:rPr>
          <w:rFonts w:eastAsia="Calibri"/>
          <w:lang w:bidi="en-US"/>
        </w:rPr>
      </w:pPr>
      <w:bookmarkStart w:id="72" w:name="_Toc135416674"/>
      <w:bookmarkStart w:id="73" w:name="_Toc166834309"/>
      <w:r w:rsidRPr="00143895">
        <w:rPr>
          <w:rFonts w:eastAsia="Calibri"/>
          <w:lang w:bidi="en-US"/>
        </w:rPr>
        <w:lastRenderedPageBreak/>
        <w:t>Security Alerts</w:t>
      </w:r>
      <w:bookmarkEnd w:id="72"/>
      <w:bookmarkEnd w:id="73"/>
    </w:p>
    <w:p w14:paraId="72567EBE" w14:textId="783F3D0F" w:rsidR="00972BD0" w:rsidRPr="00D720FB" w:rsidRDefault="00972BD0" w:rsidP="001C6E97">
      <w:pPr>
        <w:pStyle w:val="BodyText"/>
        <w:rPr>
          <w:lang w:bidi="en-US"/>
        </w:rPr>
      </w:pPr>
      <w:r w:rsidRPr="00D720FB">
        <w:rPr>
          <w:lang w:bidi="en-US"/>
        </w:rPr>
        <w:t xml:space="preserve">Cybersecurity and Infrastructure Security Agency </w:t>
      </w:r>
      <w:r>
        <w:rPr>
          <w:lang w:bidi="en-US"/>
        </w:rPr>
        <w:t>pushed</w:t>
      </w:r>
      <w:r w:rsidRPr="00D720FB">
        <w:rPr>
          <w:lang w:bidi="en-US"/>
        </w:rPr>
        <w:t xml:space="preserve"> the deployment of Falcon CrowdStrike in the government environment. This push trickled down from HHS to IHS for implementation</w:t>
      </w:r>
      <w:r>
        <w:rPr>
          <w:lang w:bidi="en-US"/>
        </w:rPr>
        <w:t xml:space="preserve"> </w:t>
      </w:r>
      <w:r w:rsidRPr="00D720FB">
        <w:rPr>
          <w:lang w:bidi="en-US"/>
        </w:rPr>
        <w:t xml:space="preserve">to all endpoints running Windows and Linux operating systems. The agent </w:t>
      </w:r>
      <w:r>
        <w:rPr>
          <w:lang w:bidi="en-US"/>
        </w:rPr>
        <w:t>is</w:t>
      </w:r>
      <w:r w:rsidRPr="00D720FB">
        <w:rPr>
          <w:lang w:bidi="en-US"/>
        </w:rPr>
        <w:t xml:space="preserve"> installed in a passive state and will not interfere with other agents or software running on your endpoints. Splunk is the data integrator for </w:t>
      </w:r>
      <w:r>
        <w:rPr>
          <w:lang w:bidi="en-US"/>
        </w:rPr>
        <w:t xml:space="preserve">the CrowdStrike </w:t>
      </w:r>
      <w:r w:rsidRPr="00D720FB">
        <w:rPr>
          <w:lang w:bidi="en-US"/>
        </w:rPr>
        <w:t>system logs</w:t>
      </w:r>
      <w:r>
        <w:rPr>
          <w:lang w:bidi="en-US"/>
        </w:rPr>
        <w:t>.</w:t>
      </w:r>
    </w:p>
    <w:p w14:paraId="7B492273" w14:textId="69A68750" w:rsidR="00972BD0" w:rsidRPr="00D720FB" w:rsidRDefault="00972BD0" w:rsidP="001C6E97">
      <w:pPr>
        <w:pStyle w:val="BodyText"/>
        <w:rPr>
          <w:lang w:bidi="en-US"/>
        </w:rPr>
      </w:pPr>
      <w:r w:rsidRPr="00D720FB">
        <w:rPr>
          <w:lang w:bidi="en-US"/>
        </w:rPr>
        <w:t>T</w:t>
      </w:r>
      <w:r w:rsidR="00A21C07">
        <w:rPr>
          <w:lang w:bidi="en-US"/>
        </w:rPr>
        <w:t xml:space="preserve">o set up a procedure for handling </w:t>
      </w:r>
      <w:r w:rsidRPr="00D720FB">
        <w:rPr>
          <w:lang w:bidi="en-US"/>
        </w:rPr>
        <w:t>security alerts</w:t>
      </w:r>
      <w:r w:rsidR="00A21C07">
        <w:rPr>
          <w:lang w:bidi="en-US"/>
        </w:rPr>
        <w:t>, do the following:</w:t>
      </w:r>
      <w:r w:rsidRPr="00D720FB">
        <w:rPr>
          <w:lang w:bidi="en-US"/>
        </w:rPr>
        <w:t xml:space="preserve">  </w:t>
      </w:r>
    </w:p>
    <w:p w14:paraId="3FBB977B" w14:textId="5FF3DE26" w:rsidR="00972BD0" w:rsidRPr="00D720FB" w:rsidRDefault="00A21C07">
      <w:pPr>
        <w:pStyle w:val="BodyText"/>
        <w:numPr>
          <w:ilvl w:val="0"/>
          <w:numId w:val="15"/>
        </w:numPr>
        <w:ind w:left="540"/>
        <w:rPr>
          <w:lang w:bidi="en-US"/>
        </w:rPr>
      </w:pPr>
      <w:r>
        <w:rPr>
          <w:lang w:bidi="en-US"/>
        </w:rPr>
        <w:t>Assign someone t</w:t>
      </w:r>
      <w:r w:rsidR="00972BD0" w:rsidRPr="00D720FB">
        <w:rPr>
          <w:lang w:bidi="en-US"/>
        </w:rPr>
        <w:t>o receive security alerts.</w:t>
      </w:r>
    </w:p>
    <w:p w14:paraId="1AAF0D59" w14:textId="290A7E0C" w:rsidR="00972BD0" w:rsidRPr="00D720FB" w:rsidRDefault="00A21C07">
      <w:pPr>
        <w:pStyle w:val="BodyText"/>
        <w:numPr>
          <w:ilvl w:val="0"/>
          <w:numId w:val="15"/>
        </w:numPr>
        <w:ind w:left="540"/>
        <w:rPr>
          <w:lang w:bidi="en-US"/>
        </w:rPr>
      </w:pPr>
      <w:r>
        <w:rPr>
          <w:lang w:bidi="en-US"/>
        </w:rPr>
        <w:t>Establish a timeframe for addressing</w:t>
      </w:r>
      <w:r w:rsidR="00972BD0" w:rsidRPr="00D720FB">
        <w:rPr>
          <w:lang w:bidi="en-US"/>
        </w:rPr>
        <w:t xml:space="preserve"> security alerts</w:t>
      </w:r>
      <w:r>
        <w:rPr>
          <w:lang w:bidi="en-US"/>
        </w:rPr>
        <w:t>.</w:t>
      </w:r>
    </w:p>
    <w:p w14:paraId="489FC3A2" w14:textId="23CCD856" w:rsidR="00972BD0" w:rsidRPr="00D720FB" w:rsidRDefault="00972BD0">
      <w:pPr>
        <w:pStyle w:val="BodyText"/>
        <w:numPr>
          <w:ilvl w:val="0"/>
          <w:numId w:val="15"/>
        </w:numPr>
        <w:ind w:left="540"/>
        <w:rPr>
          <w:lang w:bidi="en-US"/>
        </w:rPr>
      </w:pPr>
      <w:r w:rsidRPr="00D720FB">
        <w:rPr>
          <w:lang w:bidi="en-US"/>
        </w:rPr>
        <w:t xml:space="preserve">Establish an escalation process </w:t>
      </w:r>
      <w:r w:rsidR="00A21C07">
        <w:rPr>
          <w:lang w:bidi="en-US"/>
        </w:rPr>
        <w:t>according to</w:t>
      </w:r>
      <w:r w:rsidRPr="00D720FB">
        <w:rPr>
          <w:lang w:bidi="en-US"/>
        </w:rPr>
        <w:t xml:space="preserve"> the severity </w:t>
      </w:r>
      <w:r w:rsidR="00A21C07">
        <w:rPr>
          <w:lang w:bidi="en-US"/>
        </w:rPr>
        <w:t>of security alerts</w:t>
      </w:r>
      <w:r w:rsidRPr="00D720FB">
        <w:rPr>
          <w:lang w:bidi="en-US"/>
        </w:rPr>
        <w:t xml:space="preserve">. </w:t>
      </w:r>
    </w:p>
    <w:p w14:paraId="3BF52A8B" w14:textId="430009CB" w:rsidR="001C6E97" w:rsidRDefault="00972BD0" w:rsidP="00D42C5A">
      <w:pPr>
        <w:pStyle w:val="Heading3"/>
        <w:rPr>
          <w:rFonts w:eastAsia="Calibri"/>
          <w:lang w:bidi="en-US"/>
        </w:rPr>
      </w:pPr>
      <w:bookmarkStart w:id="74" w:name="_Toc135416675"/>
      <w:bookmarkStart w:id="75" w:name="_Toc166834310"/>
      <w:r>
        <w:rPr>
          <w:rFonts w:eastAsia="Calibri"/>
          <w:lang w:bidi="en-US"/>
        </w:rPr>
        <w:t xml:space="preserve">EDR </w:t>
      </w:r>
      <w:r w:rsidR="00A21C07">
        <w:rPr>
          <w:rFonts w:eastAsia="Calibri"/>
          <w:lang w:bidi="en-US"/>
        </w:rPr>
        <w:t>A</w:t>
      </w:r>
      <w:r>
        <w:rPr>
          <w:rFonts w:eastAsia="Calibri"/>
          <w:lang w:bidi="en-US"/>
        </w:rPr>
        <w:t xml:space="preserve">udit </w:t>
      </w:r>
      <w:r w:rsidR="00A21C07">
        <w:rPr>
          <w:rFonts w:eastAsia="Calibri"/>
          <w:lang w:bidi="en-US"/>
        </w:rPr>
        <w:t>L</w:t>
      </w:r>
      <w:r>
        <w:rPr>
          <w:rFonts w:eastAsia="Calibri"/>
          <w:lang w:bidi="en-US"/>
        </w:rPr>
        <w:t>ogs</w:t>
      </w:r>
      <w:bookmarkEnd w:id="74"/>
      <w:bookmarkEnd w:id="75"/>
    </w:p>
    <w:p w14:paraId="3420EF73" w14:textId="289527E9" w:rsidR="00972BD0" w:rsidRDefault="00972BD0" w:rsidP="001C6E97">
      <w:pPr>
        <w:pStyle w:val="BodyText"/>
        <w:rPr>
          <w:lang w:bidi="en-US"/>
        </w:rPr>
      </w:pPr>
      <w:r>
        <w:rPr>
          <w:lang w:bidi="en-US"/>
        </w:rPr>
        <w:t xml:space="preserve">Review EDR audit logs regularly to ensure </w:t>
      </w:r>
      <w:r w:rsidR="00A21C07">
        <w:rPr>
          <w:lang w:bidi="en-US"/>
        </w:rPr>
        <w:t xml:space="preserve">that </w:t>
      </w:r>
      <w:r>
        <w:rPr>
          <w:lang w:bidi="en-US"/>
        </w:rPr>
        <w:t>there are no malicious activities occurring.</w:t>
      </w:r>
      <w:r w:rsidR="00A21C07">
        <w:rPr>
          <w:lang w:bidi="en-US"/>
        </w:rPr>
        <w:t xml:space="preserve"> </w:t>
      </w:r>
      <w:r>
        <w:rPr>
          <w:lang w:bidi="en-US"/>
        </w:rPr>
        <w:t>Remove</w:t>
      </w:r>
      <w:r w:rsidR="00A21C07">
        <w:rPr>
          <w:lang w:bidi="en-US"/>
        </w:rPr>
        <w:t xml:space="preserve"> or </w:t>
      </w:r>
      <w:r>
        <w:rPr>
          <w:lang w:bidi="en-US"/>
        </w:rPr>
        <w:t xml:space="preserve">inactivate users </w:t>
      </w:r>
      <w:r w:rsidR="00A21C07">
        <w:rPr>
          <w:lang w:bidi="en-US"/>
        </w:rPr>
        <w:t>in</w:t>
      </w:r>
      <w:r>
        <w:rPr>
          <w:lang w:bidi="en-US"/>
        </w:rPr>
        <w:t xml:space="preserve"> Dentrix Enterprise when they are no longer actively working at the clinic.</w:t>
      </w:r>
      <w:r w:rsidR="00A21C07">
        <w:rPr>
          <w:lang w:bidi="en-US"/>
        </w:rPr>
        <w:t xml:space="preserve"> </w:t>
      </w:r>
      <w:r>
        <w:rPr>
          <w:lang w:bidi="en-US"/>
        </w:rPr>
        <w:t>Adjust user</w:t>
      </w:r>
      <w:r w:rsidR="00A21C07">
        <w:rPr>
          <w:lang w:bidi="en-US"/>
        </w:rPr>
        <w:t xml:space="preserve">s’ </w:t>
      </w:r>
      <w:r>
        <w:rPr>
          <w:lang w:bidi="en-US"/>
        </w:rPr>
        <w:t xml:space="preserve">access rights when staff </w:t>
      </w:r>
      <w:r w:rsidR="00A21C07">
        <w:rPr>
          <w:lang w:bidi="en-US"/>
        </w:rPr>
        <w:t>members change</w:t>
      </w:r>
      <w:r>
        <w:rPr>
          <w:lang w:bidi="en-US"/>
        </w:rPr>
        <w:t xml:space="preserve"> roles.</w:t>
      </w:r>
    </w:p>
    <w:p w14:paraId="79EE239A" w14:textId="72573F1D" w:rsidR="001C6E97" w:rsidRDefault="00972BD0" w:rsidP="00D42C5A">
      <w:pPr>
        <w:pStyle w:val="Heading3"/>
        <w:rPr>
          <w:rFonts w:eastAsia="Calibri"/>
          <w:lang w:bidi="en-US"/>
        </w:rPr>
      </w:pPr>
      <w:bookmarkStart w:id="76" w:name="_Toc135416676"/>
      <w:bookmarkStart w:id="77" w:name="_Toc166834311"/>
      <w:r>
        <w:rPr>
          <w:rFonts w:eastAsia="Calibri"/>
          <w:lang w:bidi="en-US"/>
        </w:rPr>
        <w:t xml:space="preserve">PHI/PII </w:t>
      </w:r>
      <w:r w:rsidR="00442B21">
        <w:rPr>
          <w:rFonts w:eastAsia="Calibri"/>
          <w:lang w:bidi="en-US"/>
        </w:rPr>
        <w:t>B</w:t>
      </w:r>
      <w:r>
        <w:rPr>
          <w:rFonts w:eastAsia="Calibri"/>
          <w:lang w:bidi="en-US"/>
        </w:rPr>
        <w:t>reach</w:t>
      </w:r>
      <w:bookmarkEnd w:id="76"/>
      <w:r w:rsidR="00442B21">
        <w:rPr>
          <w:rFonts w:eastAsia="Calibri"/>
          <w:lang w:bidi="en-US"/>
        </w:rPr>
        <w:t>es</w:t>
      </w:r>
      <w:bookmarkEnd w:id="77"/>
    </w:p>
    <w:p w14:paraId="7A6233DF" w14:textId="5F35EF7C" w:rsidR="00972BD0" w:rsidRPr="001C6E97" w:rsidRDefault="00972BD0" w:rsidP="001C6E97">
      <w:pPr>
        <w:pStyle w:val="BodyText"/>
        <w:rPr>
          <w:lang w:bidi="en-US"/>
        </w:rPr>
      </w:pPr>
      <w:r w:rsidRPr="007262D7">
        <w:rPr>
          <w:lang w:bidi="en-US"/>
        </w:rPr>
        <w:t>The HIPAA Breach Notification Rule</w:t>
      </w:r>
      <w:r w:rsidR="00442B21">
        <w:rPr>
          <w:lang w:bidi="en-US"/>
        </w:rPr>
        <w:t xml:space="preserve"> (</w:t>
      </w:r>
      <w:r w:rsidRPr="007262D7">
        <w:rPr>
          <w:lang w:bidi="en-US"/>
        </w:rPr>
        <w:t>45 CFR §§ 164.400-414</w:t>
      </w:r>
      <w:r w:rsidR="00442B21">
        <w:rPr>
          <w:lang w:bidi="en-US"/>
        </w:rPr>
        <w:t>)</w:t>
      </w:r>
      <w:r w:rsidRPr="007262D7">
        <w:rPr>
          <w:lang w:bidi="en-US"/>
        </w:rPr>
        <w:t xml:space="preserve"> requires HIPAA</w:t>
      </w:r>
      <w:r w:rsidR="00442B21">
        <w:rPr>
          <w:lang w:bidi="en-US"/>
        </w:rPr>
        <w:t>-</w:t>
      </w:r>
      <w:r w:rsidRPr="007262D7">
        <w:rPr>
          <w:lang w:bidi="en-US"/>
        </w:rPr>
        <w:t>covered entities and their business associates to provide notification following a breach of unsecured protected health information.</w:t>
      </w:r>
      <w:r>
        <w:rPr>
          <w:lang w:bidi="en-US"/>
        </w:rPr>
        <w:t xml:space="preserve"> Ensure </w:t>
      </w:r>
      <w:r w:rsidR="00442B21">
        <w:rPr>
          <w:lang w:bidi="en-US"/>
        </w:rPr>
        <w:t xml:space="preserve">that </w:t>
      </w:r>
      <w:r>
        <w:rPr>
          <w:lang w:bidi="en-US"/>
        </w:rPr>
        <w:t>a HIPAA breach incident response plan is included in your ISCP.</w:t>
      </w:r>
    </w:p>
    <w:p w14:paraId="006D1290" w14:textId="32C9593B" w:rsidR="00972BD0" w:rsidRPr="001C6E97" w:rsidRDefault="00442B21" w:rsidP="004267C0">
      <w:pPr>
        <w:pStyle w:val="Heading2"/>
        <w:rPr>
          <w:rFonts w:eastAsia="Calibri"/>
          <w:lang w:bidi="en-US"/>
        </w:rPr>
      </w:pPr>
      <w:bookmarkStart w:id="78" w:name="_Toc135416677"/>
      <w:bookmarkStart w:id="79" w:name="_Toc166834312"/>
      <w:r>
        <w:rPr>
          <w:rFonts w:eastAsia="Calibri"/>
          <w:lang w:bidi="en-US"/>
        </w:rPr>
        <w:t>P</w:t>
      </w:r>
      <w:r w:rsidR="00972BD0" w:rsidRPr="00990A8B">
        <w:rPr>
          <w:rFonts w:eastAsia="Calibri"/>
          <w:lang w:bidi="en-US"/>
        </w:rPr>
        <w:t xml:space="preserve">otential </w:t>
      </w:r>
      <w:r>
        <w:rPr>
          <w:rFonts w:eastAsia="Calibri"/>
          <w:lang w:bidi="en-US"/>
        </w:rPr>
        <w:t>S</w:t>
      </w:r>
      <w:r w:rsidR="00972BD0" w:rsidRPr="00990A8B">
        <w:rPr>
          <w:rFonts w:eastAsia="Calibri"/>
          <w:lang w:bidi="en-US"/>
        </w:rPr>
        <w:t xml:space="preserve">ecurity </w:t>
      </w:r>
      <w:r>
        <w:rPr>
          <w:rFonts w:eastAsia="Calibri"/>
          <w:lang w:bidi="en-US"/>
        </w:rPr>
        <w:t>P</w:t>
      </w:r>
      <w:r w:rsidR="00972BD0" w:rsidRPr="00990A8B">
        <w:rPr>
          <w:rFonts w:eastAsia="Calibri"/>
          <w:lang w:bidi="en-US"/>
        </w:rPr>
        <w:t>enalties</w:t>
      </w:r>
      <w:r>
        <w:rPr>
          <w:rFonts w:eastAsia="Calibri"/>
          <w:lang w:bidi="en-US"/>
        </w:rPr>
        <w:t xml:space="preserve"> and </w:t>
      </w:r>
      <w:r w:rsidR="00972BD0" w:rsidRPr="00990A8B">
        <w:rPr>
          <w:rFonts w:eastAsia="Calibri"/>
          <w:lang w:bidi="en-US"/>
        </w:rPr>
        <w:t>HIP</w:t>
      </w:r>
      <w:r w:rsidR="00972BD0">
        <w:rPr>
          <w:rFonts w:eastAsia="Calibri"/>
          <w:lang w:bidi="en-US"/>
        </w:rPr>
        <w:t>A</w:t>
      </w:r>
      <w:r w:rsidR="00972BD0" w:rsidRPr="00990A8B">
        <w:rPr>
          <w:rFonts w:eastAsia="Calibri"/>
          <w:lang w:bidi="en-US"/>
        </w:rPr>
        <w:t>A Fines</w:t>
      </w:r>
      <w:bookmarkEnd w:id="78"/>
      <w:bookmarkEnd w:id="79"/>
    </w:p>
    <w:p w14:paraId="62143660" w14:textId="08E68F3F" w:rsidR="001C6E97" w:rsidRDefault="00972BD0" w:rsidP="00D42C5A">
      <w:pPr>
        <w:pStyle w:val="Heading3"/>
        <w:rPr>
          <w:lang w:bidi="en-US"/>
        </w:rPr>
      </w:pPr>
      <w:bookmarkStart w:id="80" w:name="_Toc135416678"/>
      <w:bookmarkStart w:id="81" w:name="_Toc166834313"/>
      <w:r w:rsidRPr="001C6E97">
        <w:rPr>
          <w:rFonts w:eastAsia="Calibri"/>
          <w:lang w:bidi="en-US"/>
        </w:rPr>
        <w:t xml:space="preserve">Penalties for HIPAA </w:t>
      </w:r>
      <w:r w:rsidR="00442B21">
        <w:rPr>
          <w:rFonts w:eastAsia="Calibri"/>
          <w:lang w:bidi="en-US"/>
        </w:rPr>
        <w:t>V</w:t>
      </w:r>
      <w:r w:rsidRPr="001C6E97">
        <w:rPr>
          <w:rFonts w:eastAsia="Calibri"/>
          <w:lang w:bidi="en-US"/>
        </w:rPr>
        <w:t xml:space="preserve">iolations (PII/PHI </w:t>
      </w:r>
      <w:r w:rsidR="00442B21">
        <w:rPr>
          <w:rFonts w:eastAsia="Calibri"/>
          <w:lang w:bidi="en-US"/>
        </w:rPr>
        <w:t>B</w:t>
      </w:r>
      <w:r w:rsidRPr="001C6E97">
        <w:rPr>
          <w:rFonts w:eastAsia="Calibri"/>
          <w:lang w:bidi="en-US"/>
        </w:rPr>
        <w:t>reaches)</w:t>
      </w:r>
      <w:bookmarkEnd w:id="80"/>
      <w:bookmarkEnd w:id="81"/>
    </w:p>
    <w:p w14:paraId="736DC9EB" w14:textId="6CD5D333" w:rsidR="00972BD0" w:rsidRPr="001C6E97" w:rsidRDefault="00972BD0" w:rsidP="002202F7">
      <w:pPr>
        <w:pStyle w:val="BodyText"/>
        <w:keepNext/>
        <w:keepLines/>
        <w:rPr>
          <w:b/>
          <w:bCs/>
          <w:sz w:val="24"/>
          <w:lang w:bidi="en-US"/>
        </w:rPr>
      </w:pPr>
      <w:r w:rsidRPr="001C6E97">
        <w:rPr>
          <w:lang w:bidi="en-US"/>
        </w:rPr>
        <w:t>Penalties for HIPAA violations vary significantly. Factors that affect penalties include how serious the offense was and if it was an accident. If a violation goes on without any correction, it can also lead to a harsher punishment. Everyone working in health care is responsible for following HIPAA rules.</w:t>
      </w:r>
    </w:p>
    <w:p w14:paraId="55E831A2" w14:textId="77777777" w:rsidR="00972BD0" w:rsidRPr="00FD60E4" w:rsidRDefault="00972BD0" w:rsidP="002202F7">
      <w:pPr>
        <w:pStyle w:val="BodyText"/>
        <w:keepNext/>
        <w:keepLines/>
        <w:rPr>
          <w:b/>
          <w:bCs/>
          <w:lang w:bidi="en-US"/>
        </w:rPr>
      </w:pPr>
      <w:r w:rsidRPr="00FD60E4">
        <w:rPr>
          <w:lang w:bidi="en-US"/>
        </w:rPr>
        <w:t>There are four categories of violations and penalties</w:t>
      </w:r>
      <w:r>
        <w:rPr>
          <w:b/>
          <w:bCs/>
          <w:lang w:bidi="en-US"/>
        </w:rPr>
        <w:t>:</w:t>
      </w:r>
    </w:p>
    <w:p w14:paraId="6C26CB35" w14:textId="1DB7AE4A" w:rsidR="00972BD0" w:rsidRPr="00FD60E4" w:rsidRDefault="00972BD0">
      <w:pPr>
        <w:pStyle w:val="BodyText"/>
        <w:numPr>
          <w:ilvl w:val="0"/>
          <w:numId w:val="16"/>
        </w:numPr>
        <w:ind w:left="360"/>
        <w:rPr>
          <w:lang w:bidi="en-US"/>
        </w:rPr>
      </w:pPr>
      <w:r w:rsidRPr="00B3072B">
        <w:rPr>
          <w:b/>
          <w:bCs/>
          <w:lang w:bidi="en-US"/>
        </w:rPr>
        <w:t>Tier 1</w:t>
      </w:r>
      <w:r w:rsidR="001C6E97">
        <w:rPr>
          <w:lang w:bidi="en-US"/>
        </w:rPr>
        <w:t xml:space="preserve"> </w:t>
      </w:r>
      <w:r w:rsidR="00442B21">
        <w:rPr>
          <w:lang w:bidi="en-US"/>
        </w:rPr>
        <w:t>–</w:t>
      </w:r>
      <w:r w:rsidR="001C6E97">
        <w:rPr>
          <w:lang w:bidi="en-US"/>
        </w:rPr>
        <w:t xml:space="preserve"> </w:t>
      </w:r>
      <w:r w:rsidR="00442B21">
        <w:rPr>
          <w:lang w:bidi="en-US"/>
        </w:rPr>
        <w:t>T</w:t>
      </w:r>
      <w:r w:rsidRPr="00FD60E4">
        <w:rPr>
          <w:lang w:bidi="en-US"/>
        </w:rPr>
        <w:t>he covered entity could not prevent the violation. Usually, the covered entity is also not aware of the violation and couldn’t do anything to stop it.</w:t>
      </w:r>
    </w:p>
    <w:p w14:paraId="274EA1EC" w14:textId="7A1FFB61" w:rsidR="00972BD0" w:rsidRPr="00FD60E4" w:rsidRDefault="00BB0E05" w:rsidP="00A46FB0">
      <w:pPr>
        <w:pStyle w:val="BodyText"/>
        <w:ind w:left="360"/>
        <w:rPr>
          <w:lang w:bidi="en-US"/>
        </w:rPr>
      </w:pPr>
      <w:r>
        <w:rPr>
          <w:lang w:bidi="en-US"/>
        </w:rPr>
        <w:t>Fines</w:t>
      </w:r>
      <w:r w:rsidR="00442B21">
        <w:rPr>
          <w:lang w:bidi="en-US"/>
        </w:rPr>
        <w:t xml:space="preserve"> for violations</w:t>
      </w:r>
      <w:r w:rsidR="00972BD0" w:rsidRPr="00FD60E4">
        <w:rPr>
          <w:lang w:bidi="en-US"/>
        </w:rPr>
        <w:t xml:space="preserve"> in this category </w:t>
      </w:r>
      <w:r w:rsidR="00442B21">
        <w:rPr>
          <w:lang w:bidi="en-US"/>
        </w:rPr>
        <w:t>range from</w:t>
      </w:r>
      <w:r w:rsidR="00972BD0" w:rsidRPr="00FD60E4">
        <w:rPr>
          <w:lang w:bidi="en-US"/>
        </w:rPr>
        <w:t xml:space="preserve"> $100 to $50,000 per violation. </w:t>
      </w:r>
    </w:p>
    <w:p w14:paraId="6F72B870" w14:textId="4273E6F4" w:rsidR="00972BD0" w:rsidRDefault="00972BD0">
      <w:pPr>
        <w:pStyle w:val="BodyText"/>
        <w:numPr>
          <w:ilvl w:val="0"/>
          <w:numId w:val="16"/>
        </w:numPr>
        <w:ind w:left="360"/>
        <w:rPr>
          <w:lang w:bidi="en-US"/>
        </w:rPr>
      </w:pPr>
      <w:r w:rsidRPr="00442B21">
        <w:rPr>
          <w:b/>
          <w:bCs/>
          <w:lang w:bidi="en-US"/>
        </w:rPr>
        <w:t>Tier 2</w:t>
      </w:r>
      <w:r w:rsidR="001C6E97">
        <w:rPr>
          <w:lang w:bidi="en-US"/>
        </w:rPr>
        <w:t xml:space="preserve"> </w:t>
      </w:r>
      <w:r w:rsidR="00442B21">
        <w:rPr>
          <w:lang w:bidi="en-US"/>
        </w:rPr>
        <w:t>–</w:t>
      </w:r>
      <w:r w:rsidR="001C6E97">
        <w:rPr>
          <w:lang w:bidi="en-US"/>
        </w:rPr>
        <w:t xml:space="preserve"> </w:t>
      </w:r>
      <w:r w:rsidR="00442B21">
        <w:rPr>
          <w:lang w:bidi="en-US"/>
        </w:rPr>
        <w:t>The</w:t>
      </w:r>
      <w:r w:rsidRPr="00FD60E4">
        <w:rPr>
          <w:lang w:bidi="en-US"/>
        </w:rPr>
        <w:t xml:space="preserve"> covered entity should have known of the violation. However, the violation still may have been inevitable </w:t>
      </w:r>
      <w:r w:rsidR="00442B21">
        <w:rPr>
          <w:lang w:bidi="en-US"/>
        </w:rPr>
        <w:t xml:space="preserve">even </w:t>
      </w:r>
      <w:r w:rsidRPr="00FD60E4">
        <w:rPr>
          <w:lang w:bidi="en-US"/>
        </w:rPr>
        <w:t>with enough care.</w:t>
      </w:r>
      <w:r w:rsidR="00442B21">
        <w:rPr>
          <w:lang w:bidi="en-US"/>
        </w:rPr>
        <w:t xml:space="preserve"> </w:t>
      </w:r>
      <w:r w:rsidRPr="00FD60E4">
        <w:rPr>
          <w:lang w:bidi="en-US"/>
        </w:rPr>
        <w:t xml:space="preserve">Willful neglect of HIPAA rules does not fall into this category. You should do what you can to prevent the violation once you know it can happen. </w:t>
      </w:r>
    </w:p>
    <w:p w14:paraId="1F1A8BD6" w14:textId="01704393" w:rsidR="00972BD0" w:rsidRPr="00FD60E4" w:rsidRDefault="00BB0E05" w:rsidP="00A46FB0">
      <w:pPr>
        <w:pStyle w:val="BodyText"/>
        <w:ind w:left="360"/>
        <w:rPr>
          <w:lang w:bidi="en-US"/>
        </w:rPr>
      </w:pPr>
      <w:r>
        <w:rPr>
          <w:lang w:bidi="en-US"/>
        </w:rPr>
        <w:t xml:space="preserve">Fines </w:t>
      </w:r>
      <w:r w:rsidR="00972BD0" w:rsidRPr="00FD60E4">
        <w:rPr>
          <w:lang w:bidi="en-US"/>
        </w:rPr>
        <w:t xml:space="preserve">for violations in this category range from $1,000 to $50,000 per violation. </w:t>
      </w:r>
    </w:p>
    <w:p w14:paraId="5D5CB85A" w14:textId="0DFDD4EC" w:rsidR="00972BD0" w:rsidRPr="00FD60E4" w:rsidRDefault="00972BD0" w:rsidP="00776AB8">
      <w:pPr>
        <w:pStyle w:val="BodyText"/>
        <w:keepNext/>
        <w:keepLines/>
        <w:numPr>
          <w:ilvl w:val="0"/>
          <w:numId w:val="16"/>
        </w:numPr>
        <w:ind w:left="360"/>
        <w:rPr>
          <w:lang w:bidi="en-US"/>
        </w:rPr>
      </w:pPr>
      <w:r w:rsidRPr="00B3072B">
        <w:rPr>
          <w:b/>
          <w:bCs/>
          <w:lang w:bidi="en-US"/>
        </w:rPr>
        <w:lastRenderedPageBreak/>
        <w:t>Tier 3</w:t>
      </w:r>
      <w:r w:rsidR="001C6E97">
        <w:rPr>
          <w:lang w:bidi="en-US"/>
        </w:rPr>
        <w:t xml:space="preserve"> </w:t>
      </w:r>
      <w:r w:rsidR="00442B21">
        <w:rPr>
          <w:lang w:bidi="en-US"/>
        </w:rPr>
        <w:t>–</w:t>
      </w:r>
      <w:r w:rsidR="001C6E97">
        <w:rPr>
          <w:lang w:bidi="en-US"/>
        </w:rPr>
        <w:t xml:space="preserve"> </w:t>
      </w:r>
      <w:r w:rsidR="00442B21">
        <w:rPr>
          <w:lang w:bidi="en-US"/>
        </w:rPr>
        <w:t>The covered entity willfully</w:t>
      </w:r>
      <w:r w:rsidRPr="00FD60E4">
        <w:rPr>
          <w:lang w:bidi="en-US"/>
        </w:rPr>
        <w:t xml:space="preserve"> neglect</w:t>
      </w:r>
      <w:r w:rsidR="00BB0E05">
        <w:rPr>
          <w:lang w:bidi="en-US"/>
        </w:rPr>
        <w:t>ed</w:t>
      </w:r>
      <w:r w:rsidRPr="00FD60E4">
        <w:rPr>
          <w:lang w:bidi="en-US"/>
        </w:rPr>
        <w:t xml:space="preserve"> HIPAA rules</w:t>
      </w:r>
      <w:r w:rsidR="00BB0E05">
        <w:rPr>
          <w:lang w:bidi="en-US"/>
        </w:rPr>
        <w:t>, which led to a violation,</w:t>
      </w:r>
      <w:r w:rsidR="00442B21">
        <w:rPr>
          <w:lang w:bidi="en-US"/>
        </w:rPr>
        <w:t xml:space="preserve"> and </w:t>
      </w:r>
      <w:r w:rsidR="00BB0E05">
        <w:rPr>
          <w:lang w:bidi="en-US"/>
        </w:rPr>
        <w:t xml:space="preserve">then </w:t>
      </w:r>
      <w:r w:rsidR="00442B21">
        <w:rPr>
          <w:lang w:bidi="en-US"/>
        </w:rPr>
        <w:t>attempt</w:t>
      </w:r>
      <w:r w:rsidR="00BB0E05">
        <w:rPr>
          <w:lang w:bidi="en-US"/>
        </w:rPr>
        <w:t>ed</w:t>
      </w:r>
      <w:r w:rsidRPr="00FD60E4">
        <w:rPr>
          <w:lang w:bidi="en-US"/>
        </w:rPr>
        <w:t xml:space="preserve"> to correct </w:t>
      </w:r>
      <w:r w:rsidR="00442B21">
        <w:rPr>
          <w:lang w:bidi="en-US"/>
        </w:rPr>
        <w:t xml:space="preserve">the </w:t>
      </w:r>
      <w:r w:rsidRPr="00FD60E4">
        <w:rPr>
          <w:lang w:bidi="en-US"/>
        </w:rPr>
        <w:t>issue.</w:t>
      </w:r>
    </w:p>
    <w:p w14:paraId="49194ADB" w14:textId="1B0FB86D" w:rsidR="00972BD0" w:rsidRPr="00FD60E4" w:rsidRDefault="00BB0E05" w:rsidP="00A46FB0">
      <w:pPr>
        <w:pStyle w:val="BodyText"/>
        <w:ind w:left="360"/>
        <w:rPr>
          <w:lang w:bidi="en-US"/>
        </w:rPr>
      </w:pPr>
      <w:r>
        <w:rPr>
          <w:lang w:bidi="en-US"/>
        </w:rPr>
        <w:t xml:space="preserve">Fines </w:t>
      </w:r>
      <w:r w:rsidR="00442B21" w:rsidRPr="00FD60E4">
        <w:rPr>
          <w:lang w:bidi="en-US"/>
        </w:rPr>
        <w:t>for violations in this category range from</w:t>
      </w:r>
      <w:r w:rsidR="00972BD0" w:rsidRPr="00FD60E4">
        <w:rPr>
          <w:lang w:bidi="en-US"/>
        </w:rPr>
        <w:t xml:space="preserve"> $10,000 to $50,000 per violation. </w:t>
      </w:r>
      <w:r w:rsidR="00972BD0">
        <w:rPr>
          <w:lang w:bidi="en-US"/>
        </w:rPr>
        <w:t>Factors</w:t>
      </w:r>
      <w:r>
        <w:rPr>
          <w:lang w:bidi="en-US"/>
        </w:rPr>
        <w:t>,</w:t>
      </w:r>
      <w:r w:rsidR="00972BD0">
        <w:rPr>
          <w:lang w:bidi="en-US"/>
        </w:rPr>
        <w:t xml:space="preserve"> such as</w:t>
      </w:r>
      <w:r w:rsidR="00972BD0" w:rsidRPr="00FD60E4">
        <w:rPr>
          <w:lang w:bidi="en-US"/>
        </w:rPr>
        <w:t xml:space="preserve"> the level of harm</w:t>
      </w:r>
      <w:r>
        <w:rPr>
          <w:lang w:bidi="en-US"/>
        </w:rPr>
        <w:t>,</w:t>
      </w:r>
      <w:r w:rsidR="00972BD0" w:rsidRPr="00FD60E4">
        <w:rPr>
          <w:lang w:bidi="en-US"/>
        </w:rPr>
        <w:t xml:space="preserve"> can affect the exact amount.</w:t>
      </w:r>
    </w:p>
    <w:p w14:paraId="159F98ED" w14:textId="16827A2B" w:rsidR="00972BD0" w:rsidRDefault="00972BD0">
      <w:pPr>
        <w:pStyle w:val="BodyText"/>
        <w:numPr>
          <w:ilvl w:val="0"/>
          <w:numId w:val="16"/>
        </w:numPr>
        <w:ind w:left="360"/>
        <w:rPr>
          <w:lang w:bidi="en-US"/>
        </w:rPr>
      </w:pPr>
      <w:r w:rsidRPr="00BB0E05">
        <w:rPr>
          <w:b/>
          <w:bCs/>
          <w:lang w:bidi="en-US"/>
        </w:rPr>
        <w:t>Tier 4</w:t>
      </w:r>
      <w:r w:rsidR="001C6E97">
        <w:rPr>
          <w:lang w:bidi="en-US"/>
        </w:rPr>
        <w:t xml:space="preserve"> </w:t>
      </w:r>
      <w:r w:rsidR="00442B21">
        <w:rPr>
          <w:lang w:bidi="en-US"/>
        </w:rPr>
        <w:t>–</w:t>
      </w:r>
      <w:r w:rsidR="001C6E97">
        <w:rPr>
          <w:lang w:bidi="en-US"/>
        </w:rPr>
        <w:t xml:space="preserve"> </w:t>
      </w:r>
      <w:r w:rsidR="00BB0E05">
        <w:rPr>
          <w:lang w:bidi="en-US"/>
        </w:rPr>
        <w:t>The covered entity willfully</w:t>
      </w:r>
      <w:r w:rsidR="00BB0E05" w:rsidRPr="00FD60E4">
        <w:rPr>
          <w:lang w:bidi="en-US"/>
        </w:rPr>
        <w:t xml:space="preserve"> neglect</w:t>
      </w:r>
      <w:r w:rsidR="00BB0E05">
        <w:rPr>
          <w:lang w:bidi="en-US"/>
        </w:rPr>
        <w:t>ed</w:t>
      </w:r>
      <w:r w:rsidR="00BB0E05" w:rsidRPr="00FD60E4">
        <w:rPr>
          <w:lang w:bidi="en-US"/>
        </w:rPr>
        <w:t xml:space="preserve"> HIPAA rules</w:t>
      </w:r>
      <w:r w:rsidR="00BB0E05">
        <w:rPr>
          <w:lang w:bidi="en-US"/>
        </w:rPr>
        <w:t>, which led to a violation, but</w:t>
      </w:r>
      <w:r w:rsidRPr="00FD60E4">
        <w:rPr>
          <w:lang w:bidi="en-US"/>
        </w:rPr>
        <w:t xml:space="preserve"> </w:t>
      </w:r>
      <w:r w:rsidR="00BB0E05">
        <w:rPr>
          <w:lang w:bidi="en-US"/>
        </w:rPr>
        <w:t>did not try to</w:t>
      </w:r>
      <w:r w:rsidRPr="00FD60E4">
        <w:rPr>
          <w:lang w:bidi="en-US"/>
        </w:rPr>
        <w:t xml:space="preserve"> correct the issue.</w:t>
      </w:r>
      <w:r w:rsidR="00BB0E05">
        <w:rPr>
          <w:lang w:bidi="en-US"/>
        </w:rPr>
        <w:t xml:space="preserve"> </w:t>
      </w:r>
      <w:r w:rsidRPr="00FD60E4">
        <w:rPr>
          <w:lang w:bidi="en-US"/>
        </w:rPr>
        <w:t xml:space="preserve">Consistently leaving patient records out or not logging out of electronic records may </w:t>
      </w:r>
      <w:r>
        <w:rPr>
          <w:lang w:bidi="en-US"/>
        </w:rPr>
        <w:t>fall under this category</w:t>
      </w:r>
      <w:r w:rsidRPr="00FD60E4">
        <w:rPr>
          <w:lang w:bidi="en-US"/>
        </w:rPr>
        <w:t xml:space="preserve">. </w:t>
      </w:r>
    </w:p>
    <w:p w14:paraId="26BA6D07" w14:textId="64C7CD74" w:rsidR="00972BD0" w:rsidRPr="00FD60E4" w:rsidRDefault="00972BD0" w:rsidP="00A46FB0">
      <w:pPr>
        <w:pStyle w:val="BodyText"/>
        <w:ind w:left="360"/>
        <w:rPr>
          <w:lang w:bidi="en-US"/>
        </w:rPr>
      </w:pPr>
      <w:r w:rsidRPr="00FD60E4">
        <w:rPr>
          <w:lang w:bidi="en-US"/>
        </w:rPr>
        <w:t>Th</w:t>
      </w:r>
      <w:r w:rsidR="00BB0E05">
        <w:rPr>
          <w:lang w:bidi="en-US"/>
        </w:rPr>
        <w:t>ese types</w:t>
      </w:r>
      <w:r w:rsidRPr="00FD60E4">
        <w:rPr>
          <w:lang w:bidi="en-US"/>
        </w:rPr>
        <w:t xml:space="preserve"> of HIPAA violation</w:t>
      </w:r>
      <w:r w:rsidR="00BB0E05">
        <w:rPr>
          <w:lang w:bidi="en-US"/>
        </w:rPr>
        <w:t>s are the most serious</w:t>
      </w:r>
      <w:r w:rsidRPr="00FD60E4">
        <w:rPr>
          <w:lang w:bidi="en-US"/>
        </w:rPr>
        <w:t xml:space="preserve">, so </w:t>
      </w:r>
      <w:r w:rsidR="00BB0E05">
        <w:rPr>
          <w:lang w:bidi="en-US"/>
        </w:rPr>
        <w:t>they incur</w:t>
      </w:r>
      <w:r w:rsidRPr="00FD60E4">
        <w:rPr>
          <w:lang w:bidi="en-US"/>
        </w:rPr>
        <w:t xml:space="preserve"> the biggest penalt</w:t>
      </w:r>
      <w:r w:rsidR="00BB0E05">
        <w:rPr>
          <w:lang w:bidi="en-US"/>
        </w:rPr>
        <w:t>ies</w:t>
      </w:r>
      <w:r w:rsidRPr="00FD60E4">
        <w:rPr>
          <w:lang w:bidi="en-US"/>
        </w:rPr>
        <w:t>.</w:t>
      </w:r>
      <w:r w:rsidR="00BB0E05">
        <w:rPr>
          <w:lang w:bidi="en-US"/>
        </w:rPr>
        <w:t xml:space="preserve"> </w:t>
      </w:r>
      <w:r w:rsidR="00BB0E05" w:rsidRPr="00FD60E4">
        <w:rPr>
          <w:lang w:bidi="en-US"/>
        </w:rPr>
        <w:t xml:space="preserve">While other types </w:t>
      </w:r>
      <w:r w:rsidR="00BB0E05">
        <w:rPr>
          <w:lang w:bidi="en-US"/>
        </w:rPr>
        <w:t xml:space="preserve">of violations </w:t>
      </w:r>
      <w:r w:rsidR="00BB0E05" w:rsidRPr="00FD60E4">
        <w:rPr>
          <w:lang w:bidi="en-US"/>
        </w:rPr>
        <w:t xml:space="preserve">may qualify for a waiver, these </w:t>
      </w:r>
      <w:r w:rsidR="00BB0E05">
        <w:rPr>
          <w:lang w:bidi="en-US"/>
        </w:rPr>
        <w:t xml:space="preserve">types of </w:t>
      </w:r>
      <w:r w:rsidR="00BB0E05" w:rsidRPr="00FD60E4">
        <w:rPr>
          <w:lang w:bidi="en-US"/>
        </w:rPr>
        <w:t>violations do not.</w:t>
      </w:r>
    </w:p>
    <w:p w14:paraId="58F57078" w14:textId="25D8F315" w:rsidR="00972BD0" w:rsidRPr="002A14D6" w:rsidRDefault="00BB0E05" w:rsidP="00A46FB0">
      <w:pPr>
        <w:pStyle w:val="BodyText"/>
        <w:ind w:left="360"/>
        <w:rPr>
          <w:lang w:bidi="en-US"/>
        </w:rPr>
      </w:pPr>
      <w:r>
        <w:rPr>
          <w:lang w:bidi="en-US"/>
        </w:rPr>
        <w:t>F</w:t>
      </w:r>
      <w:r w:rsidRPr="00FD60E4">
        <w:rPr>
          <w:lang w:bidi="en-US"/>
        </w:rPr>
        <w:t>or violations in this category</w:t>
      </w:r>
      <w:r>
        <w:rPr>
          <w:lang w:bidi="en-US"/>
        </w:rPr>
        <w:t>, there is</w:t>
      </w:r>
      <w:r w:rsidR="00972BD0" w:rsidRPr="00FD60E4">
        <w:rPr>
          <w:lang w:bidi="en-US"/>
        </w:rPr>
        <w:t xml:space="preserve"> a minimum fine of $50,000</w:t>
      </w:r>
      <w:r>
        <w:rPr>
          <w:lang w:bidi="en-US"/>
        </w:rPr>
        <w:t xml:space="preserve"> per violation</w:t>
      </w:r>
      <w:r w:rsidR="00972BD0" w:rsidRPr="00FD60E4">
        <w:rPr>
          <w:lang w:bidi="en-US"/>
        </w:rPr>
        <w:t xml:space="preserve">. </w:t>
      </w:r>
      <w:r>
        <w:rPr>
          <w:lang w:bidi="en-US"/>
        </w:rPr>
        <w:t>Also, s</w:t>
      </w:r>
      <w:r w:rsidR="00972BD0" w:rsidRPr="00FD60E4">
        <w:rPr>
          <w:lang w:bidi="en-US"/>
        </w:rPr>
        <w:t>ome of these violations may also result in jail time.</w:t>
      </w:r>
    </w:p>
    <w:p w14:paraId="1CE80CB5" w14:textId="76712EA2" w:rsidR="001C6E97" w:rsidRPr="001C6E97" w:rsidRDefault="00972BD0" w:rsidP="00D42C5A">
      <w:pPr>
        <w:pStyle w:val="Heading3"/>
        <w:rPr>
          <w:rFonts w:eastAsia="Calibri"/>
          <w:lang w:bidi="en-US"/>
        </w:rPr>
      </w:pPr>
      <w:bookmarkStart w:id="82" w:name="_Toc135416679"/>
      <w:bookmarkStart w:id="83" w:name="_Toc166834314"/>
      <w:r>
        <w:rPr>
          <w:rFonts w:eastAsia="Calibri"/>
          <w:lang w:bidi="en-US"/>
        </w:rPr>
        <w:t>False Claims Act</w:t>
      </w:r>
      <w:bookmarkEnd w:id="82"/>
      <w:bookmarkEnd w:id="83"/>
    </w:p>
    <w:p w14:paraId="5AE89E02" w14:textId="5CBEC067" w:rsidR="00972BD0" w:rsidRDefault="00972BD0" w:rsidP="001C6E97">
      <w:pPr>
        <w:pStyle w:val="BodyText"/>
        <w:rPr>
          <w:lang w:bidi="en-US"/>
        </w:rPr>
      </w:pPr>
      <w:r w:rsidRPr="002A14D6">
        <w:rPr>
          <w:lang w:bidi="en-US"/>
        </w:rPr>
        <w:t xml:space="preserve">The False Claim Act is a federal law that makes it a crime for any person or organization to knowingly make a false record or file a false claim regarding any federal health care program, which includes any plan or program that provides health benefits, whether directly, through insurance or otherwise, which is funded directly, in whole or in part, by the United States Government or any state healthcare system.  </w:t>
      </w:r>
    </w:p>
    <w:p w14:paraId="29029A94" w14:textId="6C7960E7" w:rsidR="00972BD0" w:rsidRPr="002A14D6" w:rsidRDefault="00972BD0" w:rsidP="001C6E97">
      <w:pPr>
        <w:pStyle w:val="BodyText"/>
        <w:rPr>
          <w:lang w:bidi="en-US"/>
        </w:rPr>
      </w:pPr>
      <w:r>
        <w:rPr>
          <w:lang w:bidi="en-US"/>
        </w:rPr>
        <w:t xml:space="preserve">Penalties </w:t>
      </w:r>
      <w:r w:rsidRPr="002A14D6">
        <w:rPr>
          <w:lang w:bidi="en-US"/>
        </w:rPr>
        <w:t>Under the False Claims Act</w:t>
      </w:r>
      <w:r w:rsidR="001C6E97">
        <w:rPr>
          <w:lang w:bidi="en-US"/>
        </w:rPr>
        <w:t>:</w:t>
      </w:r>
    </w:p>
    <w:p w14:paraId="63F0F029" w14:textId="77777777" w:rsidR="00972BD0" w:rsidRPr="002A14D6" w:rsidRDefault="00972BD0">
      <w:pPr>
        <w:pStyle w:val="BodyText"/>
        <w:numPr>
          <w:ilvl w:val="0"/>
          <w:numId w:val="16"/>
        </w:numPr>
        <w:ind w:left="540"/>
        <w:rPr>
          <w:lang w:bidi="en-US"/>
        </w:rPr>
      </w:pPr>
      <w:r w:rsidRPr="002A14D6">
        <w:rPr>
          <w:lang w:bidi="en-US"/>
        </w:rPr>
        <w:t>Violations under the federal False Claims Act can result in significant fines and penalties. Financial penalties to the person or organization includes recovery of three times the amount of the false claim(s), plus an additional penalty of $5,500 to $11,000 per claim.</w:t>
      </w:r>
    </w:p>
    <w:p w14:paraId="2D3A5147" w14:textId="29DBF436" w:rsidR="00972BD0" w:rsidRPr="002A14D6" w:rsidRDefault="00972BD0">
      <w:pPr>
        <w:pStyle w:val="BodyText"/>
        <w:numPr>
          <w:ilvl w:val="0"/>
          <w:numId w:val="16"/>
        </w:numPr>
        <w:ind w:left="540"/>
        <w:rPr>
          <w:lang w:bidi="en-US"/>
        </w:rPr>
      </w:pPr>
      <w:r w:rsidRPr="002A14D6">
        <w:rPr>
          <w:lang w:bidi="en-US"/>
        </w:rPr>
        <w:t xml:space="preserve">In addition to the federal law, </w:t>
      </w:r>
      <w:r>
        <w:rPr>
          <w:lang w:bidi="en-US"/>
        </w:rPr>
        <w:t>states have</w:t>
      </w:r>
      <w:r w:rsidRPr="002A14D6">
        <w:rPr>
          <w:lang w:bidi="en-US"/>
        </w:rPr>
        <w:t xml:space="preserve"> adopted similar laws designed to prevent fraud, kickbacks</w:t>
      </w:r>
      <w:r w:rsidR="001A1857">
        <w:rPr>
          <w:lang w:bidi="en-US"/>
        </w:rPr>
        <w:t>,</w:t>
      </w:r>
      <w:r w:rsidRPr="002A14D6">
        <w:rPr>
          <w:lang w:bidi="en-US"/>
        </w:rPr>
        <w:t xml:space="preserve"> and conspiracies in connection with the Medicaid program.</w:t>
      </w:r>
      <w:r>
        <w:rPr>
          <w:lang w:bidi="en-US"/>
        </w:rPr>
        <w:t xml:space="preserve"> </w:t>
      </w:r>
      <w:r w:rsidRPr="002A14D6">
        <w:rPr>
          <w:lang w:bidi="en-US"/>
        </w:rPr>
        <w:t>Examples of false claims include billing for services not provided, billing for the same service more than once</w:t>
      </w:r>
      <w:r w:rsidR="001A1857">
        <w:rPr>
          <w:lang w:bidi="en-US"/>
        </w:rPr>
        <w:t>,</w:t>
      </w:r>
      <w:r w:rsidRPr="002A14D6">
        <w:rPr>
          <w:lang w:bidi="en-US"/>
        </w:rPr>
        <w:t xml:space="preserve"> or making false statements to obtain payment for services.</w:t>
      </w:r>
      <w:r>
        <w:rPr>
          <w:lang w:bidi="en-US"/>
        </w:rPr>
        <w:t xml:space="preserve"> </w:t>
      </w:r>
      <w:r w:rsidRPr="002A14D6">
        <w:rPr>
          <w:lang w:bidi="en-US"/>
        </w:rPr>
        <w:t xml:space="preserve">Violation of </w:t>
      </w:r>
      <w:r>
        <w:rPr>
          <w:lang w:bidi="en-US"/>
        </w:rPr>
        <w:t xml:space="preserve">these </w:t>
      </w:r>
      <w:r w:rsidR="001A1857">
        <w:rPr>
          <w:lang w:bidi="en-US"/>
        </w:rPr>
        <w:t xml:space="preserve">laws </w:t>
      </w:r>
      <w:r>
        <w:rPr>
          <w:lang w:bidi="en-US"/>
        </w:rPr>
        <w:t>can</w:t>
      </w:r>
      <w:r w:rsidRPr="002A14D6">
        <w:rPr>
          <w:lang w:bidi="en-US"/>
        </w:rPr>
        <w:t xml:space="preserve"> constitute a felony </w:t>
      </w:r>
      <w:r w:rsidR="001A1857">
        <w:rPr>
          <w:lang w:bidi="en-US"/>
        </w:rPr>
        <w:t xml:space="preserve">that is </w:t>
      </w:r>
      <w:r w:rsidRPr="002A14D6">
        <w:rPr>
          <w:lang w:bidi="en-US"/>
        </w:rPr>
        <w:t>punishable by imprisonment, a fine of $50,000 or less for each violation</w:t>
      </w:r>
      <w:r w:rsidR="001A1857">
        <w:rPr>
          <w:lang w:bidi="en-US"/>
        </w:rPr>
        <w:t>, or both</w:t>
      </w:r>
      <w:r w:rsidRPr="002A14D6">
        <w:rPr>
          <w:lang w:bidi="en-US"/>
        </w:rPr>
        <w:t>. A person who receives a benefit by reason of fraud</w:t>
      </w:r>
      <w:r>
        <w:rPr>
          <w:lang w:bidi="en-US"/>
        </w:rPr>
        <w:t>,</w:t>
      </w:r>
      <w:r w:rsidRPr="002A14D6">
        <w:rPr>
          <w:lang w:bidi="en-US"/>
        </w:rPr>
        <w:t xml:space="preserve"> makes a fraudulent statement</w:t>
      </w:r>
      <w:r>
        <w:rPr>
          <w:lang w:bidi="en-US"/>
        </w:rPr>
        <w:t>,</w:t>
      </w:r>
      <w:r w:rsidRPr="002A14D6">
        <w:rPr>
          <w:lang w:bidi="en-US"/>
        </w:rPr>
        <w:t xml:space="preserve"> or knowingly conceals a material fact is liable to the state for a civil penalty equal to the full amount received plus triple </w:t>
      </w:r>
      <w:r w:rsidR="001A1857">
        <w:rPr>
          <w:lang w:bidi="en-US"/>
        </w:rPr>
        <w:t xml:space="preserve">the </w:t>
      </w:r>
      <w:r w:rsidRPr="002A14D6">
        <w:rPr>
          <w:lang w:bidi="en-US"/>
        </w:rPr>
        <w:t>damages.</w:t>
      </w:r>
    </w:p>
    <w:p w14:paraId="27DB4CF0" w14:textId="6F16E1C7" w:rsidR="001C6E97" w:rsidRDefault="00972BD0" w:rsidP="00D42C5A">
      <w:pPr>
        <w:pStyle w:val="Heading3"/>
        <w:rPr>
          <w:lang w:bidi="en-US"/>
        </w:rPr>
      </w:pPr>
      <w:bookmarkStart w:id="84" w:name="_Toc135416680"/>
      <w:bookmarkStart w:id="85" w:name="_Toc166834315"/>
      <w:r w:rsidRPr="001C6E97">
        <w:rPr>
          <w:rFonts w:eastAsia="Calibri"/>
          <w:lang w:bidi="en-US"/>
        </w:rPr>
        <w:t>Data breaches</w:t>
      </w:r>
      <w:bookmarkEnd w:id="84"/>
      <w:bookmarkEnd w:id="85"/>
    </w:p>
    <w:p w14:paraId="3AC5EF5D" w14:textId="650E9454" w:rsidR="00972BD0" w:rsidRPr="001C6E97" w:rsidRDefault="00972BD0" w:rsidP="001C6E97">
      <w:pPr>
        <w:pStyle w:val="BodyText"/>
        <w:rPr>
          <w:lang w:bidi="en-US"/>
        </w:rPr>
      </w:pPr>
      <w:r w:rsidRPr="001C6E97">
        <w:rPr>
          <w:lang w:bidi="en-US"/>
        </w:rPr>
        <w:t>Personal information in the United States is currently protected by a patchwork of industry-specific federal laws and state legislation whose scope (notification/remediation processes and fines) and jurisdiction vary.</w:t>
      </w:r>
    </w:p>
    <w:p w14:paraId="6AD20C1B" w14:textId="17274C37" w:rsidR="001C6E97" w:rsidRDefault="00972BD0" w:rsidP="00D42C5A">
      <w:pPr>
        <w:pStyle w:val="Heading3"/>
        <w:rPr>
          <w:lang w:bidi="en-US"/>
        </w:rPr>
      </w:pPr>
      <w:bookmarkStart w:id="86" w:name="_Toc135416681"/>
      <w:bookmarkStart w:id="87" w:name="_Toc166834316"/>
      <w:r w:rsidRPr="001C6E97">
        <w:rPr>
          <w:rFonts w:eastAsia="Calibri"/>
          <w:lang w:bidi="en-US"/>
        </w:rPr>
        <w:t>Cost of remediation of breaches/incidents</w:t>
      </w:r>
      <w:bookmarkEnd w:id="86"/>
      <w:bookmarkEnd w:id="87"/>
    </w:p>
    <w:p w14:paraId="567CA4DE" w14:textId="5856C2AA" w:rsidR="00972BD0" w:rsidRPr="001C6E97" w:rsidRDefault="00972BD0" w:rsidP="001C6E97">
      <w:pPr>
        <w:pStyle w:val="BodyText"/>
        <w:rPr>
          <w:lang w:bidi="en-US"/>
        </w:rPr>
      </w:pPr>
      <w:r w:rsidRPr="001C6E97">
        <w:rPr>
          <w:lang w:bidi="en-US"/>
        </w:rPr>
        <w:t>Costs of remediation are more than just the imposed fines by laws.  Cost</w:t>
      </w:r>
      <w:r w:rsidR="001A1857">
        <w:rPr>
          <w:lang w:bidi="en-US"/>
        </w:rPr>
        <w:t>s</w:t>
      </w:r>
      <w:r w:rsidRPr="001C6E97">
        <w:rPr>
          <w:lang w:bidi="en-US"/>
        </w:rPr>
        <w:t xml:space="preserve"> can also include</w:t>
      </w:r>
      <w:r w:rsidR="001A1857">
        <w:rPr>
          <w:lang w:bidi="en-US"/>
        </w:rPr>
        <w:t xml:space="preserve"> the followin</w:t>
      </w:r>
      <w:r w:rsidR="001007ED">
        <w:rPr>
          <w:lang w:bidi="en-US"/>
        </w:rPr>
        <w:t>g</w:t>
      </w:r>
      <w:r w:rsidRPr="001C6E97">
        <w:rPr>
          <w:lang w:bidi="en-US"/>
        </w:rPr>
        <w:t>:</w:t>
      </w:r>
    </w:p>
    <w:p w14:paraId="06CDA993" w14:textId="6D46E59F" w:rsidR="00972BD0" w:rsidRDefault="00972BD0">
      <w:pPr>
        <w:pStyle w:val="BodyText"/>
        <w:numPr>
          <w:ilvl w:val="0"/>
          <w:numId w:val="17"/>
        </w:numPr>
        <w:ind w:left="540"/>
        <w:rPr>
          <w:lang w:bidi="en-US"/>
        </w:rPr>
      </w:pPr>
      <w:r>
        <w:rPr>
          <w:lang w:bidi="en-US"/>
        </w:rPr>
        <w:t>I</w:t>
      </w:r>
      <w:r w:rsidRPr="004470C4">
        <w:rPr>
          <w:lang w:bidi="en-US"/>
        </w:rPr>
        <w:t>ncreased cyber insurance</w:t>
      </w:r>
      <w:r>
        <w:rPr>
          <w:lang w:bidi="en-US"/>
        </w:rPr>
        <w:t xml:space="preserve"> and</w:t>
      </w:r>
      <w:r w:rsidRPr="004470C4">
        <w:rPr>
          <w:lang w:bidi="en-US"/>
        </w:rPr>
        <w:t xml:space="preserve"> legal fees</w:t>
      </w:r>
      <w:r w:rsidR="001A1857">
        <w:rPr>
          <w:lang w:bidi="en-US"/>
        </w:rPr>
        <w:t>.</w:t>
      </w:r>
    </w:p>
    <w:p w14:paraId="1AEF2679" w14:textId="53E3ECB0" w:rsidR="00972BD0" w:rsidRDefault="00972BD0">
      <w:pPr>
        <w:pStyle w:val="BodyText"/>
        <w:numPr>
          <w:ilvl w:val="0"/>
          <w:numId w:val="17"/>
        </w:numPr>
        <w:ind w:left="540"/>
        <w:rPr>
          <w:lang w:bidi="en-US"/>
        </w:rPr>
      </w:pPr>
      <w:r>
        <w:rPr>
          <w:lang w:bidi="en-US"/>
        </w:rPr>
        <w:t>Cost of recovering applications/programs/data</w:t>
      </w:r>
      <w:r w:rsidR="001A1857">
        <w:rPr>
          <w:lang w:bidi="en-US"/>
        </w:rPr>
        <w:t>.</w:t>
      </w:r>
    </w:p>
    <w:p w14:paraId="63A3C107" w14:textId="69FBF360" w:rsidR="00972BD0" w:rsidRDefault="00972BD0">
      <w:pPr>
        <w:pStyle w:val="BodyText"/>
        <w:numPr>
          <w:ilvl w:val="0"/>
          <w:numId w:val="17"/>
        </w:numPr>
        <w:ind w:left="540"/>
        <w:rPr>
          <w:lang w:bidi="en-US"/>
        </w:rPr>
      </w:pPr>
      <w:r>
        <w:rPr>
          <w:lang w:bidi="en-US"/>
        </w:rPr>
        <w:t>R</w:t>
      </w:r>
      <w:r w:rsidRPr="004470C4">
        <w:rPr>
          <w:lang w:bidi="en-US"/>
        </w:rPr>
        <w:t>eporting</w:t>
      </w:r>
      <w:r>
        <w:rPr>
          <w:lang w:bidi="en-US"/>
        </w:rPr>
        <w:t xml:space="preserve"> burden</w:t>
      </w:r>
      <w:r w:rsidR="001A1857">
        <w:rPr>
          <w:lang w:bidi="en-US"/>
        </w:rPr>
        <w:t>.</w:t>
      </w:r>
    </w:p>
    <w:p w14:paraId="1C3117EA" w14:textId="01B4A91B" w:rsidR="00972BD0" w:rsidRDefault="00972BD0">
      <w:pPr>
        <w:pStyle w:val="BodyText"/>
        <w:numPr>
          <w:ilvl w:val="0"/>
          <w:numId w:val="17"/>
        </w:numPr>
        <w:ind w:left="540"/>
        <w:rPr>
          <w:lang w:bidi="en-US"/>
        </w:rPr>
      </w:pPr>
      <w:r>
        <w:rPr>
          <w:lang w:bidi="en-US"/>
        </w:rPr>
        <w:lastRenderedPageBreak/>
        <w:t>Diminished trust</w:t>
      </w:r>
      <w:r w:rsidR="001A1857">
        <w:rPr>
          <w:lang w:bidi="en-US"/>
        </w:rPr>
        <w:t>.</w:t>
      </w:r>
    </w:p>
    <w:p w14:paraId="226F34D7" w14:textId="0AC8349F" w:rsidR="00972BD0" w:rsidRDefault="00972BD0">
      <w:pPr>
        <w:pStyle w:val="BodyText"/>
        <w:numPr>
          <w:ilvl w:val="0"/>
          <w:numId w:val="17"/>
        </w:numPr>
        <w:ind w:left="540"/>
        <w:rPr>
          <w:lang w:bidi="en-US"/>
        </w:rPr>
      </w:pPr>
      <w:r>
        <w:rPr>
          <w:lang w:bidi="en-US"/>
        </w:rPr>
        <w:t>L</w:t>
      </w:r>
      <w:r w:rsidRPr="004470C4">
        <w:rPr>
          <w:lang w:bidi="en-US"/>
        </w:rPr>
        <w:t>ost revenue</w:t>
      </w:r>
      <w:r w:rsidR="001A1857">
        <w:rPr>
          <w:lang w:bidi="en-US"/>
        </w:rPr>
        <w:t>.</w:t>
      </w:r>
    </w:p>
    <w:p w14:paraId="45192FAF" w14:textId="77777777" w:rsidR="00972BD0" w:rsidRDefault="00972BD0" w:rsidP="00972BD0">
      <w:pPr>
        <w:pStyle w:val="BodyText"/>
      </w:pPr>
    </w:p>
    <w:p w14:paraId="642240BE" w14:textId="111AADD7" w:rsidR="00B629CF" w:rsidRDefault="00B629CF" w:rsidP="00B629CF"/>
    <w:p w14:paraId="5906EE08" w14:textId="77777777" w:rsidR="00B629CF" w:rsidRDefault="00B629CF" w:rsidP="00B629CF">
      <w:pPr>
        <w:sectPr w:rsidR="00B629CF" w:rsidSect="00C616BD">
          <w:headerReference w:type="even" r:id="rId38"/>
          <w:headerReference w:type="default" r:id="rId39"/>
          <w:footerReference w:type="even" r:id="rId40"/>
          <w:footerReference w:type="default" r:id="rId41"/>
          <w:pgSz w:w="12240" w:h="15840"/>
          <w:pgMar w:top="1440" w:right="1440" w:bottom="1440" w:left="1440" w:header="360" w:footer="360" w:gutter="0"/>
          <w:cols w:space="720"/>
          <w:docGrid w:linePitch="299"/>
        </w:sectPr>
      </w:pPr>
    </w:p>
    <w:p w14:paraId="478BCB66" w14:textId="29B50BF1" w:rsidR="00B629CF" w:rsidRDefault="00B629CF" w:rsidP="00B629CF">
      <w:pPr>
        <w:pStyle w:val="Heading1"/>
      </w:pPr>
      <w:bookmarkStart w:id="88" w:name="_Toc135416593"/>
      <w:bookmarkStart w:id="89" w:name="_Toc135416682"/>
      <w:bookmarkStart w:id="90" w:name="_Toc166834317"/>
      <w:r>
        <w:lastRenderedPageBreak/>
        <w:t>Schedule Optimization</w:t>
      </w:r>
      <w:bookmarkEnd w:id="88"/>
      <w:bookmarkEnd w:id="89"/>
      <w:bookmarkEnd w:id="90"/>
    </w:p>
    <w:p w14:paraId="48624B3F" w14:textId="77777777" w:rsidR="00762137" w:rsidRDefault="001C6E97" w:rsidP="00762137">
      <w:pPr>
        <w:pStyle w:val="BodyText"/>
      </w:pPr>
      <w:r>
        <w:t>Optimized scheduling balances provider preferences with your organization's needs and demand- creating the perfect schedule for each location. Schedule optimization management can help your practice meet its goals, bring in a steady revenue stream, and stay productive and busy.</w:t>
      </w:r>
    </w:p>
    <w:p w14:paraId="6EBD7967" w14:textId="075E5151" w:rsidR="001C6E97" w:rsidRDefault="001C6E97" w:rsidP="004F45B6">
      <w:pPr>
        <w:pStyle w:val="Heading2"/>
        <w:numPr>
          <w:ilvl w:val="0"/>
          <w:numId w:val="28"/>
        </w:numPr>
      </w:pPr>
      <w:bookmarkStart w:id="91" w:name="_Toc135416683"/>
      <w:bookmarkStart w:id="92" w:name="_Toc166834318"/>
      <w:r>
        <w:t>Scheduling Templates</w:t>
      </w:r>
      <w:bookmarkEnd w:id="91"/>
      <w:bookmarkEnd w:id="92"/>
    </w:p>
    <w:p w14:paraId="111C29B6" w14:textId="11F615DD" w:rsidR="001C6E97" w:rsidRDefault="001A1857" w:rsidP="001C6E97">
      <w:pPr>
        <w:pStyle w:val="BodyText"/>
      </w:pPr>
      <w:r>
        <w:t xml:space="preserve">Scheduling templates </w:t>
      </w:r>
      <w:r w:rsidR="001C6E97">
        <w:t xml:space="preserve">allow you to define and maintain a schedule that supports your organization's specific goals. Your scheduling templates should be tailored to your organization and help you grow and improve toward your goals.  </w:t>
      </w:r>
    </w:p>
    <w:p w14:paraId="0078DC33" w14:textId="21CC4EEC" w:rsidR="001C6E97" w:rsidRDefault="00FF72AF" w:rsidP="001C6E97">
      <w:pPr>
        <w:pStyle w:val="BodyText"/>
      </w:pPr>
      <w:r>
        <w:rPr>
          <w:noProof/>
        </w:rPr>
        <w:drawing>
          <wp:anchor distT="0" distB="0" distL="0" distR="91440" simplePos="0" relativeHeight="251668484" behindDoc="1" locked="0" layoutInCell="1" allowOverlap="1" wp14:anchorId="35FC7260" wp14:editId="757F398F">
            <wp:simplePos x="0" y="0"/>
            <wp:positionH relativeFrom="column">
              <wp:posOffset>-454660</wp:posOffset>
            </wp:positionH>
            <wp:positionV relativeFrom="paragraph">
              <wp:posOffset>0</wp:posOffset>
            </wp:positionV>
            <wp:extent cx="365760" cy="484632"/>
            <wp:effectExtent l="0" t="0" r="0" b="0"/>
            <wp:wrapTight wrapText="right">
              <wp:wrapPolygon edited="0">
                <wp:start x="0" y="0"/>
                <wp:lineTo x="0" y="20383"/>
                <wp:lineTo x="20250" y="20383"/>
                <wp:lineTo x="20250" y="0"/>
                <wp:lineTo x="0" y="0"/>
              </wp:wrapPolygon>
            </wp:wrapTight>
            <wp:docPr id="205082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26099"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632"/>
                    </a:xfrm>
                    <a:prstGeom prst="rect">
                      <a:avLst/>
                    </a:prstGeom>
                  </pic:spPr>
                </pic:pic>
              </a:graphicData>
            </a:graphic>
            <wp14:sizeRelH relativeFrom="margin">
              <wp14:pctWidth>0</wp14:pctWidth>
            </wp14:sizeRelH>
            <wp14:sizeRelV relativeFrom="margin">
              <wp14:pctHeight>0</wp14:pctHeight>
            </wp14:sizeRelV>
          </wp:anchor>
        </w:drawing>
      </w:r>
      <w:r w:rsidR="001C6E97" w:rsidRPr="00A37B2A">
        <w:rPr>
          <w:color w:val="00B050"/>
        </w:rPr>
        <w:t>&lt;&lt;Insert Scheduling Templates decision support/SOP/guidance here&gt;&gt;</w:t>
      </w:r>
      <w:r w:rsidR="001C6E97">
        <w:t xml:space="preserve">  </w:t>
      </w:r>
    </w:p>
    <w:p w14:paraId="37A44308" w14:textId="234685CC" w:rsidR="001C6E97" w:rsidRPr="002A50BA" w:rsidRDefault="001C6E97" w:rsidP="001C6E97">
      <w:pPr>
        <w:pStyle w:val="BodyText"/>
        <w:rPr>
          <w:color w:val="00B050"/>
        </w:rPr>
      </w:pPr>
      <w:r w:rsidRPr="002A50BA">
        <w:rPr>
          <w:color w:val="00B050"/>
        </w:rPr>
        <w:t>Defin</w:t>
      </w:r>
      <w:r w:rsidR="001A1857" w:rsidRPr="002A50BA">
        <w:rPr>
          <w:color w:val="00B050"/>
        </w:rPr>
        <w:t>e</w:t>
      </w:r>
      <w:r w:rsidRPr="002A50BA">
        <w:rPr>
          <w:color w:val="00B050"/>
        </w:rPr>
        <w:t xml:space="preserve"> the desired goal of your schedule to </w:t>
      </w:r>
      <w:r w:rsidR="001A1857" w:rsidRPr="002A50BA">
        <w:rPr>
          <w:color w:val="00B050"/>
        </w:rPr>
        <w:t>help align</w:t>
      </w:r>
      <w:r w:rsidRPr="002A50BA">
        <w:rPr>
          <w:color w:val="00B050"/>
        </w:rPr>
        <w:t xml:space="preserve"> best practice</w:t>
      </w:r>
      <w:r w:rsidR="001A1857" w:rsidRPr="002A50BA">
        <w:rPr>
          <w:color w:val="00B050"/>
        </w:rPr>
        <w:t>s for</w:t>
      </w:r>
      <w:r w:rsidRPr="002A50BA">
        <w:rPr>
          <w:color w:val="00B050"/>
        </w:rPr>
        <w:t xml:space="preserve"> us</w:t>
      </w:r>
      <w:r w:rsidR="001A1857" w:rsidRPr="002A50BA">
        <w:rPr>
          <w:color w:val="00B050"/>
        </w:rPr>
        <w:t>ing</w:t>
      </w:r>
      <w:r w:rsidRPr="002A50BA">
        <w:rPr>
          <w:color w:val="00B050"/>
        </w:rPr>
        <w:t xml:space="preserve"> the software with your organization's needs. Some examples of various goals or guidance </w:t>
      </w:r>
      <w:r w:rsidR="001A1857" w:rsidRPr="002A50BA">
        <w:rPr>
          <w:color w:val="00B050"/>
        </w:rPr>
        <w:t xml:space="preserve">that are </w:t>
      </w:r>
      <w:r w:rsidRPr="002A50BA">
        <w:rPr>
          <w:color w:val="00B050"/>
        </w:rPr>
        <w:t xml:space="preserve">associated with scheduling strategies include </w:t>
      </w:r>
      <w:r w:rsidR="001A1857" w:rsidRPr="002A50BA">
        <w:rPr>
          <w:color w:val="00B050"/>
        </w:rPr>
        <w:t>the following: m</w:t>
      </w:r>
      <w:r w:rsidRPr="002A50BA">
        <w:rPr>
          <w:color w:val="00B050"/>
        </w:rPr>
        <w:t xml:space="preserve">eeting </w:t>
      </w:r>
      <w:r w:rsidR="001A1857" w:rsidRPr="002A50BA">
        <w:rPr>
          <w:color w:val="00B050"/>
        </w:rPr>
        <w:t>c</w:t>
      </w:r>
      <w:r w:rsidRPr="002A50BA">
        <w:rPr>
          <w:color w:val="00B050"/>
        </w:rPr>
        <w:t xml:space="preserve">apacity, </w:t>
      </w:r>
      <w:r w:rsidR="001A1857" w:rsidRPr="002A50BA">
        <w:rPr>
          <w:color w:val="00B050"/>
        </w:rPr>
        <w:t>having a h</w:t>
      </w:r>
      <w:r w:rsidRPr="002A50BA">
        <w:rPr>
          <w:color w:val="00B050"/>
        </w:rPr>
        <w:t xml:space="preserve">ealthy </w:t>
      </w:r>
      <w:r w:rsidR="001A1857" w:rsidRPr="002A50BA">
        <w:rPr>
          <w:color w:val="00B050"/>
        </w:rPr>
        <w:t>p</w:t>
      </w:r>
      <w:r w:rsidRPr="002A50BA">
        <w:rPr>
          <w:color w:val="00B050"/>
        </w:rPr>
        <w:t xml:space="preserve">ayor </w:t>
      </w:r>
      <w:r w:rsidR="001A1857" w:rsidRPr="002A50BA">
        <w:rPr>
          <w:color w:val="00B050"/>
        </w:rPr>
        <w:t>m</w:t>
      </w:r>
      <w:r w:rsidRPr="002A50BA">
        <w:rPr>
          <w:color w:val="00B050"/>
        </w:rPr>
        <w:t xml:space="preserve">ix, </w:t>
      </w:r>
      <w:r w:rsidR="001A1857" w:rsidRPr="002A50BA">
        <w:rPr>
          <w:color w:val="00B050"/>
        </w:rPr>
        <w:t>m</w:t>
      </w:r>
      <w:r w:rsidRPr="002A50BA">
        <w:rPr>
          <w:color w:val="00B050"/>
        </w:rPr>
        <w:t xml:space="preserve">aximizing </w:t>
      </w:r>
      <w:r w:rsidR="001A1857" w:rsidRPr="002A50BA">
        <w:rPr>
          <w:color w:val="00B050"/>
        </w:rPr>
        <w:t>p</w:t>
      </w:r>
      <w:r w:rsidRPr="002A50BA">
        <w:rPr>
          <w:color w:val="00B050"/>
        </w:rPr>
        <w:t xml:space="preserve">atient </w:t>
      </w:r>
      <w:r w:rsidR="001A1857" w:rsidRPr="002A50BA">
        <w:rPr>
          <w:color w:val="00B050"/>
        </w:rPr>
        <w:t>a</w:t>
      </w:r>
      <w:r w:rsidRPr="002A50BA">
        <w:rPr>
          <w:color w:val="00B050"/>
        </w:rPr>
        <w:t xml:space="preserve">cquisitions, </w:t>
      </w:r>
      <w:r w:rsidR="001A1857" w:rsidRPr="002A50BA">
        <w:rPr>
          <w:color w:val="00B050"/>
        </w:rPr>
        <w:t>m</w:t>
      </w:r>
      <w:r w:rsidRPr="002A50BA">
        <w:rPr>
          <w:color w:val="00B050"/>
        </w:rPr>
        <w:t xml:space="preserve">anaging </w:t>
      </w:r>
      <w:r w:rsidR="001A1857" w:rsidRPr="002A50BA">
        <w:rPr>
          <w:color w:val="00B050"/>
        </w:rPr>
        <w:t>r</w:t>
      </w:r>
      <w:r w:rsidRPr="002A50BA">
        <w:rPr>
          <w:color w:val="00B050"/>
        </w:rPr>
        <w:t>e-</w:t>
      </w:r>
      <w:r w:rsidR="001A1857" w:rsidRPr="002A50BA">
        <w:rPr>
          <w:color w:val="00B050"/>
        </w:rPr>
        <w:t>c</w:t>
      </w:r>
      <w:r w:rsidRPr="002A50BA">
        <w:rPr>
          <w:color w:val="00B050"/>
        </w:rPr>
        <w:t xml:space="preserve">are </w:t>
      </w:r>
      <w:r w:rsidR="001A1857" w:rsidRPr="002A50BA">
        <w:rPr>
          <w:color w:val="00B050"/>
        </w:rPr>
        <w:t>r</w:t>
      </w:r>
      <w:r w:rsidRPr="002A50BA">
        <w:rPr>
          <w:color w:val="00B050"/>
        </w:rPr>
        <w:t xml:space="preserve">ates, </w:t>
      </w:r>
      <w:r w:rsidR="001A1857" w:rsidRPr="002A50BA">
        <w:rPr>
          <w:color w:val="00B050"/>
        </w:rPr>
        <w:t>m</w:t>
      </w:r>
      <w:r w:rsidRPr="002A50BA">
        <w:rPr>
          <w:color w:val="00B050"/>
        </w:rPr>
        <w:t xml:space="preserve">eeting </w:t>
      </w:r>
      <w:r w:rsidR="001A1857" w:rsidRPr="002A50BA">
        <w:rPr>
          <w:color w:val="00B050"/>
        </w:rPr>
        <w:t>d</w:t>
      </w:r>
      <w:r w:rsidRPr="002A50BA">
        <w:rPr>
          <w:color w:val="00B050"/>
        </w:rPr>
        <w:t xml:space="preserve">ental </w:t>
      </w:r>
      <w:r w:rsidR="001A1857" w:rsidRPr="002A50BA">
        <w:rPr>
          <w:color w:val="00B050"/>
        </w:rPr>
        <w:t>t</w:t>
      </w:r>
      <w:r w:rsidRPr="002A50BA">
        <w:rPr>
          <w:color w:val="00B050"/>
        </w:rPr>
        <w:t xml:space="preserve">reatment acceptance, </w:t>
      </w:r>
      <w:r w:rsidR="001A1857" w:rsidRPr="002A50BA">
        <w:rPr>
          <w:color w:val="00B050"/>
        </w:rPr>
        <w:t xml:space="preserve">having </w:t>
      </w:r>
      <w:r w:rsidRPr="002A50BA">
        <w:rPr>
          <w:color w:val="00B050"/>
        </w:rPr>
        <w:t xml:space="preserve">production goals, and </w:t>
      </w:r>
      <w:r w:rsidR="001A1857" w:rsidRPr="002A50BA">
        <w:rPr>
          <w:color w:val="00B050"/>
        </w:rPr>
        <w:t>i</w:t>
      </w:r>
      <w:r w:rsidRPr="002A50BA">
        <w:rPr>
          <w:color w:val="00B050"/>
        </w:rPr>
        <w:t xml:space="preserve">ncreasing </w:t>
      </w:r>
      <w:r w:rsidR="001A1857" w:rsidRPr="002A50BA">
        <w:rPr>
          <w:color w:val="00B050"/>
        </w:rPr>
        <w:t>e</w:t>
      </w:r>
      <w:r w:rsidRPr="002A50BA">
        <w:rPr>
          <w:color w:val="00B050"/>
        </w:rPr>
        <w:t xml:space="preserve">ncounter </w:t>
      </w:r>
      <w:r w:rsidR="001A1857" w:rsidRPr="002A50BA">
        <w:rPr>
          <w:color w:val="00B050"/>
        </w:rPr>
        <w:t>r</w:t>
      </w:r>
      <w:r w:rsidRPr="002A50BA">
        <w:rPr>
          <w:color w:val="00B050"/>
        </w:rPr>
        <w:t>ates.</w:t>
      </w:r>
    </w:p>
    <w:p w14:paraId="7105A29A" w14:textId="18EFF5F0" w:rsidR="00A30FFA" w:rsidRDefault="001C6E97" w:rsidP="00D42C5A">
      <w:pPr>
        <w:pStyle w:val="Heading3"/>
      </w:pPr>
      <w:bookmarkStart w:id="93" w:name="_Toc135416684"/>
      <w:bookmarkStart w:id="94" w:name="_Toc166834319"/>
      <w:r>
        <w:t>Maintaining Schedule Accuracy</w:t>
      </w:r>
      <w:bookmarkEnd w:id="93"/>
      <w:bookmarkEnd w:id="94"/>
    </w:p>
    <w:p w14:paraId="33AC4DB8" w14:textId="603B4E5E" w:rsidR="001C6E97" w:rsidRDefault="001A1857" w:rsidP="001C6E97">
      <w:pPr>
        <w:pStyle w:val="BodyText"/>
      </w:pPr>
      <w:r>
        <w:t>Clearly define t</w:t>
      </w:r>
      <w:r w:rsidR="001C6E97">
        <w:t xml:space="preserve">emporary changes using the following settings to reflect accurate availability in your schedule.  </w:t>
      </w:r>
    </w:p>
    <w:p w14:paraId="742E598B" w14:textId="230D4142" w:rsidR="001C6E97" w:rsidRPr="001A1857" w:rsidRDefault="00AC3C03" w:rsidP="00A30FFA">
      <w:pPr>
        <w:pStyle w:val="BodyText"/>
        <w:rPr>
          <w:i/>
          <w:iCs/>
        </w:rPr>
      </w:pPr>
      <w:r>
        <w:rPr>
          <w:noProof/>
        </w:rPr>
        <w:drawing>
          <wp:anchor distT="0" distB="0" distL="0" distR="91440" simplePos="0" relativeHeight="251660292" behindDoc="1" locked="0" layoutInCell="1" allowOverlap="1" wp14:anchorId="4E8D3F17" wp14:editId="20BBFF9C">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242588800"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1C6E97" w:rsidRPr="001A1857">
        <w:rPr>
          <w:b/>
          <w:bCs/>
          <w:i/>
          <w:iCs/>
        </w:rPr>
        <w:t>Operations Insight</w:t>
      </w:r>
      <w:r w:rsidR="00A46FB0" w:rsidRPr="001A1857">
        <w:rPr>
          <w:i/>
          <w:iCs/>
        </w:rPr>
        <w:t xml:space="preserve">: </w:t>
      </w:r>
      <w:r w:rsidR="001C6E97" w:rsidRPr="001A1857">
        <w:rPr>
          <w:i/>
          <w:iCs/>
        </w:rPr>
        <w:t xml:space="preserve">The </w:t>
      </w:r>
      <w:r w:rsidR="00C51D1D">
        <w:rPr>
          <w:i/>
          <w:iCs/>
        </w:rPr>
        <w:t>default A</w:t>
      </w:r>
      <w:r w:rsidR="001C6E97" w:rsidRPr="001A1857">
        <w:rPr>
          <w:i/>
          <w:iCs/>
        </w:rPr>
        <w:t xml:space="preserve">ppointment </w:t>
      </w:r>
      <w:r w:rsidR="00C51D1D">
        <w:rPr>
          <w:i/>
          <w:iCs/>
        </w:rPr>
        <w:t>B</w:t>
      </w:r>
      <w:r w:rsidR="001C6E97" w:rsidRPr="001A1857">
        <w:rPr>
          <w:i/>
          <w:iCs/>
        </w:rPr>
        <w:t xml:space="preserve">ook settings for each clinic are established and maintained during </w:t>
      </w:r>
      <w:r w:rsidR="00C51D1D">
        <w:rPr>
          <w:i/>
          <w:iCs/>
        </w:rPr>
        <w:t>d</w:t>
      </w:r>
      <w:r w:rsidR="001C6E97" w:rsidRPr="001A1857">
        <w:rPr>
          <w:i/>
          <w:iCs/>
        </w:rPr>
        <w:t xml:space="preserve">atabase </w:t>
      </w:r>
      <w:r w:rsidR="00C51D1D">
        <w:rPr>
          <w:i/>
          <w:iCs/>
        </w:rPr>
        <w:t>d</w:t>
      </w:r>
      <w:r w:rsidR="001C6E97" w:rsidRPr="001A1857">
        <w:rPr>
          <w:i/>
          <w:iCs/>
        </w:rPr>
        <w:t xml:space="preserve">esign. </w:t>
      </w:r>
      <w:r w:rsidR="00C51D1D">
        <w:rPr>
          <w:i/>
          <w:iCs/>
        </w:rPr>
        <w:t xml:space="preserve">For information about making </w:t>
      </w:r>
      <w:r w:rsidR="001C6E97" w:rsidRPr="001A1857">
        <w:rPr>
          <w:i/>
          <w:iCs/>
        </w:rPr>
        <w:t>permanent changes to the default schedules for a clinic</w:t>
      </w:r>
      <w:r w:rsidR="00C51D1D">
        <w:rPr>
          <w:i/>
          <w:iCs/>
        </w:rPr>
        <w:t>, refer to the “Database Design” section</w:t>
      </w:r>
      <w:r w:rsidR="001C6E97" w:rsidRPr="001A1857">
        <w:rPr>
          <w:i/>
          <w:iCs/>
        </w:rPr>
        <w:t xml:space="preserve">.  </w:t>
      </w:r>
    </w:p>
    <w:p w14:paraId="378423E0" w14:textId="06E657CF" w:rsidR="00C51D1D" w:rsidRDefault="00C51D1D" w:rsidP="00D9161F">
      <w:pPr>
        <w:pStyle w:val="Heading4"/>
      </w:pPr>
      <w:r>
        <w:t>Clinic Schedules</w:t>
      </w:r>
    </w:p>
    <w:p w14:paraId="7E890F50" w14:textId="4DC34D9B" w:rsidR="00C51D1D" w:rsidRDefault="00CA70A5" w:rsidP="00C51D1D">
      <w:pPr>
        <w:pStyle w:val="BodyText"/>
      </w:pPr>
      <w:r>
        <w:rPr>
          <w:noProof/>
        </w:rPr>
        <w:drawing>
          <wp:anchor distT="0" distB="0" distL="91440" distR="0" simplePos="0" relativeHeight="251662340" behindDoc="1" locked="0" layoutInCell="1" allowOverlap="1" wp14:anchorId="7C77301E" wp14:editId="554C9EAD">
            <wp:simplePos x="0" y="0"/>
            <wp:positionH relativeFrom="column">
              <wp:posOffset>5577840</wp:posOffset>
            </wp:positionH>
            <wp:positionV relativeFrom="paragraph">
              <wp:posOffset>0</wp:posOffset>
            </wp:positionV>
            <wp:extent cx="365760" cy="365760"/>
            <wp:effectExtent l="0" t="0" r="0" b="0"/>
            <wp:wrapTight wrapText="left">
              <wp:wrapPolygon edited="1">
                <wp:start x="0" y="0"/>
                <wp:lineTo x="0" y="29291"/>
                <wp:lineTo x="20404" y="29653"/>
                <wp:lineTo x="20041" y="0"/>
                <wp:lineTo x="0" y="0"/>
              </wp:wrapPolygon>
            </wp:wrapTight>
            <wp:docPr id="78730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2356" name=""/>
                    <pic:cNvPicPr/>
                  </pic:nvPicPr>
                  <pic:blipFill>
                    <a:blip r:embed="rId4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C51D1D">
        <w:t>For a clinic in</w:t>
      </w:r>
      <w:r w:rsidR="00C51D1D" w:rsidRPr="00A46FB0">
        <w:t xml:space="preserve"> </w:t>
      </w:r>
      <w:r w:rsidR="00C51D1D">
        <w:t>A</w:t>
      </w:r>
      <w:r w:rsidR="00C51D1D" w:rsidRPr="00A46FB0">
        <w:t xml:space="preserve">ppointment </w:t>
      </w:r>
      <w:r w:rsidR="00C51D1D">
        <w:t>B</w:t>
      </w:r>
      <w:r w:rsidR="00C51D1D" w:rsidRPr="00A46FB0">
        <w:t xml:space="preserve">ook, you can change </w:t>
      </w:r>
      <w:r w:rsidR="00C51D1D">
        <w:t>the</w:t>
      </w:r>
      <w:r w:rsidR="00C51D1D" w:rsidRPr="00A46FB0">
        <w:t xml:space="preserve"> working hours for a single day or close the office entirely for a</w:t>
      </w:r>
      <w:r w:rsidR="00C51D1D">
        <w:t xml:space="preserve"> specific</w:t>
      </w:r>
      <w:r w:rsidR="00C51D1D" w:rsidRPr="00A46FB0">
        <w:t xml:space="preserve"> date</w:t>
      </w:r>
      <w:r w:rsidR="00C51D1D">
        <w:t xml:space="preserve"> or holiday</w:t>
      </w:r>
      <w:r w:rsidR="00C51D1D" w:rsidRPr="00A46FB0">
        <w:t>.</w:t>
      </w:r>
      <w:r w:rsidR="00C51D1D">
        <w:t xml:space="preserve"> To change the clinic</w:t>
      </w:r>
      <w:r w:rsidR="00614C1A">
        <w:t>’s</w:t>
      </w:r>
      <w:r w:rsidR="00C51D1D">
        <w:t xml:space="preserve"> schedule, do the following:</w:t>
      </w:r>
    </w:p>
    <w:p w14:paraId="7C007257" w14:textId="30D4D575" w:rsidR="005E5DBF" w:rsidRDefault="005E5DBF" w:rsidP="004F45B6">
      <w:pPr>
        <w:pStyle w:val="BodyText"/>
        <w:numPr>
          <w:ilvl w:val="0"/>
          <w:numId w:val="145"/>
        </w:numPr>
        <w:ind w:left="540"/>
      </w:pPr>
      <w:r>
        <w:t xml:space="preserve">On the </w:t>
      </w:r>
      <w:r w:rsidRPr="00C51D1D">
        <w:rPr>
          <w:b/>
          <w:bCs/>
        </w:rPr>
        <w:t>Setup</w:t>
      </w:r>
      <w:r w:rsidRPr="00A46FB0">
        <w:t xml:space="preserve"> </w:t>
      </w:r>
      <w:r>
        <w:t>menu, click</w:t>
      </w:r>
      <w:r w:rsidRPr="00A46FB0">
        <w:t xml:space="preserve"> </w:t>
      </w:r>
      <w:r w:rsidRPr="00C51D1D">
        <w:rPr>
          <w:b/>
          <w:bCs/>
        </w:rPr>
        <w:t>Clinic Schedule</w:t>
      </w:r>
      <w:r>
        <w:t>.</w:t>
      </w:r>
    </w:p>
    <w:p w14:paraId="174A2E71" w14:textId="57DA50F2" w:rsidR="00614C1A" w:rsidRDefault="00614C1A" w:rsidP="00614C1A">
      <w:pPr>
        <w:pStyle w:val="BodyText"/>
        <w:ind w:left="540"/>
      </w:pPr>
      <w:r>
        <w:t>T</w:t>
      </w:r>
      <w:r w:rsidRPr="00614C1A">
        <w:t xml:space="preserve">he </w:t>
      </w:r>
      <w:r w:rsidRPr="00614C1A">
        <w:rPr>
          <w:b/>
          <w:bCs/>
        </w:rPr>
        <w:t>Schedule Calendar for Clinic</w:t>
      </w:r>
      <w:r w:rsidRPr="00614C1A">
        <w:t xml:space="preserve"> dialog box</w:t>
      </w:r>
      <w:r>
        <w:t xml:space="preserve"> appears.</w:t>
      </w:r>
    </w:p>
    <w:p w14:paraId="26807464" w14:textId="09BAE3C0" w:rsidR="005E5DBF" w:rsidRPr="00C51D1D" w:rsidRDefault="005E5DBF" w:rsidP="004F45B6">
      <w:pPr>
        <w:pStyle w:val="BodyText"/>
        <w:numPr>
          <w:ilvl w:val="0"/>
          <w:numId w:val="145"/>
        </w:numPr>
        <w:ind w:left="540"/>
      </w:pPr>
      <w:r>
        <w:t>Do any of the following as needed:</w:t>
      </w:r>
    </w:p>
    <w:p w14:paraId="02232996" w14:textId="57C03C19" w:rsidR="005E5DBF" w:rsidRDefault="005E5DBF" w:rsidP="004F45B6">
      <w:pPr>
        <w:pStyle w:val="BodyText"/>
        <w:numPr>
          <w:ilvl w:val="1"/>
          <w:numId w:val="146"/>
        </w:numPr>
        <w:ind w:left="1080"/>
      </w:pPr>
      <w:r>
        <w:t>To c</w:t>
      </w:r>
      <w:r w:rsidR="001C6E97">
        <w:t>lo</w:t>
      </w:r>
      <w:r w:rsidR="001C6E97" w:rsidRPr="00A30FFA">
        <w:t>se</w:t>
      </w:r>
      <w:r w:rsidR="001C6E97" w:rsidRPr="00A46FB0">
        <w:t xml:space="preserve"> </w:t>
      </w:r>
      <w:r>
        <w:t>the o</w:t>
      </w:r>
      <w:r w:rsidR="001C6E97" w:rsidRPr="00A46FB0">
        <w:t xml:space="preserve">ffice </w:t>
      </w:r>
      <w:r>
        <w:t>for</w:t>
      </w:r>
      <w:r w:rsidR="001C6E97" w:rsidRPr="00A46FB0">
        <w:t xml:space="preserve"> </w:t>
      </w:r>
      <w:r>
        <w:t>a specific d</w:t>
      </w:r>
      <w:r w:rsidR="001C6E97" w:rsidRPr="00A46FB0">
        <w:t>ate</w:t>
      </w:r>
      <w:r>
        <w:t xml:space="preserve">, select the date, expand the </w:t>
      </w:r>
      <w:r w:rsidRPr="005E5DBF">
        <w:rPr>
          <w:b/>
          <w:bCs/>
        </w:rPr>
        <w:t>Office Closed</w:t>
      </w:r>
      <w:r>
        <w:t xml:space="preserve"> menu, and then click </w:t>
      </w:r>
      <w:r w:rsidRPr="005E5DBF">
        <w:rPr>
          <w:b/>
          <w:bCs/>
        </w:rPr>
        <w:t>Close Office on selected date</w:t>
      </w:r>
      <w:r>
        <w:t xml:space="preserve">. </w:t>
      </w:r>
      <w:r w:rsidRPr="005E5DBF">
        <w:t>You can use this option to close the office for a yearly holiday that does not occur on the same day of the month every year (for example, Thanksgiving).</w:t>
      </w:r>
    </w:p>
    <w:p w14:paraId="0B0AD4E9" w14:textId="537321FC" w:rsidR="005E5DBF" w:rsidRPr="00A46FB0" w:rsidRDefault="005E5DBF" w:rsidP="004F45B6">
      <w:pPr>
        <w:pStyle w:val="BodyText"/>
        <w:numPr>
          <w:ilvl w:val="1"/>
          <w:numId w:val="146"/>
        </w:numPr>
        <w:ind w:left="1080"/>
      </w:pPr>
      <w:r>
        <w:t>To set</w:t>
      </w:r>
      <w:r w:rsidRPr="00A46FB0">
        <w:t xml:space="preserve"> </w:t>
      </w:r>
      <w:r>
        <w:t xml:space="preserve">a yearly holiday for the office, select the date, expand the </w:t>
      </w:r>
      <w:r w:rsidRPr="005E5DBF">
        <w:rPr>
          <w:b/>
          <w:bCs/>
        </w:rPr>
        <w:t>Office Closed</w:t>
      </w:r>
      <w:r>
        <w:t xml:space="preserve"> menu, and then click </w:t>
      </w:r>
      <w:r>
        <w:rPr>
          <w:b/>
          <w:bCs/>
        </w:rPr>
        <w:t>Set Yearly Holiday on selected day</w:t>
      </w:r>
      <w:r>
        <w:t xml:space="preserve">. </w:t>
      </w:r>
      <w:r w:rsidRPr="005E5DBF">
        <w:t>You can use this option to close the office for a yearly holiday that falls on the same day of the month every year (for example, Christmas is always on December 25).</w:t>
      </w:r>
    </w:p>
    <w:p w14:paraId="47782F2B" w14:textId="730222FE" w:rsidR="001C6E97" w:rsidRDefault="005E5DBF" w:rsidP="004F45B6">
      <w:pPr>
        <w:pStyle w:val="BodyText"/>
        <w:keepNext/>
        <w:keepLines/>
        <w:numPr>
          <w:ilvl w:val="1"/>
          <w:numId w:val="146"/>
        </w:numPr>
        <w:ind w:left="1080"/>
      </w:pPr>
      <w:r>
        <w:lastRenderedPageBreak/>
        <w:t>To u</w:t>
      </w:r>
      <w:r w:rsidR="001C6E97" w:rsidRPr="00A46FB0">
        <w:t xml:space="preserve">pdate </w:t>
      </w:r>
      <w:r>
        <w:t>the office’s working hours for a specific date, double-click the date</w:t>
      </w:r>
      <w:r w:rsidR="00614C1A">
        <w:t xml:space="preserve">, change the date ranges accordingly, select the </w:t>
      </w:r>
      <w:r w:rsidR="001C6E97" w:rsidRPr="00614C1A">
        <w:rPr>
          <w:b/>
          <w:bCs/>
        </w:rPr>
        <w:t>Update Op Schedules</w:t>
      </w:r>
      <w:r w:rsidR="00614C1A">
        <w:t xml:space="preserve"> checkbox</w:t>
      </w:r>
      <w:r w:rsidR="001C6E97" w:rsidRPr="00A46FB0">
        <w:t xml:space="preserve"> to </w:t>
      </w:r>
      <w:r w:rsidR="00614C1A" w:rsidRPr="00614C1A">
        <w:t>apply the time changes to the</w:t>
      </w:r>
      <w:r w:rsidR="00614C1A">
        <w:t xml:space="preserve"> office’s</w:t>
      </w:r>
      <w:r w:rsidR="00614C1A" w:rsidRPr="00614C1A">
        <w:t xml:space="preserve"> schedule for all operatories on this date (overriding but not changing the default availability)</w:t>
      </w:r>
      <w:r w:rsidR="00614C1A">
        <w:t xml:space="preserve">, and then click </w:t>
      </w:r>
      <w:r w:rsidR="00614C1A" w:rsidRPr="00614C1A">
        <w:rPr>
          <w:b/>
          <w:bCs/>
        </w:rPr>
        <w:t>OK</w:t>
      </w:r>
      <w:r w:rsidR="001C6E97" w:rsidRPr="00A46FB0">
        <w:t>.</w:t>
      </w:r>
    </w:p>
    <w:p w14:paraId="34054EE7" w14:textId="37B8860B" w:rsidR="00614C1A" w:rsidRPr="00A46FB0" w:rsidRDefault="00614C1A" w:rsidP="004F45B6">
      <w:pPr>
        <w:pStyle w:val="BodyText"/>
        <w:numPr>
          <w:ilvl w:val="0"/>
          <w:numId w:val="145"/>
        </w:numPr>
        <w:ind w:left="540"/>
      </w:pPr>
      <w:r>
        <w:t xml:space="preserve">Click </w:t>
      </w:r>
      <w:r w:rsidRPr="00614C1A">
        <w:rPr>
          <w:b/>
          <w:bCs/>
        </w:rPr>
        <w:t>Close</w:t>
      </w:r>
      <w:r>
        <w:t>.</w:t>
      </w:r>
    </w:p>
    <w:p w14:paraId="3B46FA7B" w14:textId="2C86D940" w:rsidR="00A46FB0" w:rsidRDefault="001C6E97" w:rsidP="00E92EA5">
      <w:pPr>
        <w:pStyle w:val="Heading4"/>
      </w:pPr>
      <w:r w:rsidRPr="00A46FB0">
        <w:t>Provider Schedules</w:t>
      </w:r>
    </w:p>
    <w:p w14:paraId="3D861E94" w14:textId="3FAA77C2" w:rsidR="00614C1A" w:rsidRDefault="00AB5DC9" w:rsidP="00A46FB0">
      <w:pPr>
        <w:pStyle w:val="BodyText"/>
      </w:pPr>
      <w:r>
        <w:rPr>
          <w:noProof/>
        </w:rPr>
        <w:drawing>
          <wp:anchor distT="0" distB="0" distL="91440" distR="0" simplePos="0" relativeHeight="251664388" behindDoc="1" locked="0" layoutInCell="1" allowOverlap="1" wp14:anchorId="2FA4D282" wp14:editId="19BF31FF">
            <wp:simplePos x="0" y="0"/>
            <wp:positionH relativeFrom="column">
              <wp:posOffset>5577840</wp:posOffset>
            </wp:positionH>
            <wp:positionV relativeFrom="paragraph">
              <wp:posOffset>0</wp:posOffset>
            </wp:positionV>
            <wp:extent cx="365760" cy="365760"/>
            <wp:effectExtent l="0" t="0" r="0" b="0"/>
            <wp:wrapTight wrapText="left">
              <wp:wrapPolygon edited="1">
                <wp:start x="0" y="0"/>
                <wp:lineTo x="0" y="29291"/>
                <wp:lineTo x="20404" y="29653"/>
                <wp:lineTo x="20041" y="0"/>
                <wp:lineTo x="0" y="0"/>
              </wp:wrapPolygon>
            </wp:wrapTight>
            <wp:docPr id="4373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2356" name=""/>
                    <pic:cNvPicPr/>
                  </pic:nvPicPr>
                  <pic:blipFill>
                    <a:blip r:embed="rId4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14C1A">
        <w:t>For a provider in A</w:t>
      </w:r>
      <w:r w:rsidR="001C6E97" w:rsidRPr="00A46FB0">
        <w:t xml:space="preserve">ppointment </w:t>
      </w:r>
      <w:r w:rsidR="00614C1A">
        <w:t>B</w:t>
      </w:r>
      <w:r w:rsidR="001C6E97" w:rsidRPr="00A46FB0">
        <w:t>ook</w:t>
      </w:r>
      <w:r w:rsidR="00614C1A">
        <w:t xml:space="preserve">, </w:t>
      </w:r>
      <w:r w:rsidR="001C6E97" w:rsidRPr="00A46FB0">
        <w:t xml:space="preserve">you can </w:t>
      </w:r>
      <w:r w:rsidR="00614C1A">
        <w:t xml:space="preserve">change the working </w:t>
      </w:r>
      <w:r w:rsidR="001C6E97" w:rsidRPr="00A46FB0">
        <w:t xml:space="preserve">hours for a single day or set </w:t>
      </w:r>
      <w:r w:rsidR="00614C1A">
        <w:t>a v</w:t>
      </w:r>
      <w:r w:rsidR="001C6E97" w:rsidRPr="00A46FB0">
        <w:t>acation day.</w:t>
      </w:r>
      <w:r w:rsidR="00614C1A">
        <w:t xml:space="preserve"> To change the provider’s schedule, do the following:</w:t>
      </w:r>
    </w:p>
    <w:p w14:paraId="2DA91BAD" w14:textId="79E41FF2" w:rsidR="00614C1A" w:rsidRDefault="00614C1A" w:rsidP="004F45B6">
      <w:pPr>
        <w:pStyle w:val="BodyText"/>
        <w:numPr>
          <w:ilvl w:val="0"/>
          <w:numId w:val="147"/>
        </w:numPr>
        <w:ind w:left="540"/>
      </w:pPr>
      <w:r>
        <w:t xml:space="preserve">On the </w:t>
      </w:r>
      <w:r w:rsidRPr="00C51D1D">
        <w:rPr>
          <w:b/>
          <w:bCs/>
        </w:rPr>
        <w:t>Setup</w:t>
      </w:r>
      <w:r w:rsidRPr="00A46FB0">
        <w:t xml:space="preserve"> </w:t>
      </w:r>
      <w:r>
        <w:t>menu, click</w:t>
      </w:r>
      <w:r w:rsidRPr="00A46FB0">
        <w:t xml:space="preserve"> </w:t>
      </w:r>
      <w:r>
        <w:rPr>
          <w:b/>
          <w:bCs/>
        </w:rPr>
        <w:t>Provider Setup</w:t>
      </w:r>
      <w:r>
        <w:t>.</w:t>
      </w:r>
    </w:p>
    <w:p w14:paraId="4B978EB8" w14:textId="155A9B3B" w:rsidR="00614C1A" w:rsidRDefault="00614C1A" w:rsidP="00614C1A">
      <w:pPr>
        <w:pStyle w:val="BodyText"/>
        <w:ind w:left="540"/>
      </w:pPr>
      <w:r>
        <w:t>T</w:t>
      </w:r>
      <w:r w:rsidRPr="00614C1A">
        <w:t xml:space="preserve">he </w:t>
      </w:r>
      <w:r>
        <w:rPr>
          <w:b/>
          <w:bCs/>
        </w:rPr>
        <w:t>Provider Setup</w:t>
      </w:r>
      <w:r w:rsidRPr="00614C1A">
        <w:t xml:space="preserve"> dialog box</w:t>
      </w:r>
      <w:r>
        <w:t xml:space="preserve"> appears.</w:t>
      </w:r>
    </w:p>
    <w:p w14:paraId="0C5C4CC4" w14:textId="64A59D4C" w:rsidR="00614C1A" w:rsidRDefault="00614C1A" w:rsidP="004F45B6">
      <w:pPr>
        <w:pStyle w:val="BodyText"/>
        <w:numPr>
          <w:ilvl w:val="0"/>
          <w:numId w:val="147"/>
        </w:numPr>
        <w:ind w:left="540"/>
      </w:pPr>
      <w:r>
        <w:t xml:space="preserve">Select the </w:t>
      </w:r>
      <w:r w:rsidRPr="00B33D9B">
        <w:rPr>
          <w:b/>
          <w:bCs/>
        </w:rPr>
        <w:t>Clinic</w:t>
      </w:r>
      <w:r>
        <w:t>.</w:t>
      </w:r>
    </w:p>
    <w:p w14:paraId="3DFDBB4B" w14:textId="77777777" w:rsidR="00614C1A" w:rsidRDefault="00614C1A" w:rsidP="004F45B6">
      <w:pPr>
        <w:pStyle w:val="BodyText"/>
        <w:numPr>
          <w:ilvl w:val="0"/>
          <w:numId w:val="147"/>
        </w:numPr>
        <w:ind w:left="540"/>
      </w:pPr>
      <w:r>
        <w:t xml:space="preserve">Select the </w:t>
      </w:r>
      <w:r w:rsidRPr="00B33D9B">
        <w:rPr>
          <w:b/>
          <w:bCs/>
        </w:rPr>
        <w:t>Provider</w:t>
      </w:r>
      <w:r>
        <w:t>.</w:t>
      </w:r>
    </w:p>
    <w:p w14:paraId="7774D5E4" w14:textId="73C8327B" w:rsidR="00B33D9B" w:rsidRDefault="00B33D9B" w:rsidP="004F45B6">
      <w:pPr>
        <w:pStyle w:val="BodyText"/>
        <w:numPr>
          <w:ilvl w:val="0"/>
          <w:numId w:val="147"/>
        </w:numPr>
        <w:ind w:left="540"/>
      </w:pPr>
      <w:r>
        <w:t xml:space="preserve">Click </w:t>
      </w:r>
      <w:r w:rsidRPr="00B33D9B">
        <w:rPr>
          <w:b/>
          <w:bCs/>
        </w:rPr>
        <w:t>Schedule</w:t>
      </w:r>
      <w:r>
        <w:t>.</w:t>
      </w:r>
    </w:p>
    <w:p w14:paraId="62457D3C" w14:textId="4082D968" w:rsidR="00B33D9B" w:rsidRDefault="00B33D9B" w:rsidP="00B33D9B">
      <w:pPr>
        <w:pStyle w:val="BodyText"/>
        <w:ind w:left="540"/>
      </w:pPr>
      <w:r>
        <w:t>T</w:t>
      </w:r>
      <w:r w:rsidRPr="00614C1A">
        <w:t xml:space="preserve">he </w:t>
      </w:r>
      <w:r>
        <w:rPr>
          <w:b/>
          <w:bCs/>
        </w:rPr>
        <w:t>Schedule Calendar for</w:t>
      </w:r>
      <w:r w:rsidRPr="00614C1A">
        <w:t xml:space="preserve"> dialog box</w:t>
      </w:r>
      <w:r>
        <w:t xml:space="preserve"> appears.</w:t>
      </w:r>
    </w:p>
    <w:p w14:paraId="104AFEA4" w14:textId="38217AE8" w:rsidR="00614C1A" w:rsidRPr="00C51D1D" w:rsidRDefault="00614C1A" w:rsidP="004F45B6">
      <w:pPr>
        <w:pStyle w:val="BodyText"/>
        <w:numPr>
          <w:ilvl w:val="0"/>
          <w:numId w:val="147"/>
        </w:numPr>
        <w:ind w:left="540"/>
      </w:pPr>
      <w:r>
        <w:t>Do any of the following as needed:</w:t>
      </w:r>
    </w:p>
    <w:p w14:paraId="28178C3B" w14:textId="7608FD5A" w:rsidR="00614C1A" w:rsidRDefault="00614C1A" w:rsidP="004F45B6">
      <w:pPr>
        <w:pStyle w:val="BodyText"/>
        <w:numPr>
          <w:ilvl w:val="1"/>
          <w:numId w:val="146"/>
        </w:numPr>
        <w:ind w:left="1080"/>
      </w:pPr>
      <w:r>
        <w:t xml:space="preserve">To </w:t>
      </w:r>
      <w:r w:rsidR="00B33D9B">
        <w:t>set a vacation day</w:t>
      </w:r>
      <w:r w:rsidRPr="00A46FB0">
        <w:t xml:space="preserve"> </w:t>
      </w:r>
      <w:r>
        <w:t>for</w:t>
      </w:r>
      <w:r w:rsidRPr="00A46FB0">
        <w:t xml:space="preserve"> </w:t>
      </w:r>
      <w:r>
        <w:t>a specific d</w:t>
      </w:r>
      <w:r w:rsidRPr="00A46FB0">
        <w:t>ate</w:t>
      </w:r>
      <w:r>
        <w:t xml:space="preserve">, select the date, expand the </w:t>
      </w:r>
      <w:r w:rsidR="00B33D9B">
        <w:rPr>
          <w:b/>
          <w:bCs/>
        </w:rPr>
        <w:t>Options</w:t>
      </w:r>
      <w:r>
        <w:t xml:space="preserve"> menu, and then click </w:t>
      </w:r>
      <w:r w:rsidR="00B33D9B">
        <w:rPr>
          <w:b/>
          <w:bCs/>
        </w:rPr>
        <w:t xml:space="preserve">Set Vacation </w:t>
      </w:r>
      <w:r w:rsidRPr="005E5DBF">
        <w:rPr>
          <w:b/>
          <w:bCs/>
        </w:rPr>
        <w:t>on selected date</w:t>
      </w:r>
      <w:r>
        <w:t>.</w:t>
      </w:r>
    </w:p>
    <w:p w14:paraId="79E11611" w14:textId="79B3B8AF" w:rsidR="00614C1A" w:rsidRDefault="00614C1A" w:rsidP="004F45B6">
      <w:pPr>
        <w:pStyle w:val="BodyText"/>
        <w:numPr>
          <w:ilvl w:val="1"/>
          <w:numId w:val="146"/>
        </w:numPr>
        <w:ind w:left="1080"/>
      </w:pPr>
      <w:r>
        <w:t>To u</w:t>
      </w:r>
      <w:r w:rsidRPr="00A46FB0">
        <w:t xml:space="preserve">pdate </w:t>
      </w:r>
      <w:r>
        <w:t xml:space="preserve">the </w:t>
      </w:r>
      <w:r w:rsidR="00B33D9B">
        <w:t>provider</w:t>
      </w:r>
      <w:r>
        <w:t xml:space="preserve">’s working hours for a specific date, double-click the date, change the date ranges accordingly, select the </w:t>
      </w:r>
      <w:r w:rsidRPr="00614C1A">
        <w:rPr>
          <w:b/>
          <w:bCs/>
        </w:rPr>
        <w:t>Update Op Schedules</w:t>
      </w:r>
      <w:r>
        <w:t xml:space="preserve"> checkbox</w:t>
      </w:r>
      <w:r w:rsidRPr="00A46FB0">
        <w:t xml:space="preserve"> to </w:t>
      </w:r>
      <w:r w:rsidRPr="00614C1A">
        <w:t>apply the time changes to the</w:t>
      </w:r>
      <w:r>
        <w:t xml:space="preserve"> office’s</w:t>
      </w:r>
      <w:r w:rsidRPr="00614C1A">
        <w:t xml:space="preserve"> schedule for all operatories on this date (overriding but not changing the default availability)</w:t>
      </w:r>
      <w:r>
        <w:t xml:space="preserve">, and then click </w:t>
      </w:r>
      <w:r w:rsidRPr="00614C1A">
        <w:rPr>
          <w:b/>
          <w:bCs/>
        </w:rPr>
        <w:t>OK</w:t>
      </w:r>
      <w:r w:rsidRPr="00A46FB0">
        <w:t>.</w:t>
      </w:r>
    </w:p>
    <w:p w14:paraId="4B187AA5" w14:textId="5E7E89DA" w:rsidR="00614C1A" w:rsidRPr="00A46FB0" w:rsidRDefault="00614C1A" w:rsidP="004F45B6">
      <w:pPr>
        <w:pStyle w:val="BodyText"/>
        <w:numPr>
          <w:ilvl w:val="0"/>
          <w:numId w:val="147"/>
        </w:numPr>
        <w:ind w:left="540"/>
      </w:pPr>
      <w:r>
        <w:t xml:space="preserve">Click </w:t>
      </w:r>
      <w:r w:rsidRPr="00614C1A">
        <w:rPr>
          <w:b/>
          <w:bCs/>
        </w:rPr>
        <w:t>Close</w:t>
      </w:r>
      <w:r>
        <w:t>.</w:t>
      </w:r>
    </w:p>
    <w:p w14:paraId="3A38452C" w14:textId="377B4A69" w:rsidR="001C6E97" w:rsidRPr="00A0596B" w:rsidRDefault="001E438F" w:rsidP="00A46FB0">
      <w:pPr>
        <w:pStyle w:val="BodyText"/>
        <w:rPr>
          <w:i/>
          <w:iCs/>
        </w:rPr>
      </w:pPr>
      <w:r>
        <w:rPr>
          <w:noProof/>
        </w:rPr>
        <w:drawing>
          <wp:anchor distT="0" distB="0" distL="0" distR="91440" simplePos="0" relativeHeight="251680772" behindDoc="1" locked="0" layoutInCell="1" allowOverlap="1" wp14:anchorId="0FE26C4C" wp14:editId="42D715FA">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27773099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30990"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C6E97" w:rsidRPr="00A0596B">
        <w:rPr>
          <w:b/>
          <w:bCs/>
          <w:i/>
          <w:iCs/>
        </w:rPr>
        <w:t>Workflow Insight</w:t>
      </w:r>
      <w:r w:rsidR="001C6E97" w:rsidRPr="00A0596B">
        <w:rPr>
          <w:i/>
          <w:iCs/>
        </w:rPr>
        <w:t xml:space="preserve">: Provider vacation days do not visually look different in </w:t>
      </w:r>
      <w:r w:rsidR="005D640F" w:rsidRPr="00A0596B">
        <w:rPr>
          <w:i/>
          <w:iCs/>
        </w:rPr>
        <w:t>A</w:t>
      </w:r>
      <w:r w:rsidR="001C6E97" w:rsidRPr="00A0596B">
        <w:rPr>
          <w:i/>
          <w:iCs/>
        </w:rPr>
        <w:t xml:space="preserve">ppointment </w:t>
      </w:r>
      <w:r w:rsidR="005D640F" w:rsidRPr="00A0596B">
        <w:rPr>
          <w:i/>
          <w:iCs/>
        </w:rPr>
        <w:t>B</w:t>
      </w:r>
      <w:r w:rsidR="001C6E97" w:rsidRPr="00A0596B">
        <w:rPr>
          <w:i/>
          <w:iCs/>
        </w:rPr>
        <w:t xml:space="preserve">ook. A pop-up message </w:t>
      </w:r>
      <w:r w:rsidR="005D640F" w:rsidRPr="00A0596B">
        <w:rPr>
          <w:i/>
          <w:iCs/>
        </w:rPr>
        <w:t>appears</w:t>
      </w:r>
      <w:r w:rsidR="001C6E97" w:rsidRPr="00A0596B">
        <w:rPr>
          <w:i/>
          <w:iCs/>
        </w:rPr>
        <w:t xml:space="preserve"> if a selected appointment time is outside of the clinic</w:t>
      </w:r>
      <w:r w:rsidR="005D640F" w:rsidRPr="00A0596B">
        <w:rPr>
          <w:i/>
          <w:iCs/>
        </w:rPr>
        <w:t>’s</w:t>
      </w:r>
      <w:r w:rsidR="001C6E97" w:rsidRPr="00A0596B">
        <w:rPr>
          <w:i/>
          <w:iCs/>
        </w:rPr>
        <w:t xml:space="preserve"> or provider</w:t>
      </w:r>
      <w:r w:rsidR="005D640F" w:rsidRPr="00A0596B">
        <w:rPr>
          <w:i/>
          <w:iCs/>
        </w:rPr>
        <w:t>’</w:t>
      </w:r>
      <w:r w:rsidR="001C6E97" w:rsidRPr="00A0596B">
        <w:rPr>
          <w:i/>
          <w:iCs/>
        </w:rPr>
        <w:t xml:space="preserve">s </w:t>
      </w:r>
      <w:r w:rsidR="005D640F" w:rsidRPr="00A0596B">
        <w:rPr>
          <w:i/>
          <w:iCs/>
        </w:rPr>
        <w:t>working hours</w:t>
      </w:r>
      <w:r w:rsidR="001C6E97" w:rsidRPr="00A0596B">
        <w:rPr>
          <w:i/>
          <w:iCs/>
        </w:rPr>
        <w:t xml:space="preserve">. Using the pre-visit workflow or </w:t>
      </w:r>
      <w:r w:rsidR="00A0596B" w:rsidRPr="00A0596B">
        <w:rPr>
          <w:i/>
          <w:iCs/>
        </w:rPr>
        <w:t>F</w:t>
      </w:r>
      <w:r w:rsidR="001C6E97" w:rsidRPr="00A0596B">
        <w:rPr>
          <w:i/>
          <w:iCs/>
        </w:rPr>
        <w:t xml:space="preserve">ind </w:t>
      </w:r>
      <w:r w:rsidR="00A0596B" w:rsidRPr="00A0596B">
        <w:rPr>
          <w:i/>
          <w:iCs/>
        </w:rPr>
        <w:t>A</w:t>
      </w:r>
      <w:r w:rsidR="001C6E97" w:rsidRPr="00A0596B">
        <w:rPr>
          <w:i/>
          <w:iCs/>
        </w:rPr>
        <w:t xml:space="preserve">vailable </w:t>
      </w:r>
      <w:r w:rsidR="00A0596B" w:rsidRPr="00A0596B">
        <w:rPr>
          <w:i/>
          <w:iCs/>
        </w:rPr>
        <w:t>A</w:t>
      </w:r>
      <w:r w:rsidR="001C6E97" w:rsidRPr="00A0596B">
        <w:rPr>
          <w:i/>
          <w:iCs/>
        </w:rPr>
        <w:t>ppointment feature supports the scheduling templates for the open clinic and provider times without eliminating wasted time reviewing temporary changes in the schedule visually</w:t>
      </w:r>
      <w:r w:rsidR="00A0596B" w:rsidRPr="00A0596B">
        <w:rPr>
          <w:i/>
          <w:iCs/>
        </w:rPr>
        <w:t xml:space="preserve"> each day</w:t>
      </w:r>
      <w:r w:rsidR="001C6E97" w:rsidRPr="00A0596B">
        <w:rPr>
          <w:i/>
          <w:iCs/>
        </w:rPr>
        <w:t>.</w:t>
      </w:r>
    </w:p>
    <w:p w14:paraId="5EED1770" w14:textId="77777777" w:rsidR="00A46FB0" w:rsidRDefault="001C6E97" w:rsidP="00E92EA5">
      <w:pPr>
        <w:pStyle w:val="Heading4"/>
      </w:pPr>
      <w:r w:rsidRPr="00A46FB0">
        <w:t>Events</w:t>
      </w:r>
    </w:p>
    <w:p w14:paraId="1BC28D51" w14:textId="4ADB4D31" w:rsidR="001C6E97" w:rsidRDefault="001C6E97" w:rsidP="002202F7">
      <w:pPr>
        <w:pStyle w:val="BodyText"/>
        <w:keepNext/>
        <w:keepLines/>
      </w:pPr>
      <w:r w:rsidRPr="00A46FB0">
        <w:t xml:space="preserve">Events block out time and provide a visual indicator in Appointment Book that the schedule is unavailable. Scheduled events prevent appointments from being scheduled for the planned event date and time. </w:t>
      </w:r>
      <w:r w:rsidR="00A0596B">
        <w:t>You can schedule an e</w:t>
      </w:r>
      <w:r w:rsidRPr="00A46FB0">
        <w:t>vent</w:t>
      </w:r>
      <w:r w:rsidR="00A0596B">
        <w:t xml:space="preserve"> for a single day</w:t>
      </w:r>
      <w:r w:rsidRPr="00A46FB0">
        <w:t xml:space="preserve"> or </w:t>
      </w:r>
      <w:r w:rsidR="00A0596B">
        <w:t xml:space="preserve">an </w:t>
      </w:r>
      <w:r>
        <w:t xml:space="preserve">event </w:t>
      </w:r>
      <w:r w:rsidR="00A0596B">
        <w:t xml:space="preserve">that recurs </w:t>
      </w:r>
      <w:r>
        <w:t xml:space="preserve">for up to one year.  </w:t>
      </w:r>
    </w:p>
    <w:p w14:paraId="11B41839" w14:textId="0C00446C" w:rsidR="001C6E97" w:rsidRPr="00EF6061" w:rsidRDefault="00522391" w:rsidP="00A46FB0">
      <w:pPr>
        <w:pStyle w:val="BodyText"/>
        <w:rPr>
          <w:i/>
          <w:iCs/>
        </w:rPr>
      </w:pPr>
      <w:r>
        <w:rPr>
          <w:noProof/>
        </w:rPr>
        <w:drawing>
          <wp:anchor distT="0" distB="0" distL="0" distR="91440" simplePos="0" relativeHeight="251670532" behindDoc="1" locked="0" layoutInCell="1" allowOverlap="1" wp14:anchorId="014D9EE2" wp14:editId="5014AACA">
            <wp:simplePos x="0" y="0"/>
            <wp:positionH relativeFrom="column">
              <wp:posOffset>-453542</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73492247"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1C6E97" w:rsidRPr="00EF6061">
        <w:rPr>
          <w:b/>
          <w:bCs/>
          <w:i/>
          <w:iCs/>
        </w:rPr>
        <w:t>Operations Insight</w:t>
      </w:r>
      <w:r w:rsidR="001C6E97" w:rsidRPr="00EF6061">
        <w:rPr>
          <w:i/>
          <w:iCs/>
        </w:rPr>
        <w:t xml:space="preserve">:  </w:t>
      </w:r>
      <w:r w:rsidR="00A0596B" w:rsidRPr="00EF6061">
        <w:rPr>
          <w:i/>
          <w:iCs/>
        </w:rPr>
        <w:t>You can prohibit</w:t>
      </w:r>
      <w:r w:rsidR="001C6E97" w:rsidRPr="00EF6061">
        <w:rPr>
          <w:i/>
          <w:iCs/>
        </w:rPr>
        <w:t xml:space="preserve"> users from deleting or editing events in the schedule </w:t>
      </w:r>
      <w:r w:rsidR="00A0596B" w:rsidRPr="00EF6061">
        <w:rPr>
          <w:i/>
          <w:iCs/>
        </w:rPr>
        <w:t xml:space="preserve">to prevent them from </w:t>
      </w:r>
      <w:r w:rsidR="001C6E97" w:rsidRPr="00EF6061">
        <w:rPr>
          <w:i/>
          <w:iCs/>
        </w:rPr>
        <w:t xml:space="preserve">scheduling appointments during the blocked time. </w:t>
      </w:r>
      <w:r w:rsidR="00A0596B" w:rsidRPr="00EF6061">
        <w:rPr>
          <w:i/>
          <w:iCs/>
        </w:rPr>
        <w:t xml:space="preserve">You can </w:t>
      </w:r>
      <w:r w:rsidR="00EF6061" w:rsidRPr="00EF6061">
        <w:rPr>
          <w:i/>
          <w:iCs/>
        </w:rPr>
        <w:t>assign</w:t>
      </w:r>
      <w:r w:rsidR="00A0596B" w:rsidRPr="00EF6061">
        <w:rPr>
          <w:i/>
          <w:iCs/>
        </w:rPr>
        <w:t xml:space="preserve"> these </w:t>
      </w:r>
      <w:r w:rsidR="00EF6061" w:rsidRPr="00EF6061">
        <w:rPr>
          <w:i/>
          <w:iCs/>
        </w:rPr>
        <w:t xml:space="preserve">security right </w:t>
      </w:r>
      <w:r w:rsidR="00A0596B" w:rsidRPr="00EF6061">
        <w:rPr>
          <w:i/>
          <w:iCs/>
        </w:rPr>
        <w:t>restrictions</w:t>
      </w:r>
      <w:r w:rsidR="00EF6061" w:rsidRPr="00EF6061">
        <w:rPr>
          <w:i/>
          <w:iCs/>
        </w:rPr>
        <w:t xml:space="preserve"> </w:t>
      </w:r>
      <w:r w:rsidR="00A0596B" w:rsidRPr="00EF6061">
        <w:rPr>
          <w:i/>
          <w:iCs/>
        </w:rPr>
        <w:t>by individual user or by user group.</w:t>
      </w:r>
    </w:p>
    <w:p w14:paraId="2744AEE2" w14:textId="77777777" w:rsidR="00A30FFA" w:rsidRDefault="001C6E97" w:rsidP="00D42C5A">
      <w:pPr>
        <w:pStyle w:val="Heading3"/>
      </w:pPr>
      <w:bookmarkStart w:id="95" w:name="_Toc135416685"/>
      <w:bookmarkStart w:id="96" w:name="_Toc166834320"/>
      <w:r>
        <w:lastRenderedPageBreak/>
        <w:t>Procedure Times</w:t>
      </w:r>
      <w:bookmarkEnd w:id="95"/>
      <w:bookmarkEnd w:id="96"/>
    </w:p>
    <w:p w14:paraId="4511F43C" w14:textId="4178106A" w:rsidR="001C6E97" w:rsidRDefault="00C02AE8" w:rsidP="004A2A35">
      <w:pPr>
        <w:pStyle w:val="BodyText"/>
        <w:keepNext/>
        <w:keepLines/>
      </w:pPr>
      <w:r>
        <w:t xml:space="preserve">With the average length of time necessary </w:t>
      </w:r>
      <w:r w:rsidR="00EF6061">
        <w:t xml:space="preserve">to </w:t>
      </w:r>
      <w:r>
        <w:t>perform procedures specified beforehand, when you schedule</w:t>
      </w:r>
      <w:r w:rsidR="00EF6061">
        <w:t xml:space="preserve"> </w:t>
      </w:r>
      <w:r>
        <w:t xml:space="preserve">an </w:t>
      </w:r>
      <w:r w:rsidR="00EF6061">
        <w:t>appointment for a procedure or blend of procedure</w:t>
      </w:r>
      <w:r w:rsidR="001C6E97">
        <w:t>s</w:t>
      </w:r>
      <w:r>
        <w:t>, the default length of time for the appointment is set automatically</w:t>
      </w:r>
      <w:r w:rsidR="001C6E97">
        <w:t>.</w:t>
      </w:r>
    </w:p>
    <w:p w14:paraId="0D89AC24" w14:textId="18C11B42" w:rsidR="00A46FB0" w:rsidRDefault="001C6E97" w:rsidP="00E92EA5">
      <w:pPr>
        <w:pStyle w:val="Heading4"/>
      </w:pPr>
      <w:r>
        <w:t xml:space="preserve">Individual </w:t>
      </w:r>
      <w:r w:rsidR="00C02AE8">
        <w:t>P</w:t>
      </w:r>
      <w:r>
        <w:t xml:space="preserve">rocedure </w:t>
      </w:r>
      <w:r w:rsidR="00C02AE8">
        <w:t>T</w:t>
      </w:r>
      <w:r>
        <w:t>iming</w:t>
      </w:r>
    </w:p>
    <w:p w14:paraId="5CD37E1B" w14:textId="335274A0" w:rsidR="001C6E97" w:rsidRDefault="00A939B0" w:rsidP="00A46FB0">
      <w:pPr>
        <w:pStyle w:val="BodyText"/>
      </w:pPr>
      <w:r>
        <w:t>A p</w:t>
      </w:r>
      <w:r w:rsidR="001C6E97">
        <w:t>rocedure code</w:t>
      </w:r>
      <w:r>
        <w:t>’s</w:t>
      </w:r>
      <w:r w:rsidR="001C6E97">
        <w:t xml:space="preserve"> time should meet the needs of all clinics </w:t>
      </w:r>
      <w:r>
        <w:t>that perform that procedure</w:t>
      </w:r>
      <w:r w:rsidR="001C6E97">
        <w:t xml:space="preserve">. When </w:t>
      </w:r>
      <w:r>
        <w:t>you schedule</w:t>
      </w:r>
      <w:r w:rsidR="001C6E97">
        <w:t xml:space="preserve"> more than one procedure for an appointment, </w:t>
      </w:r>
      <w:r>
        <w:t>Dentrix Enterprise</w:t>
      </w:r>
      <w:r w:rsidR="001C6E97">
        <w:t xml:space="preserve"> </w:t>
      </w:r>
      <w:r w:rsidR="00626E37">
        <w:t xml:space="preserve">automatically </w:t>
      </w:r>
      <w:r>
        <w:t>sets the combined default times of those procedures as the appointment length</w:t>
      </w:r>
      <w:r w:rsidR="001C6E97">
        <w:t xml:space="preserve">.  </w:t>
      </w:r>
    </w:p>
    <w:p w14:paraId="3899C99F" w14:textId="22E695FC" w:rsidR="001C6E97" w:rsidRPr="00A939B0" w:rsidRDefault="00292160" w:rsidP="00A46FB0">
      <w:pPr>
        <w:pStyle w:val="BodyText"/>
        <w:rPr>
          <w:i/>
          <w:iCs/>
        </w:rPr>
      </w:pPr>
      <w:r>
        <w:rPr>
          <w:noProof/>
        </w:rPr>
        <w:drawing>
          <wp:anchor distT="0" distB="0" distL="0" distR="91440" simplePos="0" relativeHeight="251672580" behindDoc="1" locked="0" layoutInCell="1" allowOverlap="1" wp14:anchorId="0314B39A" wp14:editId="43E8EAAA">
            <wp:simplePos x="0" y="0"/>
            <wp:positionH relativeFrom="column">
              <wp:posOffset>-453542</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722273558"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73558"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C6E97" w:rsidRPr="00A939B0">
        <w:rPr>
          <w:b/>
          <w:bCs/>
          <w:i/>
          <w:iCs/>
        </w:rPr>
        <w:t>Workflow insight</w:t>
      </w:r>
      <w:r w:rsidR="001C6E97" w:rsidRPr="00A939B0">
        <w:rPr>
          <w:i/>
          <w:iCs/>
        </w:rPr>
        <w:t xml:space="preserve">: Getting these times accurate </w:t>
      </w:r>
      <w:r w:rsidR="00A939B0" w:rsidRPr="00A939B0">
        <w:rPr>
          <w:i/>
          <w:iCs/>
        </w:rPr>
        <w:t>for</w:t>
      </w:r>
      <w:r w:rsidR="001C6E97" w:rsidRPr="00A939B0">
        <w:rPr>
          <w:i/>
          <w:iCs/>
        </w:rPr>
        <w:t xml:space="preserve"> your organization</w:t>
      </w:r>
      <w:r w:rsidR="00A939B0" w:rsidRPr="00A939B0">
        <w:rPr>
          <w:i/>
          <w:iCs/>
        </w:rPr>
        <w:t>’</w:t>
      </w:r>
      <w:r w:rsidR="001C6E97" w:rsidRPr="00A939B0">
        <w:rPr>
          <w:i/>
          <w:iCs/>
        </w:rPr>
        <w:t xml:space="preserve">s needs significantly reduces scheduling errors and the number of </w:t>
      </w:r>
      <w:r w:rsidR="00A939B0" w:rsidRPr="00A939B0">
        <w:rPr>
          <w:i/>
          <w:iCs/>
        </w:rPr>
        <w:t>steps</w:t>
      </w:r>
      <w:r w:rsidR="001C6E97" w:rsidRPr="00A939B0">
        <w:rPr>
          <w:i/>
          <w:iCs/>
        </w:rPr>
        <w:t xml:space="preserve"> required to schedule an appointment. </w:t>
      </w:r>
      <w:r w:rsidR="00A939B0" w:rsidRPr="00A939B0">
        <w:rPr>
          <w:i/>
          <w:iCs/>
        </w:rPr>
        <w:t>Having p</w:t>
      </w:r>
      <w:r w:rsidR="001C6E97" w:rsidRPr="00A939B0">
        <w:rPr>
          <w:i/>
          <w:iCs/>
        </w:rPr>
        <w:t xml:space="preserve">rocedure times </w:t>
      </w:r>
      <w:r w:rsidR="00A939B0" w:rsidRPr="00A939B0">
        <w:rPr>
          <w:i/>
          <w:iCs/>
        </w:rPr>
        <w:t>set up is</w:t>
      </w:r>
      <w:r w:rsidR="001C6E97" w:rsidRPr="00A939B0">
        <w:rPr>
          <w:i/>
          <w:iCs/>
        </w:rPr>
        <w:t xml:space="preserve"> ideal for supporting call center operations or centralized scheduling processes. </w:t>
      </w:r>
    </w:p>
    <w:p w14:paraId="0A6999A1" w14:textId="62107D7D" w:rsidR="00626E37" w:rsidRDefault="00626E37" w:rsidP="00E92EA5">
      <w:pPr>
        <w:pStyle w:val="Heading4"/>
      </w:pPr>
      <w:r>
        <w:t>Multi-code Timing</w:t>
      </w:r>
    </w:p>
    <w:p w14:paraId="37863682" w14:textId="0A83DF36" w:rsidR="00626E37" w:rsidRDefault="00626E37" w:rsidP="00626E37">
      <w:pPr>
        <w:pStyle w:val="BodyText"/>
      </w:pPr>
      <w:r>
        <w:t>You can create multi-codes to assist with scheduling needs. A multi-codes is a set of procedures that are performed together. When you schedule a multi-code for an appointment, Dentrix Enterprise automatically sets the default time of that multi-code as the appointment length.</w:t>
      </w:r>
    </w:p>
    <w:p w14:paraId="3C2AD6A8" w14:textId="581EFABE" w:rsidR="00A46FB0" w:rsidRDefault="001C6E97" w:rsidP="00E92EA5">
      <w:pPr>
        <w:pStyle w:val="Heading4"/>
      </w:pPr>
      <w:r>
        <w:t xml:space="preserve">Time </w:t>
      </w:r>
      <w:r w:rsidR="00A939B0">
        <w:t>P</w:t>
      </w:r>
      <w:r>
        <w:t>atterns</w:t>
      </w:r>
    </w:p>
    <w:p w14:paraId="7ED89D3E" w14:textId="42366F9B" w:rsidR="001C6E97" w:rsidRDefault="00A46FB0" w:rsidP="00A46FB0">
      <w:pPr>
        <w:pStyle w:val="BodyText"/>
      </w:pPr>
      <w:r>
        <w:t>Time patterns</w:t>
      </w:r>
      <w:r w:rsidR="00A939B0">
        <w:t xml:space="preserve"> (X, /, and - </w:t>
      </w:r>
      <w:r w:rsidR="00F47D1F">
        <w:t xml:space="preserve">symbols </w:t>
      </w:r>
      <w:r w:rsidR="00A939B0">
        <w:t>on the left edge of an appointment tile)</w:t>
      </w:r>
      <w:r>
        <w:t xml:space="preserve"> </w:t>
      </w:r>
      <w:r w:rsidR="00A939B0">
        <w:t>can help you identify</w:t>
      </w:r>
      <w:r w:rsidR="001C6E97">
        <w:t xml:space="preserve"> the intended </w:t>
      </w:r>
      <w:r w:rsidR="00A939B0">
        <w:t>allotment</w:t>
      </w:r>
      <w:r w:rsidR="001C6E97">
        <w:t xml:space="preserve"> of provider</w:t>
      </w:r>
      <w:r w:rsidR="00626E37">
        <w:t xml:space="preserve"> (X)</w:t>
      </w:r>
      <w:r w:rsidR="001C6E97">
        <w:t>, assistant</w:t>
      </w:r>
      <w:r w:rsidR="00626E37">
        <w:t xml:space="preserve"> (/)</w:t>
      </w:r>
      <w:r w:rsidR="001C6E97">
        <w:t>, and chair</w:t>
      </w:r>
      <w:r w:rsidR="00626E37">
        <w:t xml:space="preserve"> (-)</w:t>
      </w:r>
      <w:r w:rsidR="001C6E97">
        <w:t xml:space="preserve"> time.</w:t>
      </w:r>
      <w:r w:rsidR="00A939B0">
        <w:t xml:space="preserve"> </w:t>
      </w:r>
      <w:r w:rsidR="00626E37">
        <w:t xml:space="preserve">You can assign time patterns to procedure codes and multi-codes. </w:t>
      </w:r>
      <w:r w:rsidR="001C6E97">
        <w:t xml:space="preserve">Time patterns can be useful when </w:t>
      </w:r>
      <w:r w:rsidR="00A939B0">
        <w:t xml:space="preserve">you are </w:t>
      </w:r>
      <w:r w:rsidR="001C6E97">
        <w:t>scheduling an individual provider across multiple operatories. These patterns indicate whe</w:t>
      </w:r>
      <w:r w:rsidR="00A939B0">
        <w:t>n</w:t>
      </w:r>
      <w:r w:rsidR="001C6E97">
        <w:t xml:space="preserve"> providers are available. </w:t>
      </w:r>
    </w:p>
    <w:p w14:paraId="68569706" w14:textId="4FCB0CDE" w:rsidR="001C6E97" w:rsidRPr="00B57D8B" w:rsidRDefault="00292160" w:rsidP="00A46FB0">
      <w:pPr>
        <w:pStyle w:val="BodyText"/>
        <w:rPr>
          <w:i/>
          <w:iCs/>
        </w:rPr>
      </w:pPr>
      <w:r>
        <w:rPr>
          <w:noProof/>
        </w:rPr>
        <w:drawing>
          <wp:anchor distT="0" distB="0" distL="0" distR="91440" simplePos="0" relativeHeight="251674628" behindDoc="1" locked="0" layoutInCell="1" allowOverlap="1" wp14:anchorId="3BB970BF" wp14:editId="597F491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33579297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C6E97" w:rsidRPr="00B57D8B">
        <w:rPr>
          <w:b/>
          <w:bCs/>
          <w:i/>
          <w:iCs/>
        </w:rPr>
        <w:t>Workflow Insight</w:t>
      </w:r>
      <w:r w:rsidR="001C6E97" w:rsidRPr="00B57D8B">
        <w:rPr>
          <w:i/>
          <w:iCs/>
        </w:rPr>
        <w:t xml:space="preserve">: </w:t>
      </w:r>
      <w:r w:rsidR="00626E37" w:rsidRPr="00B57D8B">
        <w:rPr>
          <w:i/>
          <w:iCs/>
        </w:rPr>
        <w:t xml:space="preserve">A warning message appears if you attempt to double-book a provider (schedule an appointment with </w:t>
      </w:r>
      <w:r w:rsidR="00F47D1F" w:rsidRPr="00B57D8B">
        <w:rPr>
          <w:i/>
          <w:iCs/>
        </w:rPr>
        <w:t>that</w:t>
      </w:r>
      <w:r w:rsidR="00626E37" w:rsidRPr="00B57D8B">
        <w:rPr>
          <w:i/>
          <w:iCs/>
        </w:rPr>
        <w:t xml:space="preserve"> provider </w:t>
      </w:r>
      <w:r w:rsidR="00F47D1F" w:rsidRPr="00B57D8B">
        <w:rPr>
          <w:i/>
          <w:iCs/>
        </w:rPr>
        <w:t xml:space="preserve">if the appointment has </w:t>
      </w:r>
      <w:r w:rsidR="00626E37" w:rsidRPr="00B57D8B">
        <w:rPr>
          <w:i/>
          <w:iCs/>
        </w:rPr>
        <w:t xml:space="preserve">provider time that overlaps </w:t>
      </w:r>
      <w:r w:rsidR="00F47D1F" w:rsidRPr="00B57D8B">
        <w:rPr>
          <w:i/>
          <w:iCs/>
        </w:rPr>
        <w:t xml:space="preserve">with the provider time of an appointment with the same provider in another </w:t>
      </w:r>
      <w:r w:rsidR="00626E37" w:rsidRPr="00B57D8B">
        <w:rPr>
          <w:i/>
          <w:iCs/>
        </w:rPr>
        <w:t>operatory</w:t>
      </w:r>
      <w:r w:rsidR="00F47D1F" w:rsidRPr="00B57D8B">
        <w:rPr>
          <w:i/>
          <w:iCs/>
        </w:rPr>
        <w:t>)</w:t>
      </w:r>
      <w:r w:rsidR="00626E37" w:rsidRPr="00B57D8B">
        <w:rPr>
          <w:i/>
          <w:iCs/>
        </w:rPr>
        <w:t>. Dentrix Enterprise</w:t>
      </w:r>
      <w:r w:rsidR="001C6E97" w:rsidRPr="00B57D8B">
        <w:rPr>
          <w:i/>
          <w:iCs/>
        </w:rPr>
        <w:t xml:space="preserve"> prevent</w:t>
      </w:r>
      <w:r w:rsidR="00626E37" w:rsidRPr="00B57D8B">
        <w:rPr>
          <w:i/>
          <w:iCs/>
        </w:rPr>
        <w:t>s</w:t>
      </w:r>
      <w:r w:rsidR="001C6E97" w:rsidRPr="00B57D8B">
        <w:rPr>
          <w:i/>
          <w:iCs/>
        </w:rPr>
        <w:t xml:space="preserve"> </w:t>
      </w:r>
      <w:r w:rsidR="00626E37" w:rsidRPr="00B57D8B">
        <w:rPr>
          <w:i/>
          <w:iCs/>
        </w:rPr>
        <w:t xml:space="preserve">you from </w:t>
      </w:r>
      <w:r w:rsidR="001C6E97" w:rsidRPr="00B57D8B">
        <w:rPr>
          <w:i/>
          <w:iCs/>
        </w:rPr>
        <w:t xml:space="preserve">scheduling </w:t>
      </w:r>
      <w:r w:rsidR="00F47D1F" w:rsidRPr="00B57D8B">
        <w:rPr>
          <w:i/>
          <w:iCs/>
        </w:rPr>
        <w:t xml:space="preserve">a </w:t>
      </w:r>
      <w:r w:rsidR="001C6E97" w:rsidRPr="00B57D8B">
        <w:rPr>
          <w:i/>
          <w:iCs/>
        </w:rPr>
        <w:t>provider</w:t>
      </w:r>
      <w:r w:rsidR="00F47D1F" w:rsidRPr="00B57D8B">
        <w:rPr>
          <w:i/>
          <w:iCs/>
        </w:rPr>
        <w:t>’s time</w:t>
      </w:r>
      <w:r w:rsidR="001C6E97" w:rsidRPr="00B57D8B">
        <w:rPr>
          <w:i/>
          <w:iCs/>
        </w:rPr>
        <w:t xml:space="preserve"> </w:t>
      </w:r>
      <w:r w:rsidR="00F47D1F" w:rsidRPr="00B57D8B">
        <w:rPr>
          <w:i/>
          <w:iCs/>
        </w:rPr>
        <w:t xml:space="preserve">that overlaps </w:t>
      </w:r>
      <w:r w:rsidR="001C6E97" w:rsidRPr="00B57D8B">
        <w:rPr>
          <w:i/>
          <w:iCs/>
        </w:rPr>
        <w:t xml:space="preserve">across three or more operatories.   </w:t>
      </w:r>
    </w:p>
    <w:p w14:paraId="5CEC9EB0" w14:textId="0F27FA1C" w:rsidR="001C6E97" w:rsidRPr="00B57D8B" w:rsidRDefault="00292160" w:rsidP="00A46FB0">
      <w:pPr>
        <w:pStyle w:val="BodyText"/>
        <w:rPr>
          <w:i/>
          <w:iCs/>
        </w:rPr>
      </w:pPr>
      <w:r>
        <w:rPr>
          <w:noProof/>
        </w:rPr>
        <w:drawing>
          <wp:anchor distT="0" distB="0" distL="0" distR="91440" simplePos="0" relativeHeight="251676676" behindDoc="1" locked="0" layoutInCell="1" allowOverlap="1" wp14:anchorId="0BB2B780" wp14:editId="032395DB">
            <wp:simplePos x="0" y="0"/>
            <wp:positionH relativeFrom="column">
              <wp:posOffset>-453542</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7809325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1C6E97" w:rsidRPr="00B57D8B">
        <w:rPr>
          <w:b/>
          <w:bCs/>
          <w:i/>
          <w:iCs/>
        </w:rPr>
        <w:t>Operations Insight</w:t>
      </w:r>
      <w:r w:rsidR="001C6E97" w:rsidRPr="00B57D8B">
        <w:rPr>
          <w:i/>
          <w:iCs/>
        </w:rPr>
        <w:t xml:space="preserve">: One thing you can do to optimize your schedule is to know how long specific procedures take. Conducting a time study to determine average procedure times will assist </w:t>
      </w:r>
      <w:r w:rsidR="00B57D8B" w:rsidRPr="00B57D8B">
        <w:rPr>
          <w:i/>
          <w:iCs/>
        </w:rPr>
        <w:t xml:space="preserve">you </w:t>
      </w:r>
      <w:r w:rsidR="001C6E97" w:rsidRPr="00B57D8B">
        <w:rPr>
          <w:i/>
          <w:iCs/>
        </w:rPr>
        <w:t xml:space="preserve">in creating more accurate scheduling blocks and lead to less empty-chair time. </w:t>
      </w:r>
    </w:p>
    <w:p w14:paraId="3DE19A48" w14:textId="77777777" w:rsidR="00A30FFA" w:rsidRDefault="001C6E97" w:rsidP="00D42C5A">
      <w:pPr>
        <w:pStyle w:val="Heading3"/>
      </w:pPr>
      <w:bookmarkStart w:id="97" w:name="_Toc135416686"/>
      <w:bookmarkStart w:id="98" w:name="_Toc166834321"/>
      <w:r>
        <w:t>Perfect Day Scheduling</w:t>
      </w:r>
      <w:bookmarkEnd w:id="97"/>
      <w:bookmarkEnd w:id="98"/>
    </w:p>
    <w:p w14:paraId="7C90BA26" w14:textId="1A655E5B" w:rsidR="001C6E97" w:rsidRDefault="001C6E97" w:rsidP="001C6E97">
      <w:pPr>
        <w:pStyle w:val="BodyText"/>
      </w:pPr>
      <w:r>
        <w:t xml:space="preserve">Maintain and update templates for the “perfect” daily schedule that meets the needs of the individual provider, clinic, and the organization.  </w:t>
      </w:r>
    </w:p>
    <w:p w14:paraId="57423971" w14:textId="72CD3A1C" w:rsidR="001C6E97" w:rsidRDefault="00292160" w:rsidP="001C6E97">
      <w:pPr>
        <w:pStyle w:val="BodyText"/>
      </w:pPr>
      <w:r>
        <w:rPr>
          <w:noProof/>
        </w:rPr>
        <w:drawing>
          <wp:anchor distT="0" distB="0" distL="0" distR="91440" simplePos="0" relativeHeight="251678724" behindDoc="1" locked="0" layoutInCell="1" allowOverlap="1" wp14:anchorId="463B274D" wp14:editId="6031E731">
            <wp:simplePos x="0" y="0"/>
            <wp:positionH relativeFrom="column">
              <wp:posOffset>-457200</wp:posOffset>
            </wp:positionH>
            <wp:positionV relativeFrom="paragraph">
              <wp:posOffset>0</wp:posOffset>
            </wp:positionV>
            <wp:extent cx="365760" cy="484632"/>
            <wp:effectExtent l="0" t="0" r="0" b="0"/>
            <wp:wrapTight wrapText="right">
              <wp:wrapPolygon edited="0">
                <wp:start x="0" y="0"/>
                <wp:lineTo x="0" y="20383"/>
                <wp:lineTo x="20250" y="20383"/>
                <wp:lineTo x="20250" y="0"/>
                <wp:lineTo x="0" y="0"/>
              </wp:wrapPolygon>
            </wp:wrapTight>
            <wp:docPr id="2015284633"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632"/>
                    </a:xfrm>
                    <a:prstGeom prst="rect">
                      <a:avLst/>
                    </a:prstGeom>
                  </pic:spPr>
                </pic:pic>
              </a:graphicData>
            </a:graphic>
            <wp14:sizeRelH relativeFrom="margin">
              <wp14:pctWidth>0</wp14:pctWidth>
            </wp14:sizeRelH>
            <wp14:sizeRelV relativeFrom="margin">
              <wp14:pctHeight>0</wp14:pctHeight>
            </wp14:sizeRelV>
          </wp:anchor>
        </w:drawing>
      </w:r>
      <w:r w:rsidR="001C6E97" w:rsidRPr="00A37B2A">
        <w:rPr>
          <w:color w:val="00B050"/>
        </w:rPr>
        <w:t>&lt;&lt;Insert Perfect Day Scheduling decision support/SOP/guidance here&gt;&gt;</w:t>
      </w:r>
    </w:p>
    <w:p w14:paraId="22A284C9" w14:textId="196D014A" w:rsidR="001C6E97" w:rsidRPr="001D78C1" w:rsidRDefault="001C6E97" w:rsidP="001C6E97">
      <w:pPr>
        <w:pStyle w:val="BodyText"/>
        <w:rPr>
          <w:color w:val="00B050"/>
        </w:rPr>
      </w:pPr>
      <w:r w:rsidRPr="001D78C1">
        <w:rPr>
          <w:color w:val="00B050"/>
        </w:rPr>
        <w:t xml:space="preserve">Sample </w:t>
      </w:r>
      <w:r w:rsidR="005B68B1" w:rsidRPr="001D78C1">
        <w:rPr>
          <w:color w:val="00B050"/>
        </w:rPr>
        <w:t>guidelines</w:t>
      </w:r>
      <w:r w:rsidRPr="001D78C1">
        <w:rPr>
          <w:color w:val="00B050"/>
        </w:rPr>
        <w:t xml:space="preserve">: </w:t>
      </w:r>
    </w:p>
    <w:p w14:paraId="4FCCD99A" w14:textId="4B68EA54" w:rsidR="001C6E97" w:rsidRPr="001D78C1" w:rsidRDefault="001C6E97">
      <w:pPr>
        <w:pStyle w:val="BodyText"/>
        <w:numPr>
          <w:ilvl w:val="0"/>
          <w:numId w:val="18"/>
        </w:numPr>
        <w:ind w:left="540" w:hanging="360"/>
        <w:rPr>
          <w:color w:val="00B050"/>
        </w:rPr>
      </w:pPr>
      <w:r w:rsidRPr="001D78C1">
        <w:rPr>
          <w:color w:val="00B050"/>
        </w:rPr>
        <w:t xml:space="preserve">To allow for </w:t>
      </w:r>
      <w:r w:rsidR="00B57D8B" w:rsidRPr="001D78C1">
        <w:rPr>
          <w:color w:val="00B050"/>
        </w:rPr>
        <w:t>n</w:t>
      </w:r>
      <w:r w:rsidRPr="001D78C1">
        <w:rPr>
          <w:color w:val="00B050"/>
        </w:rPr>
        <w:t xml:space="preserve">ew </w:t>
      </w:r>
      <w:r w:rsidR="00B57D8B" w:rsidRPr="001D78C1">
        <w:rPr>
          <w:color w:val="00B050"/>
        </w:rPr>
        <w:t>p</w:t>
      </w:r>
      <w:r w:rsidRPr="001D78C1">
        <w:rPr>
          <w:color w:val="00B050"/>
        </w:rPr>
        <w:t>atient’s to be seen without extended wait times</w:t>
      </w:r>
      <w:r w:rsidR="00B57D8B" w:rsidRPr="001D78C1">
        <w:rPr>
          <w:color w:val="00B050"/>
        </w:rPr>
        <w:t>, u</w:t>
      </w:r>
      <w:r w:rsidRPr="001D78C1">
        <w:rPr>
          <w:color w:val="00B050"/>
        </w:rPr>
        <w:t xml:space="preserve">se time blocks to </w:t>
      </w:r>
      <w:r w:rsidR="00B57D8B" w:rsidRPr="001D78C1">
        <w:rPr>
          <w:color w:val="00B050"/>
        </w:rPr>
        <w:t>r</w:t>
      </w:r>
      <w:r w:rsidRPr="001D78C1">
        <w:rPr>
          <w:color w:val="00B050"/>
        </w:rPr>
        <w:t xml:space="preserve">eserve </w:t>
      </w:r>
      <w:r w:rsidR="00B57D8B" w:rsidRPr="001D78C1">
        <w:rPr>
          <w:color w:val="00B050"/>
        </w:rPr>
        <w:t>three</w:t>
      </w:r>
      <w:r w:rsidRPr="001D78C1">
        <w:rPr>
          <w:color w:val="00B050"/>
        </w:rPr>
        <w:t xml:space="preserve"> </w:t>
      </w:r>
      <w:r w:rsidR="00B57D8B" w:rsidRPr="001D78C1">
        <w:rPr>
          <w:color w:val="00B050"/>
        </w:rPr>
        <w:t>n</w:t>
      </w:r>
      <w:r w:rsidRPr="001D78C1">
        <w:rPr>
          <w:color w:val="00B050"/>
        </w:rPr>
        <w:t>ew</w:t>
      </w:r>
      <w:r w:rsidR="00B57D8B" w:rsidRPr="001D78C1">
        <w:rPr>
          <w:color w:val="00B050"/>
        </w:rPr>
        <w:t>-p</w:t>
      </w:r>
      <w:r w:rsidRPr="001D78C1">
        <w:rPr>
          <w:color w:val="00B050"/>
        </w:rPr>
        <w:t xml:space="preserve">atient appointments per week.  Do not release these times for other patients until 48 hours </w:t>
      </w:r>
      <w:r w:rsidR="00B57D8B" w:rsidRPr="001D78C1">
        <w:rPr>
          <w:color w:val="00B050"/>
        </w:rPr>
        <w:t>before</w:t>
      </w:r>
      <w:r w:rsidRPr="001D78C1">
        <w:rPr>
          <w:color w:val="00B050"/>
        </w:rPr>
        <w:t xml:space="preserve">.  </w:t>
      </w:r>
    </w:p>
    <w:p w14:paraId="00C4C6D6" w14:textId="7A3C29D2" w:rsidR="001C6E97" w:rsidRPr="001D78C1" w:rsidRDefault="001C6E97">
      <w:pPr>
        <w:pStyle w:val="BodyText"/>
        <w:numPr>
          <w:ilvl w:val="0"/>
          <w:numId w:val="18"/>
        </w:numPr>
        <w:ind w:left="540" w:hanging="360"/>
        <w:rPr>
          <w:color w:val="00B050"/>
        </w:rPr>
      </w:pPr>
      <w:r w:rsidRPr="001D78C1">
        <w:rPr>
          <w:color w:val="00B050"/>
        </w:rPr>
        <w:t>To meet production goals</w:t>
      </w:r>
      <w:r w:rsidR="00B57D8B" w:rsidRPr="001D78C1">
        <w:rPr>
          <w:color w:val="00B050"/>
        </w:rPr>
        <w:t>, set up t</w:t>
      </w:r>
      <w:r w:rsidRPr="001D78C1">
        <w:rPr>
          <w:color w:val="00B050"/>
        </w:rPr>
        <w:t>ime blocks</w:t>
      </w:r>
      <w:r w:rsidR="00B57D8B" w:rsidRPr="001D78C1">
        <w:rPr>
          <w:color w:val="00B050"/>
        </w:rPr>
        <w:t xml:space="preserve"> to</w:t>
      </w:r>
      <w:r w:rsidRPr="001D78C1">
        <w:rPr>
          <w:color w:val="00B050"/>
        </w:rPr>
        <w:t xml:space="preserve"> ensure </w:t>
      </w:r>
      <w:r w:rsidR="00B57D8B" w:rsidRPr="001D78C1">
        <w:rPr>
          <w:color w:val="00B050"/>
        </w:rPr>
        <w:t xml:space="preserve">that </w:t>
      </w:r>
      <w:r w:rsidRPr="001D78C1">
        <w:rPr>
          <w:color w:val="00B050"/>
        </w:rPr>
        <w:t xml:space="preserve">each provider is scheduled to meet the daily goal. Use the blocks to search for the available times that align with the amount of production </w:t>
      </w:r>
      <w:r w:rsidR="00B57D8B" w:rsidRPr="001D78C1">
        <w:rPr>
          <w:color w:val="00B050"/>
        </w:rPr>
        <w:t xml:space="preserve">that </w:t>
      </w:r>
      <w:r w:rsidRPr="001D78C1">
        <w:rPr>
          <w:color w:val="00B050"/>
        </w:rPr>
        <w:t xml:space="preserve">you are scheduling.  </w:t>
      </w:r>
    </w:p>
    <w:p w14:paraId="37F137CA" w14:textId="6D81210D" w:rsidR="001C6E97" w:rsidRPr="001D78C1" w:rsidRDefault="00B57D8B">
      <w:pPr>
        <w:pStyle w:val="BodyText"/>
        <w:numPr>
          <w:ilvl w:val="0"/>
          <w:numId w:val="18"/>
        </w:numPr>
        <w:ind w:left="540" w:hanging="360"/>
        <w:rPr>
          <w:color w:val="00B050"/>
        </w:rPr>
      </w:pPr>
      <w:r w:rsidRPr="001D78C1">
        <w:rPr>
          <w:color w:val="00B050"/>
        </w:rPr>
        <w:t>To identify e</w:t>
      </w:r>
      <w:r w:rsidR="001C6E97" w:rsidRPr="001D78C1">
        <w:rPr>
          <w:color w:val="00B050"/>
        </w:rPr>
        <w:t xml:space="preserve">mergency </w:t>
      </w:r>
      <w:r w:rsidRPr="001D78C1">
        <w:rPr>
          <w:color w:val="00B050"/>
        </w:rPr>
        <w:t>t</w:t>
      </w:r>
      <w:r w:rsidR="001C6E97" w:rsidRPr="001D78C1">
        <w:rPr>
          <w:color w:val="00B050"/>
        </w:rPr>
        <w:t>ime</w:t>
      </w:r>
      <w:r w:rsidRPr="001D78C1">
        <w:rPr>
          <w:color w:val="00B050"/>
        </w:rPr>
        <w:t xml:space="preserve"> and communicate the optimal time to schedule emergencies each day,</w:t>
      </w:r>
      <w:r w:rsidR="001C6E97" w:rsidRPr="001D78C1">
        <w:rPr>
          <w:color w:val="00B050"/>
        </w:rPr>
        <w:t xml:space="preserve"> use the emergency time block.</w:t>
      </w:r>
    </w:p>
    <w:p w14:paraId="5D57467C" w14:textId="5AA0A4D2" w:rsidR="00A46FB0" w:rsidRPr="00A46FB0" w:rsidRDefault="001C6E97" w:rsidP="00E92EA5">
      <w:pPr>
        <w:pStyle w:val="Heading4"/>
      </w:pPr>
      <w:r>
        <w:lastRenderedPageBreak/>
        <w:t>Provid</w:t>
      </w:r>
      <w:r w:rsidRPr="00A46FB0">
        <w:t xml:space="preserve">er </w:t>
      </w:r>
      <w:r w:rsidR="00B57D8B">
        <w:t>S</w:t>
      </w:r>
      <w:r w:rsidRPr="00A46FB0">
        <w:t>etup</w:t>
      </w:r>
    </w:p>
    <w:p w14:paraId="3BF607FA" w14:textId="69050C9B" w:rsidR="001C6E97" w:rsidRDefault="00B57D8B" w:rsidP="00A46FB0">
      <w:pPr>
        <w:pStyle w:val="BodyText"/>
      </w:pPr>
      <w:r>
        <w:t>P</w:t>
      </w:r>
      <w:r w:rsidR="001C6E97" w:rsidRPr="00A46FB0">
        <w:t>rovid</w:t>
      </w:r>
      <w:r w:rsidR="001C6E97">
        <w:t xml:space="preserve">er hours and time block templates create the framework for searching </w:t>
      </w:r>
      <w:r>
        <w:t>for available appointment times.</w:t>
      </w:r>
    </w:p>
    <w:p w14:paraId="6DC7979E" w14:textId="2B8971CB" w:rsidR="00A46FB0" w:rsidRDefault="001C6E97" w:rsidP="00E92EA5">
      <w:pPr>
        <w:pStyle w:val="Heading4"/>
      </w:pPr>
      <w:r>
        <w:t xml:space="preserve">Appointment </w:t>
      </w:r>
      <w:r w:rsidR="00B57D8B">
        <w:t>T</w:t>
      </w:r>
      <w:r>
        <w:t>ypes</w:t>
      </w:r>
    </w:p>
    <w:p w14:paraId="64F71050" w14:textId="11116189" w:rsidR="001C6E97" w:rsidRDefault="00B57D8B" w:rsidP="001C6E97">
      <w:pPr>
        <w:pStyle w:val="BodyText"/>
      </w:pPr>
      <w:r>
        <w:t>Appointment types</w:t>
      </w:r>
      <w:r w:rsidR="001C6E97">
        <w:t xml:space="preserve"> </w:t>
      </w:r>
      <w:r>
        <w:t>aid</w:t>
      </w:r>
      <w:r w:rsidR="001C6E97">
        <w:t xml:space="preserve"> in decision support messages</w:t>
      </w:r>
      <w:r w:rsidR="00A46FB0">
        <w:t xml:space="preserve">. </w:t>
      </w:r>
      <w:r>
        <w:t>Define</w:t>
      </w:r>
      <w:r w:rsidR="001C6E97">
        <w:t xml:space="preserve"> appointment types that support the needed templates</w:t>
      </w:r>
      <w:r w:rsidR="00A46FB0">
        <w:t>:</w:t>
      </w:r>
    </w:p>
    <w:p w14:paraId="7539C864" w14:textId="62D77206" w:rsidR="001C6E97" w:rsidRDefault="001C6E97">
      <w:pPr>
        <w:pStyle w:val="BodyText"/>
        <w:numPr>
          <w:ilvl w:val="0"/>
          <w:numId w:val="19"/>
        </w:numPr>
        <w:ind w:left="540"/>
      </w:pPr>
      <w:r>
        <w:t>New patients</w:t>
      </w:r>
      <w:r w:rsidR="00B57D8B">
        <w:t>.</w:t>
      </w:r>
    </w:p>
    <w:p w14:paraId="44C9A3C8" w14:textId="7E3E454A" w:rsidR="001C6E97" w:rsidRDefault="001C6E97">
      <w:pPr>
        <w:pStyle w:val="BodyText"/>
        <w:numPr>
          <w:ilvl w:val="0"/>
          <w:numId w:val="19"/>
        </w:numPr>
        <w:ind w:left="540"/>
      </w:pPr>
      <w:r>
        <w:t>Emergencies</w:t>
      </w:r>
      <w:r w:rsidR="00B57D8B">
        <w:t>.</w:t>
      </w:r>
    </w:p>
    <w:p w14:paraId="069D0873" w14:textId="35F5246A" w:rsidR="001C6E97" w:rsidRDefault="001C6E97">
      <w:pPr>
        <w:pStyle w:val="BodyText"/>
        <w:numPr>
          <w:ilvl w:val="0"/>
          <w:numId w:val="19"/>
        </w:numPr>
        <w:ind w:left="540"/>
      </w:pPr>
      <w:r>
        <w:t>Production goals</w:t>
      </w:r>
      <w:r w:rsidR="00B57D8B">
        <w:t>.</w:t>
      </w:r>
    </w:p>
    <w:p w14:paraId="1F43924B" w14:textId="6CDEBF3E" w:rsidR="00A46FB0" w:rsidRDefault="001C6E97" w:rsidP="00E92EA5">
      <w:pPr>
        <w:pStyle w:val="Heading4"/>
      </w:pPr>
      <w:r>
        <w:t xml:space="preserve">Procedure </w:t>
      </w:r>
      <w:r w:rsidR="00B57D8B">
        <w:t>C</w:t>
      </w:r>
      <w:r>
        <w:t>odes</w:t>
      </w:r>
    </w:p>
    <w:p w14:paraId="5159E09E" w14:textId="6225A25D" w:rsidR="001C6E97" w:rsidRDefault="00B57D8B" w:rsidP="001C6E97">
      <w:pPr>
        <w:pStyle w:val="BodyText"/>
      </w:pPr>
      <w:r>
        <w:t xml:space="preserve">Link </w:t>
      </w:r>
      <w:r w:rsidR="001C6E97">
        <w:t>appointment types to support the scheduled time block templates</w:t>
      </w:r>
      <w:r>
        <w:t>:</w:t>
      </w:r>
    </w:p>
    <w:p w14:paraId="000AFA20" w14:textId="607574C7" w:rsidR="001C6E97" w:rsidRDefault="001C6E97">
      <w:pPr>
        <w:pStyle w:val="BodyText"/>
        <w:numPr>
          <w:ilvl w:val="0"/>
          <w:numId w:val="20"/>
        </w:numPr>
        <w:ind w:left="540"/>
      </w:pPr>
      <w:r>
        <w:t>Schedule with codes to support or avoid time blocks.</w:t>
      </w:r>
    </w:p>
    <w:p w14:paraId="402A403E" w14:textId="7EF16A1C" w:rsidR="001C6E97" w:rsidRDefault="001C6E97">
      <w:pPr>
        <w:pStyle w:val="BodyText"/>
        <w:numPr>
          <w:ilvl w:val="0"/>
          <w:numId w:val="20"/>
        </w:numPr>
        <w:ind w:left="540"/>
      </w:pPr>
      <w:r>
        <w:t>Edit procedures codes to include a supporting appointment type</w:t>
      </w:r>
      <w:r w:rsidR="009529C5">
        <w:t>:</w:t>
      </w:r>
    </w:p>
    <w:p w14:paraId="2FEF6138" w14:textId="06A21FCC" w:rsidR="001C6E97" w:rsidRDefault="0046697F">
      <w:pPr>
        <w:pStyle w:val="BodyText"/>
        <w:numPr>
          <w:ilvl w:val="0"/>
          <w:numId w:val="20"/>
        </w:numPr>
        <w:ind w:left="1080"/>
      </w:pPr>
      <w:r>
        <w:t>“</w:t>
      </w:r>
      <w:r w:rsidR="00B57D8B">
        <w:t>N</w:t>
      </w:r>
      <w:r w:rsidR="001C6E97">
        <w:t>ew patient</w:t>
      </w:r>
      <w:r>
        <w:t>” for</w:t>
      </w:r>
      <w:r w:rsidR="00B57D8B">
        <w:t xml:space="preserve"> D0150.</w:t>
      </w:r>
    </w:p>
    <w:p w14:paraId="0D716887" w14:textId="19C92292" w:rsidR="001C6E97" w:rsidRDefault="0046697F">
      <w:pPr>
        <w:pStyle w:val="BodyText"/>
        <w:numPr>
          <w:ilvl w:val="0"/>
          <w:numId w:val="20"/>
        </w:numPr>
        <w:ind w:left="1080"/>
      </w:pPr>
      <w:r>
        <w:t>“</w:t>
      </w:r>
      <w:r w:rsidR="001C6E97">
        <w:t>Emergency</w:t>
      </w:r>
      <w:r>
        <w:t>”</w:t>
      </w:r>
      <w:r w:rsidR="00B57D8B">
        <w:t xml:space="preserve"> </w:t>
      </w:r>
      <w:r>
        <w:t>for</w:t>
      </w:r>
      <w:r w:rsidR="00B57D8B">
        <w:t xml:space="preserve"> D0140.</w:t>
      </w:r>
    </w:p>
    <w:p w14:paraId="52C3CBF3" w14:textId="6E6C314F" w:rsidR="001C6E97" w:rsidRDefault="0046697F">
      <w:pPr>
        <w:pStyle w:val="BodyText"/>
        <w:numPr>
          <w:ilvl w:val="0"/>
          <w:numId w:val="20"/>
        </w:numPr>
        <w:ind w:left="1080"/>
      </w:pPr>
      <w:r>
        <w:t>“</w:t>
      </w:r>
      <w:r w:rsidR="00B57D8B">
        <w:t>Production</w:t>
      </w:r>
      <w:r>
        <w:t>”</w:t>
      </w:r>
      <w:r w:rsidR="00B57D8B">
        <w:t xml:space="preserve"> </w:t>
      </w:r>
      <w:r>
        <w:t>for</w:t>
      </w:r>
      <w:r w:rsidR="00B57D8B">
        <w:t xml:space="preserve"> </w:t>
      </w:r>
      <w:r w:rsidR="001C6E97">
        <w:t>D2750, D3310</w:t>
      </w:r>
      <w:r w:rsidR="00B57D8B">
        <w:t>–</w:t>
      </w:r>
      <w:r w:rsidR="001C6E97">
        <w:t xml:space="preserve">D3330, D4341, </w:t>
      </w:r>
      <w:r w:rsidR="00B57D8B">
        <w:t xml:space="preserve">and </w:t>
      </w:r>
      <w:r w:rsidR="001C6E97">
        <w:t>D5110</w:t>
      </w:r>
      <w:r w:rsidR="00B57D8B">
        <w:t>–</w:t>
      </w:r>
      <w:r w:rsidR="001C6E97">
        <w:t>D5226</w:t>
      </w:r>
      <w:r w:rsidR="00B57D8B">
        <w:t>.</w:t>
      </w:r>
    </w:p>
    <w:p w14:paraId="5FA2621C" w14:textId="5B7C8FBF" w:rsidR="00595AC7" w:rsidRDefault="001C6E97" w:rsidP="00E92EA5">
      <w:pPr>
        <w:pStyle w:val="Heading4"/>
      </w:pPr>
      <w:r>
        <w:t xml:space="preserve">Find </w:t>
      </w:r>
      <w:r w:rsidR="009529C5">
        <w:t>N</w:t>
      </w:r>
      <w:r>
        <w:t xml:space="preserve">ew Appointment </w:t>
      </w:r>
      <w:r w:rsidR="009529C5">
        <w:t>T</w:t>
      </w:r>
      <w:r>
        <w:t>ime</w:t>
      </w:r>
    </w:p>
    <w:p w14:paraId="48245907" w14:textId="29263665" w:rsidR="001C6E97" w:rsidRDefault="001C6E97" w:rsidP="001C6E97">
      <w:pPr>
        <w:pStyle w:val="BodyText"/>
      </w:pPr>
      <w:r>
        <w:t>Search by selected time blocks</w:t>
      </w:r>
      <w:r w:rsidR="009529C5">
        <w:t>, i</w:t>
      </w:r>
      <w:r>
        <w:t xml:space="preserve">ncorporating the Next Available Appointment Time </w:t>
      </w:r>
      <w:r w:rsidR="009529C5">
        <w:t>m</w:t>
      </w:r>
      <w:r>
        <w:t>etric (</w:t>
      </w:r>
      <w:r w:rsidR="009529C5">
        <w:t>third</w:t>
      </w:r>
      <w:r>
        <w:t xml:space="preserve"> next appointment)</w:t>
      </w:r>
      <w:r w:rsidR="009529C5">
        <w:t>.</w:t>
      </w:r>
    </w:p>
    <w:p w14:paraId="6B909BC9" w14:textId="77777777" w:rsidR="00595AC7" w:rsidRDefault="001C6E97" w:rsidP="00E92EA5">
      <w:pPr>
        <w:pStyle w:val="Heading4"/>
      </w:pPr>
      <w:r>
        <w:t>Time Blocks</w:t>
      </w:r>
    </w:p>
    <w:p w14:paraId="35784E31" w14:textId="5A0BB2F4" w:rsidR="001C6E97" w:rsidRDefault="00595AC7" w:rsidP="001C6E97">
      <w:pPr>
        <w:pStyle w:val="BodyText"/>
      </w:pPr>
      <w:r>
        <w:t xml:space="preserve">Time blocks </w:t>
      </w:r>
      <w:r w:rsidR="001C6E97">
        <w:t xml:space="preserve">are set up per provider and operatory. </w:t>
      </w:r>
      <w:r w:rsidR="009529C5">
        <w:t>Keep t</w:t>
      </w:r>
      <w:r w:rsidR="001C6E97">
        <w:t>he following essential</w:t>
      </w:r>
      <w:r w:rsidR="009529C5">
        <w:t>s</w:t>
      </w:r>
      <w:r w:rsidR="001C6E97">
        <w:t xml:space="preserve"> in mind when </w:t>
      </w:r>
      <w:r w:rsidR="009529C5">
        <w:t xml:space="preserve">you are </w:t>
      </w:r>
      <w:r w:rsidR="001C6E97">
        <w:t>setting up time blocks:</w:t>
      </w:r>
    </w:p>
    <w:p w14:paraId="635C6FD0" w14:textId="0CA77D2A" w:rsidR="001C6E97" w:rsidRDefault="001C6E97">
      <w:pPr>
        <w:pStyle w:val="BodyText"/>
        <w:numPr>
          <w:ilvl w:val="0"/>
          <w:numId w:val="21"/>
        </w:numPr>
        <w:ind w:left="540"/>
      </w:pPr>
      <w:r>
        <w:t xml:space="preserve">The </w:t>
      </w:r>
      <w:r w:rsidR="009529C5">
        <w:t xml:space="preserve">number of available </w:t>
      </w:r>
      <w:r>
        <w:t>time blocks</w:t>
      </w:r>
      <w:r w:rsidR="009529C5">
        <w:t xml:space="preserve"> is </w:t>
      </w:r>
      <w:r>
        <w:t xml:space="preserve">limited to </w:t>
      </w:r>
      <w:r w:rsidR="009529C5">
        <w:t>six</w:t>
      </w:r>
      <w:r>
        <w:t xml:space="preserve"> per provider and a total of 20 per view.  </w:t>
      </w:r>
    </w:p>
    <w:p w14:paraId="6C3A5960" w14:textId="079699D8" w:rsidR="001C6E97" w:rsidRDefault="001C6E97">
      <w:pPr>
        <w:pStyle w:val="BodyText"/>
        <w:numPr>
          <w:ilvl w:val="0"/>
          <w:numId w:val="21"/>
        </w:numPr>
        <w:ind w:left="540"/>
      </w:pPr>
      <w:r>
        <w:t xml:space="preserve">The use of time blocks significantly enhances the process for identifying available appointment times that meet the needs of both the organization and the patients. </w:t>
      </w:r>
    </w:p>
    <w:p w14:paraId="15839769" w14:textId="3EAAE541" w:rsidR="001C6E97" w:rsidRDefault="009529C5">
      <w:pPr>
        <w:pStyle w:val="BodyText"/>
        <w:numPr>
          <w:ilvl w:val="0"/>
          <w:numId w:val="21"/>
        </w:numPr>
        <w:ind w:left="540"/>
      </w:pPr>
      <w:r>
        <w:t>You can adjust t</w:t>
      </w:r>
      <w:r w:rsidR="001C6E97">
        <w:t xml:space="preserve">ime </w:t>
      </w:r>
      <w:r>
        <w:t>b</w:t>
      </w:r>
      <w:r w:rsidR="001C6E97">
        <w:t xml:space="preserve">locks individually as needed. Time block flexibility provides a streamlined process for the teams to communicate scheduling changes or needs.  </w:t>
      </w:r>
    </w:p>
    <w:p w14:paraId="74546165" w14:textId="2E127DAD" w:rsidR="001C6E97" w:rsidRDefault="001C6E97">
      <w:pPr>
        <w:pStyle w:val="BodyText"/>
        <w:numPr>
          <w:ilvl w:val="0"/>
          <w:numId w:val="21"/>
        </w:numPr>
        <w:ind w:left="540"/>
      </w:pPr>
      <w:r>
        <w:t xml:space="preserve">There are no security </w:t>
      </w:r>
      <w:r w:rsidR="009529C5">
        <w:t>rights that</w:t>
      </w:r>
      <w:r>
        <w:t xml:space="preserve"> restrict </w:t>
      </w:r>
      <w:r w:rsidR="009529C5">
        <w:t xml:space="preserve">the </w:t>
      </w:r>
      <w:r>
        <w:t xml:space="preserve">editing, overriding, or clearing </w:t>
      </w:r>
      <w:r w:rsidR="009529C5">
        <w:t xml:space="preserve">of </w:t>
      </w:r>
      <w:r>
        <w:t xml:space="preserve">time blocks </w:t>
      </w:r>
      <w:r w:rsidR="009529C5">
        <w:t>in</w:t>
      </w:r>
      <w:r>
        <w:t xml:space="preserve"> the schedule.  </w:t>
      </w:r>
    </w:p>
    <w:p w14:paraId="6429601E" w14:textId="0078D935" w:rsidR="001C6E97" w:rsidRDefault="00477BCD">
      <w:pPr>
        <w:pStyle w:val="BodyText"/>
        <w:numPr>
          <w:ilvl w:val="0"/>
          <w:numId w:val="21"/>
        </w:numPr>
        <w:ind w:left="540"/>
      </w:pPr>
      <w:r>
        <w:rPr>
          <w:noProof/>
        </w:rPr>
        <w:drawing>
          <wp:anchor distT="0" distB="0" distL="0" distR="91440" simplePos="0" relativeHeight="251699204" behindDoc="1" locked="0" layoutInCell="1" allowOverlap="1" wp14:anchorId="48DA53CB" wp14:editId="44210FE8">
            <wp:simplePos x="0" y="0"/>
            <wp:positionH relativeFrom="column">
              <wp:posOffset>-457200</wp:posOffset>
            </wp:positionH>
            <wp:positionV relativeFrom="paragraph">
              <wp:posOffset>223189</wp:posOffset>
            </wp:positionV>
            <wp:extent cx="365760" cy="365760"/>
            <wp:effectExtent l="0" t="0" r="0" b="0"/>
            <wp:wrapTight wrapText="right">
              <wp:wrapPolygon edited="0">
                <wp:start x="0" y="0"/>
                <wp:lineTo x="0" y="20250"/>
                <wp:lineTo x="20250" y="20250"/>
                <wp:lineTo x="20250" y="0"/>
                <wp:lineTo x="0" y="0"/>
              </wp:wrapPolygon>
            </wp:wrapTight>
            <wp:docPr id="963496374"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529C5">
        <w:t xml:space="preserve">Time blocks appear only if </w:t>
      </w:r>
      <w:r w:rsidR="001C6E97">
        <w:t xml:space="preserve">Perfect Day Scheduling </w:t>
      </w:r>
      <w:r w:rsidR="009529C5">
        <w:t>is active in Appointment Book</w:t>
      </w:r>
      <w:r w:rsidR="001C6E97">
        <w:t xml:space="preserve">.  </w:t>
      </w:r>
    </w:p>
    <w:p w14:paraId="55D0E616" w14:textId="5005902C" w:rsidR="001C6E97" w:rsidRDefault="001C6E97" w:rsidP="001C6E97">
      <w:pPr>
        <w:pStyle w:val="BodyText"/>
        <w:rPr>
          <w:i/>
          <w:iCs/>
        </w:rPr>
      </w:pPr>
      <w:r w:rsidRPr="009529C5">
        <w:rPr>
          <w:b/>
          <w:bCs/>
          <w:i/>
          <w:iCs/>
        </w:rPr>
        <w:t>Operations Insight</w:t>
      </w:r>
      <w:r w:rsidRPr="009529C5">
        <w:rPr>
          <w:i/>
          <w:iCs/>
        </w:rPr>
        <w:t>: Effective scheduling templates stabilize production from one day to the next and reduce stress due to inconsistency in schedules.</w:t>
      </w:r>
    </w:p>
    <w:p w14:paraId="0EB5F67D" w14:textId="27DA0A8E" w:rsidR="00477BCD" w:rsidRPr="009529C5" w:rsidRDefault="005E5FBD" w:rsidP="001C6E97">
      <w:pPr>
        <w:pStyle w:val="BodyText"/>
        <w:rPr>
          <w:i/>
          <w:iCs/>
        </w:rPr>
      </w:pPr>
      <w:r w:rsidRPr="00D53397">
        <w:rPr>
          <w:b/>
          <w:bCs/>
          <w:i/>
          <w:iCs/>
          <w:noProof/>
        </w:rPr>
        <w:drawing>
          <wp:anchor distT="0" distB="0" distL="0" distR="91440" simplePos="0" relativeHeight="252066820" behindDoc="1" locked="0" layoutInCell="1" allowOverlap="1" wp14:anchorId="23D4862A" wp14:editId="4D7AE543">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1229956958"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477BCD" w:rsidRPr="00D53397">
        <w:rPr>
          <w:b/>
          <w:bCs/>
          <w:i/>
          <w:iCs/>
        </w:rPr>
        <w:t>*NEW</w:t>
      </w:r>
      <w:r w:rsidR="00396FCC" w:rsidRPr="00D53397">
        <w:rPr>
          <w:b/>
          <w:bCs/>
          <w:i/>
          <w:iCs/>
        </w:rPr>
        <w:t>*</w:t>
      </w:r>
      <w:r w:rsidR="00477BCD" w:rsidRPr="00D53397">
        <w:rPr>
          <w:b/>
          <w:bCs/>
          <w:i/>
          <w:iCs/>
        </w:rPr>
        <w:t xml:space="preserve"> Workflow Insight</w:t>
      </w:r>
      <w:r w:rsidR="00477BCD" w:rsidRPr="00D53397">
        <w:rPr>
          <w:i/>
          <w:iCs/>
        </w:rPr>
        <w:t>: In version 11.0.43, visuals have been added in the Appointment Book to show the time for the selected open time slot and to create a noticeable outline around the selected appointment to make it easier to navigate the schedule.</w:t>
      </w:r>
    </w:p>
    <w:p w14:paraId="0E6BC6DB" w14:textId="27C7AD40" w:rsidR="00A30FFA" w:rsidRDefault="001C6E97" w:rsidP="00FC73F1">
      <w:pPr>
        <w:pStyle w:val="Heading2"/>
      </w:pPr>
      <w:bookmarkStart w:id="99" w:name="_Toc135416687"/>
      <w:bookmarkStart w:id="100" w:name="_Toc166834322"/>
      <w:r>
        <w:lastRenderedPageBreak/>
        <w:t>Appointment Management</w:t>
      </w:r>
      <w:bookmarkEnd w:id="99"/>
      <w:bookmarkEnd w:id="100"/>
    </w:p>
    <w:p w14:paraId="4A17C776" w14:textId="68B359D2" w:rsidR="001C6E97" w:rsidRDefault="001C6E97" w:rsidP="00FC73F1">
      <w:pPr>
        <w:pStyle w:val="BodyText"/>
        <w:keepNext/>
      </w:pPr>
      <w:r>
        <w:t xml:space="preserve">Manage, document, and communicate modifications to your schedule.   </w:t>
      </w:r>
    </w:p>
    <w:p w14:paraId="0D4BE22C" w14:textId="4389C001" w:rsidR="001C6E97" w:rsidRDefault="00FC73F1" w:rsidP="001C6E97">
      <w:pPr>
        <w:pStyle w:val="BodyText"/>
      </w:pPr>
      <w:r>
        <w:rPr>
          <w:noProof/>
        </w:rPr>
        <w:drawing>
          <wp:anchor distT="0" distB="0" distL="0" distR="91440" simplePos="0" relativeHeight="251682820" behindDoc="1" locked="0" layoutInCell="1" allowOverlap="1" wp14:anchorId="2A6ECE85" wp14:editId="6E056649">
            <wp:simplePos x="0" y="0"/>
            <wp:positionH relativeFrom="column">
              <wp:posOffset>-457200</wp:posOffset>
            </wp:positionH>
            <wp:positionV relativeFrom="paragraph">
              <wp:posOffset>0</wp:posOffset>
            </wp:positionV>
            <wp:extent cx="365856" cy="484632"/>
            <wp:effectExtent l="0" t="0" r="0" b="0"/>
            <wp:wrapTight wrapText="right">
              <wp:wrapPolygon edited="0">
                <wp:start x="0" y="0"/>
                <wp:lineTo x="0" y="20383"/>
                <wp:lineTo x="20250" y="20383"/>
                <wp:lineTo x="20250" y="0"/>
                <wp:lineTo x="0" y="0"/>
              </wp:wrapPolygon>
            </wp:wrapTight>
            <wp:docPr id="1831162147"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1C6E97" w:rsidRPr="00A37B2A">
        <w:rPr>
          <w:color w:val="00B050"/>
        </w:rPr>
        <w:t>&lt;&lt;Insert Appointment Management decision support/SOP/guidance for scheduling policies&gt;&gt;</w:t>
      </w:r>
      <w:r w:rsidR="001C6E97">
        <w:t xml:space="preserve">  </w:t>
      </w:r>
    </w:p>
    <w:p w14:paraId="50DF17AB" w14:textId="77777777" w:rsidR="00595AC7" w:rsidRDefault="001C6E97" w:rsidP="00D42C5A">
      <w:pPr>
        <w:pStyle w:val="Heading3"/>
      </w:pPr>
      <w:bookmarkStart w:id="101" w:name="_Toc135416688"/>
      <w:bookmarkStart w:id="102" w:name="_Toc166834323"/>
      <w:r>
        <w:t>Broken Appointments</w:t>
      </w:r>
      <w:bookmarkEnd w:id="101"/>
      <w:bookmarkEnd w:id="102"/>
    </w:p>
    <w:p w14:paraId="0DCB0630" w14:textId="7FBE4E62" w:rsidR="00D800B3" w:rsidRDefault="003C51BF" w:rsidP="001C6E97">
      <w:pPr>
        <w:pStyle w:val="BodyText"/>
      </w:pPr>
      <w:r>
        <w:rPr>
          <w:noProof/>
        </w:rPr>
        <w:drawing>
          <wp:anchor distT="0" distB="0" distL="91440" distR="0" simplePos="0" relativeHeight="251684868" behindDoc="0" locked="0" layoutInCell="1" allowOverlap="1" wp14:anchorId="2A1E85AD" wp14:editId="44E806CA">
            <wp:simplePos x="0" y="0"/>
            <wp:positionH relativeFrom="column">
              <wp:posOffset>5486400</wp:posOffset>
            </wp:positionH>
            <wp:positionV relativeFrom="paragraph">
              <wp:posOffset>289748</wp:posOffset>
            </wp:positionV>
            <wp:extent cx="365760" cy="365760"/>
            <wp:effectExtent l="0" t="0" r="0" b="0"/>
            <wp:wrapTight wrapText="left">
              <wp:wrapPolygon edited="0">
                <wp:start x="0" y="0"/>
                <wp:lineTo x="0" y="20250"/>
                <wp:lineTo x="20250" y="20250"/>
                <wp:lineTo x="20250" y="0"/>
                <wp:lineTo x="0" y="0"/>
              </wp:wrapPolygon>
            </wp:wrapTight>
            <wp:docPr id="4375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150" name=""/>
                    <pic:cNvPicPr/>
                  </pic:nvPicPr>
                  <pic:blipFill>
                    <a:blip r:embed="rId47"/>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529C5">
        <w:t xml:space="preserve">You can break </w:t>
      </w:r>
      <w:r w:rsidR="001C6E97">
        <w:t>appointments to keep track of patient care</w:t>
      </w:r>
      <w:r w:rsidR="009529C5">
        <w:t xml:space="preserve"> and </w:t>
      </w:r>
      <w:r w:rsidR="001C6E97">
        <w:t xml:space="preserve">document any </w:t>
      </w:r>
      <w:r w:rsidR="009529C5">
        <w:t xml:space="preserve">no-shows or </w:t>
      </w:r>
      <w:r w:rsidR="001C6E97">
        <w:t>last-minute cancellations</w:t>
      </w:r>
      <w:r w:rsidR="009529C5">
        <w:t xml:space="preserve"> </w:t>
      </w:r>
      <w:r w:rsidR="001C6E97">
        <w:t xml:space="preserve">or modifications. </w:t>
      </w:r>
      <w:r w:rsidR="00D800B3">
        <w:t>To break an appointment, do the following:</w:t>
      </w:r>
    </w:p>
    <w:p w14:paraId="36F6220B" w14:textId="76974C01" w:rsidR="00D800B3" w:rsidRDefault="009529C5" w:rsidP="004F45B6">
      <w:pPr>
        <w:pStyle w:val="BodyText"/>
        <w:numPr>
          <w:ilvl w:val="0"/>
          <w:numId w:val="148"/>
        </w:numPr>
        <w:ind w:left="540"/>
      </w:pPr>
      <w:r>
        <w:t>In</w:t>
      </w:r>
      <w:r w:rsidR="001C6E97">
        <w:t xml:space="preserve"> More Information, select </w:t>
      </w:r>
      <w:r w:rsidR="00D800B3">
        <w:t>the</w:t>
      </w:r>
      <w:r w:rsidR="001C6E97">
        <w:t xml:space="preserve"> appointment </w:t>
      </w:r>
      <w:r w:rsidR="00D800B3">
        <w:t>in</w:t>
      </w:r>
      <w:r w:rsidR="001C6E97">
        <w:t xml:space="preserve"> the </w:t>
      </w:r>
      <w:r w:rsidR="001C6E97" w:rsidRPr="00D800B3">
        <w:rPr>
          <w:b/>
          <w:bCs/>
        </w:rPr>
        <w:t>Next Appointments</w:t>
      </w:r>
      <w:r w:rsidR="001C6E97">
        <w:t xml:space="preserve"> list</w:t>
      </w:r>
      <w:r w:rsidR="00D800B3">
        <w:t>.</w:t>
      </w:r>
    </w:p>
    <w:p w14:paraId="33305F78" w14:textId="0E6F1B89" w:rsidR="001C6E97" w:rsidRDefault="00EE4F98" w:rsidP="004F45B6">
      <w:pPr>
        <w:pStyle w:val="BodyText"/>
        <w:numPr>
          <w:ilvl w:val="0"/>
          <w:numId w:val="148"/>
        </w:numPr>
        <w:ind w:left="540"/>
      </w:pPr>
      <w:r>
        <w:rPr>
          <w:noProof/>
        </w:rPr>
        <w:drawing>
          <wp:anchor distT="0" distB="0" distL="91440" distR="0" simplePos="0" relativeHeight="251686916" behindDoc="1" locked="0" layoutInCell="1" allowOverlap="1" wp14:anchorId="4E8C1571" wp14:editId="0116A1C9">
            <wp:simplePos x="0" y="0"/>
            <wp:positionH relativeFrom="column">
              <wp:posOffset>5486400</wp:posOffset>
            </wp:positionH>
            <wp:positionV relativeFrom="paragraph">
              <wp:posOffset>19603</wp:posOffset>
            </wp:positionV>
            <wp:extent cx="365760" cy="365760"/>
            <wp:effectExtent l="0" t="0" r="0" b="0"/>
            <wp:wrapTight wrapText="left">
              <wp:wrapPolygon edited="1">
                <wp:start x="0" y="0"/>
                <wp:lineTo x="0" y="29291"/>
                <wp:lineTo x="20404" y="29653"/>
                <wp:lineTo x="20041" y="0"/>
                <wp:lineTo x="0" y="0"/>
              </wp:wrapPolygon>
            </wp:wrapTight>
            <wp:docPr id="95587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2356" name=""/>
                    <pic:cNvPicPr/>
                  </pic:nvPicPr>
                  <pic:blipFill>
                    <a:blip r:embed="rId4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800B3">
        <w:t xml:space="preserve">Click the </w:t>
      </w:r>
      <w:r w:rsidR="00D800B3" w:rsidRPr="00D800B3">
        <w:rPr>
          <w:b/>
          <w:bCs/>
        </w:rPr>
        <w:t>Loca</w:t>
      </w:r>
      <w:r w:rsidR="001C6E97" w:rsidRPr="00D800B3">
        <w:rPr>
          <w:b/>
          <w:bCs/>
        </w:rPr>
        <w:t xml:space="preserve">te </w:t>
      </w:r>
      <w:r w:rsidR="00D800B3" w:rsidRPr="00D800B3">
        <w:rPr>
          <w:b/>
          <w:bCs/>
        </w:rPr>
        <w:t>A</w:t>
      </w:r>
      <w:r w:rsidR="001C6E97" w:rsidRPr="00D800B3">
        <w:rPr>
          <w:b/>
          <w:bCs/>
        </w:rPr>
        <w:t>ppointment</w:t>
      </w:r>
      <w:r w:rsidR="001C6E97">
        <w:t xml:space="preserve"> </w:t>
      </w:r>
      <w:r w:rsidR="00D800B3">
        <w:t>button</w:t>
      </w:r>
      <w:bookmarkStart w:id="103" w:name="_Hlk137034931"/>
      <w:r w:rsidR="00D800B3">
        <w:t xml:space="preserve"> to view the appointment in Appointment Book using</w:t>
      </w:r>
      <w:r w:rsidR="001C6E97">
        <w:t xml:space="preserve"> the </w:t>
      </w:r>
      <w:r w:rsidR="00D800B3">
        <w:t xml:space="preserve">applicable </w:t>
      </w:r>
      <w:r w:rsidR="001C6E97">
        <w:t>view.</w:t>
      </w:r>
      <w:bookmarkEnd w:id="103"/>
    </w:p>
    <w:p w14:paraId="486EDB63" w14:textId="3BC84E42" w:rsidR="00D800B3" w:rsidRDefault="001C6E97" w:rsidP="004F45B6">
      <w:pPr>
        <w:pStyle w:val="BodyText"/>
        <w:numPr>
          <w:ilvl w:val="0"/>
          <w:numId w:val="148"/>
        </w:numPr>
        <w:ind w:left="540"/>
      </w:pPr>
      <w:r>
        <w:t>Right-click the appointment</w:t>
      </w:r>
      <w:r w:rsidR="00D800B3">
        <w:t>, and then click</w:t>
      </w:r>
      <w:r>
        <w:t xml:space="preserve"> </w:t>
      </w:r>
      <w:r w:rsidRPr="00D800B3">
        <w:rPr>
          <w:b/>
          <w:bCs/>
        </w:rPr>
        <w:t>Break Appointment</w:t>
      </w:r>
      <w:r>
        <w:t>.</w:t>
      </w:r>
    </w:p>
    <w:p w14:paraId="0F10D090" w14:textId="1050E29E" w:rsidR="00D800B3" w:rsidRDefault="00D800B3" w:rsidP="00D800B3">
      <w:pPr>
        <w:pStyle w:val="BodyText"/>
        <w:ind w:left="540"/>
      </w:pPr>
      <w:r w:rsidRPr="00D800B3">
        <w:t xml:space="preserve">The </w:t>
      </w:r>
      <w:r w:rsidRPr="00D800B3">
        <w:rPr>
          <w:b/>
          <w:bCs/>
        </w:rPr>
        <w:t>Break Appointment</w:t>
      </w:r>
      <w:r w:rsidRPr="00D800B3">
        <w:t xml:space="preserve"> dialog box appears.</w:t>
      </w:r>
    </w:p>
    <w:p w14:paraId="2DAD3951" w14:textId="77777777" w:rsidR="00D800B3" w:rsidRDefault="001C6E97" w:rsidP="004F45B6">
      <w:pPr>
        <w:pStyle w:val="BodyText"/>
        <w:numPr>
          <w:ilvl w:val="0"/>
          <w:numId w:val="148"/>
        </w:numPr>
        <w:ind w:left="540"/>
      </w:pPr>
      <w:r>
        <w:t xml:space="preserve">Select the </w:t>
      </w:r>
      <w:r w:rsidR="00D800B3" w:rsidRPr="00D800B3">
        <w:rPr>
          <w:b/>
          <w:bCs/>
        </w:rPr>
        <w:t>R</w:t>
      </w:r>
      <w:r w:rsidRPr="00D800B3">
        <w:rPr>
          <w:b/>
          <w:bCs/>
        </w:rPr>
        <w:t>eason</w:t>
      </w:r>
      <w:r>
        <w:t xml:space="preserve"> </w:t>
      </w:r>
      <w:r w:rsidR="00D800B3">
        <w:t xml:space="preserve">that </w:t>
      </w:r>
      <w:r>
        <w:t>you are breaking the appointment.</w:t>
      </w:r>
    </w:p>
    <w:p w14:paraId="61CB3BE2" w14:textId="271CD867" w:rsidR="001C6E97" w:rsidRDefault="00D800B3" w:rsidP="004F45B6">
      <w:pPr>
        <w:pStyle w:val="BodyText"/>
        <w:numPr>
          <w:ilvl w:val="0"/>
          <w:numId w:val="148"/>
        </w:numPr>
        <w:ind w:left="540"/>
      </w:pPr>
      <w:r>
        <w:t xml:space="preserve">Click </w:t>
      </w:r>
      <w:r w:rsidRPr="00D800B3">
        <w:rPr>
          <w:b/>
          <w:bCs/>
        </w:rPr>
        <w:t>OK</w:t>
      </w:r>
      <w:r>
        <w:t>.</w:t>
      </w:r>
      <w:r w:rsidR="001C6E97">
        <w:t xml:space="preserve">  </w:t>
      </w:r>
    </w:p>
    <w:p w14:paraId="4CC53D45" w14:textId="2029E686" w:rsidR="001C6E97" w:rsidRDefault="001C6E97" w:rsidP="001C6E97">
      <w:pPr>
        <w:pStyle w:val="BodyText"/>
      </w:pPr>
      <w:r>
        <w:t xml:space="preserve">Breaking the appointment </w:t>
      </w:r>
      <w:r w:rsidR="00D800B3">
        <w:t>accomplishes</w:t>
      </w:r>
      <w:r>
        <w:t xml:space="preserve"> the following: </w:t>
      </w:r>
    </w:p>
    <w:p w14:paraId="45CC56AF" w14:textId="53E415CA" w:rsidR="001C6E97" w:rsidRDefault="001C6E97">
      <w:pPr>
        <w:pStyle w:val="BodyText"/>
        <w:numPr>
          <w:ilvl w:val="0"/>
          <w:numId w:val="22"/>
        </w:numPr>
        <w:ind w:left="540"/>
      </w:pPr>
      <w:r>
        <w:t xml:space="preserve">Removes the appointment from </w:t>
      </w:r>
      <w:r w:rsidR="00D800B3">
        <w:t>A</w:t>
      </w:r>
      <w:r>
        <w:t xml:space="preserve">ppointment </w:t>
      </w:r>
      <w:r w:rsidR="00D800B3">
        <w:t>B</w:t>
      </w:r>
      <w:r>
        <w:t>ook and moves it to the Unscheduled List</w:t>
      </w:r>
      <w:r w:rsidR="00D800B3">
        <w:t xml:space="preserve">, which you can use </w:t>
      </w:r>
      <w:r>
        <w:t>for scheduling</w:t>
      </w:r>
      <w:r w:rsidR="005B68B1">
        <w:t xml:space="preserve"> appointments in the future</w:t>
      </w:r>
      <w:r>
        <w:t>.</w:t>
      </w:r>
    </w:p>
    <w:p w14:paraId="4B265084" w14:textId="37CF5F12" w:rsidR="001C6E97" w:rsidRDefault="001C6E97">
      <w:pPr>
        <w:pStyle w:val="BodyText"/>
        <w:numPr>
          <w:ilvl w:val="0"/>
          <w:numId w:val="22"/>
        </w:numPr>
        <w:ind w:left="540"/>
      </w:pPr>
      <w:r>
        <w:t xml:space="preserve">Updates </w:t>
      </w:r>
      <w:r w:rsidR="00D800B3">
        <w:t xml:space="preserve">the </w:t>
      </w:r>
      <w:r>
        <w:t xml:space="preserve">missed appointment information in the </w:t>
      </w:r>
      <w:r w:rsidR="00D800B3">
        <w:t>patient’s F</w:t>
      </w:r>
      <w:r>
        <w:t xml:space="preserve">amily </w:t>
      </w:r>
      <w:r w:rsidR="00D800B3">
        <w:t>F</w:t>
      </w:r>
      <w:r>
        <w:t xml:space="preserve">ile </w:t>
      </w:r>
      <w:r w:rsidR="00D800B3">
        <w:t xml:space="preserve">record </w:t>
      </w:r>
      <w:r>
        <w:t xml:space="preserve">to reflect the date of the broken appointment and the </w:t>
      </w:r>
      <w:r w:rsidR="00D800B3">
        <w:t xml:space="preserve">patient’s total </w:t>
      </w:r>
      <w:r>
        <w:t xml:space="preserve">number of broken appointments.  </w:t>
      </w:r>
    </w:p>
    <w:p w14:paraId="17EBA2BC" w14:textId="5C6DCA01" w:rsidR="001C6E97" w:rsidRDefault="001C6E97">
      <w:pPr>
        <w:pStyle w:val="BodyText"/>
        <w:numPr>
          <w:ilvl w:val="0"/>
          <w:numId w:val="22"/>
        </w:numPr>
        <w:ind w:left="540"/>
      </w:pPr>
      <w:r>
        <w:t xml:space="preserve">Adds </w:t>
      </w:r>
      <w:r w:rsidR="00D800B3">
        <w:t>an Office Journal entry</w:t>
      </w:r>
      <w:r>
        <w:t xml:space="preserve"> that shows the date, time, operator, and description of the broken appointment.</w:t>
      </w:r>
    </w:p>
    <w:p w14:paraId="35A71998" w14:textId="7195F136" w:rsidR="001943BD" w:rsidRPr="0099717E" w:rsidRDefault="001943BD" w:rsidP="001943BD">
      <w:pPr>
        <w:pStyle w:val="BodyText"/>
        <w:rPr>
          <w:i/>
          <w:iCs/>
          <w:color w:val="C00000"/>
        </w:rPr>
      </w:pPr>
      <w:r w:rsidRPr="00D53397">
        <w:rPr>
          <w:b/>
          <w:bCs/>
          <w:i/>
          <w:iCs/>
          <w:noProof/>
        </w:rPr>
        <w:drawing>
          <wp:anchor distT="0" distB="0" distL="0" distR="91440" simplePos="0" relativeHeight="252068868" behindDoc="1" locked="0" layoutInCell="1" allowOverlap="1" wp14:anchorId="6526B3C6" wp14:editId="18CBAD97">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1533156127"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w:t>
      </w:r>
      <w:r w:rsidRPr="00D53397">
        <w:rPr>
          <w:i/>
          <w:iCs/>
        </w:rPr>
        <w:t xml:space="preserve">: </w:t>
      </w:r>
      <w:r w:rsidR="006A0B58" w:rsidRPr="00D53397">
        <w:rPr>
          <w:i/>
          <w:iCs/>
        </w:rPr>
        <w:t>In version 11.0.43, the broken appointment date and time in the More Information window now corresponds to the date and time when the appointment was scheduled instead of when it was broken.</w:t>
      </w:r>
    </w:p>
    <w:p w14:paraId="391B33F3" w14:textId="77777777" w:rsidR="00595AC7" w:rsidRDefault="001C6E97" w:rsidP="00D42C5A">
      <w:pPr>
        <w:pStyle w:val="Heading3"/>
      </w:pPr>
      <w:bookmarkStart w:id="104" w:name="_Toc135416689"/>
      <w:bookmarkStart w:id="105" w:name="_Toc166834324"/>
      <w:r>
        <w:t>Wait/Will Call</w:t>
      </w:r>
      <w:bookmarkEnd w:id="104"/>
      <w:bookmarkEnd w:id="105"/>
    </w:p>
    <w:p w14:paraId="45CEC46A" w14:textId="1DB81190" w:rsidR="001C6E97" w:rsidRDefault="00D800B3" w:rsidP="001C6E97">
      <w:pPr>
        <w:pStyle w:val="BodyText"/>
      </w:pPr>
      <w:r>
        <w:t>You can mark an appointment as “</w:t>
      </w:r>
      <w:r w:rsidR="001C6E97">
        <w:t>Wait/Will Call</w:t>
      </w:r>
      <w:r>
        <w:t>”</w:t>
      </w:r>
      <w:r w:rsidR="001C6E97">
        <w:t xml:space="preserve"> to place </w:t>
      </w:r>
      <w:r>
        <w:t xml:space="preserve">it </w:t>
      </w:r>
      <w:r w:rsidR="001C6E97">
        <w:t xml:space="preserve">on the </w:t>
      </w:r>
      <w:r>
        <w:t>U</w:t>
      </w:r>
      <w:r w:rsidR="001C6E97">
        <w:t xml:space="preserve">nscheduled </w:t>
      </w:r>
      <w:r>
        <w:t>L</w:t>
      </w:r>
      <w:r w:rsidR="001C6E97">
        <w:t xml:space="preserve">ist without having </w:t>
      </w:r>
      <w:r>
        <w:t>the appointment</w:t>
      </w:r>
      <w:r w:rsidR="001C6E97">
        <w:t xml:space="preserve"> count towards </w:t>
      </w:r>
      <w:r>
        <w:t>the</w:t>
      </w:r>
      <w:r w:rsidR="001C6E97">
        <w:t xml:space="preserve"> patient's broken appointment count. </w:t>
      </w:r>
      <w:r w:rsidR="005B68B1">
        <w:t xml:space="preserve">You can use this </w:t>
      </w:r>
      <w:r w:rsidR="001C6E97">
        <w:t xml:space="preserve">list for </w:t>
      </w:r>
      <w:r w:rsidR="005B68B1">
        <w:t xml:space="preserve">scheduling an appointment in the </w:t>
      </w:r>
      <w:r w:rsidR="001C6E97">
        <w:t xml:space="preserve">future when </w:t>
      </w:r>
      <w:r w:rsidR="005B68B1">
        <w:t>the patient initially contacts the office to schedule an appointment but cannot decide on a date or time yet</w:t>
      </w:r>
      <w:r w:rsidR="001C6E97">
        <w:t>.</w:t>
      </w:r>
    </w:p>
    <w:p w14:paraId="2851E03D" w14:textId="52F29543" w:rsidR="001C6E97" w:rsidRDefault="00D10660" w:rsidP="001C6E97">
      <w:pPr>
        <w:pStyle w:val="BodyText"/>
      </w:pPr>
      <w:r>
        <w:rPr>
          <w:noProof/>
        </w:rPr>
        <w:drawing>
          <wp:anchor distT="0" distB="0" distL="0" distR="91440" simplePos="0" relativeHeight="251688964" behindDoc="1" locked="0" layoutInCell="1" allowOverlap="1" wp14:anchorId="3F55082D" wp14:editId="0A9AC1B1">
            <wp:simplePos x="0" y="0"/>
            <wp:positionH relativeFrom="column">
              <wp:posOffset>-457200</wp:posOffset>
            </wp:positionH>
            <wp:positionV relativeFrom="paragraph">
              <wp:posOffset>0</wp:posOffset>
            </wp:positionV>
            <wp:extent cx="365856" cy="484632"/>
            <wp:effectExtent l="0" t="0" r="0" b="0"/>
            <wp:wrapTight wrapText="right">
              <wp:wrapPolygon edited="0">
                <wp:start x="0" y="0"/>
                <wp:lineTo x="0" y="20383"/>
                <wp:lineTo x="20250" y="20383"/>
                <wp:lineTo x="20250" y="0"/>
                <wp:lineTo x="0" y="0"/>
              </wp:wrapPolygon>
            </wp:wrapTight>
            <wp:docPr id="1285069991"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1C6E97" w:rsidRPr="00A37B2A">
        <w:rPr>
          <w:color w:val="00B050"/>
        </w:rPr>
        <w:t>&lt;&lt;Insert Wait/Will Call decision support/SOP/guidance here&gt;&gt;</w:t>
      </w:r>
    </w:p>
    <w:p w14:paraId="681453CF" w14:textId="774C6A85" w:rsidR="001C6E97" w:rsidRPr="001D78C1" w:rsidRDefault="001C6E97" w:rsidP="001C6E97">
      <w:pPr>
        <w:pStyle w:val="BodyText"/>
        <w:rPr>
          <w:color w:val="00B050"/>
        </w:rPr>
      </w:pPr>
      <w:r w:rsidRPr="001D78C1">
        <w:rPr>
          <w:color w:val="00B050"/>
        </w:rPr>
        <w:t>Sample guidelines:</w:t>
      </w:r>
    </w:p>
    <w:p w14:paraId="6EE00942" w14:textId="20444D0B" w:rsidR="001C6E97" w:rsidRPr="001D78C1" w:rsidRDefault="001C6E97">
      <w:pPr>
        <w:pStyle w:val="BodyText"/>
        <w:numPr>
          <w:ilvl w:val="0"/>
          <w:numId w:val="23"/>
        </w:numPr>
        <w:ind w:left="540"/>
        <w:rPr>
          <w:color w:val="00B050"/>
        </w:rPr>
      </w:pPr>
      <w:r w:rsidRPr="001D78C1">
        <w:rPr>
          <w:b/>
          <w:bCs/>
          <w:color w:val="00B050"/>
        </w:rPr>
        <w:t>Cancellation</w:t>
      </w:r>
      <w:r w:rsidR="005B68B1" w:rsidRPr="001D78C1">
        <w:rPr>
          <w:color w:val="00B050"/>
        </w:rPr>
        <w:t xml:space="preserve"> – </w:t>
      </w:r>
      <w:r w:rsidRPr="001D78C1">
        <w:rPr>
          <w:color w:val="00B050"/>
        </w:rPr>
        <w:t xml:space="preserve">A fee could apply if </w:t>
      </w:r>
      <w:r w:rsidR="005B68B1" w:rsidRPr="001D78C1">
        <w:rPr>
          <w:color w:val="00B050"/>
        </w:rPr>
        <w:t>the patient</w:t>
      </w:r>
      <w:r w:rsidRPr="001D78C1">
        <w:rPr>
          <w:color w:val="00B050"/>
        </w:rPr>
        <w:t xml:space="preserve"> cancel</w:t>
      </w:r>
      <w:r w:rsidR="005B68B1" w:rsidRPr="001D78C1">
        <w:rPr>
          <w:color w:val="00B050"/>
        </w:rPr>
        <w:t>s an</w:t>
      </w:r>
      <w:r w:rsidRPr="001D78C1">
        <w:rPr>
          <w:color w:val="00B050"/>
        </w:rPr>
        <w:t xml:space="preserve"> appointment with less than 48</w:t>
      </w:r>
      <w:r w:rsidR="005B68B1" w:rsidRPr="001D78C1">
        <w:rPr>
          <w:color w:val="00B050"/>
        </w:rPr>
        <w:t>-</w:t>
      </w:r>
      <w:r w:rsidRPr="001D78C1">
        <w:rPr>
          <w:color w:val="00B050"/>
        </w:rPr>
        <w:t>hour</w:t>
      </w:r>
      <w:r w:rsidR="005B68B1" w:rsidRPr="001D78C1">
        <w:rPr>
          <w:color w:val="00B050"/>
        </w:rPr>
        <w:t xml:space="preserve"> notice</w:t>
      </w:r>
      <w:r w:rsidRPr="001D78C1">
        <w:rPr>
          <w:color w:val="00B050"/>
        </w:rPr>
        <w:t xml:space="preserve">. If </w:t>
      </w:r>
      <w:r w:rsidR="005B68B1" w:rsidRPr="001D78C1">
        <w:rPr>
          <w:color w:val="00B050"/>
        </w:rPr>
        <w:t>the patient</w:t>
      </w:r>
      <w:r w:rsidRPr="001D78C1">
        <w:rPr>
          <w:color w:val="00B050"/>
        </w:rPr>
        <w:t xml:space="preserve"> cancel</w:t>
      </w:r>
      <w:r w:rsidR="005B68B1" w:rsidRPr="001D78C1">
        <w:rPr>
          <w:color w:val="00B050"/>
        </w:rPr>
        <w:t>s</w:t>
      </w:r>
      <w:r w:rsidRPr="001D78C1">
        <w:rPr>
          <w:color w:val="00B050"/>
        </w:rPr>
        <w:t xml:space="preserve"> </w:t>
      </w:r>
      <w:r w:rsidR="005B68B1" w:rsidRPr="001D78C1">
        <w:rPr>
          <w:color w:val="00B050"/>
        </w:rPr>
        <w:t xml:space="preserve">an appointment </w:t>
      </w:r>
      <w:r w:rsidRPr="001D78C1">
        <w:rPr>
          <w:color w:val="00B050"/>
        </w:rPr>
        <w:t>48 hours or more before, there is no fee.</w:t>
      </w:r>
    </w:p>
    <w:p w14:paraId="23D019BF" w14:textId="35C9F838" w:rsidR="001C6E97" w:rsidRPr="001D78C1" w:rsidRDefault="001C6E97">
      <w:pPr>
        <w:pStyle w:val="BodyText"/>
        <w:numPr>
          <w:ilvl w:val="0"/>
          <w:numId w:val="23"/>
        </w:numPr>
        <w:ind w:left="540"/>
        <w:rPr>
          <w:color w:val="00B050"/>
        </w:rPr>
      </w:pPr>
      <w:r w:rsidRPr="001D78C1">
        <w:rPr>
          <w:b/>
          <w:bCs/>
          <w:color w:val="00B050"/>
        </w:rPr>
        <w:t>Rescheduling</w:t>
      </w:r>
      <w:r w:rsidR="005B68B1" w:rsidRPr="001D78C1">
        <w:rPr>
          <w:color w:val="00B050"/>
        </w:rPr>
        <w:t xml:space="preserve"> – A fee could apply if the patient reschedules an appointment with less than 48-hour notice. If the patient </w:t>
      </w:r>
      <w:r w:rsidR="00D336FE" w:rsidRPr="001D78C1">
        <w:rPr>
          <w:color w:val="00B050"/>
        </w:rPr>
        <w:t>reschedules</w:t>
      </w:r>
      <w:r w:rsidR="005B68B1" w:rsidRPr="001D78C1">
        <w:rPr>
          <w:color w:val="00B050"/>
        </w:rPr>
        <w:t xml:space="preserve"> an appointment 48 hours or more before, there is no fee.</w:t>
      </w:r>
    </w:p>
    <w:p w14:paraId="0178761A" w14:textId="6E1A9B06" w:rsidR="001C6E97" w:rsidRPr="001D78C1" w:rsidRDefault="00A37B2A">
      <w:pPr>
        <w:pStyle w:val="BodyText"/>
        <w:numPr>
          <w:ilvl w:val="0"/>
          <w:numId w:val="23"/>
        </w:numPr>
        <w:ind w:left="540"/>
        <w:rPr>
          <w:color w:val="00B050"/>
        </w:rPr>
      </w:pPr>
      <w:r w:rsidRPr="001D78C1">
        <w:rPr>
          <w:b/>
          <w:bCs/>
          <w:color w:val="00B050"/>
        </w:rPr>
        <w:lastRenderedPageBreak/>
        <w:t>No Show</w:t>
      </w:r>
      <w:r w:rsidR="005B68B1" w:rsidRPr="001D78C1">
        <w:rPr>
          <w:color w:val="00B050"/>
        </w:rPr>
        <w:t xml:space="preserve"> – </w:t>
      </w:r>
      <w:r w:rsidR="001C6E97" w:rsidRPr="001D78C1">
        <w:rPr>
          <w:color w:val="00B050"/>
        </w:rPr>
        <w:t xml:space="preserve">A </w:t>
      </w:r>
      <w:r w:rsidR="00D336FE" w:rsidRPr="001D78C1">
        <w:rPr>
          <w:color w:val="00B050"/>
        </w:rPr>
        <w:t xml:space="preserve">fee for 100% of the session amount could apply if the patient </w:t>
      </w:r>
      <w:r w:rsidR="001C6E97" w:rsidRPr="001D78C1">
        <w:rPr>
          <w:color w:val="00B050"/>
        </w:rPr>
        <w:t xml:space="preserve">misses a scheduled appointment without canceling or rescheduling in advance. </w:t>
      </w:r>
      <w:r w:rsidR="00D336FE" w:rsidRPr="001D78C1">
        <w:rPr>
          <w:color w:val="00B050"/>
        </w:rPr>
        <w:t>The a</w:t>
      </w:r>
      <w:r w:rsidR="001C6E97" w:rsidRPr="001D78C1">
        <w:rPr>
          <w:color w:val="00B050"/>
        </w:rPr>
        <w:t xml:space="preserve">ppointment </w:t>
      </w:r>
      <w:r w:rsidR="00D336FE" w:rsidRPr="001D78C1">
        <w:rPr>
          <w:color w:val="00B050"/>
        </w:rPr>
        <w:t>length</w:t>
      </w:r>
      <w:r w:rsidR="001C6E97" w:rsidRPr="001D78C1">
        <w:rPr>
          <w:color w:val="00B050"/>
        </w:rPr>
        <w:t xml:space="preserve"> and the provider determine the session amount.</w:t>
      </w:r>
    </w:p>
    <w:p w14:paraId="0931D9A0" w14:textId="473BC20D" w:rsidR="001C6E97" w:rsidRPr="001D78C1" w:rsidRDefault="001C6E97" w:rsidP="004B64C5">
      <w:pPr>
        <w:pStyle w:val="BodyText"/>
        <w:ind w:left="540"/>
        <w:rPr>
          <w:color w:val="00B050"/>
        </w:rPr>
      </w:pPr>
      <w:r w:rsidRPr="001D78C1">
        <w:rPr>
          <w:color w:val="00B050"/>
        </w:rPr>
        <w:t xml:space="preserve">If a patient accumulates </w:t>
      </w:r>
      <w:r w:rsidR="00D336FE" w:rsidRPr="001D78C1">
        <w:rPr>
          <w:color w:val="00B050"/>
        </w:rPr>
        <w:t>three no shows</w:t>
      </w:r>
      <w:r w:rsidRPr="001D78C1">
        <w:rPr>
          <w:color w:val="00B050"/>
        </w:rPr>
        <w:t xml:space="preserve">, he or she may be </w:t>
      </w:r>
      <w:r w:rsidR="00D336FE" w:rsidRPr="001D78C1">
        <w:rPr>
          <w:color w:val="00B050"/>
        </w:rPr>
        <w:t xml:space="preserve">put </w:t>
      </w:r>
      <w:r w:rsidRPr="001D78C1">
        <w:rPr>
          <w:color w:val="00B050"/>
        </w:rPr>
        <w:t>on an emergency/wait call list and no longer allowed to reserve time in the schedule.</w:t>
      </w:r>
    </w:p>
    <w:p w14:paraId="58767CF0" w14:textId="6DD61013" w:rsidR="001C6E97" w:rsidRDefault="001C6E97" w:rsidP="00D42C5A">
      <w:pPr>
        <w:pStyle w:val="Heading3"/>
      </w:pPr>
      <w:bookmarkStart w:id="106" w:name="_Toc135416690"/>
      <w:bookmarkStart w:id="107" w:name="_Toc166834325"/>
      <w:r>
        <w:t>Rescheduling Appointments</w:t>
      </w:r>
      <w:bookmarkEnd w:id="106"/>
      <w:bookmarkEnd w:id="107"/>
    </w:p>
    <w:p w14:paraId="30431B10" w14:textId="77777777" w:rsidR="00595AC7" w:rsidRDefault="001C6E97" w:rsidP="00E92EA5">
      <w:pPr>
        <w:pStyle w:val="Heading4"/>
      </w:pPr>
      <w:r>
        <w:t>Broken/No Show Appointments</w:t>
      </w:r>
    </w:p>
    <w:p w14:paraId="54A3EB65" w14:textId="0F28EE1A" w:rsidR="001C6E97" w:rsidRDefault="001C6E97" w:rsidP="001C6E97">
      <w:pPr>
        <w:pStyle w:val="BodyText"/>
      </w:pPr>
      <w:r>
        <w:t xml:space="preserve">If the appointment is considered broken, but the patient wants to reschedule, follow the process and internal guidelines for breaking the appointment to automate the system’s ability to track the intended data before moving to the next step.  </w:t>
      </w:r>
    </w:p>
    <w:p w14:paraId="2F8A5670" w14:textId="661D605E" w:rsidR="001C6E97" w:rsidRDefault="000E592D" w:rsidP="001C6E97">
      <w:pPr>
        <w:pStyle w:val="BodyText"/>
      </w:pPr>
      <w:bookmarkStart w:id="108" w:name="_Hlk137034649"/>
      <w:r>
        <w:t xml:space="preserve">In </w:t>
      </w:r>
      <w:r w:rsidR="001C6E97" w:rsidRPr="000E592D">
        <w:t>More Info</w:t>
      </w:r>
      <w:r>
        <w:t xml:space="preserve">rmation, </w:t>
      </w:r>
      <w:bookmarkEnd w:id="108"/>
      <w:r>
        <w:t>use</w:t>
      </w:r>
      <w:r w:rsidR="001C6E97">
        <w:t xml:space="preserve"> the pre-appointment workflow, </w:t>
      </w:r>
      <w:r>
        <w:t xml:space="preserve">and </w:t>
      </w:r>
      <w:r w:rsidR="001C6E97">
        <w:t xml:space="preserve">review unscheduled appointments and other clinical/financial readiness information according to your internal guidelines.  </w:t>
      </w:r>
    </w:p>
    <w:p w14:paraId="6922CADF" w14:textId="15BFABCA" w:rsidR="001C6E97" w:rsidRDefault="001C6E97" w:rsidP="001C6E97">
      <w:pPr>
        <w:pStyle w:val="BodyText"/>
      </w:pPr>
      <w:r>
        <w:t xml:space="preserve">When </w:t>
      </w:r>
      <w:r w:rsidR="006A3ED6">
        <w:t xml:space="preserve">you attempt to </w:t>
      </w:r>
      <w:r>
        <w:t>schedul</w:t>
      </w:r>
      <w:r w:rsidR="006A3ED6">
        <w:t>e</w:t>
      </w:r>
      <w:r>
        <w:t xml:space="preserve"> a</w:t>
      </w:r>
      <w:r w:rsidR="000E592D">
        <w:t>n appointment for a</w:t>
      </w:r>
      <w:r>
        <w:t xml:space="preserve"> patient </w:t>
      </w:r>
      <w:r w:rsidR="000E592D">
        <w:t>who has</w:t>
      </w:r>
      <w:r>
        <w:t xml:space="preserve"> an appointment on the </w:t>
      </w:r>
      <w:r w:rsidR="000E592D">
        <w:t>U</w:t>
      </w:r>
      <w:r>
        <w:t xml:space="preserve">nscheduled </w:t>
      </w:r>
      <w:r w:rsidR="000E592D">
        <w:t>L</w:t>
      </w:r>
      <w:r>
        <w:t xml:space="preserve">ist, </w:t>
      </w:r>
      <w:r w:rsidR="000E592D">
        <w:t xml:space="preserve">a message appears. Click </w:t>
      </w:r>
      <w:r w:rsidR="000E592D" w:rsidRPr="006A3ED6">
        <w:rPr>
          <w:b/>
          <w:bCs/>
        </w:rPr>
        <w:t>Yes</w:t>
      </w:r>
      <w:r>
        <w:t xml:space="preserve"> to view the patient</w:t>
      </w:r>
      <w:r w:rsidR="000E592D">
        <w:t>’s</w:t>
      </w:r>
      <w:r>
        <w:t xml:space="preserve"> appointment list and use the </w:t>
      </w:r>
      <w:r w:rsidR="000E592D">
        <w:t xml:space="preserve">unscheduled </w:t>
      </w:r>
      <w:r>
        <w:t xml:space="preserve">appointment </w:t>
      </w:r>
      <w:r w:rsidR="006A3ED6">
        <w:t>to schedule</w:t>
      </w:r>
      <w:r w:rsidR="000E592D">
        <w:t xml:space="preserve"> th</w:t>
      </w:r>
      <w:r w:rsidR="006A3ED6">
        <w:t xml:space="preserve">e new </w:t>
      </w:r>
      <w:r w:rsidR="000E592D">
        <w:t>appointment</w:t>
      </w:r>
      <w:r>
        <w:t xml:space="preserve">. Clicking </w:t>
      </w:r>
      <w:r w:rsidR="006A3ED6" w:rsidRPr="006A3ED6">
        <w:rPr>
          <w:b/>
          <w:bCs/>
        </w:rPr>
        <w:t>No</w:t>
      </w:r>
      <w:r>
        <w:t xml:space="preserve"> and</w:t>
      </w:r>
      <w:r w:rsidR="006A3ED6">
        <w:t xml:space="preserve"> scheduling </w:t>
      </w:r>
      <w:r>
        <w:t xml:space="preserve">a new appointment will leave the </w:t>
      </w:r>
      <w:r w:rsidR="006A3ED6">
        <w:t>unscheduled</w:t>
      </w:r>
      <w:r>
        <w:t xml:space="preserve"> appointment on the </w:t>
      </w:r>
      <w:r w:rsidR="006A3ED6">
        <w:t>Unscheduled L</w:t>
      </w:r>
      <w:r>
        <w:t>ist</w:t>
      </w:r>
      <w:r w:rsidR="006A3ED6">
        <w:t>,</w:t>
      </w:r>
      <w:r>
        <w:t xml:space="preserve"> and </w:t>
      </w:r>
      <w:r w:rsidR="006A3ED6">
        <w:t xml:space="preserve">the message that indicates the patient has unscheduled appointments will </w:t>
      </w:r>
      <w:r>
        <w:t xml:space="preserve">continue to </w:t>
      </w:r>
      <w:r w:rsidR="006A3ED6">
        <w:t>appear whenever you attempt to schedule future appointments for this patient</w:t>
      </w:r>
      <w:r>
        <w:t xml:space="preserve">.  </w:t>
      </w:r>
    </w:p>
    <w:p w14:paraId="69D7D9C5" w14:textId="77777777" w:rsidR="00595AC7" w:rsidRDefault="001C6E97" w:rsidP="00E92EA5">
      <w:pPr>
        <w:pStyle w:val="Heading4"/>
      </w:pPr>
      <w:r>
        <w:t>Moving Scheduled Appointments</w:t>
      </w:r>
    </w:p>
    <w:p w14:paraId="76CDB216" w14:textId="5BDCA607" w:rsidR="001C6E97" w:rsidRDefault="00541225" w:rsidP="001C6E97">
      <w:pPr>
        <w:pStyle w:val="BodyText"/>
      </w:pPr>
      <w:r>
        <w:rPr>
          <w:noProof/>
        </w:rPr>
        <w:drawing>
          <wp:anchor distT="0" distB="0" distL="91440" distR="0" simplePos="0" relativeHeight="251695108" behindDoc="0" locked="0" layoutInCell="1" allowOverlap="1" wp14:anchorId="76E6D99A" wp14:editId="00CA2E22">
            <wp:simplePos x="0" y="0"/>
            <wp:positionH relativeFrom="column">
              <wp:posOffset>5486400</wp:posOffset>
            </wp:positionH>
            <wp:positionV relativeFrom="paragraph">
              <wp:posOffset>323879</wp:posOffset>
            </wp:positionV>
            <wp:extent cx="365760" cy="365760"/>
            <wp:effectExtent l="0" t="0" r="0" b="0"/>
            <wp:wrapTight wrapText="left">
              <wp:wrapPolygon edited="0">
                <wp:start x="0" y="0"/>
                <wp:lineTo x="0" y="20250"/>
                <wp:lineTo x="20250" y="20250"/>
                <wp:lineTo x="20250" y="0"/>
                <wp:lineTo x="0" y="0"/>
              </wp:wrapPolygon>
            </wp:wrapTight>
            <wp:docPr id="55064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150" name=""/>
                    <pic:cNvPicPr/>
                  </pic:nvPicPr>
                  <pic:blipFill>
                    <a:blip r:embed="rId47"/>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6A3ED6">
        <w:t>You can r</w:t>
      </w:r>
      <w:r w:rsidR="001C6E97">
        <w:t>eschedul</w:t>
      </w:r>
      <w:r w:rsidR="000E592D">
        <w:t>e</w:t>
      </w:r>
      <w:r w:rsidR="001C6E97">
        <w:t xml:space="preserve"> an appointment that isn’t considered broken.</w:t>
      </w:r>
      <w:r w:rsidR="000D6768">
        <w:t xml:space="preserve"> To move an appointment, do the following:</w:t>
      </w:r>
    </w:p>
    <w:p w14:paraId="4C35F778" w14:textId="45A8128E" w:rsidR="001C6E97" w:rsidRDefault="006A3ED6" w:rsidP="004F45B6">
      <w:pPr>
        <w:pStyle w:val="BodyText"/>
        <w:numPr>
          <w:ilvl w:val="0"/>
          <w:numId w:val="149"/>
        </w:numPr>
        <w:ind w:left="540"/>
      </w:pPr>
      <w:r w:rsidRPr="006A3ED6">
        <w:t xml:space="preserve">In More Information, </w:t>
      </w:r>
      <w:r>
        <w:t>r</w:t>
      </w:r>
      <w:r w:rsidR="001C6E97">
        <w:t xml:space="preserve">eview </w:t>
      </w:r>
      <w:r>
        <w:t xml:space="preserve">the </w:t>
      </w:r>
      <w:r w:rsidR="001C6E97">
        <w:t>patient</w:t>
      </w:r>
      <w:r>
        <w:t>’s</w:t>
      </w:r>
      <w:r w:rsidR="001C6E97">
        <w:t xml:space="preserve"> financial and clinical readiness.</w:t>
      </w:r>
    </w:p>
    <w:p w14:paraId="4D638BA3" w14:textId="18F7083D" w:rsidR="001C6E97" w:rsidRDefault="0049548D" w:rsidP="004F45B6">
      <w:pPr>
        <w:pStyle w:val="BodyText"/>
        <w:numPr>
          <w:ilvl w:val="0"/>
          <w:numId w:val="149"/>
        </w:numPr>
        <w:ind w:left="540"/>
      </w:pPr>
      <w:r>
        <w:rPr>
          <w:noProof/>
        </w:rPr>
        <w:drawing>
          <wp:anchor distT="0" distB="0" distL="91440" distR="0" simplePos="0" relativeHeight="251693060" behindDoc="1" locked="0" layoutInCell="1" allowOverlap="1" wp14:anchorId="79024863" wp14:editId="51005A09">
            <wp:simplePos x="0" y="0"/>
            <wp:positionH relativeFrom="column">
              <wp:posOffset>5486400</wp:posOffset>
            </wp:positionH>
            <wp:positionV relativeFrom="paragraph">
              <wp:posOffset>50039</wp:posOffset>
            </wp:positionV>
            <wp:extent cx="365760" cy="365760"/>
            <wp:effectExtent l="0" t="0" r="0" b="0"/>
            <wp:wrapTight wrapText="left">
              <wp:wrapPolygon edited="1">
                <wp:start x="0" y="0"/>
                <wp:lineTo x="0" y="29291"/>
                <wp:lineTo x="20404" y="29653"/>
                <wp:lineTo x="20041" y="0"/>
                <wp:lineTo x="0" y="0"/>
              </wp:wrapPolygon>
            </wp:wrapTight>
            <wp:docPr id="32728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2356" name=""/>
                    <pic:cNvPicPr/>
                  </pic:nvPicPr>
                  <pic:blipFill>
                    <a:blip r:embed="rId4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A3ED6">
        <w:t xml:space="preserve">On the </w:t>
      </w:r>
      <w:r w:rsidR="006A3ED6" w:rsidRPr="006A3ED6">
        <w:rPr>
          <w:b/>
          <w:bCs/>
        </w:rPr>
        <w:t>S</w:t>
      </w:r>
      <w:r w:rsidR="001C6E97" w:rsidRPr="006A3ED6">
        <w:rPr>
          <w:b/>
          <w:bCs/>
        </w:rPr>
        <w:t>ummary</w:t>
      </w:r>
      <w:r w:rsidR="001C6E97">
        <w:t xml:space="preserve"> tab</w:t>
      </w:r>
      <w:r w:rsidR="006A3ED6">
        <w:t>, select the</w:t>
      </w:r>
      <w:r w:rsidR="001C6E97">
        <w:t xml:space="preserve"> scheduled appointment</w:t>
      </w:r>
      <w:r w:rsidR="006A3ED6">
        <w:t xml:space="preserve"> in the </w:t>
      </w:r>
      <w:r w:rsidR="006A3ED6" w:rsidRPr="006A3ED6">
        <w:rPr>
          <w:b/>
          <w:bCs/>
        </w:rPr>
        <w:t>Next Appointments</w:t>
      </w:r>
      <w:r w:rsidR="006A3ED6">
        <w:t xml:space="preserve"> list, and then click the </w:t>
      </w:r>
      <w:r w:rsidR="006A3ED6" w:rsidRPr="006A3ED6">
        <w:rPr>
          <w:b/>
          <w:bCs/>
        </w:rPr>
        <w:t>L</w:t>
      </w:r>
      <w:r w:rsidR="001C6E97" w:rsidRPr="006A3ED6">
        <w:rPr>
          <w:b/>
          <w:bCs/>
        </w:rPr>
        <w:t xml:space="preserve">ocate </w:t>
      </w:r>
      <w:r w:rsidR="006A3ED6" w:rsidRPr="006A3ED6">
        <w:rPr>
          <w:b/>
          <w:bCs/>
        </w:rPr>
        <w:t>A</w:t>
      </w:r>
      <w:r w:rsidR="001C6E97" w:rsidRPr="006A3ED6">
        <w:rPr>
          <w:b/>
          <w:bCs/>
        </w:rPr>
        <w:t>ppointment</w:t>
      </w:r>
      <w:r w:rsidR="001C6E97">
        <w:t xml:space="preserve"> </w:t>
      </w:r>
      <w:r w:rsidR="006A3ED6">
        <w:t>button</w:t>
      </w:r>
      <w:r w:rsidR="000D6768" w:rsidRPr="000D6768">
        <w:t xml:space="preserve"> to view the appointment in Appointment Book using the applicable view.</w:t>
      </w:r>
      <w:r w:rsidRPr="0049548D">
        <w:rPr>
          <w:noProof/>
        </w:rPr>
        <w:t xml:space="preserve"> </w:t>
      </w:r>
    </w:p>
    <w:p w14:paraId="33CB1132" w14:textId="04CFD5A7" w:rsidR="000D6768" w:rsidRDefault="001C6E97" w:rsidP="004F45B6">
      <w:pPr>
        <w:pStyle w:val="BodyText"/>
        <w:numPr>
          <w:ilvl w:val="0"/>
          <w:numId w:val="149"/>
        </w:numPr>
        <w:ind w:left="540"/>
      </w:pPr>
      <w:r>
        <w:t>Double</w:t>
      </w:r>
      <w:r w:rsidR="000D6768">
        <w:t>-</w:t>
      </w:r>
      <w:r>
        <w:t>click the appointment</w:t>
      </w:r>
      <w:r w:rsidR="000D6768">
        <w:t>.</w:t>
      </w:r>
    </w:p>
    <w:p w14:paraId="4C314C22" w14:textId="77777777" w:rsidR="000D6768" w:rsidRDefault="000D6768" w:rsidP="000D6768">
      <w:pPr>
        <w:pStyle w:val="BodyText"/>
        <w:ind w:left="540"/>
      </w:pPr>
      <w:r>
        <w:t xml:space="preserve">The </w:t>
      </w:r>
      <w:r w:rsidRPr="000D6768">
        <w:rPr>
          <w:b/>
          <w:bCs/>
        </w:rPr>
        <w:t>Appointment Information</w:t>
      </w:r>
      <w:r>
        <w:t xml:space="preserve"> dialog box appears.</w:t>
      </w:r>
    </w:p>
    <w:p w14:paraId="7EF0CC45" w14:textId="104FB5E8" w:rsidR="001C6E97" w:rsidRDefault="000D6768" w:rsidP="004F45B6">
      <w:pPr>
        <w:pStyle w:val="BodyText"/>
        <w:numPr>
          <w:ilvl w:val="0"/>
          <w:numId w:val="149"/>
        </w:numPr>
        <w:ind w:left="540"/>
      </w:pPr>
      <w:r>
        <w:t xml:space="preserve">Click </w:t>
      </w:r>
      <w:r w:rsidRPr="000D6768">
        <w:rPr>
          <w:b/>
          <w:bCs/>
        </w:rPr>
        <w:t>F</w:t>
      </w:r>
      <w:r w:rsidR="001C6E97" w:rsidRPr="000D6768">
        <w:rPr>
          <w:b/>
          <w:bCs/>
        </w:rPr>
        <w:t>ind</w:t>
      </w:r>
      <w:r w:rsidR="001C6E97">
        <w:t xml:space="preserve"> to locate available times</w:t>
      </w:r>
      <w:r>
        <w:t>, and move the appointment</w:t>
      </w:r>
      <w:r w:rsidR="001C6E97">
        <w:t xml:space="preserve">.  </w:t>
      </w:r>
    </w:p>
    <w:p w14:paraId="3817EDA5" w14:textId="77777777" w:rsidR="00595AC7" w:rsidRDefault="001C6E97" w:rsidP="00D42C5A">
      <w:pPr>
        <w:pStyle w:val="Heading3"/>
      </w:pPr>
      <w:bookmarkStart w:id="109" w:name="_Toc135416691"/>
      <w:bookmarkStart w:id="110" w:name="_Toc166834326"/>
      <w:r>
        <w:t>ASAP/Open/Fixed Schedule</w:t>
      </w:r>
      <w:bookmarkEnd w:id="109"/>
      <w:bookmarkEnd w:id="110"/>
    </w:p>
    <w:p w14:paraId="76D96E05" w14:textId="5E1DCB95" w:rsidR="001C6E97" w:rsidRDefault="001C6E97" w:rsidP="001C6E97">
      <w:pPr>
        <w:pStyle w:val="BodyText"/>
      </w:pPr>
      <w:r>
        <w:t xml:space="preserve">Placing appointments on the ASAP/Open lists is ideal for sorting and strategically managing changes and requests for next available appointments in your schedule.  </w:t>
      </w:r>
    </w:p>
    <w:p w14:paraId="30A990B5" w14:textId="77777777" w:rsidR="004B64C5" w:rsidRDefault="001C6E97" w:rsidP="00E92EA5">
      <w:pPr>
        <w:pStyle w:val="Heading4"/>
      </w:pPr>
      <w:r>
        <w:t>ASAP</w:t>
      </w:r>
    </w:p>
    <w:p w14:paraId="0E5EB8DF" w14:textId="5BA2B586" w:rsidR="001C6E97" w:rsidRDefault="001C6E97" w:rsidP="001C6E97">
      <w:pPr>
        <w:pStyle w:val="BodyText"/>
      </w:pPr>
      <w:r>
        <w:t xml:space="preserve">If a patient requests a </w:t>
      </w:r>
      <w:r w:rsidR="000D6768">
        <w:t>date and time</w:t>
      </w:r>
      <w:r>
        <w:t xml:space="preserve"> this week, but </w:t>
      </w:r>
      <w:r w:rsidR="000D6768">
        <w:t>the</w:t>
      </w:r>
      <w:r>
        <w:t xml:space="preserve"> next opening isn’t for </w:t>
      </w:r>
      <w:r w:rsidR="000D6768">
        <w:t>two or more</w:t>
      </w:r>
      <w:r>
        <w:t xml:space="preserve"> weeks, </w:t>
      </w:r>
      <w:r w:rsidR="000D6768">
        <w:t>assign</w:t>
      </w:r>
      <w:r>
        <w:t xml:space="preserve"> this status to </w:t>
      </w:r>
      <w:r w:rsidR="000D6768">
        <w:t>the appointment. The patient will appear on</w:t>
      </w:r>
      <w:r>
        <w:t xml:space="preserve"> a list of patients </w:t>
      </w:r>
      <w:r w:rsidR="000D6768">
        <w:t>that you can</w:t>
      </w:r>
      <w:r>
        <w:t xml:space="preserve"> contact when there are unexpected changes in </w:t>
      </w:r>
      <w:r w:rsidR="000D6768">
        <w:t>the</w:t>
      </w:r>
      <w:r>
        <w:t xml:space="preserve"> schedule.  </w:t>
      </w:r>
    </w:p>
    <w:p w14:paraId="0D57B925" w14:textId="77777777" w:rsidR="004B64C5" w:rsidRDefault="001C6E97" w:rsidP="00E92EA5">
      <w:pPr>
        <w:pStyle w:val="Heading4"/>
      </w:pPr>
      <w:r>
        <w:lastRenderedPageBreak/>
        <w:t>Open</w:t>
      </w:r>
    </w:p>
    <w:p w14:paraId="3612D675" w14:textId="7F9F1D5E" w:rsidR="00D26E65" w:rsidRDefault="000D6768" w:rsidP="001C6E97">
      <w:pPr>
        <w:pStyle w:val="BodyText"/>
      </w:pPr>
      <w:r>
        <w:t xml:space="preserve">Assign this status to a </w:t>
      </w:r>
      <w:r w:rsidR="001C6E97">
        <w:t>patient</w:t>
      </w:r>
      <w:r>
        <w:t>’</w:t>
      </w:r>
      <w:r w:rsidR="001C6E97">
        <w:t>s</w:t>
      </w:r>
      <w:r>
        <w:t xml:space="preserve"> appointment if the patient is</w:t>
      </w:r>
      <w:r w:rsidR="001C6E97">
        <w:t xml:space="preserve"> open to last-minute changes or d</w:t>
      </w:r>
      <w:r>
        <w:t>oes</w:t>
      </w:r>
      <w:r w:rsidR="001C6E97">
        <w:t>n’t require notice for shifting appointment times.</w:t>
      </w:r>
      <w:r w:rsidR="00D26E65" w:rsidRPr="00D26E65">
        <w:t xml:space="preserve"> The patient will appear on a list of patients that you can contact when there are unexpected changes in the schedule.</w:t>
      </w:r>
    </w:p>
    <w:p w14:paraId="62E6EAA6" w14:textId="00E99641" w:rsidR="001C6E97" w:rsidRPr="00D26E65" w:rsidRDefault="002522BD" w:rsidP="001C6E97">
      <w:pPr>
        <w:pStyle w:val="BodyText"/>
        <w:rPr>
          <w:i/>
          <w:iCs/>
        </w:rPr>
      </w:pPr>
      <w:r>
        <w:rPr>
          <w:noProof/>
        </w:rPr>
        <w:drawing>
          <wp:anchor distT="0" distB="0" distL="0" distR="91440" simplePos="0" relativeHeight="251701252" behindDoc="0" locked="0" layoutInCell="1" allowOverlap="1" wp14:anchorId="1C35E61A" wp14:editId="2CE7FE50">
            <wp:simplePos x="0" y="0"/>
            <wp:positionH relativeFrom="column">
              <wp:posOffset>-456565</wp:posOffset>
            </wp:positionH>
            <wp:positionV relativeFrom="paragraph">
              <wp:posOffset>2540</wp:posOffset>
            </wp:positionV>
            <wp:extent cx="365760" cy="418465"/>
            <wp:effectExtent l="0" t="0" r="0" b="635"/>
            <wp:wrapTight wrapText="right">
              <wp:wrapPolygon edited="0">
                <wp:start x="0" y="0"/>
                <wp:lineTo x="0" y="20649"/>
                <wp:lineTo x="20250" y="20649"/>
                <wp:lineTo x="20250" y="0"/>
                <wp:lineTo x="0" y="0"/>
              </wp:wrapPolygon>
            </wp:wrapTight>
            <wp:docPr id="148502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2501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 cy="418465"/>
                    </a:xfrm>
                    <a:prstGeom prst="rect">
                      <a:avLst/>
                    </a:prstGeom>
                  </pic:spPr>
                </pic:pic>
              </a:graphicData>
            </a:graphic>
            <wp14:sizeRelH relativeFrom="margin">
              <wp14:pctWidth>0</wp14:pctWidth>
            </wp14:sizeRelH>
            <wp14:sizeRelV relativeFrom="margin">
              <wp14:pctHeight>0</wp14:pctHeight>
            </wp14:sizeRelV>
          </wp:anchor>
        </w:drawing>
      </w:r>
      <w:r w:rsidR="00D26E65" w:rsidRPr="00D26E65">
        <w:rPr>
          <w:b/>
          <w:bCs/>
          <w:i/>
          <w:iCs/>
        </w:rPr>
        <w:t>Note</w:t>
      </w:r>
      <w:r w:rsidR="00D26E65" w:rsidRPr="00D26E65">
        <w:rPr>
          <w:i/>
          <w:iCs/>
        </w:rPr>
        <w:t xml:space="preserve">: Having an Open List </w:t>
      </w:r>
      <w:r w:rsidR="001C6E97" w:rsidRPr="00D26E65">
        <w:rPr>
          <w:i/>
          <w:iCs/>
        </w:rPr>
        <w:t>separate</w:t>
      </w:r>
      <w:r w:rsidR="00D26E65" w:rsidRPr="00D26E65">
        <w:rPr>
          <w:i/>
          <w:iCs/>
        </w:rPr>
        <w:t xml:space="preserve"> from an ASAP List</w:t>
      </w:r>
      <w:r w:rsidR="001C6E97" w:rsidRPr="00D26E65">
        <w:rPr>
          <w:i/>
          <w:iCs/>
        </w:rPr>
        <w:t xml:space="preserve"> assist</w:t>
      </w:r>
      <w:r w:rsidR="00D26E65" w:rsidRPr="00D26E65">
        <w:rPr>
          <w:i/>
          <w:iCs/>
        </w:rPr>
        <w:t>s</w:t>
      </w:r>
      <w:r w:rsidR="001C6E97" w:rsidRPr="00D26E65">
        <w:rPr>
          <w:i/>
          <w:iCs/>
        </w:rPr>
        <w:t xml:space="preserve"> with targeting the correct patients with less research or wasted contact time.</w:t>
      </w:r>
    </w:p>
    <w:p w14:paraId="39C468AE" w14:textId="77777777" w:rsidR="004B64C5" w:rsidRDefault="001C6E97" w:rsidP="00E92EA5">
      <w:pPr>
        <w:pStyle w:val="Heading4"/>
      </w:pPr>
      <w:r>
        <w:t>Fixed</w:t>
      </w:r>
    </w:p>
    <w:p w14:paraId="4FC4BF84" w14:textId="214DAAA0" w:rsidR="001C6E97" w:rsidRDefault="00D26E65" w:rsidP="001C6E97">
      <w:pPr>
        <w:pStyle w:val="BodyText"/>
      </w:pPr>
      <w:r w:rsidRPr="00D26E65">
        <w:t xml:space="preserve">Assign this status to a patient’s appointment if </w:t>
      </w:r>
      <w:r>
        <w:t>it is</w:t>
      </w:r>
      <w:r w:rsidR="001C6E97">
        <w:t xml:space="preserve"> scheduled as intended, and the patient does not </w:t>
      </w:r>
      <w:r>
        <w:t>want</w:t>
      </w:r>
      <w:r w:rsidR="001C6E97">
        <w:t xml:space="preserve"> to make changes to their appointment.  </w:t>
      </w:r>
    </w:p>
    <w:p w14:paraId="312F3401" w14:textId="07D46935" w:rsidR="001C6E97" w:rsidRPr="00A70342" w:rsidRDefault="0087151B" w:rsidP="001C6E97">
      <w:pPr>
        <w:pStyle w:val="BodyText"/>
        <w:rPr>
          <w:i/>
          <w:iCs/>
        </w:rPr>
      </w:pPr>
      <w:r>
        <w:rPr>
          <w:noProof/>
        </w:rPr>
        <w:drawing>
          <wp:anchor distT="0" distB="0" distL="0" distR="91440" simplePos="0" relativeHeight="251697156" behindDoc="1" locked="0" layoutInCell="1" allowOverlap="1" wp14:anchorId="7AD4C348" wp14:editId="06ECE9D8">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43110792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C6E97" w:rsidRPr="00A70342">
        <w:rPr>
          <w:b/>
          <w:bCs/>
          <w:i/>
          <w:iCs/>
        </w:rPr>
        <w:t>Workflow Insight</w:t>
      </w:r>
      <w:r w:rsidR="001C6E97" w:rsidRPr="00A70342">
        <w:rPr>
          <w:i/>
          <w:iCs/>
        </w:rPr>
        <w:t>:</w:t>
      </w:r>
      <w:r w:rsidR="00D26E65" w:rsidRPr="00A70342">
        <w:rPr>
          <w:i/>
          <w:iCs/>
        </w:rPr>
        <w:t xml:space="preserve"> </w:t>
      </w:r>
      <w:r w:rsidR="001C6E97" w:rsidRPr="00A70342">
        <w:rPr>
          <w:i/>
          <w:iCs/>
        </w:rPr>
        <w:t xml:space="preserve">When adding an appointment to the ASAP or </w:t>
      </w:r>
      <w:r w:rsidR="00D26E65" w:rsidRPr="00A70342">
        <w:rPr>
          <w:i/>
          <w:iCs/>
        </w:rPr>
        <w:t>O</w:t>
      </w:r>
      <w:r w:rsidR="001C6E97" w:rsidRPr="00A70342">
        <w:rPr>
          <w:i/>
          <w:iCs/>
        </w:rPr>
        <w:t xml:space="preserve">pen list, use the appointment note to annotate any specifics </w:t>
      </w:r>
      <w:r w:rsidR="00D26E65" w:rsidRPr="00A70342">
        <w:rPr>
          <w:i/>
          <w:iCs/>
        </w:rPr>
        <w:t>regarding</w:t>
      </w:r>
      <w:r w:rsidR="001C6E97" w:rsidRPr="00A70342">
        <w:rPr>
          <w:i/>
          <w:iCs/>
        </w:rPr>
        <w:t xml:space="preserve"> the patient’s ability to come in sooner</w:t>
      </w:r>
      <w:r w:rsidR="00D26E65" w:rsidRPr="00A70342">
        <w:rPr>
          <w:i/>
          <w:iCs/>
        </w:rPr>
        <w:t xml:space="preserve"> (f</w:t>
      </w:r>
      <w:r w:rsidR="001C6E97" w:rsidRPr="00A70342">
        <w:rPr>
          <w:i/>
          <w:iCs/>
        </w:rPr>
        <w:t>or example</w:t>
      </w:r>
      <w:r w:rsidR="00D26E65" w:rsidRPr="00A70342">
        <w:rPr>
          <w:i/>
          <w:iCs/>
        </w:rPr>
        <w:t>, t</w:t>
      </w:r>
      <w:r w:rsidR="001C6E97" w:rsidRPr="00A70342">
        <w:rPr>
          <w:i/>
          <w:iCs/>
        </w:rPr>
        <w:t>ime of day</w:t>
      </w:r>
      <w:r w:rsidR="00D26E65" w:rsidRPr="00A70342">
        <w:rPr>
          <w:i/>
          <w:iCs/>
        </w:rPr>
        <w:t xml:space="preserve"> and </w:t>
      </w:r>
      <w:r w:rsidR="001C6E97" w:rsidRPr="00A70342">
        <w:rPr>
          <w:i/>
          <w:iCs/>
        </w:rPr>
        <w:t xml:space="preserve"> frequency limitations</w:t>
      </w:r>
      <w:r w:rsidR="00D26E65" w:rsidRPr="00A70342">
        <w:rPr>
          <w:i/>
          <w:iCs/>
        </w:rPr>
        <w:t>)</w:t>
      </w:r>
      <w:r w:rsidR="001C6E97" w:rsidRPr="00A70342">
        <w:rPr>
          <w:i/>
          <w:iCs/>
        </w:rPr>
        <w:t xml:space="preserve">. These lists </w:t>
      </w:r>
      <w:r w:rsidR="00D26E65" w:rsidRPr="00A70342">
        <w:rPr>
          <w:i/>
          <w:iCs/>
        </w:rPr>
        <w:t xml:space="preserve">can </w:t>
      </w:r>
      <w:r w:rsidR="001C6E97" w:rsidRPr="00A70342">
        <w:rPr>
          <w:i/>
          <w:iCs/>
        </w:rPr>
        <w:t xml:space="preserve">reduce the amount of time </w:t>
      </w:r>
      <w:r w:rsidR="00D26E65" w:rsidRPr="00A70342">
        <w:rPr>
          <w:i/>
          <w:iCs/>
        </w:rPr>
        <w:t>you spend</w:t>
      </w:r>
      <w:r w:rsidR="001C6E97" w:rsidRPr="00A70342">
        <w:rPr>
          <w:i/>
          <w:iCs/>
        </w:rPr>
        <w:t xml:space="preserve"> </w:t>
      </w:r>
      <w:r w:rsidR="00D26E65" w:rsidRPr="00A70342">
        <w:rPr>
          <w:i/>
          <w:iCs/>
        </w:rPr>
        <w:t>trying</w:t>
      </w:r>
      <w:r w:rsidR="001C6E97" w:rsidRPr="00A70342">
        <w:rPr>
          <w:i/>
          <w:iCs/>
        </w:rPr>
        <w:t xml:space="preserve"> to fill open times on your schedule.  </w:t>
      </w:r>
    </w:p>
    <w:p w14:paraId="310DDFA7" w14:textId="169B4B7C" w:rsidR="00A30FFA" w:rsidRDefault="00253844" w:rsidP="004267C0">
      <w:pPr>
        <w:pStyle w:val="Heading2"/>
      </w:pPr>
      <w:bookmarkStart w:id="111" w:name="_Toc135416692"/>
      <w:bookmarkStart w:id="112" w:name="_Toc166834327"/>
      <w:r>
        <w:rPr>
          <w:noProof/>
        </w:rPr>
        <w:drawing>
          <wp:anchor distT="0" distB="0" distL="0" distR="91440" simplePos="0" relativeHeight="251703300" behindDoc="1" locked="0" layoutInCell="1" allowOverlap="1" wp14:anchorId="56959E0C" wp14:editId="4C739EAA">
            <wp:simplePos x="0" y="0"/>
            <wp:positionH relativeFrom="column">
              <wp:posOffset>-457200</wp:posOffset>
            </wp:positionH>
            <wp:positionV relativeFrom="paragraph">
              <wp:posOffset>642782</wp:posOffset>
            </wp:positionV>
            <wp:extent cx="365760" cy="484505"/>
            <wp:effectExtent l="0" t="0" r="0" b="0"/>
            <wp:wrapTight wrapText="right">
              <wp:wrapPolygon edited="0">
                <wp:start x="0" y="0"/>
                <wp:lineTo x="0" y="20383"/>
                <wp:lineTo x="20250" y="20383"/>
                <wp:lineTo x="20250" y="0"/>
                <wp:lineTo x="0" y="0"/>
              </wp:wrapPolygon>
            </wp:wrapTight>
            <wp:docPr id="703882081"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1C6E97">
        <w:t>Patient Communication</w:t>
      </w:r>
      <w:bookmarkEnd w:id="111"/>
      <w:bookmarkEnd w:id="112"/>
    </w:p>
    <w:p w14:paraId="7AEAE972" w14:textId="3A70DB56" w:rsidR="001C6E97" w:rsidRDefault="00A70342" w:rsidP="001C6E97">
      <w:pPr>
        <w:pStyle w:val="BodyText"/>
      </w:pPr>
      <w:r>
        <w:t>There are m</w:t>
      </w:r>
      <w:r w:rsidR="001C6E97">
        <w:t xml:space="preserve">anual and </w:t>
      </w:r>
      <w:r>
        <w:t>a</w:t>
      </w:r>
      <w:r w:rsidR="001C6E97">
        <w:t xml:space="preserve">utomated processes for communication </w:t>
      </w:r>
      <w:r>
        <w:t>about</w:t>
      </w:r>
      <w:r w:rsidR="001C6E97">
        <w:t xml:space="preserve"> patient appointments. </w:t>
      </w:r>
    </w:p>
    <w:p w14:paraId="210AA783" w14:textId="11E2B162" w:rsidR="001C6E97" w:rsidRDefault="001C6E97" w:rsidP="001C6E97">
      <w:pPr>
        <w:pStyle w:val="BodyText"/>
      </w:pPr>
      <w:r w:rsidRPr="00A37B2A">
        <w:rPr>
          <w:color w:val="00B050"/>
        </w:rPr>
        <w:t>&lt;&lt;Insert Patient Communication decision support/SOP/guidance&gt;&gt;</w:t>
      </w:r>
    </w:p>
    <w:p w14:paraId="0A416AFC" w14:textId="77777777" w:rsidR="004B64C5" w:rsidRDefault="001C6E97" w:rsidP="00D42C5A">
      <w:pPr>
        <w:pStyle w:val="Heading3"/>
      </w:pPr>
      <w:bookmarkStart w:id="113" w:name="_Toc135416693"/>
      <w:bookmarkStart w:id="114" w:name="_Toc166834328"/>
      <w:r>
        <w:t>Manual Communication</w:t>
      </w:r>
      <w:bookmarkEnd w:id="113"/>
      <w:bookmarkEnd w:id="114"/>
    </w:p>
    <w:p w14:paraId="30C9120D" w14:textId="33F88B79" w:rsidR="001C6E97" w:rsidRDefault="001C6E97" w:rsidP="001C6E97">
      <w:pPr>
        <w:pStyle w:val="BodyText"/>
      </w:pPr>
      <w:r>
        <w:t>Us</w:t>
      </w:r>
      <w:r w:rsidR="00826A6B">
        <w:t>e</w:t>
      </w:r>
      <w:r>
        <w:t xml:space="preserve"> the lists and features within the system for communication needs.  </w:t>
      </w:r>
    </w:p>
    <w:p w14:paraId="2FC6EF25" w14:textId="77777777" w:rsidR="004B64C5" w:rsidRDefault="001C6E97" w:rsidP="00E92EA5">
      <w:pPr>
        <w:pStyle w:val="Heading4"/>
      </w:pPr>
      <w:r>
        <w:t>Appointment Reminder System</w:t>
      </w:r>
    </w:p>
    <w:p w14:paraId="2CC63ED0" w14:textId="610B7FF7" w:rsidR="001C6E97" w:rsidRDefault="001C6E97" w:rsidP="001C6E97">
      <w:pPr>
        <w:pStyle w:val="BodyText"/>
      </w:pPr>
      <w:r>
        <w:t>Minimize the number of no-shows and broken appointments by implementing a system to contact patients at set intervals before their scheduled appointment</w:t>
      </w:r>
      <w:r w:rsidR="00826A6B">
        <w:t>s</w:t>
      </w:r>
      <w:r>
        <w:t xml:space="preserve">. </w:t>
      </w:r>
    </w:p>
    <w:p w14:paraId="4C646CFB" w14:textId="7E2C058B" w:rsidR="001C6E97" w:rsidRPr="00826A6B" w:rsidRDefault="001C6E97">
      <w:pPr>
        <w:pStyle w:val="BodyText"/>
        <w:numPr>
          <w:ilvl w:val="0"/>
          <w:numId w:val="24"/>
        </w:numPr>
        <w:ind w:left="540"/>
      </w:pPr>
      <w:r w:rsidRPr="0046697F">
        <w:rPr>
          <w:b/>
          <w:bCs/>
        </w:rPr>
        <w:t xml:space="preserve">Appointment </w:t>
      </w:r>
      <w:r w:rsidR="00826A6B" w:rsidRPr="0046697F">
        <w:rPr>
          <w:b/>
          <w:bCs/>
        </w:rPr>
        <w:t>s</w:t>
      </w:r>
      <w:r w:rsidRPr="0046697F">
        <w:rPr>
          <w:b/>
          <w:bCs/>
        </w:rPr>
        <w:t>tatuses</w:t>
      </w:r>
      <w:r w:rsidR="00826A6B">
        <w:t xml:space="preserve"> – L</w:t>
      </w:r>
      <w:r w:rsidRPr="00826A6B">
        <w:t>abel</w:t>
      </w:r>
      <w:r w:rsidR="00826A6B">
        <w:t>s</w:t>
      </w:r>
      <w:r w:rsidRPr="00826A6B">
        <w:t xml:space="preserve"> placed on appointments to communicate non-verbally the status of reminder/confirmation efforts</w:t>
      </w:r>
      <w:r w:rsidR="00826A6B">
        <w:t xml:space="preserve"> </w:t>
      </w:r>
      <w:r w:rsidR="00826A6B" w:rsidRPr="00826A6B">
        <w:t>to all teams</w:t>
      </w:r>
      <w:r w:rsidRPr="00826A6B">
        <w:t xml:space="preserve">.  </w:t>
      </w:r>
    </w:p>
    <w:p w14:paraId="43B5B499" w14:textId="33255DA8" w:rsidR="001C6E97" w:rsidRPr="0046697F" w:rsidRDefault="0046697F">
      <w:pPr>
        <w:pStyle w:val="BodyText"/>
        <w:numPr>
          <w:ilvl w:val="0"/>
          <w:numId w:val="24"/>
        </w:numPr>
        <w:ind w:left="540"/>
      </w:pPr>
      <w:r w:rsidRPr="0046697F">
        <w:rPr>
          <w:b/>
          <w:bCs/>
        </w:rPr>
        <w:t>Due dates</w:t>
      </w:r>
      <w:r>
        <w:t xml:space="preserve"> – </w:t>
      </w:r>
      <w:r w:rsidR="001C6E97" w:rsidRPr="0046697F">
        <w:t xml:space="preserve">Treatment and </w:t>
      </w:r>
      <w:r w:rsidRPr="0046697F">
        <w:t>c</w:t>
      </w:r>
      <w:r w:rsidR="001C6E97" w:rsidRPr="0046697F">
        <w:t xml:space="preserve">ontinuing </w:t>
      </w:r>
      <w:r w:rsidRPr="0046697F">
        <w:t>c</w:t>
      </w:r>
      <w:r w:rsidR="001C6E97" w:rsidRPr="0046697F">
        <w:t xml:space="preserve">are </w:t>
      </w:r>
      <w:r w:rsidR="00826A6B" w:rsidRPr="0046697F">
        <w:t>d</w:t>
      </w:r>
      <w:r w:rsidR="001C6E97" w:rsidRPr="0046697F">
        <w:t xml:space="preserve">ue </w:t>
      </w:r>
      <w:r w:rsidR="00826A6B" w:rsidRPr="0046697F">
        <w:t>d</w:t>
      </w:r>
      <w:r w:rsidR="001C6E97" w:rsidRPr="0046697F">
        <w:t>ates</w:t>
      </w:r>
      <w:r w:rsidR="00826A6B" w:rsidRPr="0046697F">
        <w:t>.</w:t>
      </w:r>
    </w:p>
    <w:p w14:paraId="2CDE1C23" w14:textId="1194AA81" w:rsidR="001C6E97" w:rsidRDefault="001C6E97" w:rsidP="00E92EA5">
      <w:pPr>
        <w:pStyle w:val="Heading4"/>
      </w:pPr>
      <w:r>
        <w:t>Documenting Communication</w:t>
      </w:r>
    </w:p>
    <w:p w14:paraId="3CECB645" w14:textId="64C26275" w:rsidR="00826A6B" w:rsidRDefault="00826A6B" w:rsidP="00826A6B">
      <w:pPr>
        <w:pStyle w:val="BodyText"/>
      </w:pPr>
      <w:r>
        <w:t>Use the following features for documenting communication:</w:t>
      </w:r>
    </w:p>
    <w:p w14:paraId="5FEA3A49" w14:textId="79ADCFCF" w:rsidR="001C6E97" w:rsidRDefault="004B64C5" w:rsidP="004F45B6">
      <w:pPr>
        <w:pStyle w:val="BodyText"/>
        <w:numPr>
          <w:ilvl w:val="0"/>
          <w:numId w:val="150"/>
        </w:numPr>
        <w:ind w:left="540"/>
      </w:pPr>
      <w:r w:rsidRPr="0046697F">
        <w:rPr>
          <w:b/>
          <w:bCs/>
        </w:rPr>
        <w:t xml:space="preserve">Quick </w:t>
      </w:r>
      <w:r w:rsidR="001C6E97" w:rsidRPr="0046697F">
        <w:rPr>
          <w:b/>
          <w:bCs/>
        </w:rPr>
        <w:t>Letters</w:t>
      </w:r>
      <w:r w:rsidR="00826A6B">
        <w:t xml:space="preserve"> – You can generate i</w:t>
      </w:r>
      <w:r w:rsidR="001C6E97">
        <w:t>ndividual letters or forms per patient</w:t>
      </w:r>
      <w:r w:rsidR="00826A6B">
        <w:t>, such as for school or work excuses</w:t>
      </w:r>
      <w:r w:rsidR="001C6E97">
        <w:t xml:space="preserve">. </w:t>
      </w:r>
    </w:p>
    <w:p w14:paraId="37CAFEFA" w14:textId="4C14666D" w:rsidR="001C6E97" w:rsidRDefault="001C6E97" w:rsidP="004F45B6">
      <w:pPr>
        <w:pStyle w:val="BodyText"/>
        <w:numPr>
          <w:ilvl w:val="0"/>
          <w:numId w:val="150"/>
        </w:numPr>
        <w:ind w:left="540"/>
      </w:pPr>
      <w:r w:rsidRPr="0046697F">
        <w:rPr>
          <w:b/>
          <w:bCs/>
        </w:rPr>
        <w:t>Letters</w:t>
      </w:r>
      <w:r w:rsidR="00826A6B">
        <w:t xml:space="preserve"> – In Office Manager, you can perform a letter merge to generate batches of l</w:t>
      </w:r>
      <w:r>
        <w:t xml:space="preserve">etters for multiple patients in the same clinic.  </w:t>
      </w:r>
    </w:p>
    <w:p w14:paraId="2A212BE8" w14:textId="77777777" w:rsidR="004B64C5" w:rsidRDefault="001C6E97" w:rsidP="00D42C5A">
      <w:pPr>
        <w:pStyle w:val="Heading3"/>
      </w:pPr>
      <w:bookmarkStart w:id="115" w:name="_Toc135416694"/>
      <w:bookmarkStart w:id="116" w:name="_Toc166834329"/>
      <w:r>
        <w:lastRenderedPageBreak/>
        <w:t>Appointment Lists</w:t>
      </w:r>
      <w:bookmarkEnd w:id="115"/>
      <w:bookmarkEnd w:id="116"/>
    </w:p>
    <w:p w14:paraId="01A48B59" w14:textId="1D82486C" w:rsidR="001C6E97" w:rsidRDefault="001C6E97" w:rsidP="004A2A35">
      <w:pPr>
        <w:pStyle w:val="BodyText"/>
        <w:keepNext/>
        <w:keepLines/>
      </w:pPr>
      <w:r>
        <w:t>Maintain an optimal schedule utilizing the available scheduling lists and reports.</w:t>
      </w:r>
    </w:p>
    <w:p w14:paraId="22E84829" w14:textId="77777777" w:rsidR="004B64C5" w:rsidRDefault="001C6E97" w:rsidP="00E92EA5">
      <w:pPr>
        <w:pStyle w:val="Heading4"/>
      </w:pPr>
      <w:r>
        <w:t>Scheduling Assistant</w:t>
      </w:r>
    </w:p>
    <w:p w14:paraId="20829699" w14:textId="0C6F68C5" w:rsidR="001C6E97" w:rsidRDefault="001C6E97" w:rsidP="004A2A35">
      <w:pPr>
        <w:pStyle w:val="BodyText"/>
        <w:keepNext/>
        <w:keepLines/>
      </w:pPr>
      <w:r>
        <w:t xml:space="preserve">Simply and easily schedule appointments by combining the appointment managing lists into one window. </w:t>
      </w:r>
      <w:r w:rsidR="00826A6B">
        <w:t>The Scheduling Assistant i</w:t>
      </w:r>
      <w:r>
        <w:t>ncludes quick access to a patient</w:t>
      </w:r>
      <w:r w:rsidR="00826A6B">
        <w:t>’s M</w:t>
      </w:r>
      <w:r>
        <w:t xml:space="preserve">ore </w:t>
      </w:r>
      <w:r w:rsidR="00826A6B">
        <w:t>I</w:t>
      </w:r>
      <w:r>
        <w:t xml:space="preserve">nformation and </w:t>
      </w:r>
      <w:r w:rsidR="00826A6B">
        <w:t>O</w:t>
      </w:r>
      <w:r>
        <w:t xml:space="preserve">ffice </w:t>
      </w:r>
      <w:r w:rsidR="00826A6B">
        <w:t>J</w:t>
      </w:r>
      <w:r>
        <w:t xml:space="preserve">ournal to easily start the pre-visit workflow or document your contact efforts. </w:t>
      </w:r>
    </w:p>
    <w:p w14:paraId="4CD82713" w14:textId="5AC83596" w:rsidR="001C6E97" w:rsidRPr="00826A6B" w:rsidRDefault="001C6E97" w:rsidP="004A2A35">
      <w:pPr>
        <w:pStyle w:val="BodyText"/>
        <w:keepNext/>
        <w:keepLines/>
        <w:numPr>
          <w:ilvl w:val="0"/>
          <w:numId w:val="25"/>
        </w:numPr>
        <w:ind w:left="540"/>
      </w:pPr>
      <w:r w:rsidRPr="0046697F">
        <w:rPr>
          <w:b/>
          <w:bCs/>
        </w:rPr>
        <w:t xml:space="preserve">ASAP </w:t>
      </w:r>
      <w:r w:rsidR="00826A6B" w:rsidRPr="0046697F">
        <w:rPr>
          <w:b/>
          <w:bCs/>
        </w:rPr>
        <w:t>L</w:t>
      </w:r>
      <w:r w:rsidRPr="0046697F">
        <w:rPr>
          <w:b/>
          <w:bCs/>
        </w:rPr>
        <w:t>ist</w:t>
      </w:r>
      <w:r w:rsidR="00826A6B">
        <w:t xml:space="preserve"> – </w:t>
      </w:r>
      <w:r w:rsidR="00F62955">
        <w:t>This list contains a</w:t>
      </w:r>
      <w:r w:rsidRPr="00826A6B">
        <w:t xml:space="preserve">ppointments </w:t>
      </w:r>
      <w:r w:rsidR="00F62955">
        <w:t>for</w:t>
      </w:r>
      <w:r w:rsidRPr="00826A6B">
        <w:t xml:space="preserve"> </w:t>
      </w:r>
      <w:r w:rsidR="00F62955">
        <w:t>patients who want</w:t>
      </w:r>
      <w:r w:rsidRPr="00826A6B">
        <w:t xml:space="preserve"> to come in sooner </w:t>
      </w:r>
      <w:r w:rsidR="00F62955">
        <w:t>if a time slot opens up. Use this list to help you fill</w:t>
      </w:r>
      <w:r w:rsidRPr="00826A6B">
        <w:t xml:space="preserve"> last</w:t>
      </w:r>
      <w:r w:rsidR="00F62955">
        <w:t>-</w:t>
      </w:r>
      <w:r w:rsidRPr="00826A6B">
        <w:t xml:space="preserve">minute openings in your schedule.  </w:t>
      </w:r>
    </w:p>
    <w:p w14:paraId="1B5FF1CA" w14:textId="3A7C3818" w:rsidR="001C6E97" w:rsidRPr="00826A6B" w:rsidRDefault="001C6E97">
      <w:pPr>
        <w:pStyle w:val="BodyText"/>
        <w:numPr>
          <w:ilvl w:val="0"/>
          <w:numId w:val="25"/>
        </w:numPr>
        <w:ind w:left="540"/>
      </w:pPr>
      <w:r w:rsidRPr="0046697F">
        <w:rPr>
          <w:b/>
          <w:bCs/>
        </w:rPr>
        <w:t xml:space="preserve">Unscheduled </w:t>
      </w:r>
      <w:r w:rsidR="00826A6B" w:rsidRPr="0046697F">
        <w:rPr>
          <w:b/>
          <w:bCs/>
        </w:rPr>
        <w:t>L</w:t>
      </w:r>
      <w:r w:rsidRPr="0046697F">
        <w:rPr>
          <w:b/>
          <w:bCs/>
        </w:rPr>
        <w:t>ist</w:t>
      </w:r>
      <w:r w:rsidR="00826A6B">
        <w:t xml:space="preserve"> – </w:t>
      </w:r>
      <w:r w:rsidR="00F62955">
        <w:t>This list contains b</w:t>
      </w:r>
      <w:r w:rsidRPr="00826A6B">
        <w:t xml:space="preserve">roken and </w:t>
      </w:r>
      <w:r w:rsidR="00F62955">
        <w:t>w</w:t>
      </w:r>
      <w:r w:rsidRPr="00826A6B">
        <w:t>ait/</w:t>
      </w:r>
      <w:r w:rsidR="00F62955">
        <w:t>w</w:t>
      </w:r>
      <w:r w:rsidRPr="00826A6B">
        <w:t xml:space="preserve">ill </w:t>
      </w:r>
      <w:r w:rsidR="00F62955">
        <w:t>c</w:t>
      </w:r>
      <w:r w:rsidRPr="00826A6B">
        <w:t xml:space="preserve">all </w:t>
      </w:r>
      <w:r w:rsidR="00F62955">
        <w:t>appointments. Use this list to help you keep</w:t>
      </w:r>
      <w:r w:rsidRPr="00826A6B">
        <w:t xml:space="preserve"> patients active in their care and regain balance in your schedule.  </w:t>
      </w:r>
    </w:p>
    <w:p w14:paraId="4ACB8123" w14:textId="3516DBFC" w:rsidR="001C6E97" w:rsidRPr="00826A6B" w:rsidRDefault="001C6E97">
      <w:pPr>
        <w:pStyle w:val="BodyText"/>
        <w:numPr>
          <w:ilvl w:val="0"/>
          <w:numId w:val="25"/>
        </w:numPr>
        <w:ind w:left="540"/>
      </w:pPr>
      <w:r w:rsidRPr="0046697F">
        <w:rPr>
          <w:b/>
          <w:bCs/>
        </w:rPr>
        <w:t>Continuing Care List</w:t>
      </w:r>
      <w:r w:rsidR="00826A6B">
        <w:t xml:space="preserve"> – </w:t>
      </w:r>
      <w:r w:rsidR="00F62955">
        <w:t xml:space="preserve">This list contains patients according to the specified continuing care </w:t>
      </w:r>
      <w:r w:rsidRPr="00826A6B">
        <w:t>due dates</w:t>
      </w:r>
      <w:r w:rsidR="00F62955">
        <w:t xml:space="preserve"> and </w:t>
      </w:r>
      <w:r w:rsidRPr="00826A6B">
        <w:t>type</w:t>
      </w:r>
      <w:r w:rsidR="00F62955">
        <w:t>s</w:t>
      </w:r>
      <w:r w:rsidRPr="00826A6B">
        <w:t xml:space="preserve"> and other parameters. </w:t>
      </w:r>
    </w:p>
    <w:p w14:paraId="7C2602BD" w14:textId="1106C716" w:rsidR="001C6E97" w:rsidRPr="00826A6B" w:rsidRDefault="001C6E97">
      <w:pPr>
        <w:pStyle w:val="BodyText"/>
        <w:numPr>
          <w:ilvl w:val="0"/>
          <w:numId w:val="25"/>
        </w:numPr>
        <w:ind w:left="540"/>
      </w:pPr>
      <w:r w:rsidRPr="0046697F">
        <w:rPr>
          <w:b/>
          <w:bCs/>
        </w:rPr>
        <w:t>Treatment Request Manager</w:t>
      </w:r>
      <w:r w:rsidRPr="00826A6B">
        <w:t xml:space="preserve"> – </w:t>
      </w:r>
      <w:r w:rsidR="00F62955">
        <w:t>This list contains</w:t>
      </w:r>
      <w:r w:rsidRPr="00826A6B">
        <w:t xml:space="preserve"> requests for treatment</w:t>
      </w:r>
      <w:r w:rsidR="008174AD">
        <w:t xml:space="preserve"> to be scheduled</w:t>
      </w:r>
      <w:r w:rsidRPr="00826A6B">
        <w:t>.</w:t>
      </w:r>
    </w:p>
    <w:p w14:paraId="4646DEEC" w14:textId="77777777" w:rsidR="004B64C5" w:rsidRDefault="001C6E97" w:rsidP="00E92EA5">
      <w:pPr>
        <w:pStyle w:val="Heading4"/>
      </w:pPr>
      <w:r>
        <w:t>Patient List</w:t>
      </w:r>
    </w:p>
    <w:p w14:paraId="5944037F" w14:textId="3C51C18A" w:rsidR="001C6E97" w:rsidRDefault="001C6E97" w:rsidP="001C6E97">
      <w:pPr>
        <w:pStyle w:val="BodyText"/>
      </w:pPr>
      <w:r>
        <w:t xml:space="preserve">Generate custom lists for focused strategies </w:t>
      </w:r>
      <w:r w:rsidR="00826A6B">
        <w:t>to fill</w:t>
      </w:r>
      <w:r>
        <w:t xml:space="preserve"> your schedule. </w:t>
      </w:r>
    </w:p>
    <w:p w14:paraId="2146FC46" w14:textId="0CD5E4DA" w:rsidR="001C6E97" w:rsidRDefault="008174AD">
      <w:pPr>
        <w:pStyle w:val="BodyText"/>
        <w:numPr>
          <w:ilvl w:val="0"/>
          <w:numId w:val="26"/>
        </w:numPr>
        <w:ind w:left="540"/>
      </w:pPr>
      <w:r>
        <w:t>You can generate a p</w:t>
      </w:r>
      <w:r w:rsidR="001C6E97">
        <w:t>atient list</w:t>
      </w:r>
      <w:r>
        <w:t xml:space="preserve"> once for a unique need</w:t>
      </w:r>
      <w:r w:rsidR="001C6E97">
        <w:t xml:space="preserve">. When </w:t>
      </w:r>
      <w:r>
        <w:t>setting up</w:t>
      </w:r>
      <w:r w:rsidR="001C6E97">
        <w:t xml:space="preserve"> the patient list, define the filters</w:t>
      </w:r>
      <w:r>
        <w:t xml:space="preserve"> to narrow down the list of patients,</w:t>
      </w:r>
      <w:r w:rsidR="001C6E97">
        <w:t xml:space="preserve"> and then identify the information </w:t>
      </w:r>
      <w:r>
        <w:t xml:space="preserve">that </w:t>
      </w:r>
      <w:r w:rsidR="001C6E97">
        <w:t xml:space="preserve">you want to see for </w:t>
      </w:r>
      <w:r>
        <w:t>each patient in the list</w:t>
      </w:r>
      <w:r w:rsidR="001C6E97">
        <w:t xml:space="preserve">. </w:t>
      </w:r>
    </w:p>
    <w:p w14:paraId="6E3F3167" w14:textId="6293CAB7" w:rsidR="001C6E97" w:rsidRDefault="008174AD">
      <w:pPr>
        <w:pStyle w:val="BodyText"/>
        <w:numPr>
          <w:ilvl w:val="0"/>
          <w:numId w:val="26"/>
        </w:numPr>
        <w:ind w:left="540"/>
      </w:pPr>
      <w:r>
        <w:t>You can store the criteria for a p</w:t>
      </w:r>
      <w:r w:rsidR="001C6E97">
        <w:t xml:space="preserve">atient list as a template if you want to </w:t>
      </w:r>
      <w:r>
        <w:t>generate that list</w:t>
      </w:r>
      <w:r w:rsidR="001C6E97">
        <w:t xml:space="preserve"> as a standard report. </w:t>
      </w:r>
      <w:r>
        <w:t xml:space="preserve">To add a template, click </w:t>
      </w:r>
      <w:r w:rsidRPr="00DA41D3">
        <w:rPr>
          <w:b/>
          <w:bCs/>
        </w:rPr>
        <w:t>Add</w:t>
      </w:r>
      <w:r>
        <w:t xml:space="preserve">, enter a </w:t>
      </w:r>
      <w:r w:rsidRPr="00DA41D3">
        <w:rPr>
          <w:b/>
          <w:bCs/>
        </w:rPr>
        <w:t>List name</w:t>
      </w:r>
      <w:r>
        <w:t xml:space="preserve">, set up </w:t>
      </w:r>
      <w:r w:rsidR="001C6E97">
        <w:t xml:space="preserve">the </w:t>
      </w:r>
      <w:r>
        <w:t xml:space="preserve">necessary </w:t>
      </w:r>
      <w:r w:rsidR="001C6E97">
        <w:t>filter</w:t>
      </w:r>
      <w:r>
        <w:t>s</w:t>
      </w:r>
      <w:r w:rsidR="001C6E97">
        <w:t xml:space="preserve"> and data fields</w:t>
      </w:r>
      <w:r>
        <w:t xml:space="preserve">, click the </w:t>
      </w:r>
      <w:r w:rsidRPr="00DA41D3">
        <w:rPr>
          <w:b/>
          <w:bCs/>
        </w:rPr>
        <w:t>Run</w:t>
      </w:r>
      <w:r>
        <w:t xml:space="preserve"> button, click </w:t>
      </w:r>
      <w:r w:rsidRPr="00DA41D3">
        <w:rPr>
          <w:b/>
          <w:bCs/>
        </w:rPr>
        <w:t>Save</w:t>
      </w:r>
      <w:r>
        <w:t xml:space="preserve">, and then click </w:t>
      </w:r>
      <w:r w:rsidRPr="00DA41D3">
        <w:rPr>
          <w:b/>
          <w:bCs/>
        </w:rPr>
        <w:t>OK</w:t>
      </w:r>
      <w:r>
        <w:t>.</w:t>
      </w:r>
      <w:r w:rsidR="00DA41D3">
        <w:t xml:space="preserve"> </w:t>
      </w:r>
      <w:r w:rsidR="001C6E97">
        <w:t xml:space="preserve">To </w:t>
      </w:r>
      <w:r w:rsidR="00DA41D3">
        <w:t>generate a patient</w:t>
      </w:r>
      <w:r w:rsidR="001C6E97">
        <w:t xml:space="preserve"> list </w:t>
      </w:r>
      <w:r w:rsidR="00DA41D3">
        <w:t xml:space="preserve">in the future using that saved </w:t>
      </w:r>
      <w:r w:rsidR="001C6E97">
        <w:t xml:space="preserve">template, </w:t>
      </w:r>
      <w:r w:rsidR="00DA41D3">
        <w:t xml:space="preserve">select that template, and then click </w:t>
      </w:r>
      <w:r w:rsidR="00DA41D3" w:rsidRPr="00DA41D3">
        <w:rPr>
          <w:b/>
          <w:bCs/>
        </w:rPr>
        <w:t>Run</w:t>
      </w:r>
      <w:r w:rsidR="001C6E97">
        <w:t>.</w:t>
      </w:r>
    </w:p>
    <w:p w14:paraId="788249F4" w14:textId="77777777" w:rsidR="004B64C5" w:rsidRDefault="001C6E97" w:rsidP="00D42C5A">
      <w:pPr>
        <w:pStyle w:val="Heading3"/>
      </w:pPr>
      <w:bookmarkStart w:id="117" w:name="_Toc135416695"/>
      <w:bookmarkStart w:id="118" w:name="_Toc166834330"/>
      <w:r>
        <w:t>Automated Campaigns</w:t>
      </w:r>
      <w:bookmarkEnd w:id="117"/>
      <w:bookmarkEnd w:id="118"/>
    </w:p>
    <w:p w14:paraId="37E57017" w14:textId="096F17F0" w:rsidR="003C7783" w:rsidRDefault="001C6E97" w:rsidP="00DA41D3">
      <w:pPr>
        <w:pStyle w:val="BodyText"/>
        <w:sectPr w:rsidR="003C7783" w:rsidSect="00C616BD">
          <w:pgSz w:w="12240" w:h="15840"/>
          <w:pgMar w:top="1440" w:right="1440" w:bottom="1440" w:left="1440" w:header="360" w:footer="360" w:gutter="0"/>
          <w:cols w:space="720"/>
          <w:docGrid w:linePitch="299"/>
        </w:sectPr>
      </w:pPr>
      <w:r>
        <w:t>Dentrix Enterprise works with communication systems, such as Demand Force. This arrangement allow</w:t>
      </w:r>
      <w:r w:rsidR="00DA41D3">
        <w:t>s</w:t>
      </w:r>
      <w:r>
        <w:t xml:space="preserve"> for automated communication with the patients in your system and updating appointment statuses. Future development will include the ability to fully integrate with </w:t>
      </w:r>
      <w:r w:rsidR="00DA41D3">
        <w:t>P</w:t>
      </w:r>
      <w:r>
        <w:t xml:space="preserve">atient </w:t>
      </w:r>
      <w:r w:rsidR="00DA41D3">
        <w:t>E</w:t>
      </w:r>
      <w:r>
        <w:t>ngage products.</w:t>
      </w:r>
    </w:p>
    <w:p w14:paraId="75694BE4" w14:textId="17CCDFB1" w:rsidR="00B629CF" w:rsidRDefault="003C7783" w:rsidP="003C7783">
      <w:pPr>
        <w:pStyle w:val="Heading1"/>
      </w:pPr>
      <w:bookmarkStart w:id="119" w:name="_Toc135416594"/>
      <w:bookmarkStart w:id="120" w:name="_Toc135416696"/>
      <w:bookmarkStart w:id="121" w:name="_Toc166834331"/>
      <w:r>
        <w:lastRenderedPageBreak/>
        <w:t>Patient Records Management</w:t>
      </w:r>
      <w:bookmarkEnd w:id="119"/>
      <w:bookmarkEnd w:id="120"/>
      <w:bookmarkEnd w:id="121"/>
    </w:p>
    <w:p w14:paraId="0266A9EF" w14:textId="707F02FA" w:rsidR="003C7783" w:rsidRPr="003C7783" w:rsidRDefault="00EE524E" w:rsidP="00A37B2A">
      <w:pPr>
        <w:pStyle w:val="BodyText"/>
      </w:pPr>
      <w:r>
        <w:rPr>
          <w:noProof/>
        </w:rPr>
        <w:drawing>
          <wp:anchor distT="0" distB="0" distL="0" distR="91440" simplePos="0" relativeHeight="251734020" behindDoc="0" locked="0" layoutInCell="1" allowOverlap="1" wp14:anchorId="59BE943A" wp14:editId="269DFF11">
            <wp:simplePos x="0" y="0"/>
            <wp:positionH relativeFrom="column">
              <wp:posOffset>-458470</wp:posOffset>
            </wp:positionH>
            <wp:positionV relativeFrom="paragraph">
              <wp:posOffset>503574</wp:posOffset>
            </wp:positionV>
            <wp:extent cx="367647" cy="420624"/>
            <wp:effectExtent l="0" t="0" r="0" b="0"/>
            <wp:wrapTight wrapText="right">
              <wp:wrapPolygon edited="0">
                <wp:start x="0" y="0"/>
                <wp:lineTo x="0" y="20556"/>
                <wp:lineTo x="20180" y="20556"/>
                <wp:lineTo x="20180" y="0"/>
                <wp:lineTo x="0" y="0"/>
              </wp:wrapPolygon>
            </wp:wrapTight>
            <wp:docPr id="256502699"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647" cy="420624"/>
                    </a:xfrm>
                    <a:prstGeom prst="rect">
                      <a:avLst/>
                    </a:prstGeom>
                  </pic:spPr>
                </pic:pic>
              </a:graphicData>
            </a:graphic>
            <wp14:sizeRelH relativeFrom="margin">
              <wp14:pctWidth>0</wp14:pctWidth>
            </wp14:sizeRelH>
            <wp14:sizeRelV relativeFrom="margin">
              <wp14:pctHeight>0</wp14:pctHeight>
            </wp14:sizeRelV>
          </wp:anchor>
        </w:drawing>
      </w:r>
      <w:r w:rsidR="007F563D">
        <w:t>Managing patient records</w:t>
      </w:r>
      <w:r w:rsidR="003C7783" w:rsidRPr="003C7783">
        <w:t xml:space="preserve"> is an organizational function for </w:t>
      </w:r>
      <w:r w:rsidR="007F563D">
        <w:t>creating</w:t>
      </w:r>
      <w:r w:rsidR="003C7783" w:rsidRPr="003C7783">
        <w:t>, maint</w:t>
      </w:r>
      <w:r w:rsidR="007F563D">
        <w:t>aining</w:t>
      </w:r>
      <w:r w:rsidR="003C7783" w:rsidRPr="003C7783">
        <w:t>, stor</w:t>
      </w:r>
      <w:r w:rsidR="007F563D">
        <w:t>ing</w:t>
      </w:r>
      <w:r w:rsidR="003C7783" w:rsidRPr="003C7783">
        <w:t>, and preserv</w:t>
      </w:r>
      <w:r w:rsidR="007F563D">
        <w:t>ing</w:t>
      </w:r>
      <w:r w:rsidR="003C7783" w:rsidRPr="003C7783">
        <w:t xml:space="preserve"> administrative patient records. The electronic dental record (EDR) begins</w:t>
      </w:r>
      <w:r w:rsidR="007F563D">
        <w:t xml:space="preserve"> with the </w:t>
      </w:r>
      <w:r w:rsidR="007F563D" w:rsidRPr="003C7783">
        <w:t>patient record</w:t>
      </w:r>
      <w:r w:rsidR="007F563D">
        <w:t xml:space="preserve"> where you enter</w:t>
      </w:r>
      <w:r w:rsidR="003C7783" w:rsidRPr="003C7783">
        <w:t xml:space="preserve"> </w:t>
      </w:r>
      <w:r w:rsidR="007F563D">
        <w:t>p</w:t>
      </w:r>
      <w:r w:rsidR="003C7783" w:rsidRPr="003C7783">
        <w:t xml:space="preserve">atient and </w:t>
      </w:r>
      <w:r w:rsidR="007F563D">
        <w:t>f</w:t>
      </w:r>
      <w:r w:rsidR="003C7783" w:rsidRPr="003C7783">
        <w:t xml:space="preserve">amily demographics.  </w:t>
      </w:r>
    </w:p>
    <w:p w14:paraId="3791DE49" w14:textId="3D7945FE" w:rsidR="003C7783" w:rsidRPr="007F563D" w:rsidRDefault="007F563D" w:rsidP="00B42C69">
      <w:pPr>
        <w:pStyle w:val="BodyText"/>
        <w:rPr>
          <w:i/>
          <w:iCs/>
        </w:rPr>
      </w:pPr>
      <w:r w:rsidRPr="007F563D">
        <w:rPr>
          <w:b/>
          <w:bCs/>
          <w:i/>
          <w:iCs/>
        </w:rPr>
        <w:t>Note</w:t>
      </w:r>
      <w:r w:rsidRPr="007F563D">
        <w:rPr>
          <w:i/>
          <w:iCs/>
        </w:rPr>
        <w:t xml:space="preserve">: </w:t>
      </w:r>
      <w:r w:rsidR="003C7783" w:rsidRPr="007F563D">
        <w:rPr>
          <w:i/>
          <w:iCs/>
        </w:rPr>
        <w:t>Check with your state</w:t>
      </w:r>
      <w:r w:rsidR="007F2E58">
        <w:rPr>
          <w:i/>
          <w:iCs/>
        </w:rPr>
        <w:t>’s</w:t>
      </w:r>
      <w:r w:rsidR="003C7783" w:rsidRPr="007F563D">
        <w:rPr>
          <w:i/>
          <w:iCs/>
        </w:rPr>
        <w:t xml:space="preserve"> dental society or board of dentistry for information on recordkeeping requirements in your state.</w:t>
      </w:r>
    </w:p>
    <w:p w14:paraId="720973A8" w14:textId="16635871" w:rsidR="003C7783" w:rsidRPr="004267C0" w:rsidRDefault="003C7783" w:rsidP="004F45B6">
      <w:pPr>
        <w:pStyle w:val="Heading2"/>
        <w:numPr>
          <w:ilvl w:val="0"/>
          <w:numId w:val="29"/>
        </w:numPr>
        <w:rPr>
          <w:lang w:val="en"/>
        </w:rPr>
      </w:pPr>
      <w:bookmarkStart w:id="122" w:name="_Toc135416697"/>
      <w:bookmarkStart w:id="123" w:name="_Toc166834332"/>
      <w:r w:rsidRPr="004267C0">
        <w:rPr>
          <w:lang w:val="en"/>
        </w:rPr>
        <w:t>Patient Forms</w:t>
      </w:r>
      <w:bookmarkEnd w:id="122"/>
      <w:bookmarkEnd w:id="123"/>
    </w:p>
    <w:p w14:paraId="6FA6DC67" w14:textId="0AFFC078" w:rsidR="003C7783" w:rsidRPr="003C7783" w:rsidRDefault="00BB0734" w:rsidP="008A0FF3">
      <w:pPr>
        <w:pStyle w:val="BodyText"/>
        <w:rPr>
          <w:lang w:val="en"/>
        </w:rPr>
      </w:pPr>
      <w:r>
        <w:rPr>
          <w:noProof/>
        </w:rPr>
        <w:drawing>
          <wp:anchor distT="0" distB="0" distL="0" distR="91440" simplePos="0" relativeHeight="251713540" behindDoc="1" locked="0" layoutInCell="1" allowOverlap="1" wp14:anchorId="733987CE" wp14:editId="6DF0DDA3">
            <wp:simplePos x="0" y="0"/>
            <wp:positionH relativeFrom="column">
              <wp:posOffset>-457200</wp:posOffset>
            </wp:positionH>
            <wp:positionV relativeFrom="paragraph">
              <wp:posOffset>229516</wp:posOffset>
            </wp:positionV>
            <wp:extent cx="365856" cy="484632"/>
            <wp:effectExtent l="0" t="0" r="0" b="0"/>
            <wp:wrapTight wrapText="right">
              <wp:wrapPolygon edited="0">
                <wp:start x="0" y="0"/>
                <wp:lineTo x="0" y="20383"/>
                <wp:lineTo x="20250" y="20383"/>
                <wp:lineTo x="20250" y="0"/>
                <wp:lineTo x="0" y="0"/>
              </wp:wrapPolygon>
            </wp:wrapTight>
            <wp:docPr id="940679447"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7F563D">
        <w:rPr>
          <w:lang w:val="en"/>
        </w:rPr>
        <w:t>You can use p</w:t>
      </w:r>
      <w:r w:rsidR="003C7783" w:rsidRPr="003C7783">
        <w:rPr>
          <w:lang w:val="en"/>
        </w:rPr>
        <w:t xml:space="preserve">atient forms </w:t>
      </w:r>
      <w:r w:rsidR="007F563D">
        <w:rPr>
          <w:lang w:val="en"/>
        </w:rPr>
        <w:t xml:space="preserve">to record </w:t>
      </w:r>
      <w:r w:rsidR="00323063">
        <w:rPr>
          <w:lang w:val="en"/>
        </w:rPr>
        <w:t xml:space="preserve">various types of </w:t>
      </w:r>
      <w:r w:rsidR="007F563D">
        <w:rPr>
          <w:lang w:val="en"/>
        </w:rPr>
        <w:t>data</w:t>
      </w:r>
      <w:r w:rsidR="00323063">
        <w:rPr>
          <w:lang w:val="en"/>
        </w:rPr>
        <w:t>,</w:t>
      </w:r>
      <w:r w:rsidR="007F563D">
        <w:rPr>
          <w:lang w:val="en"/>
        </w:rPr>
        <w:t xml:space="preserve"> such as</w:t>
      </w:r>
      <w:r w:rsidR="003C7783" w:rsidRPr="003C7783">
        <w:rPr>
          <w:lang w:val="en"/>
        </w:rPr>
        <w:t xml:space="preserve"> patient information, medical history, billing information, and consent</w:t>
      </w:r>
      <w:r w:rsidR="007F563D">
        <w:rPr>
          <w:lang w:val="en"/>
        </w:rPr>
        <w:t xml:space="preserve"> form</w:t>
      </w:r>
      <w:r w:rsidR="003C7783" w:rsidRPr="003C7783">
        <w:rPr>
          <w:lang w:val="en"/>
        </w:rPr>
        <w:t xml:space="preserve">s.  </w:t>
      </w:r>
    </w:p>
    <w:p w14:paraId="6F625CAB" w14:textId="42351F54" w:rsidR="003C7783" w:rsidRPr="003C7783" w:rsidRDefault="003C7783" w:rsidP="00A37B2A">
      <w:pPr>
        <w:pStyle w:val="BodyText"/>
      </w:pPr>
      <w:r w:rsidRPr="00A37B2A">
        <w:rPr>
          <w:color w:val="00B050"/>
        </w:rPr>
        <w:t>&lt;&lt;Insert Patient Forms decision support/SOP/guidance&gt;&gt;</w:t>
      </w:r>
    </w:p>
    <w:p w14:paraId="4AE018F8" w14:textId="0BCF89AC" w:rsidR="008A0FF3" w:rsidRDefault="003C7783" w:rsidP="00D42C5A">
      <w:pPr>
        <w:pStyle w:val="Heading3"/>
        <w:rPr>
          <w:lang w:val="en"/>
        </w:rPr>
      </w:pPr>
      <w:bookmarkStart w:id="124" w:name="_Toc166834333"/>
      <w:r w:rsidRPr="003C7783">
        <w:rPr>
          <w:lang w:val="en"/>
        </w:rPr>
        <w:t>Quick Letters</w:t>
      </w:r>
      <w:bookmarkEnd w:id="124"/>
    </w:p>
    <w:p w14:paraId="66308A20" w14:textId="33E145C8" w:rsidR="003C7783" w:rsidRPr="003C7783" w:rsidRDefault="00ED39DE" w:rsidP="008A0FF3">
      <w:pPr>
        <w:pStyle w:val="BodyText"/>
        <w:rPr>
          <w:lang w:val="en"/>
        </w:rPr>
      </w:pPr>
      <w:r>
        <w:rPr>
          <w:noProof/>
        </w:rPr>
        <w:drawing>
          <wp:anchor distT="0" distB="0" distL="114300" distR="114300" simplePos="0" relativeHeight="252028932" behindDoc="0" locked="0" layoutInCell="1" allowOverlap="1" wp14:anchorId="2CE2FE6B" wp14:editId="0AFD6343">
            <wp:simplePos x="0" y="0"/>
            <wp:positionH relativeFrom="column">
              <wp:posOffset>5486400</wp:posOffset>
            </wp:positionH>
            <wp:positionV relativeFrom="paragraph">
              <wp:posOffset>0</wp:posOffset>
            </wp:positionV>
            <wp:extent cx="365760" cy="365760"/>
            <wp:effectExtent l="0" t="0" r="0" b="0"/>
            <wp:wrapTight wrapText="bothSides">
              <wp:wrapPolygon edited="0">
                <wp:start x="0" y="0"/>
                <wp:lineTo x="0" y="20250"/>
                <wp:lineTo x="20250" y="20250"/>
                <wp:lineTo x="20250" y="0"/>
                <wp:lineTo x="0" y="0"/>
              </wp:wrapPolygon>
            </wp:wrapTight>
            <wp:docPr id="52189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2351" name=""/>
                    <pic:cNvPicPr/>
                  </pic:nvPicPr>
                  <pic:blipFill>
                    <a:blip r:embed="rId48"/>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E31134">
        <w:rPr>
          <w:lang w:val="en"/>
        </w:rPr>
        <w:t>With t</w:t>
      </w:r>
      <w:r w:rsidR="003C7783" w:rsidRPr="003C7783">
        <w:rPr>
          <w:lang w:val="en"/>
        </w:rPr>
        <w:t>hese template letters and forms</w:t>
      </w:r>
      <w:r w:rsidR="00E31134">
        <w:rPr>
          <w:lang w:val="en"/>
        </w:rPr>
        <w:t>, you can</w:t>
      </w:r>
      <w:r w:rsidR="003C7783" w:rsidRPr="003C7783">
        <w:rPr>
          <w:lang w:val="en"/>
        </w:rPr>
        <w:t xml:space="preserve"> use </w:t>
      </w:r>
      <w:r w:rsidR="00910C63">
        <w:rPr>
          <w:lang w:val="en"/>
        </w:rPr>
        <w:t xml:space="preserve">the </w:t>
      </w:r>
      <w:r w:rsidR="003C7783" w:rsidRPr="003C7783">
        <w:rPr>
          <w:lang w:val="en"/>
        </w:rPr>
        <w:t xml:space="preserve">Microsoft Word letter merge </w:t>
      </w:r>
      <w:r w:rsidR="00910C63">
        <w:rPr>
          <w:lang w:val="en"/>
        </w:rPr>
        <w:t>features to insert patient information from</w:t>
      </w:r>
      <w:r w:rsidR="003C7783" w:rsidRPr="003C7783">
        <w:rPr>
          <w:lang w:val="en"/>
        </w:rPr>
        <w:t xml:space="preserve"> Dentrix Enterprise</w:t>
      </w:r>
      <w:r w:rsidR="00910C63">
        <w:rPr>
          <w:lang w:val="en"/>
        </w:rPr>
        <w:t xml:space="preserve"> </w:t>
      </w:r>
      <w:r w:rsidR="003C7783" w:rsidRPr="003C7783">
        <w:rPr>
          <w:lang w:val="en"/>
        </w:rPr>
        <w:t xml:space="preserve">into a </w:t>
      </w:r>
      <w:r w:rsidR="00910C63">
        <w:rPr>
          <w:lang w:val="en"/>
        </w:rPr>
        <w:t>template</w:t>
      </w:r>
      <w:r w:rsidR="003C7783" w:rsidRPr="003C7783">
        <w:rPr>
          <w:lang w:val="en"/>
        </w:rPr>
        <w:t xml:space="preserve">. </w:t>
      </w:r>
      <w:r w:rsidR="00910C63">
        <w:rPr>
          <w:lang w:val="en"/>
        </w:rPr>
        <w:t xml:space="preserve">Use </w:t>
      </w:r>
      <w:r w:rsidR="003C7783" w:rsidRPr="003C7783">
        <w:rPr>
          <w:lang w:val="en"/>
        </w:rPr>
        <w:t xml:space="preserve">Quick </w:t>
      </w:r>
      <w:r w:rsidR="00910C63">
        <w:rPr>
          <w:lang w:val="en"/>
        </w:rPr>
        <w:t>L</w:t>
      </w:r>
      <w:r w:rsidR="003C7783" w:rsidRPr="003C7783">
        <w:rPr>
          <w:lang w:val="en"/>
        </w:rPr>
        <w:t xml:space="preserve">etters </w:t>
      </w:r>
      <w:r w:rsidR="00910C63">
        <w:rPr>
          <w:lang w:val="en"/>
        </w:rPr>
        <w:t>to quickly populate</w:t>
      </w:r>
      <w:r w:rsidR="003C7783" w:rsidRPr="003C7783">
        <w:rPr>
          <w:lang w:val="en"/>
        </w:rPr>
        <w:t xml:space="preserve"> a patient form.  </w:t>
      </w:r>
    </w:p>
    <w:p w14:paraId="6F2FEA4E" w14:textId="1094D259" w:rsidR="003C7783" w:rsidRPr="00910C63" w:rsidRDefault="00EE524E" w:rsidP="00B42C69">
      <w:pPr>
        <w:pStyle w:val="BodyText"/>
        <w:rPr>
          <w:i/>
          <w:iCs/>
        </w:rPr>
      </w:pPr>
      <w:r>
        <w:rPr>
          <w:noProof/>
        </w:rPr>
        <w:drawing>
          <wp:anchor distT="0" distB="0" distL="0" distR="91440" simplePos="0" relativeHeight="251715588" behindDoc="1" locked="0" layoutInCell="1" allowOverlap="1" wp14:anchorId="38565C93" wp14:editId="5135B6AA">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6165295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910C63">
        <w:rPr>
          <w:b/>
          <w:bCs/>
          <w:i/>
          <w:iCs/>
        </w:rPr>
        <w:t>Workflow Insight</w:t>
      </w:r>
      <w:r w:rsidR="003C7783" w:rsidRPr="00910C63">
        <w:rPr>
          <w:i/>
          <w:iCs/>
        </w:rPr>
        <w:t xml:space="preserve">: </w:t>
      </w:r>
      <w:r w:rsidR="00910C63" w:rsidRPr="00910C63">
        <w:rPr>
          <w:i/>
          <w:iCs/>
        </w:rPr>
        <w:t>Use</w:t>
      </w:r>
      <w:r w:rsidR="003C7783" w:rsidRPr="00910C63">
        <w:rPr>
          <w:i/>
          <w:iCs/>
        </w:rPr>
        <w:t xml:space="preserve"> Quick Letters for correspondence</w:t>
      </w:r>
      <w:r w:rsidR="00910C63" w:rsidRPr="00910C63">
        <w:rPr>
          <w:i/>
          <w:iCs/>
        </w:rPr>
        <w:t>,</w:t>
      </w:r>
      <w:r w:rsidR="003C7783" w:rsidRPr="00910C63">
        <w:rPr>
          <w:i/>
          <w:iCs/>
        </w:rPr>
        <w:t xml:space="preserve"> such as school excuse forms and revenue cycle letters. </w:t>
      </w:r>
      <w:r w:rsidR="00910C63" w:rsidRPr="00910C63">
        <w:rPr>
          <w:i/>
          <w:iCs/>
        </w:rPr>
        <w:t xml:space="preserve">Generating a Quick Letter automatically adds an </w:t>
      </w:r>
      <w:r w:rsidR="003C7783" w:rsidRPr="00910C63">
        <w:rPr>
          <w:i/>
          <w:iCs/>
        </w:rPr>
        <w:t xml:space="preserve">Office Journal </w:t>
      </w:r>
      <w:r w:rsidR="00910C63" w:rsidRPr="00910C63">
        <w:rPr>
          <w:i/>
          <w:iCs/>
        </w:rPr>
        <w:t>entry that includes the date, time, and type of the letter</w:t>
      </w:r>
      <w:r w:rsidR="003C7783" w:rsidRPr="00910C63">
        <w:rPr>
          <w:i/>
          <w:iCs/>
        </w:rPr>
        <w:t>.</w:t>
      </w:r>
    </w:p>
    <w:p w14:paraId="15F1BC1C" w14:textId="77777777" w:rsidR="008A0FF3" w:rsidRDefault="003C7783" w:rsidP="00D42C5A">
      <w:pPr>
        <w:pStyle w:val="Heading3"/>
        <w:rPr>
          <w:lang w:val="en"/>
        </w:rPr>
      </w:pPr>
      <w:bookmarkStart w:id="125" w:name="_Toc166834334"/>
      <w:r w:rsidRPr="003C7783">
        <w:rPr>
          <w:lang w:val="en"/>
        </w:rPr>
        <w:t>Consent Forms</w:t>
      </w:r>
      <w:bookmarkEnd w:id="125"/>
    </w:p>
    <w:p w14:paraId="1C3C95C5" w14:textId="22FDFB84" w:rsidR="003C7783" w:rsidRPr="003C7783" w:rsidRDefault="00EE524E" w:rsidP="008A0FF3">
      <w:pPr>
        <w:pStyle w:val="BodyText"/>
        <w:rPr>
          <w:lang w:val="en"/>
        </w:rPr>
      </w:pPr>
      <w:r>
        <w:rPr>
          <w:noProof/>
        </w:rPr>
        <w:drawing>
          <wp:anchor distT="0" distB="0" distL="0" distR="91440" simplePos="0" relativeHeight="251717636" behindDoc="1" locked="0" layoutInCell="1" allowOverlap="1" wp14:anchorId="2715CE5F" wp14:editId="3C042AE2">
            <wp:simplePos x="0" y="0"/>
            <wp:positionH relativeFrom="column">
              <wp:posOffset>-457200</wp:posOffset>
            </wp:positionH>
            <wp:positionV relativeFrom="paragraph">
              <wp:posOffset>325177</wp:posOffset>
            </wp:positionV>
            <wp:extent cx="365760" cy="365760"/>
            <wp:effectExtent l="0" t="0" r="0" b="0"/>
            <wp:wrapTight wrapText="right">
              <wp:wrapPolygon edited="0">
                <wp:start x="0" y="0"/>
                <wp:lineTo x="0" y="20250"/>
                <wp:lineTo x="20250" y="20250"/>
                <wp:lineTo x="20250" y="0"/>
                <wp:lineTo x="0" y="0"/>
              </wp:wrapPolygon>
            </wp:wrapTight>
            <wp:docPr id="49105352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rPr>
          <w:bCs/>
          <w:lang w:val="en"/>
        </w:rPr>
        <w:t xml:space="preserve">Consent forms </w:t>
      </w:r>
      <w:r w:rsidR="003C7783" w:rsidRPr="003C7783">
        <w:rPr>
          <w:lang w:val="en"/>
        </w:rPr>
        <w:t>are directly related to a patient’s specific treatment</w:t>
      </w:r>
      <w:r w:rsidR="00910C63">
        <w:rPr>
          <w:lang w:val="en"/>
        </w:rPr>
        <w:t>-</w:t>
      </w:r>
      <w:r w:rsidR="003C7783" w:rsidRPr="003C7783">
        <w:rPr>
          <w:lang w:val="en"/>
        </w:rPr>
        <w:t xml:space="preserve">planned procedures and provide a method to inform a patient about planned treatment and capture signatures.  </w:t>
      </w:r>
    </w:p>
    <w:p w14:paraId="5B4A5B8A" w14:textId="70FFDE3F" w:rsidR="003C7783" w:rsidRPr="00910C63" w:rsidRDefault="003C7783" w:rsidP="00B42C69">
      <w:pPr>
        <w:pStyle w:val="BodyText"/>
        <w:rPr>
          <w:i/>
          <w:iCs/>
        </w:rPr>
      </w:pPr>
      <w:r w:rsidRPr="00910C63">
        <w:rPr>
          <w:b/>
          <w:bCs/>
          <w:i/>
          <w:iCs/>
        </w:rPr>
        <w:t>Workflow Insight</w:t>
      </w:r>
      <w:r w:rsidRPr="00910C63">
        <w:rPr>
          <w:i/>
          <w:iCs/>
        </w:rPr>
        <w:t>:</w:t>
      </w:r>
      <w:r w:rsidR="00910C63" w:rsidRPr="00910C63">
        <w:rPr>
          <w:i/>
          <w:iCs/>
        </w:rPr>
        <w:t xml:space="preserve"> </w:t>
      </w:r>
      <w:r w:rsidRPr="00910C63">
        <w:rPr>
          <w:i/>
          <w:iCs/>
        </w:rPr>
        <w:t>C</w:t>
      </w:r>
      <w:r w:rsidR="00910C63" w:rsidRPr="00910C63">
        <w:rPr>
          <w:i/>
          <w:iCs/>
        </w:rPr>
        <w:t>apture c</w:t>
      </w:r>
      <w:r w:rsidRPr="00910C63">
        <w:rPr>
          <w:i/>
          <w:iCs/>
        </w:rPr>
        <w:t>onsent form signatures during the patient visit lifecycle.</w:t>
      </w:r>
    </w:p>
    <w:p w14:paraId="2B5C4CDB" w14:textId="1F0C562C" w:rsidR="008A0FF3" w:rsidRDefault="003C7783" w:rsidP="00D42C5A">
      <w:pPr>
        <w:pStyle w:val="Heading3"/>
        <w:rPr>
          <w:lang w:val="en"/>
        </w:rPr>
      </w:pPr>
      <w:bookmarkStart w:id="126" w:name="_Toc166834335"/>
      <w:r w:rsidRPr="003C7783">
        <w:rPr>
          <w:lang w:val="en"/>
        </w:rPr>
        <w:t>Questionnaires</w:t>
      </w:r>
      <w:bookmarkEnd w:id="126"/>
    </w:p>
    <w:p w14:paraId="4EA6A715" w14:textId="37529719" w:rsidR="003C7783" w:rsidRPr="003C7783" w:rsidRDefault="00546AE8" w:rsidP="008A0FF3">
      <w:pPr>
        <w:pStyle w:val="BodyText"/>
        <w:rPr>
          <w:lang w:val="en"/>
        </w:rPr>
      </w:pPr>
      <w:r>
        <w:rPr>
          <w:noProof/>
        </w:rPr>
        <w:drawing>
          <wp:anchor distT="0" distB="0" distL="114300" distR="114300" simplePos="0" relativeHeight="252030980" behindDoc="0" locked="0" layoutInCell="1" allowOverlap="1" wp14:anchorId="46CB3FFC" wp14:editId="42BFB067">
            <wp:simplePos x="0" y="0"/>
            <wp:positionH relativeFrom="column">
              <wp:posOffset>5486400</wp:posOffset>
            </wp:positionH>
            <wp:positionV relativeFrom="paragraph">
              <wp:posOffset>44258</wp:posOffset>
            </wp:positionV>
            <wp:extent cx="365760" cy="365760"/>
            <wp:effectExtent l="0" t="0" r="0" b="0"/>
            <wp:wrapTight wrapText="bothSides">
              <wp:wrapPolygon edited="0">
                <wp:start x="0" y="0"/>
                <wp:lineTo x="0" y="20250"/>
                <wp:lineTo x="20250" y="20250"/>
                <wp:lineTo x="20250" y="0"/>
                <wp:lineTo x="0" y="0"/>
              </wp:wrapPolygon>
            </wp:wrapTight>
            <wp:docPr id="209790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04699" name=""/>
                    <pic:cNvPicPr/>
                  </pic:nvPicPr>
                  <pic:blipFill>
                    <a:blip r:embed="rId49"/>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10C63">
        <w:rPr>
          <w:lang w:val="en"/>
        </w:rPr>
        <w:t>Questionnaires are</w:t>
      </w:r>
      <w:r w:rsidR="003C7783" w:rsidRPr="003C7783">
        <w:rPr>
          <w:lang w:val="en"/>
        </w:rPr>
        <w:t xml:space="preserve"> customizable forms </w:t>
      </w:r>
      <w:r w:rsidR="00910C63">
        <w:rPr>
          <w:lang w:val="en"/>
        </w:rPr>
        <w:t>that</w:t>
      </w:r>
      <w:r w:rsidR="003C7783" w:rsidRPr="003C7783">
        <w:rPr>
          <w:lang w:val="en"/>
        </w:rPr>
        <w:t xml:space="preserve"> staff and patients can </w:t>
      </w:r>
      <w:r w:rsidR="00910C63">
        <w:rPr>
          <w:lang w:val="en"/>
        </w:rPr>
        <w:t xml:space="preserve">use to </w:t>
      </w:r>
      <w:r w:rsidR="003C7783" w:rsidRPr="003C7783">
        <w:rPr>
          <w:lang w:val="en"/>
        </w:rPr>
        <w:t xml:space="preserve">answer pre-defined questions.  </w:t>
      </w:r>
      <w:r w:rsidR="00910C63">
        <w:rPr>
          <w:lang w:val="en"/>
        </w:rPr>
        <w:t>You can attach m</w:t>
      </w:r>
      <w:r w:rsidR="003C7783" w:rsidRPr="003C7783">
        <w:rPr>
          <w:lang w:val="en"/>
        </w:rPr>
        <w:t xml:space="preserve">ultiple </w:t>
      </w:r>
      <w:r w:rsidR="00910C63">
        <w:rPr>
          <w:lang w:val="en"/>
        </w:rPr>
        <w:t>q</w:t>
      </w:r>
      <w:r w:rsidR="003C7783" w:rsidRPr="003C7783">
        <w:rPr>
          <w:lang w:val="en"/>
        </w:rPr>
        <w:t>uestionnaires to a patient.</w:t>
      </w:r>
      <w:r w:rsidR="00910C63">
        <w:rPr>
          <w:lang w:val="en"/>
        </w:rPr>
        <w:t xml:space="preserve"> Questionnaires </w:t>
      </w:r>
      <w:r w:rsidR="003C7783" w:rsidRPr="003C7783">
        <w:rPr>
          <w:lang w:val="en"/>
        </w:rPr>
        <w:t xml:space="preserve">have many uses, such as </w:t>
      </w:r>
      <w:r w:rsidR="00910C63">
        <w:rPr>
          <w:lang w:val="en"/>
        </w:rPr>
        <w:t xml:space="preserve">for </w:t>
      </w:r>
      <w:r w:rsidR="003C7783" w:rsidRPr="003C7783">
        <w:rPr>
          <w:lang w:val="en"/>
        </w:rPr>
        <w:t>emergency/pain evaluation</w:t>
      </w:r>
      <w:r w:rsidR="00910C63">
        <w:rPr>
          <w:lang w:val="en"/>
        </w:rPr>
        <w:t>s</w:t>
      </w:r>
      <w:r w:rsidR="003C7783" w:rsidRPr="003C7783">
        <w:rPr>
          <w:lang w:val="en"/>
        </w:rPr>
        <w:t xml:space="preserve">, cosmetic rating scales, </w:t>
      </w:r>
      <w:r w:rsidR="00910C63">
        <w:rPr>
          <w:lang w:val="en"/>
        </w:rPr>
        <w:t xml:space="preserve">and </w:t>
      </w:r>
      <w:r w:rsidR="003C7783" w:rsidRPr="003C7783">
        <w:rPr>
          <w:lang w:val="en"/>
        </w:rPr>
        <w:t>new</w:t>
      </w:r>
      <w:r w:rsidR="00910C63">
        <w:rPr>
          <w:lang w:val="en"/>
        </w:rPr>
        <w:t>-</w:t>
      </w:r>
      <w:r w:rsidR="003C7783" w:rsidRPr="003C7783">
        <w:rPr>
          <w:lang w:val="en"/>
        </w:rPr>
        <w:t>patient experience</w:t>
      </w:r>
      <w:r w:rsidR="00910C63">
        <w:rPr>
          <w:lang w:val="en"/>
        </w:rPr>
        <w:t>s</w:t>
      </w:r>
      <w:r w:rsidR="003C7783" w:rsidRPr="003C7783">
        <w:rPr>
          <w:lang w:val="en"/>
        </w:rPr>
        <w:t xml:space="preserve">. </w:t>
      </w:r>
      <w:r w:rsidR="00910C63">
        <w:rPr>
          <w:lang w:val="en"/>
        </w:rPr>
        <w:t>You can easily access q</w:t>
      </w:r>
      <w:r w:rsidR="003C7783" w:rsidRPr="003C7783">
        <w:rPr>
          <w:lang w:val="en"/>
        </w:rPr>
        <w:t>uestionnaires from all patient</w:t>
      </w:r>
      <w:r w:rsidR="00910C63">
        <w:rPr>
          <w:lang w:val="en"/>
        </w:rPr>
        <w:t>-</w:t>
      </w:r>
      <w:r w:rsidR="003C7783" w:rsidRPr="003C7783">
        <w:rPr>
          <w:lang w:val="en"/>
        </w:rPr>
        <w:t>specific modules.</w:t>
      </w:r>
    </w:p>
    <w:p w14:paraId="6A64A452" w14:textId="04A6CEB3" w:rsidR="003C7783" w:rsidRPr="004752C7" w:rsidRDefault="00EE524E" w:rsidP="00B42C69">
      <w:pPr>
        <w:pStyle w:val="BodyText"/>
        <w:rPr>
          <w:i/>
          <w:iCs/>
        </w:rPr>
      </w:pPr>
      <w:r>
        <w:rPr>
          <w:noProof/>
        </w:rPr>
        <w:drawing>
          <wp:anchor distT="0" distB="0" distL="0" distR="91440" simplePos="0" relativeHeight="251719684" behindDoc="1" locked="0" layoutInCell="1" allowOverlap="1" wp14:anchorId="0E54510B" wp14:editId="5925509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64532739"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4752C7">
        <w:rPr>
          <w:b/>
          <w:bCs/>
          <w:i/>
          <w:iCs/>
        </w:rPr>
        <w:t>Workflow Insight</w:t>
      </w:r>
      <w:r w:rsidR="003C7783" w:rsidRPr="004752C7">
        <w:rPr>
          <w:i/>
          <w:iCs/>
        </w:rPr>
        <w:t>:</w:t>
      </w:r>
      <w:r w:rsidR="00910C63" w:rsidRPr="004752C7">
        <w:rPr>
          <w:i/>
          <w:iCs/>
        </w:rPr>
        <w:t xml:space="preserve"> </w:t>
      </w:r>
      <w:r w:rsidR="003C7783" w:rsidRPr="004752C7">
        <w:rPr>
          <w:i/>
          <w:iCs/>
        </w:rPr>
        <w:t xml:space="preserve">Questionnaires are designed </w:t>
      </w:r>
      <w:r w:rsidR="00910C63" w:rsidRPr="004752C7">
        <w:rPr>
          <w:i/>
          <w:iCs/>
        </w:rPr>
        <w:t>as an</w:t>
      </w:r>
      <w:r w:rsidR="003C7783" w:rsidRPr="004752C7">
        <w:rPr>
          <w:i/>
          <w:iCs/>
        </w:rPr>
        <w:t xml:space="preserve"> “interview style” </w:t>
      </w:r>
      <w:r w:rsidR="00910C63" w:rsidRPr="004752C7">
        <w:rPr>
          <w:i/>
          <w:iCs/>
        </w:rPr>
        <w:t xml:space="preserve">of </w:t>
      </w:r>
      <w:r w:rsidR="003C7783" w:rsidRPr="004752C7">
        <w:rPr>
          <w:i/>
          <w:iCs/>
        </w:rPr>
        <w:t xml:space="preserve">data </w:t>
      </w:r>
      <w:r w:rsidR="00910C63" w:rsidRPr="004752C7">
        <w:rPr>
          <w:i/>
          <w:iCs/>
        </w:rPr>
        <w:t>collection</w:t>
      </w:r>
      <w:r w:rsidR="003C7783" w:rsidRPr="004752C7">
        <w:rPr>
          <w:i/>
          <w:iCs/>
        </w:rPr>
        <w:t xml:space="preserve"> by a staff member.</w:t>
      </w:r>
      <w:r w:rsidR="00910C63" w:rsidRPr="004752C7">
        <w:rPr>
          <w:i/>
          <w:iCs/>
        </w:rPr>
        <w:t xml:space="preserve"> </w:t>
      </w:r>
      <w:r w:rsidR="004752C7" w:rsidRPr="004752C7">
        <w:rPr>
          <w:i/>
          <w:iCs/>
        </w:rPr>
        <w:t>You can enter answers directly in Dentrix Enterprise or print the questionnaire for the patient to write answers on</w:t>
      </w:r>
      <w:r w:rsidR="003C7783" w:rsidRPr="004752C7">
        <w:rPr>
          <w:i/>
          <w:iCs/>
        </w:rPr>
        <w:t>.</w:t>
      </w:r>
      <w:r w:rsidR="004752C7" w:rsidRPr="004752C7">
        <w:rPr>
          <w:i/>
          <w:iCs/>
        </w:rPr>
        <w:t xml:space="preserve"> </w:t>
      </w:r>
      <w:r w:rsidR="003C7783" w:rsidRPr="004752C7">
        <w:rPr>
          <w:i/>
          <w:iCs/>
        </w:rPr>
        <w:t xml:space="preserve">Questionnaires </w:t>
      </w:r>
      <w:r w:rsidR="004752C7" w:rsidRPr="004752C7">
        <w:rPr>
          <w:i/>
          <w:iCs/>
        </w:rPr>
        <w:t>do not integrate</w:t>
      </w:r>
      <w:r w:rsidR="003C7783" w:rsidRPr="004752C7">
        <w:rPr>
          <w:i/>
          <w:iCs/>
        </w:rPr>
        <w:t xml:space="preserve"> with </w:t>
      </w:r>
      <w:r w:rsidR="004752C7" w:rsidRPr="004752C7">
        <w:rPr>
          <w:i/>
          <w:iCs/>
        </w:rPr>
        <w:t xml:space="preserve">any </w:t>
      </w:r>
      <w:r w:rsidR="003C7783" w:rsidRPr="004752C7">
        <w:rPr>
          <w:i/>
          <w:iCs/>
        </w:rPr>
        <w:t xml:space="preserve">websites or kiosks </w:t>
      </w:r>
      <w:r w:rsidR="004752C7" w:rsidRPr="004752C7">
        <w:rPr>
          <w:i/>
          <w:iCs/>
        </w:rPr>
        <w:t>that</w:t>
      </w:r>
      <w:r w:rsidR="003C7783" w:rsidRPr="004752C7">
        <w:rPr>
          <w:i/>
          <w:iCs/>
        </w:rPr>
        <w:t xml:space="preserve"> patient</w:t>
      </w:r>
      <w:r w:rsidR="004752C7" w:rsidRPr="004752C7">
        <w:rPr>
          <w:i/>
          <w:iCs/>
        </w:rPr>
        <w:t>s</w:t>
      </w:r>
      <w:r w:rsidR="003C7783" w:rsidRPr="004752C7">
        <w:rPr>
          <w:i/>
          <w:iCs/>
        </w:rPr>
        <w:t xml:space="preserve"> </w:t>
      </w:r>
      <w:r w:rsidR="004752C7" w:rsidRPr="004752C7">
        <w:rPr>
          <w:i/>
          <w:iCs/>
        </w:rPr>
        <w:t>can</w:t>
      </w:r>
      <w:r w:rsidR="003C7783" w:rsidRPr="004752C7">
        <w:rPr>
          <w:i/>
          <w:iCs/>
        </w:rPr>
        <w:t xml:space="preserve"> </w:t>
      </w:r>
      <w:r w:rsidR="004752C7" w:rsidRPr="004752C7">
        <w:rPr>
          <w:i/>
          <w:iCs/>
        </w:rPr>
        <w:t xml:space="preserve">use to </w:t>
      </w:r>
      <w:r w:rsidR="003C7783" w:rsidRPr="004752C7">
        <w:rPr>
          <w:i/>
          <w:iCs/>
        </w:rPr>
        <w:t xml:space="preserve">complete </w:t>
      </w:r>
      <w:r w:rsidR="004752C7" w:rsidRPr="004752C7">
        <w:rPr>
          <w:i/>
          <w:iCs/>
        </w:rPr>
        <w:t>forms</w:t>
      </w:r>
      <w:r w:rsidR="003C7783" w:rsidRPr="004752C7">
        <w:rPr>
          <w:i/>
          <w:iCs/>
        </w:rPr>
        <w:t>.</w:t>
      </w:r>
    </w:p>
    <w:p w14:paraId="3200D9DF" w14:textId="086F1328" w:rsidR="003C7783" w:rsidRPr="003C7783" w:rsidRDefault="003C7783" w:rsidP="004267C0">
      <w:pPr>
        <w:pStyle w:val="Heading2"/>
      </w:pPr>
      <w:bookmarkStart w:id="127" w:name="_Toc135416699"/>
      <w:bookmarkStart w:id="128" w:name="_Toc166834336"/>
      <w:r>
        <w:lastRenderedPageBreak/>
        <w:t>Patient/Household File</w:t>
      </w:r>
      <w:bookmarkEnd w:id="127"/>
      <w:bookmarkEnd w:id="128"/>
    </w:p>
    <w:p w14:paraId="65B3120E" w14:textId="2BD338D3" w:rsidR="003C7783" w:rsidRPr="003C7783" w:rsidRDefault="00253844" w:rsidP="004A2A35">
      <w:pPr>
        <w:pStyle w:val="BodyText"/>
        <w:keepNext/>
        <w:keepLines/>
        <w:rPr>
          <w:lang w:val="en"/>
        </w:rPr>
      </w:pPr>
      <w:r>
        <w:rPr>
          <w:noProof/>
        </w:rPr>
        <w:drawing>
          <wp:anchor distT="0" distB="0" distL="0" distR="91440" simplePos="0" relativeHeight="251731972" behindDoc="1" locked="0" layoutInCell="1" allowOverlap="1" wp14:anchorId="4B0D1E03" wp14:editId="6798DA05">
            <wp:simplePos x="0" y="0"/>
            <wp:positionH relativeFrom="column">
              <wp:posOffset>-457200</wp:posOffset>
            </wp:positionH>
            <wp:positionV relativeFrom="paragraph">
              <wp:posOffset>428787</wp:posOffset>
            </wp:positionV>
            <wp:extent cx="365760" cy="484505"/>
            <wp:effectExtent l="0" t="0" r="0" b="0"/>
            <wp:wrapTight wrapText="right">
              <wp:wrapPolygon edited="0">
                <wp:start x="0" y="0"/>
                <wp:lineTo x="0" y="20383"/>
                <wp:lineTo x="20250" y="20383"/>
                <wp:lineTo x="20250" y="0"/>
                <wp:lineTo x="0" y="0"/>
              </wp:wrapPolygon>
            </wp:wrapTight>
            <wp:docPr id="1660428310"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4752C7">
        <w:rPr>
          <w:lang w:val="en"/>
        </w:rPr>
        <w:t>Dentrix Enterprise provides c</w:t>
      </w:r>
      <w:r w:rsidR="003C7783" w:rsidRPr="003C7783">
        <w:rPr>
          <w:lang w:val="en"/>
        </w:rPr>
        <w:t xml:space="preserve">omprehensive management of patient and household account information.   Patient registration workflows can vary greatly depending upon the presence or absence of an interface with a medical product/software.   </w:t>
      </w:r>
    </w:p>
    <w:p w14:paraId="21C89F52" w14:textId="70ACAF6F" w:rsidR="003C7783" w:rsidRPr="003C7783" w:rsidRDefault="003C7783" w:rsidP="00A37B2A">
      <w:pPr>
        <w:pStyle w:val="BodyText"/>
      </w:pPr>
      <w:r w:rsidRPr="00A37B2A">
        <w:rPr>
          <w:color w:val="00B050"/>
        </w:rPr>
        <w:t>&lt;&lt;Insert Patient/Household File decision support/SOP/guidance&gt;&gt;</w:t>
      </w:r>
    </w:p>
    <w:p w14:paraId="2894C669" w14:textId="6A5DD1E6" w:rsidR="003C7783" w:rsidRPr="003C7783" w:rsidRDefault="007D3723" w:rsidP="00D42C5A">
      <w:pPr>
        <w:pStyle w:val="Heading3"/>
      </w:pPr>
      <w:bookmarkStart w:id="129" w:name="_Toc135416700"/>
      <w:bookmarkStart w:id="130" w:name="_Toc166834337"/>
      <w:r>
        <w:rPr>
          <w:noProof/>
        </w:rPr>
        <w:drawing>
          <wp:anchor distT="0" distB="0" distL="114300" distR="114300" simplePos="0" relativeHeight="252037124" behindDoc="0" locked="0" layoutInCell="1" allowOverlap="1" wp14:anchorId="221BD3A8" wp14:editId="1BF64AAF">
            <wp:simplePos x="0" y="0"/>
            <wp:positionH relativeFrom="column">
              <wp:posOffset>5486400</wp:posOffset>
            </wp:positionH>
            <wp:positionV relativeFrom="paragraph">
              <wp:posOffset>321103</wp:posOffset>
            </wp:positionV>
            <wp:extent cx="365760" cy="365760"/>
            <wp:effectExtent l="0" t="0" r="0" b="0"/>
            <wp:wrapTight wrapText="bothSides">
              <wp:wrapPolygon edited="0">
                <wp:start x="0" y="0"/>
                <wp:lineTo x="0" y="20250"/>
                <wp:lineTo x="20250" y="20250"/>
                <wp:lineTo x="20250" y="0"/>
                <wp:lineTo x="0" y="0"/>
              </wp:wrapPolygon>
            </wp:wrapTight>
            <wp:docPr id="155790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8715" name=""/>
                    <pic:cNvPicPr/>
                  </pic:nvPicPr>
                  <pic:blipFill>
                    <a:blip r:embed="rId50"/>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Patient Information</w:t>
      </w:r>
      <w:bookmarkEnd w:id="129"/>
      <w:bookmarkEnd w:id="130"/>
    </w:p>
    <w:p w14:paraId="12CA2BE5" w14:textId="551038BF" w:rsidR="008A0FF3" w:rsidRDefault="003C7783" w:rsidP="00E92EA5">
      <w:pPr>
        <w:pStyle w:val="Heading4"/>
      </w:pPr>
      <w:r w:rsidRPr="003C7783">
        <w:t>Individual or Family Accounts</w:t>
      </w:r>
    </w:p>
    <w:p w14:paraId="6E8C77C5" w14:textId="7F1279C4" w:rsidR="003C7783" w:rsidRPr="003C7783" w:rsidRDefault="004752C7" w:rsidP="008A0FF3">
      <w:pPr>
        <w:pStyle w:val="BodyText"/>
        <w:rPr>
          <w:b/>
          <w:bCs/>
        </w:rPr>
      </w:pPr>
      <w:r>
        <w:t xml:space="preserve">In </w:t>
      </w:r>
      <w:r w:rsidR="003C7783" w:rsidRPr="003C7783">
        <w:t>Dentrix Enterprise</w:t>
      </w:r>
      <w:r>
        <w:t xml:space="preserve">, </w:t>
      </w:r>
      <w:r w:rsidR="003C7783" w:rsidRPr="003C7783">
        <w:t xml:space="preserve">patients </w:t>
      </w:r>
      <w:r>
        <w:t xml:space="preserve">are grouped </w:t>
      </w:r>
      <w:r w:rsidR="003C7783" w:rsidRPr="003C7783">
        <w:t>into families.</w:t>
      </w:r>
      <w:r>
        <w:t xml:space="preserve"> F</w:t>
      </w:r>
      <w:r w:rsidR="003C7783" w:rsidRPr="003C7783">
        <w:t>amily accounts allow for</w:t>
      </w:r>
      <w:r>
        <w:t xml:space="preserve"> the</w:t>
      </w:r>
      <w:r w:rsidR="003C7783" w:rsidRPr="003C7783">
        <w:t xml:space="preserve"> sharing of insurance subscribers and benefit information across individual patients in the same family.  </w:t>
      </w:r>
    </w:p>
    <w:p w14:paraId="1DDBA14D" w14:textId="07913A00" w:rsidR="003C7783" w:rsidRPr="004752C7" w:rsidRDefault="00EE524E" w:rsidP="008A0FF3">
      <w:pPr>
        <w:pStyle w:val="BodyText"/>
        <w:rPr>
          <w:i/>
          <w:iCs/>
        </w:rPr>
      </w:pPr>
      <w:r>
        <w:rPr>
          <w:noProof/>
        </w:rPr>
        <w:drawing>
          <wp:anchor distT="0" distB="0" distL="0" distR="91440" simplePos="0" relativeHeight="251721732" behindDoc="1" locked="0" layoutInCell="1" allowOverlap="1" wp14:anchorId="696ACB9E" wp14:editId="3448D39C">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79952241"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4752C7">
        <w:rPr>
          <w:b/>
          <w:bCs/>
          <w:i/>
          <w:iCs/>
        </w:rPr>
        <w:t>Workflow Insight</w:t>
      </w:r>
      <w:r w:rsidR="003C7783" w:rsidRPr="004752C7">
        <w:rPr>
          <w:i/>
          <w:iCs/>
        </w:rPr>
        <w:t>:</w:t>
      </w:r>
      <w:r w:rsidR="004752C7" w:rsidRPr="004752C7">
        <w:rPr>
          <w:i/>
          <w:iCs/>
        </w:rPr>
        <w:t xml:space="preserve"> When you are deciding whether to use</w:t>
      </w:r>
      <w:r w:rsidR="003C7783" w:rsidRPr="004752C7">
        <w:rPr>
          <w:i/>
          <w:iCs/>
        </w:rPr>
        <w:t xml:space="preserve"> individual patient </w:t>
      </w:r>
      <w:r w:rsidR="004752C7" w:rsidRPr="004752C7">
        <w:rPr>
          <w:i/>
          <w:iCs/>
        </w:rPr>
        <w:t>accounts or</w:t>
      </w:r>
      <w:r w:rsidR="003C7783" w:rsidRPr="004752C7">
        <w:rPr>
          <w:i/>
          <w:iCs/>
        </w:rPr>
        <w:t xml:space="preserve"> family accounts, it is important to define how your organization will assign subscriber information for current and non-patient subscribers in your system. Some HL7 restrictions require individual accounts instead of grouping patients by family. In this situation, sometimes </w:t>
      </w:r>
      <w:r w:rsidR="004752C7" w:rsidRPr="004752C7">
        <w:rPr>
          <w:i/>
          <w:iCs/>
        </w:rPr>
        <w:t>you must</w:t>
      </w:r>
      <w:r w:rsidR="003C7783" w:rsidRPr="004752C7">
        <w:rPr>
          <w:i/>
          <w:iCs/>
        </w:rPr>
        <w:t xml:space="preserve"> enter a subscriber into the system multiple times to allow for proper assignment of insurance benefits.</w:t>
      </w:r>
    </w:p>
    <w:p w14:paraId="3E56013F" w14:textId="62786F04" w:rsidR="008A0FF3" w:rsidRDefault="003C7783" w:rsidP="00E92EA5">
      <w:pPr>
        <w:pStyle w:val="Heading4"/>
      </w:pPr>
      <w:r w:rsidRPr="003C7783">
        <w:t>Personal</w:t>
      </w:r>
    </w:p>
    <w:p w14:paraId="0DC7CDA2" w14:textId="4147CC36" w:rsidR="003C7783" w:rsidRPr="003C7783" w:rsidRDefault="006A5BDD" w:rsidP="008A0FF3">
      <w:pPr>
        <w:pStyle w:val="BodyText"/>
        <w:rPr>
          <w:b/>
          <w:bCs/>
        </w:rPr>
      </w:pPr>
      <w:r>
        <w:rPr>
          <w:noProof/>
        </w:rPr>
        <w:drawing>
          <wp:anchor distT="0" distB="0" distL="0" distR="91440" simplePos="0" relativeHeight="251723780" behindDoc="1" locked="0" layoutInCell="1" allowOverlap="1" wp14:anchorId="5F05B4B9" wp14:editId="39197181">
            <wp:simplePos x="0" y="0"/>
            <wp:positionH relativeFrom="column">
              <wp:posOffset>-457200</wp:posOffset>
            </wp:positionH>
            <wp:positionV relativeFrom="paragraph">
              <wp:posOffset>532263</wp:posOffset>
            </wp:positionV>
            <wp:extent cx="365760" cy="365760"/>
            <wp:effectExtent l="0" t="0" r="0" b="0"/>
            <wp:wrapTight wrapText="right">
              <wp:wrapPolygon edited="0">
                <wp:start x="0" y="0"/>
                <wp:lineTo x="0" y="20250"/>
                <wp:lineTo x="20250" y="20250"/>
                <wp:lineTo x="20250" y="0"/>
                <wp:lineTo x="0" y="0"/>
              </wp:wrapPolygon>
            </wp:wrapTight>
            <wp:docPr id="97500306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 xml:space="preserve">When </w:t>
      </w:r>
      <w:r w:rsidR="004752C7">
        <w:t xml:space="preserve">you are </w:t>
      </w:r>
      <w:r w:rsidR="003C7783" w:rsidRPr="003C7783">
        <w:t xml:space="preserve">entering in the personal information for a patient, it is important to understand other workflows that may be affected by the data. </w:t>
      </w:r>
      <w:r w:rsidR="004752C7">
        <w:t>The r</w:t>
      </w:r>
      <w:r w:rsidR="003C7783" w:rsidRPr="003C7783">
        <w:t xml:space="preserve">evenue </w:t>
      </w:r>
      <w:r w:rsidR="004752C7">
        <w:t>c</w:t>
      </w:r>
      <w:r w:rsidR="003C7783" w:rsidRPr="003C7783">
        <w:t>ycle relies on complete and accurate information for each patient to achieve successful claim and billing process</w:t>
      </w:r>
      <w:r w:rsidR="004752C7">
        <w:t>ing</w:t>
      </w:r>
      <w:r w:rsidR="003C7783" w:rsidRPr="003C7783">
        <w:t xml:space="preserve"> results.  </w:t>
      </w:r>
    </w:p>
    <w:p w14:paraId="45287E57" w14:textId="2098386B" w:rsidR="003C7783" w:rsidRPr="004752C7" w:rsidRDefault="003C7783" w:rsidP="00B3072B">
      <w:pPr>
        <w:pStyle w:val="BodyText"/>
        <w:rPr>
          <w:b/>
          <w:bCs/>
          <w:i/>
          <w:iCs/>
        </w:rPr>
      </w:pPr>
      <w:r w:rsidRPr="004752C7">
        <w:rPr>
          <w:b/>
          <w:bCs/>
          <w:i/>
          <w:iCs/>
        </w:rPr>
        <w:t>Workflow Insight</w:t>
      </w:r>
      <w:r w:rsidRPr="004752C7">
        <w:rPr>
          <w:i/>
          <w:iCs/>
        </w:rPr>
        <w:t>:</w:t>
      </w:r>
      <w:r w:rsidR="004752C7" w:rsidRPr="004752C7">
        <w:rPr>
          <w:i/>
          <w:iCs/>
        </w:rPr>
        <w:t xml:space="preserve"> </w:t>
      </w:r>
      <w:r w:rsidRPr="004752C7">
        <w:rPr>
          <w:i/>
          <w:iCs/>
        </w:rPr>
        <w:t xml:space="preserve">Global settings can </w:t>
      </w:r>
      <w:r w:rsidR="004752C7" w:rsidRPr="004752C7">
        <w:rPr>
          <w:i/>
          <w:iCs/>
        </w:rPr>
        <w:t xml:space="preserve">help you make </w:t>
      </w:r>
      <w:r w:rsidRPr="004752C7">
        <w:rPr>
          <w:i/>
          <w:iCs/>
        </w:rPr>
        <w:t xml:space="preserve">certain information required, such as </w:t>
      </w:r>
      <w:r w:rsidR="004752C7" w:rsidRPr="004752C7">
        <w:rPr>
          <w:i/>
          <w:iCs/>
        </w:rPr>
        <w:t>a S</w:t>
      </w:r>
      <w:r w:rsidRPr="004752C7">
        <w:rPr>
          <w:i/>
          <w:iCs/>
        </w:rPr>
        <w:t xml:space="preserve">ocial </w:t>
      </w:r>
      <w:r w:rsidR="004752C7" w:rsidRPr="004752C7">
        <w:rPr>
          <w:i/>
          <w:iCs/>
        </w:rPr>
        <w:t>S</w:t>
      </w:r>
      <w:r w:rsidRPr="004752C7">
        <w:rPr>
          <w:i/>
          <w:iCs/>
        </w:rPr>
        <w:t xml:space="preserve">ecurity </w:t>
      </w:r>
      <w:r w:rsidR="004752C7" w:rsidRPr="004752C7">
        <w:rPr>
          <w:i/>
          <w:iCs/>
        </w:rPr>
        <w:t>N</w:t>
      </w:r>
      <w:r w:rsidRPr="004752C7">
        <w:rPr>
          <w:i/>
          <w:iCs/>
        </w:rPr>
        <w:t>umber.</w:t>
      </w:r>
    </w:p>
    <w:p w14:paraId="5C0F8B0F" w14:textId="1607C4EE" w:rsidR="008A0FF3" w:rsidRDefault="003C7783" w:rsidP="00E92EA5">
      <w:pPr>
        <w:pStyle w:val="Heading4"/>
      </w:pPr>
      <w:r w:rsidRPr="003C7783">
        <w:t>Demographics</w:t>
      </w:r>
    </w:p>
    <w:p w14:paraId="3D83BC2D" w14:textId="6809D3CF" w:rsidR="003C7783" w:rsidRPr="003C7783" w:rsidRDefault="003C7783" w:rsidP="008A0FF3">
      <w:pPr>
        <w:pStyle w:val="BodyText"/>
        <w:rPr>
          <w:b/>
          <w:bCs/>
        </w:rPr>
      </w:pPr>
      <w:r w:rsidRPr="003C7783">
        <w:t xml:space="preserve">The use and selection of demographics populated for each patient depends upon your organization’s specific reporting and operational needs. </w:t>
      </w:r>
    </w:p>
    <w:p w14:paraId="01D6EBC2" w14:textId="7D28E43C" w:rsidR="003C7783" w:rsidRPr="00F14D67" w:rsidRDefault="00EE524E" w:rsidP="008A0FF3">
      <w:pPr>
        <w:pStyle w:val="BodyText"/>
        <w:rPr>
          <w:i/>
          <w:iCs/>
        </w:rPr>
      </w:pPr>
      <w:r>
        <w:rPr>
          <w:noProof/>
        </w:rPr>
        <w:drawing>
          <wp:anchor distT="0" distB="0" distL="0" distR="91440" simplePos="0" relativeHeight="251729924" behindDoc="1" locked="0" layoutInCell="1" allowOverlap="1" wp14:anchorId="24C8BFB8" wp14:editId="79C72692">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565610108"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3C7783" w:rsidRPr="00F14D67">
        <w:rPr>
          <w:b/>
          <w:bCs/>
          <w:i/>
          <w:iCs/>
        </w:rPr>
        <w:t>Operations Insight</w:t>
      </w:r>
      <w:r w:rsidR="003C7783" w:rsidRPr="00F14D67">
        <w:rPr>
          <w:i/>
          <w:iCs/>
        </w:rPr>
        <w:t xml:space="preserve">: Demographics in Family File are often used to populate UDS reports and </w:t>
      </w:r>
      <w:r w:rsidR="00F14D67" w:rsidRPr="00F14D67">
        <w:rPr>
          <w:i/>
          <w:iCs/>
        </w:rPr>
        <w:t xml:space="preserve">for </w:t>
      </w:r>
      <w:r w:rsidR="003C7783" w:rsidRPr="00F14D67">
        <w:rPr>
          <w:i/>
          <w:iCs/>
        </w:rPr>
        <w:t>other government</w:t>
      </w:r>
      <w:r w:rsidR="00F14D67">
        <w:rPr>
          <w:i/>
          <w:iCs/>
        </w:rPr>
        <w:t>-related</w:t>
      </w:r>
      <w:r w:rsidR="003C7783" w:rsidRPr="00F14D67">
        <w:rPr>
          <w:i/>
          <w:iCs/>
        </w:rPr>
        <w:t xml:space="preserve"> data reporting needs.</w:t>
      </w:r>
    </w:p>
    <w:p w14:paraId="3D349097" w14:textId="57018880" w:rsidR="0009328C" w:rsidRPr="00D53397" w:rsidRDefault="0009328C" w:rsidP="0009328C">
      <w:pPr>
        <w:pStyle w:val="BodyText"/>
        <w:rPr>
          <w:i/>
          <w:iCs/>
        </w:rPr>
      </w:pPr>
      <w:r w:rsidRPr="00D53397">
        <w:rPr>
          <w:b/>
          <w:bCs/>
          <w:i/>
          <w:iCs/>
          <w:noProof/>
        </w:rPr>
        <w:drawing>
          <wp:anchor distT="0" distB="0" distL="0" distR="91440" simplePos="0" relativeHeight="252070916" behindDoc="1" locked="0" layoutInCell="1" allowOverlap="1" wp14:anchorId="249BC082" wp14:editId="0634F1EE">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1590324530"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w:t>
      </w:r>
      <w:r w:rsidRPr="00D53397">
        <w:rPr>
          <w:i/>
          <w:iCs/>
        </w:rPr>
        <w:t xml:space="preserve">: </w:t>
      </w:r>
      <w:r w:rsidR="000174FC" w:rsidRPr="00D53397">
        <w:rPr>
          <w:i/>
          <w:iCs/>
        </w:rPr>
        <w:t xml:space="preserve">In version 11.0.1, the patient name in the More Information window is now a link to the Patient Information dialog box, </w:t>
      </w:r>
      <w:r w:rsidR="0039425F" w:rsidRPr="00D53397">
        <w:rPr>
          <w:i/>
          <w:iCs/>
        </w:rPr>
        <w:t xml:space="preserve">where </w:t>
      </w:r>
      <w:r w:rsidR="00A6325F" w:rsidRPr="00D53397">
        <w:rPr>
          <w:i/>
          <w:iCs/>
        </w:rPr>
        <w:t>you</w:t>
      </w:r>
      <w:r w:rsidR="000174FC" w:rsidRPr="00D53397">
        <w:rPr>
          <w:i/>
          <w:iCs/>
        </w:rPr>
        <w:t xml:space="preserve"> can update specific fields</w:t>
      </w:r>
      <w:r w:rsidR="0039425F" w:rsidRPr="00D53397">
        <w:rPr>
          <w:i/>
          <w:iCs/>
        </w:rPr>
        <w:t>,</w:t>
      </w:r>
      <w:r w:rsidR="008D15E3" w:rsidRPr="00D53397">
        <w:rPr>
          <w:i/>
          <w:iCs/>
        </w:rPr>
        <w:t xml:space="preserve"> such as</w:t>
      </w:r>
      <w:r w:rsidR="000174FC" w:rsidRPr="00D53397">
        <w:rPr>
          <w:i/>
          <w:iCs/>
        </w:rPr>
        <w:t xml:space="preserve"> the provider, clinic, </w:t>
      </w:r>
      <w:r w:rsidR="00A6325F" w:rsidRPr="00D53397">
        <w:rPr>
          <w:i/>
          <w:iCs/>
        </w:rPr>
        <w:t>and</w:t>
      </w:r>
      <w:r w:rsidR="000174FC" w:rsidRPr="00D53397">
        <w:rPr>
          <w:i/>
          <w:iCs/>
        </w:rPr>
        <w:t xml:space="preserve"> demographics for reports.</w:t>
      </w:r>
    </w:p>
    <w:p w14:paraId="70205969" w14:textId="131A15BB" w:rsidR="00F66FDE" w:rsidRPr="00D53397" w:rsidRDefault="0016284B" w:rsidP="00F66FDE">
      <w:pPr>
        <w:pStyle w:val="Heading4"/>
        <w:rPr>
          <w:color w:val="auto"/>
        </w:rPr>
      </w:pPr>
      <w:r w:rsidRPr="00D53397">
        <w:rPr>
          <w:color w:val="auto"/>
        </w:rPr>
        <w:t>Patient Additional Information</w:t>
      </w:r>
    </w:p>
    <w:p w14:paraId="4B9B24EA" w14:textId="223AD3A6" w:rsidR="00F66FDE" w:rsidRPr="00D53397" w:rsidRDefault="00F06A7E" w:rsidP="0009328C">
      <w:pPr>
        <w:pStyle w:val="BodyText"/>
        <w:rPr>
          <w:b/>
          <w:bCs/>
        </w:rPr>
      </w:pPr>
      <w:r w:rsidRPr="00D53397">
        <w:t>With a certain global setting enabled, the option to record Additional Info is available from the Patient Information window in the Family File.  The Additional Info dialogue box includes tribal data fields that may be automatically updated if certain HL7 setup configurations are met or may be manually updated in Dentrix Enterprise if allowed.</w:t>
      </w:r>
      <w:r w:rsidR="00F66FDE" w:rsidRPr="00D53397">
        <w:t xml:space="preserve"> </w:t>
      </w:r>
    </w:p>
    <w:p w14:paraId="22193C8C" w14:textId="20F5193B" w:rsidR="0009328C" w:rsidRPr="00D53397" w:rsidRDefault="00F66FDE" w:rsidP="00F66FDE">
      <w:pPr>
        <w:pStyle w:val="BodyText"/>
        <w:rPr>
          <w:i/>
          <w:iCs/>
        </w:rPr>
      </w:pPr>
      <w:r w:rsidRPr="00D53397">
        <w:rPr>
          <w:b/>
          <w:bCs/>
          <w:i/>
          <w:iCs/>
          <w:noProof/>
        </w:rPr>
        <w:drawing>
          <wp:anchor distT="0" distB="0" distL="0" distR="91440" simplePos="0" relativeHeight="252072964" behindDoc="1" locked="0" layoutInCell="1" allowOverlap="1" wp14:anchorId="2903AA00" wp14:editId="0C9D7A46">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970584444"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w:t>
      </w:r>
      <w:r w:rsidRPr="00D53397">
        <w:rPr>
          <w:i/>
          <w:iCs/>
        </w:rPr>
        <w:t xml:space="preserve">: </w:t>
      </w:r>
      <w:r w:rsidR="00CA5517" w:rsidRPr="00D53397">
        <w:rPr>
          <w:i/>
          <w:iCs/>
        </w:rPr>
        <w:t>In version 11.0.44, tribal information can be used for specific reports in Dentrix Enterprise, such as the new National Patient Information Reporting System (NPIRS).</w:t>
      </w:r>
    </w:p>
    <w:p w14:paraId="2D1F2A0D" w14:textId="50C7F545" w:rsidR="003C7783" w:rsidRPr="003C7783" w:rsidRDefault="003C7783" w:rsidP="00253844">
      <w:pPr>
        <w:pStyle w:val="Heading4"/>
      </w:pPr>
      <w:r w:rsidRPr="003C7783">
        <w:lastRenderedPageBreak/>
        <w:t>Office Info</w:t>
      </w:r>
    </w:p>
    <w:p w14:paraId="1F9CED86" w14:textId="2C42793E" w:rsidR="003C7783" w:rsidRPr="00F14D67" w:rsidRDefault="003C7783" w:rsidP="004F45B6">
      <w:pPr>
        <w:pStyle w:val="BodyText"/>
        <w:keepNext/>
        <w:keepLines/>
        <w:numPr>
          <w:ilvl w:val="0"/>
          <w:numId w:val="30"/>
        </w:numPr>
        <w:ind w:left="540"/>
      </w:pPr>
      <w:r w:rsidRPr="00F14D67">
        <w:rPr>
          <w:b/>
          <w:bCs/>
        </w:rPr>
        <w:t>First Visit</w:t>
      </w:r>
      <w:r w:rsidR="00F14D67">
        <w:t xml:space="preserve"> – </w:t>
      </w:r>
      <w:r w:rsidRPr="00F14D67">
        <w:t xml:space="preserve">It is important to identify the office requirement for a first visit. Unless </w:t>
      </w:r>
      <w:r w:rsidR="00F14D67">
        <w:t xml:space="preserve">you </w:t>
      </w:r>
      <w:r w:rsidRPr="00F14D67">
        <w:t>modif</w:t>
      </w:r>
      <w:r w:rsidR="00F14D67">
        <w:t>y</w:t>
      </w:r>
      <w:r w:rsidRPr="00F14D67">
        <w:t xml:space="preserve"> </w:t>
      </w:r>
      <w:r w:rsidR="00F14D67">
        <w:t xml:space="preserve">the first visit date </w:t>
      </w:r>
      <w:r w:rsidRPr="00F14D67">
        <w:t xml:space="preserve">to reflect the date of </w:t>
      </w:r>
      <w:r w:rsidR="00F14D67">
        <w:t xml:space="preserve">the patient’s </w:t>
      </w:r>
      <w:r w:rsidRPr="00F14D67">
        <w:t xml:space="preserve">first visit, it is assumed </w:t>
      </w:r>
      <w:r w:rsidR="00F14D67">
        <w:t xml:space="preserve">that </w:t>
      </w:r>
      <w:r w:rsidRPr="00F14D67">
        <w:t xml:space="preserve">full registration occurred on the date the Family File </w:t>
      </w:r>
      <w:r w:rsidR="00F14D67">
        <w:t xml:space="preserve">record </w:t>
      </w:r>
      <w:r w:rsidRPr="00F14D67">
        <w:t>was created.</w:t>
      </w:r>
    </w:p>
    <w:p w14:paraId="6250EC05" w14:textId="308A2DD4" w:rsidR="003C7783" w:rsidRPr="00F14D67" w:rsidRDefault="003C7783" w:rsidP="004F45B6">
      <w:pPr>
        <w:pStyle w:val="BodyText"/>
        <w:numPr>
          <w:ilvl w:val="0"/>
          <w:numId w:val="30"/>
        </w:numPr>
        <w:ind w:left="540"/>
      </w:pPr>
      <w:r w:rsidRPr="00F14D67">
        <w:rPr>
          <w:b/>
          <w:bCs/>
        </w:rPr>
        <w:t>Prov1</w:t>
      </w:r>
      <w:r w:rsidR="00F14D67">
        <w:t xml:space="preserve"> – Dentrix Enterprise uses a</w:t>
      </w:r>
      <w:r w:rsidRPr="00F14D67">
        <w:t xml:space="preserve"> patient’s primary provider (</w:t>
      </w:r>
      <w:r w:rsidR="00F14D67">
        <w:t>p</w:t>
      </w:r>
      <w:r w:rsidRPr="00F14D67">
        <w:t xml:space="preserve">rovider 1) to create clinical </w:t>
      </w:r>
      <w:r w:rsidR="00F14D67">
        <w:t>records</w:t>
      </w:r>
      <w:r w:rsidRPr="00F14D67">
        <w:t xml:space="preserve"> and </w:t>
      </w:r>
      <w:r w:rsidR="00F14D67">
        <w:t xml:space="preserve">for </w:t>
      </w:r>
      <w:r w:rsidRPr="00F14D67">
        <w:t xml:space="preserve">ease of future scheduling. </w:t>
      </w:r>
      <w:r w:rsidR="00F14D67">
        <w:t>I</w:t>
      </w:r>
      <w:r w:rsidRPr="00F14D67">
        <w:t>nsurance claim</w:t>
      </w:r>
      <w:r w:rsidR="00F14D67">
        <w:t>s may also use primary</w:t>
      </w:r>
      <w:r w:rsidRPr="00F14D67">
        <w:t xml:space="preserve"> providers.</w:t>
      </w:r>
    </w:p>
    <w:p w14:paraId="557B5A73" w14:textId="61CEE1B4" w:rsidR="003C7783" w:rsidRPr="00F14D67" w:rsidRDefault="003C7783" w:rsidP="004F45B6">
      <w:pPr>
        <w:pStyle w:val="BodyText"/>
        <w:numPr>
          <w:ilvl w:val="0"/>
          <w:numId w:val="30"/>
        </w:numPr>
        <w:ind w:left="540"/>
      </w:pPr>
      <w:r w:rsidRPr="00F14D67">
        <w:rPr>
          <w:b/>
          <w:bCs/>
        </w:rPr>
        <w:t>Clinic</w:t>
      </w:r>
      <w:r w:rsidR="00F14D67">
        <w:t xml:space="preserve"> – A</w:t>
      </w:r>
      <w:r w:rsidRPr="00F14D67">
        <w:t>ssign a home clinic</w:t>
      </w:r>
      <w:r w:rsidR="00F14D67">
        <w:t xml:space="preserve"> to a patient. S</w:t>
      </w:r>
      <w:r w:rsidRPr="00F14D67">
        <w:t>ome reports</w:t>
      </w:r>
      <w:r w:rsidR="000E4994">
        <w:t>, such as the Patient List,</w:t>
      </w:r>
      <w:r w:rsidRPr="00F14D67">
        <w:t xml:space="preserve"> use the home clinic for calculation</w:t>
      </w:r>
      <w:r w:rsidR="000E4994">
        <w:t>s</w:t>
      </w:r>
      <w:r w:rsidRPr="00F14D67">
        <w:t xml:space="preserve">. </w:t>
      </w:r>
    </w:p>
    <w:p w14:paraId="7849D76C" w14:textId="7682138A" w:rsidR="003C7783" w:rsidRPr="003C7783" w:rsidRDefault="003C7783" w:rsidP="00E92EA5">
      <w:pPr>
        <w:pStyle w:val="Heading4"/>
      </w:pPr>
      <w:r w:rsidRPr="003C7783">
        <w:t>Family Edit</w:t>
      </w:r>
    </w:p>
    <w:p w14:paraId="43DA4EC8" w14:textId="340EA4B7" w:rsidR="003C7783" w:rsidRPr="000E4994" w:rsidRDefault="003C7783" w:rsidP="004F45B6">
      <w:pPr>
        <w:pStyle w:val="BodyText"/>
        <w:keepNext/>
        <w:keepLines/>
        <w:numPr>
          <w:ilvl w:val="0"/>
          <w:numId w:val="31"/>
        </w:numPr>
        <w:ind w:left="547"/>
      </w:pPr>
      <w:r w:rsidRPr="000E4994">
        <w:rPr>
          <w:b/>
          <w:bCs/>
        </w:rPr>
        <w:t>Merge Patients</w:t>
      </w:r>
      <w:r w:rsidR="000E4994">
        <w:t xml:space="preserve"> – </w:t>
      </w:r>
      <w:r w:rsidRPr="000E4994">
        <w:t>Combine duplicate patient records into one with little to no data loss.</w:t>
      </w:r>
    </w:p>
    <w:p w14:paraId="290D34EF" w14:textId="4FE4C9DC" w:rsidR="003C7783" w:rsidRPr="000E4994" w:rsidRDefault="003C7783" w:rsidP="004F45B6">
      <w:pPr>
        <w:pStyle w:val="BodyText"/>
        <w:numPr>
          <w:ilvl w:val="0"/>
          <w:numId w:val="31"/>
        </w:numPr>
        <w:ind w:left="540"/>
      </w:pPr>
      <w:r w:rsidRPr="000E4994">
        <w:rPr>
          <w:b/>
          <w:bCs/>
        </w:rPr>
        <w:t>Family Relations</w:t>
      </w:r>
      <w:r w:rsidR="000E4994">
        <w:t xml:space="preserve"> – </w:t>
      </w:r>
      <w:r w:rsidRPr="000E4994">
        <w:t xml:space="preserve">Allows </w:t>
      </w:r>
      <w:r w:rsidR="00DF6B13">
        <w:t xml:space="preserve">for </w:t>
      </w:r>
      <w:r w:rsidRPr="000E4994">
        <w:t>the handling of unique family relationships</w:t>
      </w:r>
      <w:r w:rsidR="000E4994">
        <w:t>:</w:t>
      </w:r>
    </w:p>
    <w:p w14:paraId="7AB48C56" w14:textId="2C7E698E" w:rsidR="003C7783" w:rsidRPr="000E4994" w:rsidRDefault="003C7783" w:rsidP="004F45B6">
      <w:pPr>
        <w:pStyle w:val="BodyText"/>
        <w:numPr>
          <w:ilvl w:val="1"/>
          <w:numId w:val="151"/>
        </w:numPr>
      </w:pPr>
      <w:r w:rsidRPr="0046697F">
        <w:rPr>
          <w:b/>
          <w:bCs/>
        </w:rPr>
        <w:t xml:space="preserve">Changing the </w:t>
      </w:r>
      <w:r w:rsidR="000E4994" w:rsidRPr="0046697F">
        <w:rPr>
          <w:b/>
          <w:bCs/>
        </w:rPr>
        <w:t>h</w:t>
      </w:r>
      <w:r w:rsidRPr="0046697F">
        <w:rPr>
          <w:b/>
          <w:bCs/>
        </w:rPr>
        <w:t xml:space="preserve">ead of </w:t>
      </w:r>
      <w:r w:rsidR="000E4994" w:rsidRPr="0046697F">
        <w:rPr>
          <w:b/>
          <w:bCs/>
        </w:rPr>
        <w:t>h</w:t>
      </w:r>
      <w:r w:rsidRPr="0046697F">
        <w:rPr>
          <w:b/>
          <w:bCs/>
        </w:rPr>
        <w:t>ouse</w:t>
      </w:r>
      <w:r w:rsidR="000E4994">
        <w:t xml:space="preserve"> – </w:t>
      </w:r>
      <w:r w:rsidR="000E4994" w:rsidRPr="000E4994">
        <w:t>The head of household is also the guarantor (the person financially responsible for an account) in Dentrix Enterprise. Billing statements are generated based on a patient's guarantor and are addressed to that guarantor.</w:t>
      </w:r>
      <w:r w:rsidR="000E4994">
        <w:t xml:space="preserve"> </w:t>
      </w:r>
      <w:r w:rsidR="000E4994" w:rsidRPr="000E4994">
        <w:t>Changing the head of household transfers all guarantor transactions (current and in history) from the original head of household to the new head of household and assigns the new head of household to the entire family.</w:t>
      </w:r>
    </w:p>
    <w:p w14:paraId="7B78C56F" w14:textId="3B2246A5" w:rsidR="003C7783" w:rsidRPr="000E4994" w:rsidRDefault="003C7783" w:rsidP="004F45B6">
      <w:pPr>
        <w:pStyle w:val="BodyText"/>
        <w:numPr>
          <w:ilvl w:val="1"/>
          <w:numId w:val="151"/>
        </w:numPr>
      </w:pPr>
      <w:r w:rsidRPr="0046697F">
        <w:rPr>
          <w:b/>
          <w:bCs/>
        </w:rPr>
        <w:t xml:space="preserve">Combining </w:t>
      </w:r>
      <w:r w:rsidR="000E4994" w:rsidRPr="0046697F">
        <w:rPr>
          <w:b/>
          <w:bCs/>
        </w:rPr>
        <w:t>f</w:t>
      </w:r>
      <w:r w:rsidRPr="0046697F">
        <w:rPr>
          <w:b/>
          <w:bCs/>
        </w:rPr>
        <w:t>amilies</w:t>
      </w:r>
      <w:r w:rsidR="000E4994">
        <w:t xml:space="preserve"> – C</w:t>
      </w:r>
      <w:r w:rsidR="000E4994" w:rsidRPr="000E4994">
        <w:t>ombin</w:t>
      </w:r>
      <w:r w:rsidR="000E4994">
        <w:t>ing</w:t>
      </w:r>
      <w:r w:rsidR="000E4994" w:rsidRPr="000E4994">
        <w:t xml:space="preserve"> families </w:t>
      </w:r>
      <w:r w:rsidR="000E4994">
        <w:t xml:space="preserve">allows you to join </w:t>
      </w:r>
      <w:r w:rsidR="000E4994" w:rsidRPr="000E4994">
        <w:t xml:space="preserve">two separate accounts into one account </w:t>
      </w:r>
      <w:r w:rsidR="000E4994">
        <w:t>so they receive</w:t>
      </w:r>
      <w:r w:rsidR="00BB6486">
        <w:t xml:space="preserve"> only</w:t>
      </w:r>
      <w:r w:rsidR="000E4994">
        <w:t xml:space="preserve"> one billing statement</w:t>
      </w:r>
      <w:r w:rsidR="00BB6486">
        <w:t>. You can combine</w:t>
      </w:r>
      <w:r w:rsidR="000E4994" w:rsidRPr="000E4994">
        <w:t xml:space="preserve"> families only if no current transactions are associated with those accounts.</w:t>
      </w:r>
    </w:p>
    <w:p w14:paraId="633B3FD0" w14:textId="43A67346" w:rsidR="003C7783" w:rsidRPr="000E4994" w:rsidRDefault="003C7783" w:rsidP="004F45B6">
      <w:pPr>
        <w:pStyle w:val="BodyText"/>
        <w:numPr>
          <w:ilvl w:val="1"/>
          <w:numId w:val="151"/>
        </w:numPr>
      </w:pPr>
      <w:r w:rsidRPr="0046697F">
        <w:rPr>
          <w:b/>
          <w:bCs/>
        </w:rPr>
        <w:t xml:space="preserve">Separating </w:t>
      </w:r>
      <w:r w:rsidR="000E4994" w:rsidRPr="0046697F">
        <w:rPr>
          <w:b/>
          <w:bCs/>
        </w:rPr>
        <w:t>f</w:t>
      </w:r>
      <w:r w:rsidRPr="0046697F">
        <w:rPr>
          <w:b/>
          <w:bCs/>
        </w:rPr>
        <w:t>amilies</w:t>
      </w:r>
      <w:r w:rsidR="000E4994">
        <w:t xml:space="preserve"> – </w:t>
      </w:r>
      <w:r w:rsidR="00BB6486">
        <w:t xml:space="preserve">Separating a </w:t>
      </w:r>
      <w:r w:rsidR="000E4994" w:rsidRPr="000E4994">
        <w:t>famil</w:t>
      </w:r>
      <w:r w:rsidR="00BB6486">
        <w:t>y allows you to take one or more patients from one account and move them to another account, such as when children age out of parental care. You can separate a family</w:t>
      </w:r>
      <w:r w:rsidR="00BB6486" w:rsidRPr="000E4994">
        <w:t xml:space="preserve"> only if no current transactions are associated with th</w:t>
      </w:r>
      <w:r w:rsidR="00BB6486">
        <w:t>e</w:t>
      </w:r>
      <w:r w:rsidR="00BB6486" w:rsidRPr="000E4994">
        <w:t xml:space="preserve"> account.</w:t>
      </w:r>
      <w:r w:rsidR="000E4994" w:rsidRPr="000E4994">
        <w:t xml:space="preserve"> </w:t>
      </w:r>
    </w:p>
    <w:p w14:paraId="730BFE94" w14:textId="29C3EB56" w:rsidR="003C7783" w:rsidRPr="00BB6486" w:rsidRDefault="00EE524E" w:rsidP="00B42C69">
      <w:pPr>
        <w:pStyle w:val="BodyText"/>
        <w:rPr>
          <w:i/>
          <w:iCs/>
        </w:rPr>
      </w:pPr>
      <w:r>
        <w:rPr>
          <w:noProof/>
        </w:rPr>
        <w:drawing>
          <wp:anchor distT="0" distB="0" distL="0" distR="91440" simplePos="0" relativeHeight="251725828" behindDoc="1" locked="0" layoutInCell="1" allowOverlap="1" wp14:anchorId="5C281BEE" wp14:editId="202437F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622535061"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BB6486">
        <w:rPr>
          <w:b/>
          <w:bCs/>
          <w:i/>
          <w:iCs/>
        </w:rPr>
        <w:t>Workflow Insight</w:t>
      </w:r>
      <w:r w:rsidR="003C7783" w:rsidRPr="00BB6486">
        <w:rPr>
          <w:i/>
          <w:iCs/>
        </w:rPr>
        <w:t>:</w:t>
      </w:r>
      <w:r w:rsidR="00BB6486" w:rsidRPr="00BB6486">
        <w:rPr>
          <w:i/>
          <w:iCs/>
        </w:rPr>
        <w:t xml:space="preserve"> </w:t>
      </w:r>
      <w:r w:rsidR="003C7783" w:rsidRPr="00BB6486">
        <w:rPr>
          <w:i/>
          <w:iCs/>
        </w:rPr>
        <w:t xml:space="preserve">Combining and separating families can result in </w:t>
      </w:r>
      <w:r w:rsidR="00BB6486" w:rsidRPr="00BB6486">
        <w:rPr>
          <w:i/>
          <w:iCs/>
        </w:rPr>
        <w:t>“</w:t>
      </w:r>
      <w:r w:rsidR="003C7783" w:rsidRPr="00BB6486">
        <w:rPr>
          <w:i/>
          <w:iCs/>
        </w:rPr>
        <w:t>special adjustments</w:t>
      </w:r>
      <w:r w:rsidR="00BB6486" w:rsidRPr="00BB6486">
        <w:rPr>
          <w:i/>
          <w:iCs/>
        </w:rPr>
        <w:t>”</w:t>
      </w:r>
      <w:r w:rsidR="003C7783" w:rsidRPr="00BB6486">
        <w:rPr>
          <w:i/>
          <w:iCs/>
        </w:rPr>
        <w:t xml:space="preserve"> </w:t>
      </w:r>
      <w:r w:rsidR="00BB6486" w:rsidRPr="00BB6486">
        <w:rPr>
          <w:i/>
          <w:iCs/>
        </w:rPr>
        <w:t>in situations where</w:t>
      </w:r>
      <w:r w:rsidR="003C7783" w:rsidRPr="00BB6486">
        <w:rPr>
          <w:i/>
          <w:iCs/>
        </w:rPr>
        <w:t xml:space="preserve"> a payment </w:t>
      </w:r>
      <w:r w:rsidR="00BB6486" w:rsidRPr="00BB6486">
        <w:rPr>
          <w:i/>
          <w:iCs/>
        </w:rPr>
        <w:t xml:space="preserve">was </w:t>
      </w:r>
      <w:r w:rsidR="003C7783" w:rsidRPr="00BB6486">
        <w:rPr>
          <w:i/>
          <w:iCs/>
        </w:rPr>
        <w:t xml:space="preserve">assigned to the family, </w:t>
      </w:r>
      <w:r w:rsidR="00BB6486" w:rsidRPr="00BB6486">
        <w:rPr>
          <w:i/>
          <w:iCs/>
        </w:rPr>
        <w:t xml:space="preserve">assigned to the </w:t>
      </w:r>
      <w:r w:rsidR="003C7783" w:rsidRPr="00BB6486">
        <w:rPr>
          <w:i/>
          <w:iCs/>
        </w:rPr>
        <w:t>guarantor</w:t>
      </w:r>
      <w:r w:rsidR="00BB6486" w:rsidRPr="00BB6486">
        <w:rPr>
          <w:i/>
          <w:iCs/>
        </w:rPr>
        <w:t>,</w:t>
      </w:r>
      <w:r w:rsidR="003C7783" w:rsidRPr="00BB6486">
        <w:rPr>
          <w:i/>
          <w:iCs/>
        </w:rPr>
        <w:t xml:space="preserve"> or split between family members.  </w:t>
      </w:r>
      <w:r w:rsidR="00BB6486" w:rsidRPr="00BB6486">
        <w:rPr>
          <w:i/>
          <w:iCs/>
        </w:rPr>
        <w:t>Because</w:t>
      </w:r>
      <w:r w:rsidR="003C7783" w:rsidRPr="00BB6486">
        <w:rPr>
          <w:i/>
          <w:iCs/>
        </w:rPr>
        <w:t xml:space="preserve"> a single family payment cannot exist </w:t>
      </w:r>
      <w:r w:rsidR="00BB6486" w:rsidRPr="00BB6486">
        <w:rPr>
          <w:i/>
          <w:iCs/>
        </w:rPr>
        <w:t>i</w:t>
      </w:r>
      <w:r w:rsidR="003C7783" w:rsidRPr="00BB6486">
        <w:rPr>
          <w:i/>
          <w:iCs/>
        </w:rPr>
        <w:t xml:space="preserve">n two different family accounts, </w:t>
      </w:r>
      <w:r w:rsidR="00BB6486" w:rsidRPr="00BB6486">
        <w:rPr>
          <w:i/>
          <w:iCs/>
        </w:rPr>
        <w:t xml:space="preserve">Dentrix Enterprise adds </w:t>
      </w:r>
      <w:r w:rsidR="003C7783" w:rsidRPr="00BB6486">
        <w:rPr>
          <w:i/>
          <w:iCs/>
        </w:rPr>
        <w:t xml:space="preserve">special adjustments </w:t>
      </w:r>
      <w:r w:rsidR="00BB6486" w:rsidRPr="00BB6486">
        <w:rPr>
          <w:i/>
          <w:iCs/>
        </w:rPr>
        <w:t>into</w:t>
      </w:r>
      <w:r w:rsidR="003C7783" w:rsidRPr="00BB6486">
        <w:rPr>
          <w:i/>
          <w:iCs/>
        </w:rPr>
        <w:t xml:space="preserve"> the affected accounts to recognize the credit of that prior payment.</w:t>
      </w:r>
    </w:p>
    <w:p w14:paraId="2E3262D0" w14:textId="57329F2C" w:rsidR="003C7783" w:rsidRPr="003C7783" w:rsidRDefault="006F2FB3" w:rsidP="00D42C5A">
      <w:pPr>
        <w:pStyle w:val="Heading3"/>
      </w:pPr>
      <w:bookmarkStart w:id="131" w:name="_Toc135416701"/>
      <w:bookmarkStart w:id="132" w:name="_Toc166834338"/>
      <w:r>
        <w:rPr>
          <w:noProof/>
        </w:rPr>
        <w:drawing>
          <wp:anchor distT="0" distB="0" distL="114300" distR="114300" simplePos="0" relativeHeight="252035076" behindDoc="0" locked="0" layoutInCell="1" allowOverlap="1" wp14:anchorId="7F488D71" wp14:editId="4C112CD8">
            <wp:simplePos x="0" y="0"/>
            <wp:positionH relativeFrom="column">
              <wp:posOffset>5486400</wp:posOffset>
            </wp:positionH>
            <wp:positionV relativeFrom="paragraph">
              <wp:posOffset>509167</wp:posOffset>
            </wp:positionV>
            <wp:extent cx="365760" cy="365760"/>
            <wp:effectExtent l="0" t="0" r="0" b="0"/>
            <wp:wrapTight wrapText="bothSides">
              <wp:wrapPolygon edited="0">
                <wp:start x="0" y="0"/>
                <wp:lineTo x="0" y="20250"/>
                <wp:lineTo x="20250" y="20250"/>
                <wp:lineTo x="20250" y="0"/>
                <wp:lineTo x="0" y="0"/>
              </wp:wrapPolygon>
            </wp:wrapTight>
            <wp:docPr id="32868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4416" name=""/>
                    <pic:cNvPicPr/>
                  </pic:nvPicPr>
                  <pic:blipFill>
                    <a:blip r:embed="rId51"/>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Continuing Care</w:t>
      </w:r>
      <w:bookmarkEnd w:id="131"/>
      <w:bookmarkEnd w:id="132"/>
    </w:p>
    <w:p w14:paraId="5E058088" w14:textId="021E15AF" w:rsidR="003C7783" w:rsidRPr="003C7783" w:rsidRDefault="003C7783" w:rsidP="00B42C69">
      <w:pPr>
        <w:pStyle w:val="BodyText"/>
      </w:pPr>
      <w:r w:rsidRPr="003C7783">
        <w:t>As you schedule and reschedule a patient for a specific</w:t>
      </w:r>
      <w:r w:rsidR="00BB6486">
        <w:t>,</w:t>
      </w:r>
      <w:r w:rsidRPr="003C7783">
        <w:t xml:space="preserve"> routine service (such as a cleaning or X-rays) with the </w:t>
      </w:r>
      <w:r w:rsidR="00BB6486">
        <w:t>applicable</w:t>
      </w:r>
      <w:r w:rsidRPr="003C7783">
        <w:t xml:space="preserve"> </w:t>
      </w:r>
      <w:r w:rsidR="00BB6486">
        <w:t>c</w:t>
      </w:r>
      <w:r w:rsidRPr="003C7783">
        <w:t xml:space="preserve">ontinuing </w:t>
      </w:r>
      <w:r w:rsidR="00BB6486">
        <w:t>c</w:t>
      </w:r>
      <w:r w:rsidRPr="003C7783">
        <w:t xml:space="preserve">are flag assigned to it, Dentrix Enterprise automatically attaches that </w:t>
      </w:r>
      <w:r w:rsidR="00BB6486">
        <w:t>c</w:t>
      </w:r>
      <w:r w:rsidRPr="003C7783">
        <w:t xml:space="preserve">ontinuing </w:t>
      </w:r>
      <w:r w:rsidR="00BB6486">
        <w:t>c</w:t>
      </w:r>
      <w:r w:rsidRPr="003C7783">
        <w:t xml:space="preserve">are type to the patient and updates it accordingly.  </w:t>
      </w:r>
    </w:p>
    <w:p w14:paraId="1420B960" w14:textId="77017961" w:rsidR="003C7783" w:rsidRPr="004A3187" w:rsidRDefault="00EE524E" w:rsidP="00B42C69">
      <w:pPr>
        <w:pStyle w:val="BodyText"/>
        <w:rPr>
          <w:i/>
          <w:iCs/>
        </w:rPr>
      </w:pPr>
      <w:r>
        <w:rPr>
          <w:noProof/>
        </w:rPr>
        <w:drawing>
          <wp:anchor distT="0" distB="0" distL="0" distR="91440" simplePos="0" relativeHeight="251727876" behindDoc="1" locked="0" layoutInCell="1" allowOverlap="1" wp14:anchorId="0E9A69B0" wp14:editId="28838088">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98444398"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4A3187">
        <w:rPr>
          <w:b/>
          <w:i/>
          <w:iCs/>
        </w:rPr>
        <w:t>Workflow Insight</w:t>
      </w:r>
      <w:r w:rsidR="003C7783" w:rsidRPr="004A3187">
        <w:rPr>
          <w:bCs/>
          <w:i/>
          <w:iCs/>
        </w:rPr>
        <w:t xml:space="preserve">: </w:t>
      </w:r>
      <w:r w:rsidR="00BB6486" w:rsidRPr="004A3187">
        <w:rPr>
          <w:bCs/>
          <w:i/>
          <w:iCs/>
        </w:rPr>
        <w:t>You can manually assign c</w:t>
      </w:r>
      <w:r w:rsidR="003C7783" w:rsidRPr="004A3187">
        <w:rPr>
          <w:i/>
          <w:iCs/>
        </w:rPr>
        <w:t xml:space="preserve">ontinuing </w:t>
      </w:r>
      <w:r w:rsidR="00BB6486" w:rsidRPr="004A3187">
        <w:rPr>
          <w:i/>
          <w:iCs/>
        </w:rPr>
        <w:t>c</w:t>
      </w:r>
      <w:r w:rsidR="003C7783" w:rsidRPr="004A3187">
        <w:rPr>
          <w:i/>
          <w:iCs/>
        </w:rPr>
        <w:t xml:space="preserve">are types </w:t>
      </w:r>
      <w:r w:rsidR="00BB6486" w:rsidRPr="004A3187">
        <w:rPr>
          <w:i/>
          <w:iCs/>
        </w:rPr>
        <w:t>to a patient’s record, such as if continuing care was not attached</w:t>
      </w:r>
      <w:r w:rsidR="004A3187" w:rsidRPr="004A3187">
        <w:rPr>
          <w:i/>
          <w:iCs/>
        </w:rPr>
        <w:t xml:space="preserve"> after an appointment</w:t>
      </w:r>
      <w:r w:rsidR="003C7783" w:rsidRPr="004A3187">
        <w:rPr>
          <w:i/>
          <w:iCs/>
        </w:rPr>
        <w:t xml:space="preserve">. </w:t>
      </w:r>
      <w:r w:rsidR="00BB6486" w:rsidRPr="004A3187">
        <w:rPr>
          <w:i/>
          <w:iCs/>
        </w:rPr>
        <w:t xml:space="preserve">You may also need to </w:t>
      </w:r>
      <w:r w:rsidR="003C7783" w:rsidRPr="004A3187">
        <w:rPr>
          <w:i/>
          <w:iCs/>
        </w:rPr>
        <w:t xml:space="preserve">manually update </w:t>
      </w:r>
      <w:r w:rsidR="00BB6486" w:rsidRPr="004A3187">
        <w:rPr>
          <w:i/>
          <w:iCs/>
        </w:rPr>
        <w:t xml:space="preserve">continuing care types in </w:t>
      </w:r>
      <w:r w:rsidR="003C7783" w:rsidRPr="004A3187">
        <w:rPr>
          <w:i/>
          <w:iCs/>
        </w:rPr>
        <w:t>a patient's record,</w:t>
      </w:r>
      <w:r w:rsidR="00BB6486" w:rsidRPr="004A3187">
        <w:rPr>
          <w:i/>
          <w:iCs/>
        </w:rPr>
        <w:t xml:space="preserve"> such as during </w:t>
      </w:r>
      <w:r w:rsidR="004A3187" w:rsidRPr="004A3187">
        <w:rPr>
          <w:i/>
          <w:iCs/>
        </w:rPr>
        <w:t xml:space="preserve">an </w:t>
      </w:r>
      <w:r w:rsidR="003C7783" w:rsidRPr="004A3187">
        <w:rPr>
          <w:i/>
          <w:iCs/>
        </w:rPr>
        <w:t>appointment preparation.</w:t>
      </w:r>
    </w:p>
    <w:p w14:paraId="33306D5D" w14:textId="3BD3F394" w:rsidR="004A3187" w:rsidRDefault="004A3187" w:rsidP="004A3187">
      <w:pPr>
        <w:pStyle w:val="BodyText"/>
      </w:pPr>
      <w:r>
        <w:t>Do any of the following for a patient’s continuing care</w:t>
      </w:r>
      <w:r w:rsidR="005D415A">
        <w:t xml:space="preserve"> type</w:t>
      </w:r>
      <w:r>
        <w:t>:</w:t>
      </w:r>
    </w:p>
    <w:p w14:paraId="467454CB" w14:textId="022C5D52" w:rsidR="003C7783" w:rsidRPr="004A3187" w:rsidRDefault="003C7783">
      <w:pPr>
        <w:pStyle w:val="BodyText"/>
        <w:numPr>
          <w:ilvl w:val="0"/>
          <w:numId w:val="6"/>
        </w:numPr>
        <w:ind w:left="540"/>
      </w:pPr>
      <w:r w:rsidRPr="0046697F">
        <w:rPr>
          <w:b/>
          <w:bCs/>
        </w:rPr>
        <w:t>Overrid</w:t>
      </w:r>
      <w:r w:rsidR="004A3187" w:rsidRPr="0046697F">
        <w:rPr>
          <w:b/>
          <w:bCs/>
        </w:rPr>
        <w:t>e the d</w:t>
      </w:r>
      <w:r w:rsidRPr="0046697F">
        <w:rPr>
          <w:b/>
          <w:bCs/>
        </w:rPr>
        <w:t>efaults</w:t>
      </w:r>
      <w:r w:rsidR="004A3187">
        <w:t xml:space="preserve"> – For each continuing care type, y</w:t>
      </w:r>
      <w:r w:rsidRPr="004A3187">
        <w:t xml:space="preserve">ou can set up general default settings for all patients; however, </w:t>
      </w:r>
      <w:r w:rsidR="004A3187">
        <w:t>in</w:t>
      </w:r>
      <w:r w:rsidRPr="004A3187">
        <w:t xml:space="preserve"> Family File, you can override</w:t>
      </w:r>
      <w:r w:rsidR="004A3187">
        <w:t xml:space="preserve"> any of</w:t>
      </w:r>
      <w:r w:rsidRPr="004A3187">
        <w:t xml:space="preserve"> </w:t>
      </w:r>
      <w:r w:rsidR="004A3187">
        <w:t>the general defaults for a continuing care type after you attach it to a patient’s record</w:t>
      </w:r>
      <w:r w:rsidRPr="004A3187">
        <w:t>.</w:t>
      </w:r>
      <w:r w:rsidR="004A3187">
        <w:t xml:space="preserve"> </w:t>
      </w:r>
      <w:r w:rsidRPr="004A3187">
        <w:t xml:space="preserve">You can also specify </w:t>
      </w:r>
      <w:r w:rsidR="005D415A">
        <w:t xml:space="preserve">patient </w:t>
      </w:r>
      <w:r w:rsidRPr="004A3187">
        <w:t xml:space="preserve">overrides for </w:t>
      </w:r>
      <w:r w:rsidR="005D415A">
        <w:t xml:space="preserve">a </w:t>
      </w:r>
      <w:r w:rsidR="004A3187">
        <w:t>c</w:t>
      </w:r>
      <w:r w:rsidRPr="004A3187">
        <w:t xml:space="preserve">ontinuing </w:t>
      </w:r>
      <w:r w:rsidR="004A3187">
        <w:t>c</w:t>
      </w:r>
      <w:r w:rsidRPr="004A3187">
        <w:t xml:space="preserve">are </w:t>
      </w:r>
      <w:r w:rsidR="005D415A">
        <w:t xml:space="preserve">type </w:t>
      </w:r>
      <w:r w:rsidRPr="004A3187">
        <w:t xml:space="preserve">before you </w:t>
      </w:r>
      <w:r w:rsidR="005D415A">
        <w:t>attach it to a patient’s record.</w:t>
      </w:r>
    </w:p>
    <w:p w14:paraId="77E5BD12" w14:textId="0507F30A" w:rsidR="003C7783" w:rsidRDefault="004A3187">
      <w:pPr>
        <w:pStyle w:val="BodyText"/>
        <w:numPr>
          <w:ilvl w:val="0"/>
          <w:numId w:val="6"/>
        </w:numPr>
        <w:ind w:left="540"/>
      </w:pPr>
      <w:r w:rsidRPr="0046697F">
        <w:rPr>
          <w:b/>
          <w:bCs/>
        </w:rPr>
        <w:t>Edit</w:t>
      </w:r>
      <w:r w:rsidR="005D415A">
        <w:t xml:space="preserve"> </w:t>
      </w:r>
      <w:r>
        <w:t xml:space="preserve">– </w:t>
      </w:r>
      <w:r w:rsidR="005D415A">
        <w:t>Y</w:t>
      </w:r>
      <w:r w:rsidR="003C7783" w:rsidRPr="004A3187">
        <w:t xml:space="preserve">ou can edit a </w:t>
      </w:r>
      <w:r w:rsidR="005D415A">
        <w:t>c</w:t>
      </w:r>
      <w:r w:rsidR="003C7783" w:rsidRPr="004A3187">
        <w:t xml:space="preserve">ontinuing </w:t>
      </w:r>
      <w:r w:rsidR="005D415A">
        <w:t>c</w:t>
      </w:r>
      <w:r w:rsidR="003C7783" w:rsidRPr="004A3187">
        <w:t xml:space="preserve">are type </w:t>
      </w:r>
      <w:r w:rsidR="005D415A">
        <w:t>that is attached to a patient’s record</w:t>
      </w:r>
      <w:r w:rsidR="003C7783" w:rsidRPr="004A3187">
        <w:t>.</w:t>
      </w:r>
    </w:p>
    <w:p w14:paraId="258240A6" w14:textId="445E952C" w:rsidR="005D415A" w:rsidRPr="004A3187" w:rsidRDefault="005D415A" w:rsidP="005D415A">
      <w:pPr>
        <w:pStyle w:val="BodyText"/>
        <w:numPr>
          <w:ilvl w:val="0"/>
          <w:numId w:val="6"/>
        </w:numPr>
        <w:ind w:left="540"/>
      </w:pPr>
      <w:r w:rsidRPr="0046697F">
        <w:rPr>
          <w:b/>
          <w:bCs/>
        </w:rPr>
        <w:lastRenderedPageBreak/>
        <w:t>Clear</w:t>
      </w:r>
      <w:r>
        <w:t xml:space="preserve"> – You can remove</w:t>
      </w:r>
      <w:r w:rsidRPr="004A3187">
        <w:t xml:space="preserve"> a </w:t>
      </w:r>
      <w:r>
        <w:t>c</w:t>
      </w:r>
      <w:r w:rsidRPr="004A3187">
        <w:t xml:space="preserve">ontinuing </w:t>
      </w:r>
      <w:r>
        <w:t>c</w:t>
      </w:r>
      <w:r w:rsidRPr="004A3187">
        <w:t xml:space="preserve">are type from a patient </w:t>
      </w:r>
      <w:r>
        <w:t>if you</w:t>
      </w:r>
      <w:r w:rsidRPr="004A3187">
        <w:t xml:space="preserve"> no longer </w:t>
      </w:r>
      <w:r>
        <w:t xml:space="preserve">need to </w:t>
      </w:r>
      <w:r w:rsidRPr="004A3187">
        <w:t xml:space="preserve">track or update that </w:t>
      </w:r>
      <w:r>
        <w:t>c</w:t>
      </w:r>
      <w:r w:rsidRPr="004A3187">
        <w:t xml:space="preserve">ontinuing </w:t>
      </w:r>
      <w:r>
        <w:t>c</w:t>
      </w:r>
      <w:r w:rsidRPr="004A3187">
        <w:t>are type</w:t>
      </w:r>
      <w:r>
        <w:t xml:space="preserve"> for the patient</w:t>
      </w:r>
      <w:r w:rsidRPr="004A3187">
        <w:t>.</w:t>
      </w:r>
    </w:p>
    <w:p w14:paraId="6B9017E6" w14:textId="4AC1D0DD" w:rsidR="00B42C69" w:rsidRPr="00B42C69" w:rsidRDefault="003C7783" w:rsidP="00D42C5A">
      <w:pPr>
        <w:pStyle w:val="Heading3"/>
      </w:pPr>
      <w:bookmarkStart w:id="133" w:name="_Toc166834339"/>
      <w:r w:rsidRPr="003C7783">
        <w:t>Referral Information</w:t>
      </w:r>
      <w:bookmarkEnd w:id="133"/>
    </w:p>
    <w:p w14:paraId="439346C3" w14:textId="2179AAC3" w:rsidR="003C7783" w:rsidRPr="003C7783" w:rsidRDefault="00C24126" w:rsidP="004A2A35">
      <w:pPr>
        <w:pStyle w:val="BodyText"/>
        <w:keepNext/>
        <w:keepLines/>
      </w:pPr>
      <w:r>
        <w:rPr>
          <w:noProof/>
        </w:rPr>
        <w:drawing>
          <wp:anchor distT="0" distB="0" distL="114300" distR="114300" simplePos="0" relativeHeight="252039172" behindDoc="0" locked="0" layoutInCell="1" allowOverlap="1" wp14:anchorId="5398BD86" wp14:editId="5307C113">
            <wp:simplePos x="0" y="0"/>
            <wp:positionH relativeFrom="column">
              <wp:posOffset>5486400</wp:posOffset>
            </wp:positionH>
            <wp:positionV relativeFrom="paragraph">
              <wp:posOffset>42427</wp:posOffset>
            </wp:positionV>
            <wp:extent cx="365760" cy="365760"/>
            <wp:effectExtent l="0" t="0" r="0" b="0"/>
            <wp:wrapTight wrapText="bothSides">
              <wp:wrapPolygon edited="0">
                <wp:start x="0" y="0"/>
                <wp:lineTo x="0" y="20250"/>
                <wp:lineTo x="20250" y="20250"/>
                <wp:lineTo x="20250" y="0"/>
                <wp:lineTo x="0" y="0"/>
              </wp:wrapPolygon>
            </wp:wrapTight>
            <wp:docPr id="121459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8715" name=""/>
                    <pic:cNvPicPr/>
                  </pic:nvPicPr>
                  <pic:blipFill>
                    <a:blip r:embed="rId50"/>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 xml:space="preserve">To track the effectiveness of your referral sources, you </w:t>
      </w:r>
      <w:r w:rsidR="005D415A">
        <w:t>must</w:t>
      </w:r>
      <w:r w:rsidR="003C7783" w:rsidRPr="003C7783">
        <w:t xml:space="preserve"> first add them to your Dentrix Enterprise database. Once you have added sources to the database, you can assign them to patients as they are referred to or from your office. </w:t>
      </w:r>
    </w:p>
    <w:p w14:paraId="040E7DFC" w14:textId="4EEE4025" w:rsidR="003C7783" w:rsidRPr="005D415A" w:rsidRDefault="003C7783" w:rsidP="004F45B6">
      <w:pPr>
        <w:pStyle w:val="BodyText"/>
        <w:keepNext/>
        <w:keepLines/>
        <w:numPr>
          <w:ilvl w:val="0"/>
          <w:numId w:val="32"/>
        </w:numPr>
        <w:ind w:left="540"/>
      </w:pPr>
      <w:r w:rsidRPr="0046697F">
        <w:rPr>
          <w:b/>
          <w:bCs/>
        </w:rPr>
        <w:t xml:space="preserve">Incoming </w:t>
      </w:r>
      <w:r w:rsidR="005D415A" w:rsidRPr="0046697F">
        <w:rPr>
          <w:b/>
          <w:bCs/>
        </w:rPr>
        <w:t>r</w:t>
      </w:r>
      <w:r w:rsidRPr="0046697F">
        <w:rPr>
          <w:b/>
          <w:bCs/>
        </w:rPr>
        <w:t>eferral</w:t>
      </w:r>
      <w:r w:rsidR="005D415A">
        <w:t xml:space="preserve"> – </w:t>
      </w:r>
      <w:r w:rsidRPr="005D415A">
        <w:t xml:space="preserve">From the </w:t>
      </w:r>
      <w:r w:rsidRPr="005D415A">
        <w:rPr>
          <w:b/>
          <w:bCs/>
        </w:rPr>
        <w:t>Referred By</w:t>
      </w:r>
      <w:r w:rsidRPr="005D415A">
        <w:t xml:space="preserve"> block in Family File, you can view and enter information about the individual or source that referred the current patient to your practice. </w:t>
      </w:r>
      <w:r w:rsidR="005D415A">
        <w:t>An incoming referral can be either a “</w:t>
      </w:r>
      <w:r w:rsidRPr="005D415A">
        <w:t>Referred By Patient</w:t>
      </w:r>
      <w:r w:rsidR="005D415A">
        <w:t>”</w:t>
      </w:r>
      <w:r w:rsidRPr="005D415A">
        <w:t xml:space="preserve"> </w:t>
      </w:r>
      <w:r w:rsidR="005D415A">
        <w:t>or a</w:t>
      </w:r>
      <w:r w:rsidRPr="005D415A">
        <w:t xml:space="preserve"> </w:t>
      </w:r>
      <w:r w:rsidR="005D415A">
        <w:t>“</w:t>
      </w:r>
      <w:r w:rsidRPr="005D415A">
        <w:t>Referred By Doctor/Other</w:t>
      </w:r>
      <w:r w:rsidR="005D415A">
        <w:t>”</w:t>
      </w:r>
      <w:r w:rsidRPr="005D415A">
        <w:t xml:space="preserve"> referral type. </w:t>
      </w:r>
    </w:p>
    <w:p w14:paraId="3B03E98A" w14:textId="6FA442B9" w:rsidR="003C7783" w:rsidRPr="003C7783" w:rsidRDefault="003C7783" w:rsidP="004F45B6">
      <w:pPr>
        <w:pStyle w:val="BodyText"/>
        <w:numPr>
          <w:ilvl w:val="0"/>
          <w:numId w:val="32"/>
        </w:numPr>
        <w:ind w:left="540"/>
      </w:pPr>
      <w:r w:rsidRPr="0046697F">
        <w:rPr>
          <w:b/>
          <w:bCs/>
        </w:rPr>
        <w:t xml:space="preserve">Outgoing </w:t>
      </w:r>
      <w:r w:rsidR="005D415A" w:rsidRPr="0046697F">
        <w:rPr>
          <w:b/>
          <w:bCs/>
        </w:rPr>
        <w:t>r</w:t>
      </w:r>
      <w:r w:rsidRPr="0046697F">
        <w:rPr>
          <w:b/>
          <w:bCs/>
        </w:rPr>
        <w:t>eferral</w:t>
      </w:r>
      <w:r w:rsidR="005D415A">
        <w:t xml:space="preserve"> – </w:t>
      </w:r>
      <w:r w:rsidRPr="005D415A">
        <w:t>Fro</w:t>
      </w:r>
      <w:r w:rsidRPr="003C7783">
        <w:rPr>
          <w:bCs/>
        </w:rPr>
        <w:t xml:space="preserve">m the </w:t>
      </w:r>
      <w:r w:rsidRPr="005D415A">
        <w:rPr>
          <w:b/>
        </w:rPr>
        <w:t>Referred To</w:t>
      </w:r>
      <w:r w:rsidRPr="003C7783">
        <w:rPr>
          <w:bCs/>
        </w:rPr>
        <w:t xml:space="preserve"> block in Family File, you can view and enter information about </w:t>
      </w:r>
      <w:r w:rsidRPr="003C7783">
        <w:t xml:space="preserve">other dental providers, professionals, and specialists to whom you refer treatment or services as referrals. </w:t>
      </w:r>
      <w:r w:rsidR="005D415A">
        <w:t>You can attach an outgoing referral (a “Referred To” referral type)</w:t>
      </w:r>
      <w:r w:rsidRPr="003C7783">
        <w:t xml:space="preserve"> to treatment-planned procedures</w:t>
      </w:r>
      <w:r w:rsidR="005D415A">
        <w:t xml:space="preserve"> to have</w:t>
      </w:r>
      <w:r w:rsidRPr="003C7783">
        <w:t xml:space="preserve"> Dentrix Enterprise help you track the patients who have been referred to other doctor</w:t>
      </w:r>
      <w:r w:rsidR="005D415A">
        <w:t>s</w:t>
      </w:r>
      <w:r w:rsidRPr="003C7783">
        <w:t xml:space="preserve"> or specialist</w:t>
      </w:r>
      <w:r w:rsidR="005D415A">
        <w:t>s</w:t>
      </w:r>
      <w:r w:rsidRPr="003C7783">
        <w:t xml:space="preserve">. </w:t>
      </w:r>
    </w:p>
    <w:p w14:paraId="2023276E" w14:textId="0CEE5616" w:rsidR="003C7783" w:rsidRPr="003C7783" w:rsidRDefault="00395C6B" w:rsidP="004267C0">
      <w:pPr>
        <w:pStyle w:val="Heading2"/>
      </w:pPr>
      <w:bookmarkStart w:id="134" w:name="_Toc135416702"/>
      <w:bookmarkStart w:id="135" w:name="_Toc166834340"/>
      <w:r>
        <w:t xml:space="preserve">Patient Financial </w:t>
      </w:r>
      <w:r w:rsidR="005D0572">
        <w:t>and</w:t>
      </w:r>
      <w:r>
        <w:t xml:space="preserve"> Billing Info</w:t>
      </w:r>
      <w:bookmarkEnd w:id="134"/>
      <w:r w:rsidR="005D0572">
        <w:t>rmation</w:t>
      </w:r>
      <w:bookmarkEnd w:id="135"/>
    </w:p>
    <w:p w14:paraId="7FAC67B2" w14:textId="0C510835" w:rsidR="003C7783" w:rsidRPr="003C7783" w:rsidRDefault="00591635" w:rsidP="00B42C69">
      <w:pPr>
        <w:pStyle w:val="BodyText"/>
        <w:rPr>
          <w:b/>
          <w:bCs/>
        </w:rPr>
      </w:pPr>
      <w:r>
        <w:rPr>
          <w:noProof/>
        </w:rPr>
        <w:drawing>
          <wp:anchor distT="0" distB="0" distL="114300" distR="114300" simplePos="0" relativeHeight="252041220" behindDoc="0" locked="0" layoutInCell="1" allowOverlap="1" wp14:anchorId="1D217659" wp14:editId="2487DF38">
            <wp:simplePos x="0" y="0"/>
            <wp:positionH relativeFrom="column">
              <wp:posOffset>5486400</wp:posOffset>
            </wp:positionH>
            <wp:positionV relativeFrom="paragraph">
              <wp:posOffset>41408</wp:posOffset>
            </wp:positionV>
            <wp:extent cx="365760" cy="365760"/>
            <wp:effectExtent l="0" t="0" r="0" b="0"/>
            <wp:wrapTight wrapText="bothSides">
              <wp:wrapPolygon edited="0">
                <wp:start x="0" y="0"/>
                <wp:lineTo x="0" y="20250"/>
                <wp:lineTo x="20250" y="20250"/>
                <wp:lineTo x="20250" y="0"/>
                <wp:lineTo x="0" y="0"/>
              </wp:wrapPolygon>
            </wp:wrapTight>
            <wp:docPr id="109966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8715" name=""/>
                    <pic:cNvPicPr/>
                  </pic:nvPicPr>
                  <pic:blipFill>
                    <a:blip r:embed="rId50"/>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42C69" w:rsidRPr="00B42C69">
        <w:rPr>
          <w:bCs/>
        </w:rPr>
        <w:t>T</w:t>
      </w:r>
      <w:r w:rsidR="003C7783" w:rsidRPr="003C7783">
        <w:rPr>
          <w:bCs/>
        </w:rPr>
        <w:t>he</w:t>
      </w:r>
      <w:r w:rsidR="003C7783" w:rsidRPr="003C7783">
        <w:t xml:space="preserve"> </w:t>
      </w:r>
      <w:r w:rsidR="003C7783" w:rsidRPr="00DF6B13">
        <w:rPr>
          <w:b/>
          <w:bCs/>
        </w:rPr>
        <w:t>Financial Information</w:t>
      </w:r>
      <w:r w:rsidR="003C7783" w:rsidRPr="003C7783">
        <w:t xml:space="preserve"> block in the Family File displays certain financial details about the family account: billing type, balance, and payment details. You can also update this information, manage payment plans</w:t>
      </w:r>
      <w:r w:rsidR="00325DD5">
        <w:t>,</w:t>
      </w:r>
      <w:r w:rsidR="003C7783" w:rsidRPr="003C7783">
        <w:t xml:space="preserve"> and access guarantor notes. </w:t>
      </w:r>
    </w:p>
    <w:p w14:paraId="1C768156" w14:textId="5AF01F04" w:rsidR="003C7783" w:rsidRPr="003C7783" w:rsidRDefault="003C7783" w:rsidP="00325DD5">
      <w:pPr>
        <w:pStyle w:val="BodyText"/>
      </w:pPr>
      <w:r w:rsidRPr="00362555">
        <w:rPr>
          <w:b/>
          <w:bCs/>
        </w:rPr>
        <w:t>Why is it important?</w:t>
      </w:r>
      <w:r w:rsidRPr="003C7783">
        <w:t xml:space="preserve"> Documenting patients and financial information is the foundation for a successful </w:t>
      </w:r>
      <w:r w:rsidR="00325DD5">
        <w:t>r</w:t>
      </w:r>
      <w:r w:rsidRPr="003C7783">
        <w:t xml:space="preserve">evenue </w:t>
      </w:r>
      <w:r w:rsidR="00325DD5">
        <w:t>c</w:t>
      </w:r>
      <w:r w:rsidRPr="003C7783">
        <w:t xml:space="preserve">ycle </w:t>
      </w:r>
      <w:r w:rsidR="00325DD5">
        <w:t>m</w:t>
      </w:r>
      <w:r w:rsidRPr="003C7783">
        <w:t>anagement system. Attention to detail with data entry will result in accurate patient reporting. Errors in the patient financial and billing workflows will negatively impact treatment plan estimates</w:t>
      </w:r>
      <w:r w:rsidR="00325DD5">
        <w:t xml:space="preserve">, </w:t>
      </w:r>
      <w:r w:rsidRPr="003C7783">
        <w:t>collections</w:t>
      </w:r>
      <w:r w:rsidR="00325DD5">
        <w:t>, and</w:t>
      </w:r>
      <w:r w:rsidRPr="003C7783">
        <w:t xml:space="preserve"> financial and patient reporting</w:t>
      </w:r>
      <w:r w:rsidR="00325DD5">
        <w:t>.</w:t>
      </w:r>
    </w:p>
    <w:p w14:paraId="684F0463" w14:textId="4026221E" w:rsidR="00B42C69" w:rsidRPr="00B42C69" w:rsidRDefault="003C7783" w:rsidP="00D42C5A">
      <w:pPr>
        <w:pStyle w:val="Heading3"/>
      </w:pPr>
      <w:bookmarkStart w:id="136" w:name="_Toc135416703"/>
      <w:bookmarkStart w:id="137" w:name="_Toc166834341"/>
      <w:r w:rsidRPr="003C7783">
        <w:t>Billing Types</w:t>
      </w:r>
      <w:bookmarkEnd w:id="136"/>
      <w:bookmarkEnd w:id="137"/>
    </w:p>
    <w:p w14:paraId="094C8FE5" w14:textId="15663020" w:rsidR="003C7783" w:rsidRDefault="003C7783" w:rsidP="00B42C69">
      <w:pPr>
        <w:pStyle w:val="BodyText"/>
      </w:pPr>
      <w:r w:rsidRPr="003C7783">
        <w:t xml:space="preserve">Billing </w:t>
      </w:r>
      <w:r w:rsidR="00325DD5">
        <w:t>t</w:t>
      </w:r>
      <w:r w:rsidRPr="003C7783">
        <w:t xml:space="preserve">ypes are account specific, meaning that all patients within a family will be assigned the same </w:t>
      </w:r>
      <w:r w:rsidR="00325DD5">
        <w:t>b</w:t>
      </w:r>
      <w:r w:rsidRPr="003C7783">
        <w:t>illin</w:t>
      </w:r>
      <w:r w:rsidRPr="005D415A">
        <w:t xml:space="preserve">g </w:t>
      </w:r>
      <w:r w:rsidR="00325DD5">
        <w:t>t</w:t>
      </w:r>
      <w:r w:rsidRPr="005D415A">
        <w:t xml:space="preserve">ype. You can assign </w:t>
      </w:r>
      <w:r w:rsidR="00325DD5">
        <w:t>b</w:t>
      </w:r>
      <w:r w:rsidRPr="005D415A">
        <w:t xml:space="preserve">illing </w:t>
      </w:r>
      <w:r w:rsidR="00325DD5">
        <w:t>t</w:t>
      </w:r>
      <w:r w:rsidRPr="005D415A">
        <w:t>ypes from either Family File or Ledger.</w:t>
      </w:r>
    </w:p>
    <w:p w14:paraId="0F69725B" w14:textId="600A870D" w:rsidR="00325DD5" w:rsidRPr="005D415A" w:rsidRDefault="00325DD5" w:rsidP="00B42C69">
      <w:pPr>
        <w:pStyle w:val="BodyText"/>
      </w:pPr>
      <w:r>
        <w:t>Benefits of using billing types:</w:t>
      </w:r>
    </w:p>
    <w:p w14:paraId="5938FAE3" w14:textId="754D984A" w:rsidR="003C7783" w:rsidRPr="005D415A" w:rsidRDefault="003C7783" w:rsidP="004F45B6">
      <w:pPr>
        <w:pStyle w:val="BodyText"/>
        <w:numPr>
          <w:ilvl w:val="0"/>
          <w:numId w:val="33"/>
        </w:numPr>
        <w:ind w:left="540"/>
      </w:pPr>
      <w:r w:rsidRPr="0046697F">
        <w:rPr>
          <w:b/>
          <w:bCs/>
        </w:rPr>
        <w:t xml:space="preserve">Collection </w:t>
      </w:r>
      <w:r w:rsidR="00325DD5" w:rsidRPr="0046697F">
        <w:rPr>
          <w:b/>
          <w:bCs/>
        </w:rPr>
        <w:t>r</w:t>
      </w:r>
      <w:r w:rsidRPr="0046697F">
        <w:rPr>
          <w:b/>
          <w:bCs/>
        </w:rPr>
        <w:t>outines</w:t>
      </w:r>
      <w:r w:rsidRPr="005D415A">
        <w:t xml:space="preserve"> </w:t>
      </w:r>
      <w:r w:rsidR="00325DD5">
        <w:t>–</w:t>
      </w:r>
      <w:r w:rsidRPr="005D415A">
        <w:t xml:space="preserve"> Using </w:t>
      </w:r>
      <w:r w:rsidR="00325DD5">
        <w:t>b</w:t>
      </w:r>
      <w:r w:rsidRPr="005D415A">
        <w:t xml:space="preserve">illing </w:t>
      </w:r>
      <w:r w:rsidR="00325DD5">
        <w:t>t</w:t>
      </w:r>
      <w:r w:rsidRPr="005D415A">
        <w:t>ypes in Dentrix Enterprise, you can target specific groups when applying finance charges, processing bills, and generating reports.</w:t>
      </w:r>
    </w:p>
    <w:p w14:paraId="79FDC73B" w14:textId="10CF83F9" w:rsidR="003C7783" w:rsidRPr="003C7783" w:rsidRDefault="003C7783" w:rsidP="004F45B6">
      <w:pPr>
        <w:pStyle w:val="BodyText"/>
        <w:numPr>
          <w:ilvl w:val="0"/>
          <w:numId w:val="33"/>
        </w:numPr>
        <w:ind w:left="540"/>
      </w:pPr>
      <w:r w:rsidRPr="0046697F">
        <w:rPr>
          <w:b/>
          <w:bCs/>
        </w:rPr>
        <w:t xml:space="preserve">Financial </w:t>
      </w:r>
      <w:r w:rsidR="00325DD5" w:rsidRPr="0046697F">
        <w:rPr>
          <w:b/>
          <w:bCs/>
        </w:rPr>
        <w:t>a</w:t>
      </w:r>
      <w:r w:rsidRPr="0046697F">
        <w:rPr>
          <w:b/>
          <w:bCs/>
        </w:rPr>
        <w:t>ssistance</w:t>
      </w:r>
      <w:r w:rsidRPr="005D415A">
        <w:t xml:space="preserve"> </w:t>
      </w:r>
      <w:r w:rsidR="00325DD5">
        <w:t>–</w:t>
      </w:r>
      <w:r w:rsidRPr="005D415A">
        <w:t xml:space="preserve"> </w:t>
      </w:r>
      <w:r w:rsidR="00325DD5">
        <w:t>Using</w:t>
      </w:r>
      <w:r w:rsidRPr="005D415A">
        <w:t xml:space="preserve"> </w:t>
      </w:r>
      <w:r w:rsidR="00325DD5">
        <w:t>b</w:t>
      </w:r>
      <w:r w:rsidRPr="005D415A">
        <w:t xml:space="preserve">illing </w:t>
      </w:r>
      <w:r w:rsidR="00325DD5">
        <w:t>t</w:t>
      </w:r>
      <w:r w:rsidRPr="005D415A">
        <w:t xml:space="preserve">ypes that are meaningful to your organization, everyone can be on the same page. For example, if you attach a </w:t>
      </w:r>
      <w:r w:rsidR="00325DD5">
        <w:t>b</w:t>
      </w:r>
      <w:r w:rsidRPr="005D415A">
        <w:t xml:space="preserve">illing </w:t>
      </w:r>
      <w:r w:rsidR="00325DD5">
        <w:t>t</w:t>
      </w:r>
      <w:r w:rsidRPr="005D415A">
        <w:t>ype to patient</w:t>
      </w:r>
      <w:r w:rsidR="00325DD5">
        <w:t>s</w:t>
      </w:r>
      <w:r w:rsidRPr="005D415A">
        <w:t xml:space="preserve"> </w:t>
      </w:r>
      <w:r w:rsidR="00325DD5">
        <w:t xml:space="preserve">who are </w:t>
      </w:r>
      <w:r w:rsidRPr="005D415A">
        <w:t>eligible for financial assistanc</w:t>
      </w:r>
      <w:r w:rsidRPr="003C7783">
        <w:t xml:space="preserve">e from slides or grants, you can easily see that </w:t>
      </w:r>
      <w:r w:rsidR="00325DD5">
        <w:t>b</w:t>
      </w:r>
      <w:r w:rsidRPr="003C7783">
        <w:t xml:space="preserve">illing </w:t>
      </w:r>
      <w:r w:rsidR="00325DD5">
        <w:t>t</w:t>
      </w:r>
      <w:r w:rsidRPr="003C7783">
        <w:t>ype in Family File and Ledger</w:t>
      </w:r>
      <w:r w:rsidR="00325DD5">
        <w:t>; t</w:t>
      </w:r>
      <w:r w:rsidRPr="003C7783">
        <w:t xml:space="preserve">hen, as you check those patients out, you will know that you need to collect payment for services today or run reports specific to the funding/financial type.  </w:t>
      </w:r>
    </w:p>
    <w:p w14:paraId="09107671" w14:textId="597E014A" w:rsidR="00362555" w:rsidRDefault="003C7783" w:rsidP="00D42C5A">
      <w:pPr>
        <w:pStyle w:val="Heading3"/>
      </w:pPr>
      <w:bookmarkStart w:id="138" w:name="_Toc135416704"/>
      <w:bookmarkStart w:id="139" w:name="_Toc166834342"/>
      <w:r w:rsidRPr="003C7783">
        <w:lastRenderedPageBreak/>
        <w:t>Insurance</w:t>
      </w:r>
      <w:bookmarkEnd w:id="138"/>
      <w:bookmarkEnd w:id="139"/>
    </w:p>
    <w:p w14:paraId="17D10A70" w14:textId="21147A23" w:rsidR="003C7783" w:rsidRPr="003C7783" w:rsidRDefault="003C7783" w:rsidP="004A2A35">
      <w:pPr>
        <w:pStyle w:val="BodyText"/>
        <w:keepNext/>
        <w:keepLines/>
      </w:pPr>
      <w:r w:rsidRPr="003C7783">
        <w:t xml:space="preserve">You can add insurance coverage to a head of household or patient in Family File. The insurance coverage </w:t>
      </w:r>
      <w:r w:rsidR="00DF6B13">
        <w:t xml:space="preserve">that is </w:t>
      </w:r>
      <w:r w:rsidRPr="003C7783">
        <w:t xml:space="preserve">attached to a head of household or patient appears in the </w:t>
      </w:r>
      <w:r w:rsidRPr="00DF6B13">
        <w:rPr>
          <w:b/>
          <w:bCs/>
        </w:rPr>
        <w:t>Insurance Information</w:t>
      </w:r>
      <w:r w:rsidRPr="003C7783">
        <w:t xml:space="preserve"> block.  If the dental insurance plan that you want to assign to a subscriber does not already exist, you can create a new dental insurance plan and assign it to the subscriber.</w:t>
      </w:r>
    </w:p>
    <w:p w14:paraId="498A22A9" w14:textId="493EF022" w:rsidR="003C7783" w:rsidRPr="005D415A" w:rsidRDefault="003C7783" w:rsidP="004F45B6">
      <w:pPr>
        <w:pStyle w:val="BodyText"/>
        <w:keepNext/>
        <w:keepLines/>
        <w:numPr>
          <w:ilvl w:val="0"/>
          <w:numId w:val="36"/>
        </w:numPr>
        <w:ind w:left="540"/>
      </w:pPr>
      <w:r w:rsidRPr="0046697F">
        <w:rPr>
          <w:b/>
          <w:bCs/>
        </w:rPr>
        <w:t>Group</w:t>
      </w:r>
      <w:r w:rsidR="00A20A27" w:rsidRPr="0046697F">
        <w:rPr>
          <w:b/>
          <w:bCs/>
        </w:rPr>
        <w:t>/p</w:t>
      </w:r>
      <w:r w:rsidRPr="0046697F">
        <w:rPr>
          <w:b/>
          <w:bCs/>
        </w:rPr>
        <w:t>lan</w:t>
      </w:r>
      <w:r w:rsidRPr="005D415A">
        <w:t xml:space="preserve"> </w:t>
      </w:r>
      <w:r w:rsidR="00DF6B13">
        <w:t>–</w:t>
      </w:r>
      <w:r w:rsidRPr="005D415A">
        <w:t xml:space="preserve"> To ensure that you can submit claims for patients covered by insurance plans to the correct insurance carriers, and to ensure that those claims have the correct information on them, you need to properly assign insurance to each patient's record. Before assigning insurance to dependents, make sure that the insurance plan has been assigned to the subscriber and that the subscriber is part of the same family as the patient to whom you are assigning the insurance plan. If the dental insurance plan that you want to assign to a subscriber does not already exist, you can create a new dental insurance plan and assign it to the subscriber.</w:t>
      </w:r>
    </w:p>
    <w:p w14:paraId="53607B2B" w14:textId="5465277D" w:rsidR="003C7783" w:rsidRPr="005D415A" w:rsidRDefault="003C7783" w:rsidP="004F45B6">
      <w:pPr>
        <w:pStyle w:val="BodyText"/>
        <w:numPr>
          <w:ilvl w:val="0"/>
          <w:numId w:val="36"/>
        </w:numPr>
        <w:ind w:left="540"/>
      </w:pPr>
      <w:r w:rsidRPr="0046697F">
        <w:rPr>
          <w:b/>
          <w:bCs/>
        </w:rPr>
        <w:t xml:space="preserve">Fee </w:t>
      </w:r>
      <w:r w:rsidR="00A20A27" w:rsidRPr="0046697F">
        <w:rPr>
          <w:b/>
          <w:bCs/>
        </w:rPr>
        <w:t>s</w:t>
      </w:r>
      <w:r w:rsidRPr="0046697F">
        <w:rPr>
          <w:b/>
          <w:bCs/>
        </w:rPr>
        <w:t>chedule</w:t>
      </w:r>
      <w:r w:rsidRPr="005D415A">
        <w:t xml:space="preserve"> </w:t>
      </w:r>
      <w:r w:rsidR="00DF6B13">
        <w:t>–</w:t>
      </w:r>
      <w:r w:rsidRPr="005D415A">
        <w:t xml:space="preserve"> If you attach a fee schedule to an insurance plan, Dentrix Enterprise uses that fee schedule instead of the fee schedule attached to the patient's primary provider. A fee schedule </w:t>
      </w:r>
      <w:r w:rsidR="00DF6B13">
        <w:t xml:space="preserve">that is </w:t>
      </w:r>
      <w:r w:rsidRPr="005D415A">
        <w:t xml:space="preserve">assigned to a patient overrides any other fee schedule </w:t>
      </w:r>
      <w:r w:rsidR="00DF6B13">
        <w:t xml:space="preserve">that may be </w:t>
      </w:r>
      <w:r w:rsidRPr="005D415A">
        <w:t>attached to the patient's insurance plan or provider.</w:t>
      </w:r>
    </w:p>
    <w:p w14:paraId="37620F4B" w14:textId="544FD93C" w:rsidR="003C7783" w:rsidRPr="005D415A" w:rsidRDefault="003C7783" w:rsidP="004F45B6">
      <w:pPr>
        <w:pStyle w:val="BodyText"/>
        <w:numPr>
          <w:ilvl w:val="0"/>
          <w:numId w:val="36"/>
        </w:numPr>
        <w:ind w:left="540"/>
      </w:pPr>
      <w:r w:rsidRPr="0046697F">
        <w:rPr>
          <w:b/>
          <w:bCs/>
        </w:rPr>
        <w:t xml:space="preserve">Financial </w:t>
      </w:r>
      <w:r w:rsidR="00A20A27" w:rsidRPr="0046697F">
        <w:rPr>
          <w:b/>
          <w:bCs/>
        </w:rPr>
        <w:t>c</w:t>
      </w:r>
      <w:r w:rsidRPr="0046697F">
        <w:rPr>
          <w:b/>
          <w:bCs/>
        </w:rPr>
        <w:t xml:space="preserve">lass </w:t>
      </w:r>
      <w:r w:rsidR="00A20A27" w:rsidRPr="0046697F">
        <w:rPr>
          <w:b/>
          <w:bCs/>
        </w:rPr>
        <w:t>t</w:t>
      </w:r>
      <w:r w:rsidRPr="0046697F">
        <w:rPr>
          <w:b/>
          <w:bCs/>
        </w:rPr>
        <w:t>ype</w:t>
      </w:r>
      <w:r w:rsidRPr="005D415A">
        <w:t xml:space="preserve"> </w:t>
      </w:r>
      <w:r w:rsidR="00DF6B13">
        <w:t>–</w:t>
      </w:r>
      <w:r w:rsidRPr="005D415A">
        <w:t xml:space="preserve"> Financial </w:t>
      </w:r>
      <w:r w:rsidR="00DF6B13">
        <w:t>c</w:t>
      </w:r>
      <w:r w:rsidRPr="005D415A">
        <w:t xml:space="preserve">lass </w:t>
      </w:r>
      <w:r w:rsidR="00DF6B13">
        <w:t>t</w:t>
      </w:r>
      <w:r w:rsidRPr="005D415A">
        <w:t xml:space="preserve">ypes are used </w:t>
      </w:r>
      <w:r w:rsidR="00DF6B13">
        <w:t>for tracking</w:t>
      </w:r>
      <w:r w:rsidRPr="005D415A">
        <w:t xml:space="preserve"> </w:t>
      </w:r>
      <w:r w:rsidR="00DF6B13">
        <w:t>types</w:t>
      </w:r>
      <w:r w:rsidRPr="005D415A">
        <w:t xml:space="preserve"> of patient insurance </w:t>
      </w:r>
      <w:r w:rsidR="00DF6B13">
        <w:t>coverage</w:t>
      </w:r>
      <w:r w:rsidRPr="005D415A">
        <w:t xml:space="preserve">. </w:t>
      </w:r>
      <w:r w:rsidR="00DF6B13">
        <w:t>You can assign financial class types to</w:t>
      </w:r>
      <w:r w:rsidRPr="005D415A">
        <w:t xml:space="preserve"> insurance plans and </w:t>
      </w:r>
      <w:r w:rsidR="00DF6B13">
        <w:t>use them</w:t>
      </w:r>
      <w:r w:rsidRPr="005D415A">
        <w:t xml:space="preserve"> for reporting purposes. </w:t>
      </w:r>
    </w:p>
    <w:p w14:paraId="142C4F21" w14:textId="225EBC0A" w:rsidR="003C7783" w:rsidRPr="005D415A" w:rsidRDefault="00A20A27" w:rsidP="004F45B6">
      <w:pPr>
        <w:pStyle w:val="BodyText"/>
        <w:numPr>
          <w:ilvl w:val="0"/>
          <w:numId w:val="36"/>
        </w:numPr>
        <w:ind w:left="540"/>
      </w:pPr>
      <w:r w:rsidRPr="0046697F">
        <w:rPr>
          <w:b/>
          <w:bCs/>
        </w:rPr>
        <w:t>V</w:t>
      </w:r>
      <w:r w:rsidR="003C7783" w:rsidRPr="0046697F">
        <w:rPr>
          <w:b/>
          <w:bCs/>
        </w:rPr>
        <w:t xml:space="preserve">erification </w:t>
      </w:r>
      <w:r w:rsidRPr="0046697F">
        <w:rPr>
          <w:b/>
          <w:bCs/>
        </w:rPr>
        <w:t>of</w:t>
      </w:r>
      <w:r w:rsidR="003C7783" w:rsidRPr="0046697F">
        <w:rPr>
          <w:b/>
          <w:bCs/>
        </w:rPr>
        <w:t xml:space="preserve"> </w:t>
      </w:r>
      <w:r w:rsidRPr="0046697F">
        <w:rPr>
          <w:b/>
          <w:bCs/>
        </w:rPr>
        <w:t>b</w:t>
      </w:r>
      <w:r w:rsidR="003C7783" w:rsidRPr="0046697F">
        <w:rPr>
          <w:b/>
          <w:bCs/>
        </w:rPr>
        <w:t>enefits</w:t>
      </w:r>
      <w:r w:rsidR="003C7783" w:rsidRPr="005D415A">
        <w:t xml:space="preserve"> </w:t>
      </w:r>
      <w:r w:rsidR="00DF6B13">
        <w:t>–</w:t>
      </w:r>
      <w:r w:rsidR="00362555" w:rsidRPr="005D415A">
        <w:t xml:space="preserve"> </w:t>
      </w:r>
      <w:r w:rsidR="00DF6B13">
        <w:t>Verifying benefits is a</w:t>
      </w:r>
      <w:r w:rsidR="003C7783" w:rsidRPr="005D415A">
        <w:t xml:space="preserve"> way to ensure</w:t>
      </w:r>
      <w:r w:rsidR="00DF6B13">
        <w:t xml:space="preserve"> that</w:t>
      </w:r>
      <w:r w:rsidR="003C7783" w:rsidRPr="005D415A">
        <w:t xml:space="preserve"> the services you render will result in payment from </w:t>
      </w:r>
      <w:r w:rsidR="00DF6B13">
        <w:t>an</w:t>
      </w:r>
      <w:r w:rsidR="003C7783" w:rsidRPr="005D415A">
        <w:t xml:space="preserve"> insurance company. This is really the first step in ensuring payment from both the insurance company and</w:t>
      </w:r>
      <w:r w:rsidR="00DF6B13">
        <w:t>,</w:t>
      </w:r>
      <w:r w:rsidR="003C7783" w:rsidRPr="005D415A">
        <w:t xml:space="preserve"> when applicable</w:t>
      </w:r>
      <w:r w:rsidR="00DF6B13">
        <w:t>,</w:t>
      </w:r>
      <w:r w:rsidR="003C7783" w:rsidRPr="005D415A">
        <w:t xml:space="preserve"> the patient.</w:t>
      </w:r>
    </w:p>
    <w:p w14:paraId="02E46847" w14:textId="77777777" w:rsidR="003C7783" w:rsidRPr="00362555" w:rsidRDefault="003C7783" w:rsidP="00D15973">
      <w:pPr>
        <w:pStyle w:val="BodyText"/>
        <w:ind w:left="540"/>
        <w:rPr>
          <w:b/>
          <w:bCs/>
        </w:rPr>
      </w:pPr>
      <w:r w:rsidRPr="00362555">
        <w:rPr>
          <w:b/>
          <w:bCs/>
        </w:rPr>
        <w:t xml:space="preserve">Why is it important? </w:t>
      </w:r>
    </w:p>
    <w:p w14:paraId="0F81239E" w14:textId="77777777" w:rsidR="003C7783" w:rsidRPr="003C7783" w:rsidRDefault="003C7783" w:rsidP="004F45B6">
      <w:pPr>
        <w:pStyle w:val="BodyText"/>
        <w:numPr>
          <w:ilvl w:val="0"/>
          <w:numId w:val="34"/>
        </w:numPr>
        <w:ind w:left="1080"/>
      </w:pPr>
      <w:r w:rsidRPr="003C7783">
        <w:t>It allows you to gather any necessary authorizations before providing care or services.</w:t>
      </w:r>
    </w:p>
    <w:p w14:paraId="6840243D" w14:textId="5BC7E25B" w:rsidR="003C7783" w:rsidRPr="003C7783" w:rsidRDefault="003C7783" w:rsidP="004F45B6">
      <w:pPr>
        <w:pStyle w:val="BodyText"/>
        <w:numPr>
          <w:ilvl w:val="0"/>
          <w:numId w:val="34"/>
        </w:numPr>
        <w:ind w:left="1080"/>
      </w:pPr>
      <w:r w:rsidRPr="003C7783">
        <w:t xml:space="preserve">It allows you to estimate what a patient will owe for </w:t>
      </w:r>
      <w:r w:rsidR="00DF6B13">
        <w:t>rendered</w:t>
      </w:r>
      <w:r w:rsidRPr="003C7783">
        <w:t xml:space="preserve"> services, which helps you to collect payment at the time of service.  </w:t>
      </w:r>
    </w:p>
    <w:p w14:paraId="7FBB1FB5" w14:textId="1E43A43D" w:rsidR="003C7783" w:rsidRDefault="003C7783" w:rsidP="004F45B6">
      <w:pPr>
        <w:pStyle w:val="BodyText"/>
        <w:numPr>
          <w:ilvl w:val="0"/>
          <w:numId w:val="34"/>
        </w:numPr>
        <w:ind w:left="1080"/>
      </w:pPr>
      <w:r w:rsidRPr="003C7783">
        <w:t>Accurate insurance verification ensures a higher number of accurate claims which speeds up approval and results in a faster billing cycle. Inadequate verification of eligibility and plan-specific benefits puts healthcare organizations at risk for claim rejections, denials, and bad debt.</w:t>
      </w:r>
    </w:p>
    <w:p w14:paraId="2BA27B33" w14:textId="6FD03637" w:rsidR="00A20A27" w:rsidRDefault="0046697F" w:rsidP="00A20A27">
      <w:pPr>
        <w:pStyle w:val="BodyText"/>
        <w:ind w:left="540"/>
      </w:pPr>
      <w:r>
        <w:t>V</w:t>
      </w:r>
      <w:r w:rsidR="005538F5">
        <w:t>erif</w:t>
      </w:r>
      <w:r>
        <w:t>ication of</w:t>
      </w:r>
      <w:r w:rsidR="005538F5">
        <w:t xml:space="preserve"> benefits</w:t>
      </w:r>
      <w:r>
        <w:t xml:space="preserve"> consists of the following</w:t>
      </w:r>
      <w:r w:rsidR="00A20A27">
        <w:t>:</w:t>
      </w:r>
    </w:p>
    <w:p w14:paraId="7E5560F0" w14:textId="3A93222B" w:rsidR="003C7783" w:rsidRPr="003C7783" w:rsidRDefault="003C7783" w:rsidP="004F45B6">
      <w:pPr>
        <w:pStyle w:val="BodyText"/>
        <w:numPr>
          <w:ilvl w:val="0"/>
          <w:numId w:val="37"/>
        </w:numPr>
        <w:ind w:left="1080"/>
      </w:pPr>
      <w:r w:rsidRPr="0046697F">
        <w:rPr>
          <w:b/>
          <w:bCs/>
        </w:rPr>
        <w:t>Eligibility</w:t>
      </w:r>
      <w:r w:rsidR="00362555" w:rsidRPr="005D415A">
        <w:t xml:space="preserve"> </w:t>
      </w:r>
      <w:r w:rsidR="005538F5">
        <w:t>–</w:t>
      </w:r>
      <w:r w:rsidR="00362555" w:rsidRPr="005D415A">
        <w:t xml:space="preserve"> </w:t>
      </w:r>
      <w:r w:rsidR="005538F5">
        <w:t>E</w:t>
      </w:r>
      <w:r w:rsidRPr="003C7783">
        <w:t xml:space="preserve">nter a patient's eligibility for insurance benefits under any of his or her dental and medical insurance plans. Eligibility information is visible from Family File and on scheduled appointments.  </w:t>
      </w:r>
    </w:p>
    <w:p w14:paraId="2C74CA94" w14:textId="77777777" w:rsidR="003C7783" w:rsidRPr="00362555" w:rsidRDefault="003C7783" w:rsidP="00362555">
      <w:pPr>
        <w:pStyle w:val="BodyText"/>
        <w:ind w:left="1080"/>
        <w:rPr>
          <w:b/>
          <w:bCs/>
        </w:rPr>
      </w:pPr>
      <w:r w:rsidRPr="00362555">
        <w:rPr>
          <w:b/>
          <w:bCs/>
        </w:rPr>
        <w:t xml:space="preserve">Why is it important? </w:t>
      </w:r>
    </w:p>
    <w:p w14:paraId="178C5F1E" w14:textId="463E3AEA" w:rsidR="003C7783" w:rsidRPr="003C7783" w:rsidRDefault="003C7783" w:rsidP="004F45B6">
      <w:pPr>
        <w:pStyle w:val="BodyText"/>
        <w:numPr>
          <w:ilvl w:val="0"/>
          <w:numId w:val="35"/>
        </w:numPr>
        <w:ind w:left="1620"/>
      </w:pPr>
      <w:r w:rsidRPr="003C7783">
        <w:t>By verifying eligibility, a patient's insurance coverage status can be determined prior to the appointment</w:t>
      </w:r>
      <w:r w:rsidR="005538F5">
        <w:t>,</w:t>
      </w:r>
      <w:r w:rsidRPr="003C7783">
        <w:t xml:space="preserve"> and demographic information can be reported accurately on insurance claims. Additionally, prioritizing eligibility promotes proactive collection measures</w:t>
      </w:r>
      <w:r w:rsidR="005538F5">
        <w:t>,</w:t>
      </w:r>
      <w:r w:rsidRPr="003C7783">
        <w:t xml:space="preserve"> and prevents payment delays. </w:t>
      </w:r>
    </w:p>
    <w:p w14:paraId="7F29C315" w14:textId="77777777" w:rsidR="003C7783" w:rsidRPr="003C7783" w:rsidRDefault="003C7783" w:rsidP="004F45B6">
      <w:pPr>
        <w:pStyle w:val="BodyText"/>
        <w:numPr>
          <w:ilvl w:val="0"/>
          <w:numId w:val="35"/>
        </w:numPr>
        <w:ind w:left="1620"/>
      </w:pPr>
      <w:r w:rsidRPr="003C7783">
        <w:t>Eligibility is also valuable for patient care outcomes by identifying when services are due or overdue.</w:t>
      </w:r>
    </w:p>
    <w:p w14:paraId="002DFDE2" w14:textId="5B1153AA" w:rsidR="003C7783" w:rsidRPr="003C7783" w:rsidRDefault="003C7783" w:rsidP="004F45B6">
      <w:pPr>
        <w:pStyle w:val="BodyText"/>
        <w:keepLines/>
        <w:numPr>
          <w:ilvl w:val="0"/>
          <w:numId w:val="35"/>
        </w:numPr>
        <w:ind w:left="1080"/>
      </w:pPr>
      <w:r w:rsidRPr="0046697F">
        <w:rPr>
          <w:b/>
          <w:bCs/>
        </w:rPr>
        <w:lastRenderedPageBreak/>
        <w:t xml:space="preserve">Benefits </w:t>
      </w:r>
      <w:r w:rsidR="00A20A27" w:rsidRPr="0046697F">
        <w:rPr>
          <w:b/>
          <w:bCs/>
        </w:rPr>
        <w:t>r</w:t>
      </w:r>
      <w:r w:rsidRPr="0046697F">
        <w:rPr>
          <w:b/>
          <w:bCs/>
        </w:rPr>
        <w:t>emaining</w:t>
      </w:r>
      <w:r w:rsidR="00D15973" w:rsidRPr="005D415A">
        <w:t xml:space="preserve"> </w:t>
      </w:r>
      <w:r w:rsidR="005538F5">
        <w:t>–</w:t>
      </w:r>
      <w:r w:rsidR="00D15973" w:rsidRPr="005D415A">
        <w:t xml:space="preserve"> </w:t>
      </w:r>
      <w:r w:rsidRPr="005D415A">
        <w:t>Under the app</w:t>
      </w:r>
      <w:r w:rsidR="005538F5">
        <w:t>licable</w:t>
      </w:r>
      <w:r w:rsidRPr="005D415A">
        <w:t xml:space="preserve"> insurance plan, click </w:t>
      </w:r>
      <w:r w:rsidRPr="005538F5">
        <w:rPr>
          <w:b/>
          <w:bCs/>
        </w:rPr>
        <w:t>Ded/Benefits</w:t>
      </w:r>
      <w:r w:rsidRPr="005D415A">
        <w:t xml:space="preserve">. All insurance claim payments and </w:t>
      </w:r>
      <w:r w:rsidRPr="003C7783">
        <w:t xml:space="preserve">deductibles </w:t>
      </w:r>
      <w:r w:rsidR="005538F5">
        <w:t xml:space="preserve">that get </w:t>
      </w:r>
      <w:r w:rsidRPr="003C7783">
        <w:t xml:space="preserve">posted to claims in Dentrix Enterprise will automatically update this information. </w:t>
      </w:r>
      <w:r w:rsidR="005538F5">
        <w:t xml:space="preserve">You must manually </w:t>
      </w:r>
      <w:r w:rsidRPr="003C7783">
        <w:t xml:space="preserve">update of this information </w:t>
      </w:r>
      <w:r w:rsidR="005538F5">
        <w:t>when</w:t>
      </w:r>
      <w:r w:rsidRPr="003C7783">
        <w:t xml:space="preserve"> benefits </w:t>
      </w:r>
      <w:r w:rsidR="005538F5">
        <w:t>a</w:t>
      </w:r>
      <w:r w:rsidRPr="003C7783">
        <w:t xml:space="preserve">re not applied to a claim in the system or </w:t>
      </w:r>
      <w:r w:rsidR="005538F5">
        <w:t>a claim that is used</w:t>
      </w:r>
      <w:r w:rsidRPr="003C7783">
        <w:t xml:space="preserve"> with another provider/clinic </w:t>
      </w:r>
      <w:r w:rsidR="005538F5">
        <w:t xml:space="preserve">that is </w:t>
      </w:r>
      <w:r w:rsidRPr="003C7783">
        <w:t xml:space="preserve">not associated with your site. </w:t>
      </w:r>
    </w:p>
    <w:p w14:paraId="6C0C26AA" w14:textId="7AC0E621" w:rsidR="00395C6B" w:rsidRDefault="003C7783" w:rsidP="00D15973">
      <w:pPr>
        <w:pStyle w:val="BodyText"/>
        <w:ind w:left="1080"/>
      </w:pPr>
      <w:r w:rsidRPr="00D15973">
        <w:rPr>
          <w:b/>
          <w:bCs/>
        </w:rPr>
        <w:t>Why is it important?</w:t>
      </w:r>
      <w:r w:rsidR="00D15973">
        <w:t xml:space="preserve"> </w:t>
      </w:r>
      <w:r w:rsidR="0046697F">
        <w:t>If you verify</w:t>
      </w:r>
      <w:r w:rsidRPr="003C7783">
        <w:t xml:space="preserve"> </w:t>
      </w:r>
      <w:r w:rsidR="005538F5">
        <w:t>the b</w:t>
      </w:r>
      <w:r w:rsidRPr="003C7783">
        <w:t xml:space="preserve">enefits </w:t>
      </w:r>
      <w:r w:rsidR="005538F5">
        <w:t>u</w:t>
      </w:r>
      <w:r w:rsidRPr="003C7783">
        <w:t>sed</w:t>
      </w:r>
      <w:r w:rsidR="0046697F">
        <w:t xml:space="preserve"> and remaining</w:t>
      </w:r>
      <w:r w:rsidR="005538F5">
        <w:t xml:space="preserve"> and enter that information for</w:t>
      </w:r>
      <w:r w:rsidRPr="003C7783">
        <w:t xml:space="preserve"> </w:t>
      </w:r>
      <w:r w:rsidR="005538F5">
        <w:t>an</w:t>
      </w:r>
      <w:r w:rsidRPr="003C7783">
        <w:t xml:space="preserve"> insurance </w:t>
      </w:r>
      <w:r w:rsidR="005538F5">
        <w:t>plan</w:t>
      </w:r>
      <w:r w:rsidR="0046697F">
        <w:t xml:space="preserve">, </w:t>
      </w:r>
      <w:r w:rsidRPr="003C7783">
        <w:t xml:space="preserve">Treatment Planner and Ledger </w:t>
      </w:r>
      <w:r w:rsidR="0046697F">
        <w:t>can</w:t>
      </w:r>
      <w:r w:rsidRPr="003C7783">
        <w:t xml:space="preserve"> use this information to generate </w:t>
      </w:r>
      <w:r w:rsidR="0046697F">
        <w:t xml:space="preserve">more accurate </w:t>
      </w:r>
      <w:r w:rsidRPr="003C7783">
        <w:t>estimates of insurance and patient responsibility.</w:t>
      </w:r>
    </w:p>
    <w:p w14:paraId="17067D8C" w14:textId="69139281" w:rsidR="00395C6B" w:rsidRPr="003C7783" w:rsidRDefault="00395C6B" w:rsidP="004267C0">
      <w:pPr>
        <w:pStyle w:val="Heading2"/>
      </w:pPr>
      <w:bookmarkStart w:id="140" w:name="_Toc135416705"/>
      <w:bookmarkStart w:id="141" w:name="_Toc166834343"/>
      <w:r>
        <w:t>Administrative/Patient Notes</w:t>
      </w:r>
      <w:bookmarkEnd w:id="140"/>
      <w:bookmarkEnd w:id="141"/>
    </w:p>
    <w:p w14:paraId="4160FB74" w14:textId="7A24062C" w:rsidR="003C7783" w:rsidRPr="003C7783" w:rsidRDefault="003C7783" w:rsidP="00D15973">
      <w:pPr>
        <w:pStyle w:val="BodyText"/>
        <w:rPr>
          <w:b/>
          <w:bCs/>
        </w:rPr>
      </w:pPr>
      <w:r w:rsidRPr="003C7783">
        <w:t xml:space="preserve">Manage the documentation of all administrative patient communication. Many notes are text for </w:t>
      </w:r>
      <w:r w:rsidR="0046697F">
        <w:t>reference</w:t>
      </w:r>
      <w:r w:rsidRPr="003C7783">
        <w:t xml:space="preserve"> only and are not part of structured data (reportable data)</w:t>
      </w:r>
      <w:r w:rsidRPr="003C7783">
        <w:rPr>
          <w:bCs/>
        </w:rPr>
        <w:t>.</w:t>
      </w:r>
    </w:p>
    <w:p w14:paraId="7939D075" w14:textId="7D2C199E" w:rsidR="00D15973" w:rsidRDefault="00FA7A61" w:rsidP="00D42C5A">
      <w:pPr>
        <w:pStyle w:val="Heading3"/>
      </w:pPr>
      <w:bookmarkStart w:id="142" w:name="_Toc166834344"/>
      <w:r>
        <w:rPr>
          <w:noProof/>
        </w:rPr>
        <w:drawing>
          <wp:anchor distT="0" distB="0" distL="114300" distR="114300" simplePos="0" relativeHeight="252043268" behindDoc="0" locked="0" layoutInCell="1" allowOverlap="1" wp14:anchorId="34B0DAF5" wp14:editId="1FDFAAA0">
            <wp:simplePos x="0" y="0"/>
            <wp:positionH relativeFrom="column">
              <wp:posOffset>5486400</wp:posOffset>
            </wp:positionH>
            <wp:positionV relativeFrom="paragraph">
              <wp:posOffset>513715</wp:posOffset>
            </wp:positionV>
            <wp:extent cx="365760" cy="365760"/>
            <wp:effectExtent l="0" t="0" r="0" b="0"/>
            <wp:wrapTight wrapText="bothSides">
              <wp:wrapPolygon edited="0">
                <wp:start x="0" y="0"/>
                <wp:lineTo x="0" y="20250"/>
                <wp:lineTo x="20250" y="20250"/>
                <wp:lineTo x="20250" y="0"/>
                <wp:lineTo x="0" y="0"/>
              </wp:wrapPolygon>
            </wp:wrapTight>
            <wp:docPr id="108307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78848" name=""/>
                    <pic:cNvPicPr/>
                  </pic:nvPicPr>
                  <pic:blipFill>
                    <a:blip r:embed="rId52"/>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Office Journal</w:t>
      </w:r>
      <w:bookmarkEnd w:id="142"/>
    </w:p>
    <w:p w14:paraId="25F96A22" w14:textId="7EB83DE9" w:rsidR="003C7783" w:rsidRPr="003C7783" w:rsidRDefault="000D70A3" w:rsidP="00D15973">
      <w:pPr>
        <w:pStyle w:val="BodyText"/>
      </w:pPr>
      <w:r>
        <w:t xml:space="preserve">The </w:t>
      </w:r>
      <w:r w:rsidRPr="003C7783">
        <w:t>administrative/clerical team</w:t>
      </w:r>
      <w:r>
        <w:t xml:space="preserve"> uses Office Journal as a notepad </w:t>
      </w:r>
      <w:r w:rsidR="003C7783" w:rsidRPr="003C7783">
        <w:t>for patient communication</w:t>
      </w:r>
      <w:r>
        <w:t xml:space="preserve">. </w:t>
      </w:r>
      <w:r w:rsidR="003C7783" w:rsidRPr="003C7783">
        <w:t xml:space="preserve">Journal entry types are hard coded and not customizable. </w:t>
      </w:r>
      <w:r>
        <w:t>Your team can add m</w:t>
      </w:r>
      <w:r w:rsidR="003C7783" w:rsidRPr="003C7783">
        <w:t xml:space="preserve">anual entries to document phone calls and other communications with the patient. </w:t>
      </w:r>
      <w:r>
        <w:t>Office Journal is g</w:t>
      </w:r>
      <w:r w:rsidR="003C7783" w:rsidRPr="003C7783">
        <w:t>reat for historical tracking</w:t>
      </w:r>
      <w:r>
        <w:t>, so us</w:t>
      </w:r>
      <w:r w:rsidR="003C7783" w:rsidRPr="003C7783">
        <w:t xml:space="preserve">e </w:t>
      </w:r>
      <w:r>
        <w:t>it</w:t>
      </w:r>
      <w:r w:rsidR="003C7783" w:rsidRPr="003C7783">
        <w:t xml:space="preserve"> as a resource to identify team activity and confirm </w:t>
      </w:r>
      <w:r>
        <w:t xml:space="preserve">that </w:t>
      </w:r>
      <w:r w:rsidR="003C7783" w:rsidRPr="003C7783">
        <w:t xml:space="preserve">the team is following internal guidelines.  </w:t>
      </w:r>
    </w:p>
    <w:p w14:paraId="6C695D43" w14:textId="6179244A" w:rsidR="003C7783" w:rsidRPr="00A20A27" w:rsidRDefault="003C7783" w:rsidP="004F45B6">
      <w:pPr>
        <w:pStyle w:val="BodyText"/>
        <w:numPr>
          <w:ilvl w:val="0"/>
          <w:numId w:val="38"/>
        </w:numPr>
        <w:ind w:left="540"/>
        <w:rPr>
          <w:bCs/>
        </w:rPr>
      </w:pPr>
      <w:r w:rsidRPr="000D70A3">
        <w:rPr>
          <w:b/>
        </w:rPr>
        <w:t xml:space="preserve">Automatic </w:t>
      </w:r>
      <w:r w:rsidR="000D70A3" w:rsidRPr="000D70A3">
        <w:rPr>
          <w:b/>
        </w:rPr>
        <w:t>e</w:t>
      </w:r>
      <w:r w:rsidRPr="000D70A3">
        <w:rPr>
          <w:b/>
        </w:rPr>
        <w:t xml:space="preserve">ntry </w:t>
      </w:r>
      <w:r w:rsidR="000D70A3" w:rsidRPr="000D70A3">
        <w:rPr>
          <w:b/>
        </w:rPr>
        <w:t>t</w:t>
      </w:r>
      <w:r w:rsidRPr="000D70A3">
        <w:rPr>
          <w:b/>
        </w:rPr>
        <w:t>ypes</w:t>
      </w:r>
      <w:r w:rsidRPr="00A20A27">
        <w:rPr>
          <w:bCs/>
        </w:rPr>
        <w:t xml:space="preserve"> </w:t>
      </w:r>
      <w:r w:rsidR="000D70A3">
        <w:rPr>
          <w:bCs/>
        </w:rPr>
        <w:t>–</w:t>
      </w:r>
      <w:r w:rsidRPr="00A20A27">
        <w:rPr>
          <w:bCs/>
        </w:rPr>
        <w:t xml:space="preserve"> </w:t>
      </w:r>
      <w:r w:rsidR="000D70A3">
        <w:rPr>
          <w:bCs/>
        </w:rPr>
        <w:t>When staff perform certain tasks</w:t>
      </w:r>
      <w:r w:rsidRPr="00A20A27">
        <w:rPr>
          <w:bCs/>
        </w:rPr>
        <w:t xml:space="preserve"> in Dentrix Enterprise, the </w:t>
      </w:r>
      <w:r w:rsidR="000D70A3">
        <w:rPr>
          <w:bCs/>
        </w:rPr>
        <w:t xml:space="preserve">system automatically adds journal </w:t>
      </w:r>
      <w:r w:rsidRPr="00A20A27">
        <w:rPr>
          <w:bCs/>
        </w:rPr>
        <w:t>entr</w:t>
      </w:r>
      <w:r w:rsidR="000D70A3">
        <w:rPr>
          <w:bCs/>
        </w:rPr>
        <w:t>ies with</w:t>
      </w:r>
      <w:r w:rsidRPr="00A20A27">
        <w:rPr>
          <w:bCs/>
        </w:rPr>
        <w:t xml:space="preserve"> information </w:t>
      </w:r>
      <w:r w:rsidR="000D70A3">
        <w:rPr>
          <w:bCs/>
        </w:rPr>
        <w:t xml:space="preserve">that allows </w:t>
      </w:r>
      <w:r w:rsidRPr="00A20A27">
        <w:rPr>
          <w:bCs/>
        </w:rPr>
        <w:t>for easy tracking.</w:t>
      </w:r>
    </w:p>
    <w:p w14:paraId="212BB50C" w14:textId="3D20813A" w:rsidR="003C7783" w:rsidRPr="00A20A27" w:rsidRDefault="003C7783" w:rsidP="004F45B6">
      <w:pPr>
        <w:pStyle w:val="BodyText"/>
        <w:numPr>
          <w:ilvl w:val="0"/>
          <w:numId w:val="38"/>
        </w:numPr>
        <w:ind w:left="540"/>
        <w:rPr>
          <w:bCs/>
        </w:rPr>
      </w:pPr>
      <w:r w:rsidRPr="000D70A3">
        <w:rPr>
          <w:b/>
        </w:rPr>
        <w:t xml:space="preserve">Manual </w:t>
      </w:r>
      <w:r w:rsidR="000D70A3" w:rsidRPr="000D70A3">
        <w:rPr>
          <w:b/>
        </w:rPr>
        <w:t>e</w:t>
      </w:r>
      <w:r w:rsidRPr="000D70A3">
        <w:rPr>
          <w:b/>
        </w:rPr>
        <w:t xml:space="preserve">ntry </w:t>
      </w:r>
      <w:r w:rsidR="000D70A3" w:rsidRPr="000D70A3">
        <w:rPr>
          <w:b/>
        </w:rPr>
        <w:t>t</w:t>
      </w:r>
      <w:r w:rsidRPr="000D70A3">
        <w:rPr>
          <w:b/>
        </w:rPr>
        <w:t>ypes</w:t>
      </w:r>
      <w:r w:rsidRPr="00A20A27">
        <w:rPr>
          <w:bCs/>
        </w:rPr>
        <w:t xml:space="preserve"> – Staff </w:t>
      </w:r>
      <w:r w:rsidR="000D70A3">
        <w:rPr>
          <w:bCs/>
        </w:rPr>
        <w:t xml:space="preserve">can </w:t>
      </w:r>
      <w:r w:rsidRPr="00A20A27">
        <w:rPr>
          <w:bCs/>
        </w:rPr>
        <w:t xml:space="preserve">add </w:t>
      </w:r>
      <w:r w:rsidR="000D70A3">
        <w:rPr>
          <w:bCs/>
        </w:rPr>
        <w:t xml:space="preserve">journal </w:t>
      </w:r>
      <w:r w:rsidRPr="00A20A27">
        <w:rPr>
          <w:bCs/>
        </w:rPr>
        <w:t xml:space="preserve">entries to document conversations, set reminders for follow up, </w:t>
      </w:r>
      <w:r w:rsidR="000D70A3">
        <w:rPr>
          <w:bCs/>
        </w:rPr>
        <w:t>and so forth</w:t>
      </w:r>
      <w:r w:rsidRPr="00A20A27">
        <w:rPr>
          <w:bCs/>
        </w:rPr>
        <w:t xml:space="preserve">. </w:t>
      </w:r>
      <w:r w:rsidR="000D70A3">
        <w:rPr>
          <w:bCs/>
        </w:rPr>
        <w:t>Creating a</w:t>
      </w:r>
      <w:r w:rsidRPr="00A20A27">
        <w:rPr>
          <w:bCs/>
        </w:rPr>
        <w:t xml:space="preserve"> standard description and note </w:t>
      </w:r>
      <w:r w:rsidR="000D70A3">
        <w:rPr>
          <w:bCs/>
        </w:rPr>
        <w:t xml:space="preserve">can make </w:t>
      </w:r>
      <w:r w:rsidRPr="00A20A27">
        <w:rPr>
          <w:bCs/>
        </w:rPr>
        <w:t>searching</w:t>
      </w:r>
      <w:r w:rsidR="000D70A3">
        <w:rPr>
          <w:bCs/>
        </w:rPr>
        <w:t xml:space="preserve"> for information easier</w:t>
      </w:r>
      <w:r w:rsidRPr="00A20A27">
        <w:rPr>
          <w:bCs/>
        </w:rPr>
        <w:t>.</w:t>
      </w:r>
    </w:p>
    <w:p w14:paraId="24CD61CE" w14:textId="56B909A8" w:rsidR="003C7783" w:rsidRPr="003C7783" w:rsidRDefault="003C7783" w:rsidP="004F45B6">
      <w:pPr>
        <w:pStyle w:val="BodyText"/>
        <w:numPr>
          <w:ilvl w:val="0"/>
          <w:numId w:val="38"/>
        </w:numPr>
        <w:ind w:left="540"/>
      </w:pPr>
      <w:r w:rsidRPr="000D70A3">
        <w:rPr>
          <w:b/>
        </w:rPr>
        <w:t>Filter</w:t>
      </w:r>
      <w:r w:rsidR="000D70A3" w:rsidRPr="000D70A3">
        <w:rPr>
          <w:b/>
        </w:rPr>
        <w:t>ing</w:t>
      </w:r>
      <w:r w:rsidRPr="000D70A3">
        <w:rPr>
          <w:b/>
        </w:rPr>
        <w:t xml:space="preserve"> Office Journal </w:t>
      </w:r>
      <w:r w:rsidR="000D70A3" w:rsidRPr="000D70A3">
        <w:rPr>
          <w:b/>
        </w:rPr>
        <w:t>e</w:t>
      </w:r>
      <w:r w:rsidRPr="000D70A3">
        <w:rPr>
          <w:b/>
        </w:rPr>
        <w:t>ntries</w:t>
      </w:r>
      <w:r w:rsidRPr="00A20A27">
        <w:rPr>
          <w:bCs/>
        </w:rPr>
        <w:t xml:space="preserve"> </w:t>
      </w:r>
      <w:r w:rsidR="000D70A3">
        <w:rPr>
          <w:bCs/>
        </w:rPr>
        <w:t>–</w:t>
      </w:r>
      <w:r w:rsidRPr="00A20A27">
        <w:rPr>
          <w:bCs/>
        </w:rPr>
        <w:t xml:space="preserve"> </w:t>
      </w:r>
      <w:r w:rsidR="000D70A3">
        <w:rPr>
          <w:bCs/>
        </w:rPr>
        <w:t>You can g</w:t>
      </w:r>
      <w:r w:rsidRPr="000D70A3">
        <w:rPr>
          <w:bCs/>
        </w:rPr>
        <w:t>enera</w:t>
      </w:r>
      <w:r w:rsidRPr="003C7783">
        <w:t>te</w:t>
      </w:r>
      <w:r w:rsidR="000D70A3">
        <w:t xml:space="preserve"> and, if necessary, print a</w:t>
      </w:r>
      <w:r w:rsidRPr="003C7783">
        <w:t xml:space="preserve"> list of </w:t>
      </w:r>
      <w:r w:rsidR="000D70A3">
        <w:t xml:space="preserve">journal </w:t>
      </w:r>
      <w:r w:rsidRPr="003C7783">
        <w:t>entries</w:t>
      </w:r>
      <w:r w:rsidR="000D70A3">
        <w:t xml:space="preserve"> according to specified filters</w:t>
      </w:r>
      <w:r w:rsidRPr="003C7783">
        <w:t>.</w:t>
      </w:r>
    </w:p>
    <w:p w14:paraId="412ABF3E" w14:textId="77777777" w:rsidR="00D15973" w:rsidRDefault="003C7783" w:rsidP="00D42C5A">
      <w:pPr>
        <w:pStyle w:val="Heading3"/>
      </w:pPr>
      <w:bookmarkStart w:id="143" w:name="_Toc166834345"/>
      <w:r w:rsidRPr="003C7783">
        <w:t>Patient Note</w:t>
      </w:r>
      <w:bookmarkEnd w:id="143"/>
    </w:p>
    <w:p w14:paraId="762DEA82" w14:textId="3FAA174E" w:rsidR="003C7783" w:rsidRPr="003C7783" w:rsidRDefault="00FD0E03" w:rsidP="00D15973">
      <w:pPr>
        <w:pStyle w:val="BodyText"/>
      </w:pPr>
      <w:r>
        <w:rPr>
          <w:noProof/>
        </w:rPr>
        <w:drawing>
          <wp:anchor distT="0" distB="0" distL="114300" distR="114300" simplePos="0" relativeHeight="252045316" behindDoc="0" locked="0" layoutInCell="1" allowOverlap="1" wp14:anchorId="7B4CD044" wp14:editId="5CD1812F">
            <wp:simplePos x="0" y="0"/>
            <wp:positionH relativeFrom="column">
              <wp:posOffset>5486400</wp:posOffset>
            </wp:positionH>
            <wp:positionV relativeFrom="paragraph">
              <wp:posOffset>63692</wp:posOffset>
            </wp:positionV>
            <wp:extent cx="365760" cy="365760"/>
            <wp:effectExtent l="0" t="0" r="0" b="0"/>
            <wp:wrapTight wrapText="bothSides">
              <wp:wrapPolygon edited="0">
                <wp:start x="0" y="0"/>
                <wp:lineTo x="0" y="20250"/>
                <wp:lineTo x="20250" y="20250"/>
                <wp:lineTo x="20250" y="0"/>
                <wp:lineTo x="0" y="0"/>
              </wp:wrapPolygon>
            </wp:wrapTight>
            <wp:docPr id="210203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8715" name=""/>
                    <pic:cNvPicPr/>
                  </pic:nvPicPr>
                  <pic:blipFill>
                    <a:blip r:embed="rId50"/>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0D70A3">
        <w:t>I</w:t>
      </w:r>
      <w:r w:rsidR="003C7783" w:rsidRPr="003C7783">
        <w:t>n the registration area</w:t>
      </w:r>
      <w:r w:rsidR="000D70A3">
        <w:t>, you can enter</w:t>
      </w:r>
      <w:r w:rsidR="003C7783" w:rsidRPr="003C7783">
        <w:t xml:space="preserve"> general patient notes, such as hobbies and preferences. </w:t>
      </w:r>
      <w:r w:rsidR="00506F36">
        <w:t>A</w:t>
      </w:r>
      <w:r w:rsidR="003C7783" w:rsidRPr="003C7783">
        <w:t xml:space="preserve"> </w:t>
      </w:r>
      <w:r w:rsidR="00506F36">
        <w:t>patient note has a 4000-</w:t>
      </w:r>
      <w:r w:rsidR="003C7783" w:rsidRPr="003C7783">
        <w:t xml:space="preserve">character limit. </w:t>
      </w:r>
      <w:r w:rsidR="00261C68">
        <w:t>Patient notes are</w:t>
      </w:r>
      <w:r w:rsidR="003C7783" w:rsidRPr="003C7783">
        <w:t xml:space="preserve"> not historical and </w:t>
      </w:r>
      <w:r w:rsidR="00506F36">
        <w:t>can</w:t>
      </w:r>
      <w:r w:rsidR="003C7783" w:rsidRPr="003C7783">
        <w:t xml:space="preserve"> be deleted when </w:t>
      </w:r>
      <w:r w:rsidR="00261C68">
        <w:t>they are</w:t>
      </w:r>
      <w:r w:rsidR="00506F36">
        <w:t xml:space="preserve"> </w:t>
      </w:r>
      <w:r w:rsidR="003C7783" w:rsidRPr="003C7783">
        <w:t xml:space="preserve">no longer relevant. When </w:t>
      </w:r>
      <w:r w:rsidR="00506F36">
        <w:t xml:space="preserve">patient notes are </w:t>
      </w:r>
      <w:r w:rsidR="003C7783" w:rsidRPr="003C7783">
        <w:t>standardized</w:t>
      </w:r>
      <w:r w:rsidR="00506F36">
        <w:t>,</w:t>
      </w:r>
      <w:r w:rsidR="003C7783" w:rsidRPr="003C7783">
        <w:t xml:space="preserve"> the first </w:t>
      </w:r>
      <w:r w:rsidR="00506F36">
        <w:t>four</w:t>
      </w:r>
      <w:r w:rsidR="003C7783" w:rsidRPr="003C7783">
        <w:t xml:space="preserve"> lines can be reportable. </w:t>
      </w:r>
    </w:p>
    <w:p w14:paraId="5A8A72CA" w14:textId="5FF2D5DD" w:rsidR="003C7783" w:rsidRDefault="003C7783" w:rsidP="00D42C5A">
      <w:pPr>
        <w:pStyle w:val="Heading3"/>
      </w:pPr>
      <w:bookmarkStart w:id="144" w:name="_Toc166834346"/>
      <w:r w:rsidRPr="003C7783">
        <w:t>Decision Support</w:t>
      </w:r>
      <w:bookmarkEnd w:id="144"/>
    </w:p>
    <w:p w14:paraId="02036FAF" w14:textId="21DF00EF" w:rsidR="00506F36" w:rsidRPr="00506F36" w:rsidRDefault="00506F36" w:rsidP="00506F36">
      <w:pPr>
        <w:pStyle w:val="BodyText"/>
      </w:pPr>
      <w:r>
        <w:t>Dentrix Enterprise provides financial/administrative and clinical decision support.</w:t>
      </w:r>
    </w:p>
    <w:p w14:paraId="6F6F15B4" w14:textId="4D70620D" w:rsidR="00506F36" w:rsidRDefault="003C7783" w:rsidP="00E92EA5">
      <w:pPr>
        <w:pStyle w:val="Heading4"/>
      </w:pPr>
      <w:r w:rsidRPr="00506F36">
        <w:t>Patient/</w:t>
      </w:r>
      <w:r w:rsidR="00506F36">
        <w:t>F</w:t>
      </w:r>
      <w:r w:rsidRPr="00506F36">
        <w:t xml:space="preserve">amily </w:t>
      </w:r>
      <w:r w:rsidR="00506F36">
        <w:t>A</w:t>
      </w:r>
      <w:r w:rsidRPr="00506F36">
        <w:t>lerts</w:t>
      </w:r>
    </w:p>
    <w:p w14:paraId="0C628913" w14:textId="7C77CD4F" w:rsidR="003C7783" w:rsidRPr="00506F36" w:rsidRDefault="00482096" w:rsidP="00506F36">
      <w:pPr>
        <w:pStyle w:val="BodyText"/>
      </w:pPr>
      <w:r>
        <w:rPr>
          <w:noProof/>
        </w:rPr>
        <w:drawing>
          <wp:anchor distT="0" distB="0" distL="114300" distR="114300" simplePos="0" relativeHeight="252049412" behindDoc="0" locked="0" layoutInCell="1" allowOverlap="1" wp14:anchorId="1B0C4AE2" wp14:editId="1BD1E843">
            <wp:simplePos x="0" y="0"/>
            <wp:positionH relativeFrom="column">
              <wp:posOffset>5486400</wp:posOffset>
            </wp:positionH>
            <wp:positionV relativeFrom="paragraph">
              <wp:posOffset>31159</wp:posOffset>
            </wp:positionV>
            <wp:extent cx="365760" cy="365760"/>
            <wp:effectExtent l="0" t="0" r="0" b="0"/>
            <wp:wrapTight wrapText="bothSides">
              <wp:wrapPolygon edited="0">
                <wp:start x="0" y="0"/>
                <wp:lineTo x="0" y="20250"/>
                <wp:lineTo x="20250" y="20250"/>
                <wp:lineTo x="20250" y="0"/>
                <wp:lineTo x="0" y="0"/>
              </wp:wrapPolygon>
            </wp:wrapTight>
            <wp:docPr id="178764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41963" name=""/>
                    <pic:cNvPicPr/>
                  </pic:nvPicPr>
                  <pic:blipFill>
                    <a:blip r:embed="rId53"/>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06F36">
        <w:t>These are c</w:t>
      </w:r>
      <w:r w:rsidR="003C7783" w:rsidRPr="00506F36">
        <w:t>ustomizable alerts that can be attached to patients</w:t>
      </w:r>
      <w:r w:rsidR="00261C68">
        <w:t xml:space="preserve"> or families</w:t>
      </w:r>
      <w:r w:rsidR="003C7783" w:rsidRPr="00506F36">
        <w:t xml:space="preserve"> </w:t>
      </w:r>
      <w:r w:rsidR="00261C68">
        <w:t>in case</w:t>
      </w:r>
      <w:r w:rsidR="003C7783" w:rsidRPr="00506F36">
        <w:t xml:space="preserve"> </w:t>
      </w:r>
      <w:r w:rsidR="00261C68">
        <w:t>you need messages or alerts to appear when someone accesses specified areas of those patients’ records</w:t>
      </w:r>
      <w:r w:rsidR="003C7783" w:rsidRPr="00506F36">
        <w:t xml:space="preserve">. </w:t>
      </w:r>
      <w:r w:rsidR="00261C68">
        <w:t>Also, a</w:t>
      </w:r>
      <w:r w:rsidR="003C7783" w:rsidRPr="00506F36">
        <w:t xml:space="preserve"> symbol </w:t>
      </w:r>
      <w:r w:rsidR="00261C68">
        <w:t>can appear</w:t>
      </w:r>
      <w:r w:rsidR="003C7783" w:rsidRPr="00506F36">
        <w:t xml:space="preserve"> on the appointments</w:t>
      </w:r>
      <w:r w:rsidR="00261C68">
        <w:t xml:space="preserve"> of patients whose records are flagged with alerts</w:t>
      </w:r>
      <w:r w:rsidR="003C7783" w:rsidRPr="00506F36">
        <w:t xml:space="preserve">. </w:t>
      </w:r>
      <w:r w:rsidR="00261C68">
        <w:t xml:space="preserve">A patient alert </w:t>
      </w:r>
      <w:r w:rsidR="003C7783" w:rsidRPr="00506F36">
        <w:t xml:space="preserve">is </w:t>
      </w:r>
      <w:r w:rsidR="003C7783" w:rsidRPr="00261C68">
        <w:t>a “</w:t>
      </w:r>
      <w:r w:rsidR="00261C68">
        <w:t xml:space="preserve">you </w:t>
      </w:r>
      <w:r w:rsidR="003C7783" w:rsidRPr="00261C68">
        <w:t>don’t want to miss</w:t>
      </w:r>
      <w:r w:rsidR="00261C68">
        <w:t xml:space="preserve"> this</w:t>
      </w:r>
      <w:r w:rsidR="003C7783" w:rsidRPr="00261C68">
        <w:t xml:space="preserve">” </w:t>
      </w:r>
      <w:r w:rsidR="00261C68">
        <w:t xml:space="preserve">type of </w:t>
      </w:r>
      <w:r w:rsidR="003C7783" w:rsidRPr="00261C68">
        <w:t>n</w:t>
      </w:r>
      <w:r w:rsidR="003C7783" w:rsidRPr="00506F36">
        <w:t xml:space="preserve">ote. </w:t>
      </w:r>
      <w:r w:rsidR="00261C68">
        <w:t>Patient alerts</w:t>
      </w:r>
      <w:r w:rsidR="003C7783" w:rsidRPr="00506F36">
        <w:t xml:space="preserve"> </w:t>
      </w:r>
      <w:r w:rsidR="00261C68">
        <w:t>are</w:t>
      </w:r>
      <w:r w:rsidR="003C7783" w:rsidRPr="00506F36">
        <w:t xml:space="preserve"> not historical and </w:t>
      </w:r>
      <w:r w:rsidR="00261C68">
        <w:t>can</w:t>
      </w:r>
      <w:r w:rsidR="003C7783" w:rsidRPr="00506F36">
        <w:t xml:space="preserve"> be deleted when </w:t>
      </w:r>
      <w:r w:rsidR="00261C68">
        <w:t xml:space="preserve">they are </w:t>
      </w:r>
      <w:r w:rsidR="003C7783" w:rsidRPr="00506F36">
        <w:t>no longer relevant.</w:t>
      </w:r>
    </w:p>
    <w:p w14:paraId="636AD59E" w14:textId="4143671E" w:rsidR="00506F36" w:rsidRDefault="00DF0C71" w:rsidP="00E92EA5">
      <w:pPr>
        <w:pStyle w:val="Heading4"/>
      </w:pPr>
      <w:r>
        <w:rPr>
          <w:noProof/>
        </w:rPr>
        <w:lastRenderedPageBreak/>
        <w:drawing>
          <wp:anchor distT="0" distB="0" distL="114300" distR="114300" simplePos="0" relativeHeight="252047364" behindDoc="0" locked="0" layoutInCell="1" allowOverlap="1" wp14:anchorId="1BF168BA" wp14:editId="61E68B2B">
            <wp:simplePos x="0" y="0"/>
            <wp:positionH relativeFrom="column">
              <wp:posOffset>5486400</wp:posOffset>
            </wp:positionH>
            <wp:positionV relativeFrom="paragraph">
              <wp:posOffset>309880</wp:posOffset>
            </wp:positionV>
            <wp:extent cx="365760" cy="365760"/>
            <wp:effectExtent l="0" t="0" r="0" b="0"/>
            <wp:wrapTight wrapText="bothSides">
              <wp:wrapPolygon edited="0">
                <wp:start x="0" y="0"/>
                <wp:lineTo x="0" y="20250"/>
                <wp:lineTo x="20250" y="20250"/>
                <wp:lineTo x="20250" y="0"/>
                <wp:lineTo x="0" y="0"/>
              </wp:wrapPolygon>
            </wp:wrapTight>
            <wp:docPr id="25888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83349" name=""/>
                    <pic:cNvPicPr/>
                  </pic:nvPicPr>
                  <pic:blipFill>
                    <a:blip r:embed="rId54"/>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506F36">
        <w:t xml:space="preserve">Global </w:t>
      </w:r>
      <w:r w:rsidR="00506F36">
        <w:t>A</w:t>
      </w:r>
      <w:r w:rsidR="003C7783" w:rsidRPr="00506F36">
        <w:t>lert</w:t>
      </w:r>
      <w:r w:rsidR="00506F36" w:rsidRPr="00506F36">
        <w:t>s</w:t>
      </w:r>
    </w:p>
    <w:p w14:paraId="3B3161A3" w14:textId="2F17DB43" w:rsidR="003C7783" w:rsidRDefault="003C7783" w:rsidP="00506F36">
      <w:pPr>
        <w:pStyle w:val="BodyText"/>
      </w:pPr>
      <w:r w:rsidRPr="00506F36">
        <w:t xml:space="preserve">These alerts </w:t>
      </w:r>
      <w:r w:rsidR="00261C68">
        <w:t>appear based on specified criteria</w:t>
      </w:r>
      <w:r w:rsidR="00AE42D7">
        <w:t xml:space="preserve"> that </w:t>
      </w:r>
      <w:r w:rsidRPr="00506F36">
        <w:t>patient record</w:t>
      </w:r>
      <w:r w:rsidR="00AE42D7">
        <w:t>s meet</w:t>
      </w:r>
      <w:r w:rsidRPr="00506F36">
        <w:t xml:space="preserve">. </w:t>
      </w:r>
      <w:r w:rsidR="00AE42D7">
        <w:t xml:space="preserve">You can use global alerts as clinical </w:t>
      </w:r>
      <w:r w:rsidRPr="00506F36">
        <w:t xml:space="preserve">decision support </w:t>
      </w:r>
      <w:r w:rsidR="00AE42D7">
        <w:t>to identify patients requiring</w:t>
      </w:r>
      <w:r w:rsidRPr="00506F36">
        <w:t xml:space="preserve"> </w:t>
      </w:r>
      <w:r w:rsidR="00AE42D7">
        <w:t>p</w:t>
      </w:r>
      <w:r w:rsidRPr="00506F36">
        <w:t>remed</w:t>
      </w:r>
      <w:r w:rsidR="00AE42D7">
        <w:t>ication</w:t>
      </w:r>
      <w:r w:rsidRPr="00506F36">
        <w:t xml:space="preserve"> or</w:t>
      </w:r>
      <w:r w:rsidR="00AE42D7">
        <w:t xml:space="preserve"> as</w:t>
      </w:r>
      <w:r w:rsidRPr="00506F36">
        <w:t xml:space="preserve"> administrative </w:t>
      </w:r>
      <w:r w:rsidR="00AE42D7">
        <w:t xml:space="preserve">decision </w:t>
      </w:r>
      <w:r w:rsidRPr="00506F36">
        <w:t xml:space="preserve">support </w:t>
      </w:r>
      <w:r w:rsidR="00AE42D7">
        <w:t>to identify patients with</w:t>
      </w:r>
      <w:r w:rsidRPr="00506F36">
        <w:t xml:space="preserve"> missing demographics.</w:t>
      </w:r>
    </w:p>
    <w:p w14:paraId="7C790241" w14:textId="6F8BCB62" w:rsidR="00AE42D7" w:rsidRPr="00506F36" w:rsidRDefault="00AE42D7" w:rsidP="00506F36">
      <w:pPr>
        <w:pStyle w:val="BodyText"/>
      </w:pPr>
      <w:r>
        <w:t>Setting up a global alert consists of the following:</w:t>
      </w:r>
    </w:p>
    <w:p w14:paraId="707B8BD8" w14:textId="418BF374" w:rsidR="003C7783" w:rsidRPr="00506F36" w:rsidRDefault="003C7783" w:rsidP="004F45B6">
      <w:pPr>
        <w:pStyle w:val="BodyText"/>
        <w:numPr>
          <w:ilvl w:val="0"/>
          <w:numId w:val="39"/>
        </w:numPr>
        <w:ind w:left="540"/>
      </w:pPr>
      <w:r w:rsidRPr="00AE42D7">
        <w:rPr>
          <w:b/>
          <w:bCs/>
        </w:rPr>
        <w:t xml:space="preserve">Alert </w:t>
      </w:r>
      <w:r w:rsidR="00AE42D7" w:rsidRPr="00AE42D7">
        <w:rPr>
          <w:b/>
          <w:bCs/>
        </w:rPr>
        <w:t>O</w:t>
      </w:r>
      <w:r w:rsidRPr="00AE42D7">
        <w:rPr>
          <w:b/>
          <w:bCs/>
        </w:rPr>
        <w:t>ptions</w:t>
      </w:r>
      <w:r w:rsidRPr="00506F36">
        <w:t xml:space="preserve"> </w:t>
      </w:r>
      <w:r w:rsidR="00AE42D7">
        <w:t>–</w:t>
      </w:r>
      <w:r w:rsidRPr="00506F36">
        <w:t xml:space="preserve"> </w:t>
      </w:r>
      <w:r w:rsidR="00BC1F55">
        <w:t xml:space="preserve">Specify </w:t>
      </w:r>
      <w:r w:rsidRPr="00506F36">
        <w:t>where the alert</w:t>
      </w:r>
      <w:r w:rsidR="00BC1F55">
        <w:t xml:space="preserve"> can appear</w:t>
      </w:r>
      <w:r w:rsidRPr="00506F36">
        <w:t xml:space="preserve">. Use caution when deciding where alerts should </w:t>
      </w:r>
      <w:r w:rsidR="00BC1F55">
        <w:t>appear</w:t>
      </w:r>
      <w:r w:rsidRPr="00506F36">
        <w:t xml:space="preserve"> as too many pop-up messages can be cumbersome and slow down workflows. </w:t>
      </w:r>
      <w:r w:rsidR="00BC1F55">
        <w:t>Set up the alert so that it appears only</w:t>
      </w:r>
      <w:r w:rsidRPr="00506F36">
        <w:t xml:space="preserve"> where </w:t>
      </w:r>
      <w:r w:rsidR="00BC1F55">
        <w:t xml:space="preserve">it is </w:t>
      </w:r>
      <w:r w:rsidRPr="00506F36">
        <w:t>relevant to patient care based on the type</w:t>
      </w:r>
      <w:r w:rsidR="00B71D90">
        <w:t xml:space="preserve"> of alert</w:t>
      </w:r>
      <w:r w:rsidRPr="00506F36">
        <w:t>.</w:t>
      </w:r>
    </w:p>
    <w:p w14:paraId="4EB0D14F" w14:textId="1FB31AFB" w:rsidR="003C7783" w:rsidRPr="00506F36" w:rsidRDefault="003C7783" w:rsidP="004F45B6">
      <w:pPr>
        <w:pStyle w:val="BodyText"/>
        <w:numPr>
          <w:ilvl w:val="0"/>
          <w:numId w:val="39"/>
        </w:numPr>
        <w:ind w:left="540"/>
      </w:pPr>
      <w:r w:rsidRPr="00AE42D7">
        <w:rPr>
          <w:b/>
          <w:bCs/>
        </w:rPr>
        <w:t xml:space="preserve">Patient </w:t>
      </w:r>
      <w:r w:rsidR="00AE42D7" w:rsidRPr="00AE42D7">
        <w:rPr>
          <w:b/>
          <w:bCs/>
        </w:rPr>
        <w:t>F</w:t>
      </w:r>
      <w:r w:rsidRPr="00AE42D7">
        <w:rPr>
          <w:b/>
          <w:bCs/>
        </w:rPr>
        <w:t>ilters</w:t>
      </w:r>
      <w:r w:rsidRPr="00506F36">
        <w:t xml:space="preserve"> </w:t>
      </w:r>
      <w:r w:rsidR="00AE42D7">
        <w:t>–</w:t>
      </w:r>
      <w:r w:rsidRPr="00506F36">
        <w:t xml:space="preserve"> </w:t>
      </w:r>
      <w:r w:rsidR="00BC1F55">
        <w:t>Specify</w:t>
      </w:r>
      <w:r w:rsidRPr="00506F36">
        <w:t xml:space="preserve"> what information to use as a filter. Filters identify if certain </w:t>
      </w:r>
      <w:r w:rsidR="00BC1F55">
        <w:t>information</w:t>
      </w:r>
      <w:r w:rsidRPr="00506F36">
        <w:t xml:space="preserve"> </w:t>
      </w:r>
      <w:r w:rsidR="00BC1F55">
        <w:t>exists or not</w:t>
      </w:r>
      <w:r w:rsidRPr="00506F36">
        <w:t>.</w:t>
      </w:r>
      <w:r w:rsidR="00BC1F55">
        <w:t xml:space="preserve"> You can use a filter to check for the following:</w:t>
      </w:r>
    </w:p>
    <w:p w14:paraId="705A96A4" w14:textId="2BB58E3D" w:rsidR="003C7783" w:rsidRPr="00506F36" w:rsidRDefault="003C7783" w:rsidP="004F45B6">
      <w:pPr>
        <w:pStyle w:val="BodyText"/>
        <w:numPr>
          <w:ilvl w:val="2"/>
          <w:numId w:val="152"/>
        </w:numPr>
        <w:ind w:left="900"/>
      </w:pPr>
      <w:r w:rsidRPr="00BC1F55">
        <w:rPr>
          <w:b/>
          <w:bCs/>
        </w:rPr>
        <w:t xml:space="preserve">Patient </w:t>
      </w:r>
      <w:r w:rsidR="00BC1F55" w:rsidRPr="00BC1F55">
        <w:rPr>
          <w:b/>
          <w:bCs/>
        </w:rPr>
        <w:t>i</w:t>
      </w:r>
      <w:r w:rsidRPr="00BC1F55">
        <w:rPr>
          <w:b/>
          <w:bCs/>
        </w:rPr>
        <w:t>nformation</w:t>
      </w:r>
      <w:r w:rsidRPr="00506F36">
        <w:t xml:space="preserve"> </w:t>
      </w:r>
      <w:r w:rsidR="00BC1F55">
        <w:t>–</w:t>
      </w:r>
      <w:r w:rsidRPr="00506F36">
        <w:t xml:space="preserve"> </w:t>
      </w:r>
      <w:r w:rsidR="00BC1F55">
        <w:t>To c</w:t>
      </w:r>
      <w:r w:rsidRPr="00506F36">
        <w:t xml:space="preserve">heck </w:t>
      </w:r>
      <w:r w:rsidR="00BC1F55">
        <w:t xml:space="preserve">if a patient has </w:t>
      </w:r>
      <w:r w:rsidRPr="00506F36">
        <w:t>missing information.</w:t>
      </w:r>
    </w:p>
    <w:p w14:paraId="5E5214B3" w14:textId="7B44A395" w:rsidR="003C7783" w:rsidRPr="00BC1F55" w:rsidRDefault="003C7783" w:rsidP="004F45B6">
      <w:pPr>
        <w:pStyle w:val="BodyText"/>
        <w:numPr>
          <w:ilvl w:val="2"/>
          <w:numId w:val="152"/>
        </w:numPr>
        <w:ind w:left="900"/>
      </w:pPr>
      <w:r w:rsidRPr="00BC1F55">
        <w:rPr>
          <w:b/>
          <w:bCs/>
        </w:rPr>
        <w:t xml:space="preserve">Specialized </w:t>
      </w:r>
      <w:r w:rsidR="00BC1F55" w:rsidRPr="00BC1F55">
        <w:rPr>
          <w:b/>
          <w:bCs/>
        </w:rPr>
        <w:t>g</w:t>
      </w:r>
      <w:r w:rsidRPr="00BC1F55">
        <w:rPr>
          <w:b/>
          <w:bCs/>
        </w:rPr>
        <w:t>roups</w:t>
      </w:r>
      <w:r w:rsidRPr="00506F36">
        <w:t xml:space="preserve"> </w:t>
      </w:r>
      <w:r w:rsidR="00BC1F55">
        <w:t>–</w:t>
      </w:r>
      <w:r w:rsidRPr="00506F36">
        <w:t xml:space="preserve"> </w:t>
      </w:r>
      <w:r w:rsidR="00BC1F55">
        <w:t>To check if a patient is part of a certain group based on a billing type or patient tag</w:t>
      </w:r>
      <w:r w:rsidRPr="00BC1F55">
        <w:t>.</w:t>
      </w:r>
    </w:p>
    <w:p w14:paraId="0DF11270" w14:textId="30A0FDEB" w:rsidR="003C7783" w:rsidRPr="00506F36" w:rsidRDefault="003C7783" w:rsidP="004F45B6">
      <w:pPr>
        <w:pStyle w:val="BodyText"/>
        <w:numPr>
          <w:ilvl w:val="2"/>
          <w:numId w:val="152"/>
        </w:numPr>
        <w:ind w:left="900"/>
      </w:pPr>
      <w:r w:rsidRPr="00BC1F55">
        <w:rPr>
          <w:b/>
          <w:bCs/>
        </w:rPr>
        <w:t xml:space="preserve">Clinical </w:t>
      </w:r>
      <w:r w:rsidR="00BC1F55" w:rsidRPr="00BC1F55">
        <w:rPr>
          <w:b/>
          <w:bCs/>
        </w:rPr>
        <w:t>c</w:t>
      </w:r>
      <w:r w:rsidRPr="00BC1F55">
        <w:rPr>
          <w:b/>
          <w:bCs/>
        </w:rPr>
        <w:t>onditions</w:t>
      </w:r>
      <w:r w:rsidRPr="00506F36">
        <w:t xml:space="preserve"> </w:t>
      </w:r>
      <w:r w:rsidR="00BC1F55">
        <w:t>–</w:t>
      </w:r>
      <w:r w:rsidRPr="00506F36">
        <w:t xml:space="preserve"> </w:t>
      </w:r>
      <w:r w:rsidR="00BC1F55">
        <w:t>To check</w:t>
      </w:r>
      <w:r w:rsidRPr="00506F36">
        <w:t xml:space="preserve"> if a patient has </w:t>
      </w:r>
      <w:r w:rsidR="00BC1F55">
        <w:t>a</w:t>
      </w:r>
      <w:r w:rsidRPr="00506F36">
        <w:t xml:space="preserve">llergies or needs medication prior to </w:t>
      </w:r>
      <w:r w:rsidR="00BC1F55">
        <w:t xml:space="preserve">an </w:t>
      </w:r>
      <w:r w:rsidRPr="00506F36">
        <w:t>appointment.</w:t>
      </w:r>
    </w:p>
    <w:p w14:paraId="1B6FE57C" w14:textId="77777777" w:rsidR="00506F36" w:rsidRPr="00506F36" w:rsidRDefault="003C7783" w:rsidP="00E92EA5">
      <w:pPr>
        <w:pStyle w:val="Heading4"/>
        <w:rPr>
          <w:bCs/>
        </w:rPr>
      </w:pPr>
      <w:r w:rsidRPr="00506F36">
        <w:t xml:space="preserve">Patient </w:t>
      </w:r>
      <w:r w:rsidR="00506F36">
        <w:t>T</w:t>
      </w:r>
      <w:r w:rsidRPr="00506F36">
        <w:t>ags</w:t>
      </w:r>
    </w:p>
    <w:p w14:paraId="745D0C61" w14:textId="0B8E2AC2" w:rsidR="003C7783" w:rsidRPr="003C7783" w:rsidRDefault="00D15973" w:rsidP="00506F36">
      <w:pPr>
        <w:pStyle w:val="BodyText"/>
        <w:rPr>
          <w:b/>
          <w:bCs/>
        </w:rPr>
      </w:pPr>
      <w:r w:rsidRPr="00A20A27">
        <w:t xml:space="preserve">These </w:t>
      </w:r>
      <w:r w:rsidR="003C7783" w:rsidRPr="00A20A27">
        <w:t>are cus</w:t>
      </w:r>
      <w:r w:rsidR="003C7783" w:rsidRPr="003C7783">
        <w:t>tomizable definitions that can be assigned to patient</w:t>
      </w:r>
      <w:r w:rsidR="00AE42D7">
        <w:t>s</w:t>
      </w:r>
      <w:r w:rsidR="003C7783" w:rsidRPr="003C7783">
        <w:t xml:space="preserve">. </w:t>
      </w:r>
      <w:r w:rsidR="00B71D90">
        <w:t>Patient t</w:t>
      </w:r>
      <w:r w:rsidR="003C7783" w:rsidRPr="003C7783">
        <w:t xml:space="preserve">ags </w:t>
      </w:r>
      <w:r w:rsidR="00B71D90">
        <w:t>provide</w:t>
      </w:r>
      <w:r w:rsidR="003C7783" w:rsidRPr="003C7783">
        <w:t xml:space="preserve"> visual notification when </w:t>
      </w:r>
      <w:r w:rsidR="00B71D90">
        <w:t xml:space="preserve">you are </w:t>
      </w:r>
      <w:r w:rsidR="003C7783" w:rsidRPr="003C7783">
        <w:t xml:space="preserve">reviewing an account. Patient </w:t>
      </w:r>
      <w:r w:rsidR="00B71D90">
        <w:t>t</w:t>
      </w:r>
      <w:r w:rsidR="003C7783" w:rsidRPr="003C7783">
        <w:t>ags are reportable</w:t>
      </w:r>
      <w:r w:rsidR="00B71D90">
        <w:t xml:space="preserve"> and</w:t>
      </w:r>
      <w:r w:rsidR="003C7783" w:rsidRPr="003C7783">
        <w:t xml:space="preserve"> available as </w:t>
      </w:r>
      <w:r w:rsidR="00B71D90">
        <w:t xml:space="preserve">a </w:t>
      </w:r>
      <w:r w:rsidR="003C7783" w:rsidRPr="003C7783">
        <w:t>filter</w:t>
      </w:r>
      <w:r w:rsidR="00B71D90">
        <w:t xml:space="preserve"> for</w:t>
      </w:r>
      <w:r w:rsidR="003C7783" w:rsidRPr="003C7783">
        <w:t xml:space="preserve"> many reports and features throughout the program. </w:t>
      </w:r>
      <w:r w:rsidR="00B71D90">
        <w:t>Be aware that patient tags are not historical and</w:t>
      </w:r>
      <w:r w:rsidR="003C7783" w:rsidRPr="003C7783">
        <w:t xml:space="preserve"> </w:t>
      </w:r>
      <w:r w:rsidR="00B71D90">
        <w:t>can be removed from patient records when they are no longer relevant</w:t>
      </w:r>
      <w:r w:rsidR="003C7783" w:rsidRPr="003C7783">
        <w:t>.</w:t>
      </w:r>
    </w:p>
    <w:p w14:paraId="30B0E032" w14:textId="2C651D33" w:rsidR="003C7783" w:rsidRPr="003C7783" w:rsidRDefault="00395C6B" w:rsidP="00D42C5A">
      <w:pPr>
        <w:pStyle w:val="Heading3"/>
      </w:pPr>
      <w:bookmarkStart w:id="145" w:name="_Toc135416707"/>
      <w:bookmarkStart w:id="146" w:name="_Toc166834347"/>
      <w:r>
        <w:t>Document Storage</w:t>
      </w:r>
      <w:bookmarkEnd w:id="145"/>
      <w:bookmarkEnd w:id="146"/>
    </w:p>
    <w:p w14:paraId="0C95BADB" w14:textId="3E3D9987" w:rsidR="003C7783" w:rsidRPr="003C7783" w:rsidRDefault="00FF4984" w:rsidP="00D15973">
      <w:pPr>
        <w:pStyle w:val="BodyText"/>
        <w:rPr>
          <w:b/>
          <w:bCs/>
        </w:rPr>
      </w:pPr>
      <w:r>
        <w:rPr>
          <w:noProof/>
        </w:rPr>
        <w:drawing>
          <wp:anchor distT="0" distB="0" distL="114300" distR="114300" simplePos="0" relativeHeight="252051460" behindDoc="0" locked="0" layoutInCell="1" allowOverlap="1" wp14:anchorId="5C3794D3" wp14:editId="38FAD8CF">
            <wp:simplePos x="0" y="0"/>
            <wp:positionH relativeFrom="column">
              <wp:posOffset>5394960</wp:posOffset>
            </wp:positionH>
            <wp:positionV relativeFrom="paragraph">
              <wp:posOffset>26907</wp:posOffset>
            </wp:positionV>
            <wp:extent cx="365760" cy="365760"/>
            <wp:effectExtent l="0" t="0" r="0" b="0"/>
            <wp:wrapTight wrapText="bothSides">
              <wp:wrapPolygon edited="0">
                <wp:start x="0" y="0"/>
                <wp:lineTo x="0" y="20250"/>
                <wp:lineTo x="20250" y="20250"/>
                <wp:lineTo x="20250" y="0"/>
                <wp:lineTo x="0" y="0"/>
              </wp:wrapPolygon>
            </wp:wrapTight>
            <wp:docPr id="124901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7367" name=""/>
                    <pic:cNvPicPr/>
                  </pic:nvPicPr>
                  <pic:blipFill>
                    <a:blip r:embed="rId55"/>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C72775">
        <w:rPr>
          <w:noProof/>
        </w:rPr>
        <w:drawing>
          <wp:anchor distT="0" distB="0" distL="0" distR="91440" simplePos="0" relativeHeight="251736068" behindDoc="1" locked="0" layoutInCell="1" allowOverlap="1" wp14:anchorId="500C95DA" wp14:editId="20BF57D2">
            <wp:simplePos x="0" y="0"/>
            <wp:positionH relativeFrom="column">
              <wp:posOffset>-457200</wp:posOffset>
            </wp:positionH>
            <wp:positionV relativeFrom="paragraph">
              <wp:posOffset>397231</wp:posOffset>
            </wp:positionV>
            <wp:extent cx="365856" cy="484632"/>
            <wp:effectExtent l="0" t="0" r="0" b="0"/>
            <wp:wrapTight wrapText="right">
              <wp:wrapPolygon edited="0">
                <wp:start x="0" y="0"/>
                <wp:lineTo x="0" y="20383"/>
                <wp:lineTo x="20250" y="20383"/>
                <wp:lineTo x="20250" y="0"/>
                <wp:lineTo x="0" y="0"/>
              </wp:wrapPolygon>
            </wp:wrapTight>
            <wp:docPr id="1711908881"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3C7783" w:rsidRPr="003C7783">
        <w:t xml:space="preserve">Document Center is a place to organize and store documents </w:t>
      </w:r>
      <w:r w:rsidR="00B71D90">
        <w:t xml:space="preserve">that have been </w:t>
      </w:r>
      <w:r w:rsidR="003C7783" w:rsidRPr="003C7783">
        <w:t>scanned or imported into Dentrix Enterprise.</w:t>
      </w:r>
      <w:r w:rsidR="00B71D90">
        <w:t xml:space="preserve"> </w:t>
      </w:r>
      <w:r w:rsidR="003C7783" w:rsidRPr="003C7783">
        <w:t xml:space="preserve">These items </w:t>
      </w:r>
      <w:r w:rsidR="00B71D90">
        <w:t>can be associated with</w:t>
      </w:r>
      <w:r w:rsidR="003C7783" w:rsidRPr="003C7783">
        <w:t xml:space="preserve"> patient</w:t>
      </w:r>
      <w:r w:rsidR="00B71D90">
        <w:t>s,</w:t>
      </w:r>
      <w:r w:rsidR="003C7783" w:rsidRPr="003C7783">
        <w:t xml:space="preserve"> are easily accessed from all patient</w:t>
      </w:r>
      <w:r w:rsidR="00B71D90">
        <w:t>-</w:t>
      </w:r>
      <w:r w:rsidR="003C7783" w:rsidRPr="003C7783">
        <w:t>specific modules</w:t>
      </w:r>
      <w:r w:rsidR="00B71D90">
        <w:t>,</w:t>
      </w:r>
      <w:r w:rsidR="003C7783" w:rsidRPr="003C7783">
        <w:t xml:space="preserve"> and are used for quick reference.</w:t>
      </w:r>
    </w:p>
    <w:p w14:paraId="672E0B1E" w14:textId="52A520C3" w:rsidR="003C7783" w:rsidRPr="003C7783" w:rsidRDefault="003C7783" w:rsidP="00A37B2A">
      <w:pPr>
        <w:pStyle w:val="BodyText"/>
      </w:pPr>
      <w:r w:rsidRPr="00A37B2A">
        <w:rPr>
          <w:color w:val="00B050"/>
        </w:rPr>
        <w:t>&lt;&lt;Insert Document Storage decision support/SOP/Guidance here&gt;&gt;</w:t>
      </w:r>
    </w:p>
    <w:p w14:paraId="47A23831" w14:textId="77777777" w:rsidR="00D15973" w:rsidRDefault="003C7783" w:rsidP="00E92EA5">
      <w:pPr>
        <w:pStyle w:val="Heading4"/>
        <w:rPr>
          <w:lang w:val="en"/>
        </w:rPr>
      </w:pPr>
      <w:r w:rsidRPr="003C7783">
        <w:rPr>
          <w:lang w:val="en"/>
        </w:rPr>
        <w:t>Document Center</w:t>
      </w:r>
    </w:p>
    <w:p w14:paraId="6C6D7A80" w14:textId="7D44F640" w:rsidR="003C7783" w:rsidRPr="00A20A27" w:rsidRDefault="00DC277F" w:rsidP="00D15973">
      <w:pPr>
        <w:pStyle w:val="BodyText"/>
        <w:rPr>
          <w:lang w:val="en"/>
        </w:rPr>
      </w:pPr>
      <w:r>
        <w:rPr>
          <w:lang w:val="en"/>
        </w:rPr>
        <w:t>Refer to the following p</w:t>
      </w:r>
      <w:r w:rsidR="003C7783" w:rsidRPr="00A20A27">
        <w:rPr>
          <w:lang w:val="en"/>
        </w:rPr>
        <w:t>rocess</w:t>
      </w:r>
      <w:r w:rsidR="00F82A39">
        <w:rPr>
          <w:lang w:val="en"/>
        </w:rPr>
        <w:t>es</w:t>
      </w:r>
      <w:r w:rsidR="003C7783" w:rsidRPr="00A20A27">
        <w:rPr>
          <w:lang w:val="en"/>
        </w:rPr>
        <w:t xml:space="preserve"> </w:t>
      </w:r>
      <w:r w:rsidR="00F82A39">
        <w:rPr>
          <w:lang w:val="en"/>
        </w:rPr>
        <w:t>for</w:t>
      </w:r>
      <w:r w:rsidR="003C7783" w:rsidRPr="00A20A27">
        <w:rPr>
          <w:lang w:val="en"/>
        </w:rPr>
        <w:t xml:space="preserve"> documents</w:t>
      </w:r>
      <w:r w:rsidR="00F82A39">
        <w:rPr>
          <w:lang w:val="en"/>
        </w:rPr>
        <w:t>:</w:t>
      </w:r>
    </w:p>
    <w:p w14:paraId="3F018353" w14:textId="3ECACB46" w:rsidR="003C7783" w:rsidRPr="00A20A27" w:rsidRDefault="003C7783" w:rsidP="004F45B6">
      <w:pPr>
        <w:pStyle w:val="BodyText"/>
        <w:numPr>
          <w:ilvl w:val="0"/>
          <w:numId w:val="41"/>
        </w:numPr>
        <w:ind w:left="540"/>
        <w:rPr>
          <w:lang w:val="en"/>
        </w:rPr>
      </w:pPr>
      <w:r w:rsidRPr="00F82A39">
        <w:rPr>
          <w:b/>
          <w:bCs/>
          <w:lang w:val="en"/>
        </w:rPr>
        <w:t>Acquir</w:t>
      </w:r>
      <w:r w:rsidR="00F82A39" w:rsidRPr="00F82A39">
        <w:rPr>
          <w:b/>
          <w:bCs/>
          <w:lang w:val="en"/>
        </w:rPr>
        <w:t>ing</w:t>
      </w:r>
      <w:r w:rsidR="00BF5438" w:rsidRPr="00A20A27">
        <w:rPr>
          <w:lang w:val="en"/>
        </w:rPr>
        <w:t>:</w:t>
      </w:r>
    </w:p>
    <w:p w14:paraId="3817E6B0" w14:textId="27B9042A" w:rsidR="003C7783" w:rsidRPr="00A20A27" w:rsidRDefault="003C7783" w:rsidP="004F45B6">
      <w:pPr>
        <w:pStyle w:val="BodyText"/>
        <w:numPr>
          <w:ilvl w:val="0"/>
          <w:numId w:val="40"/>
        </w:numPr>
        <w:ind w:left="1080"/>
      </w:pPr>
      <w:r w:rsidRPr="00F82A39">
        <w:rPr>
          <w:b/>
          <w:bCs/>
        </w:rPr>
        <w:t>Scan</w:t>
      </w:r>
      <w:r w:rsidR="00F82A39" w:rsidRPr="00F82A39">
        <w:rPr>
          <w:b/>
          <w:bCs/>
        </w:rPr>
        <w:t xml:space="preserve"> or a</w:t>
      </w:r>
      <w:r w:rsidRPr="00F82A39">
        <w:rPr>
          <w:b/>
          <w:bCs/>
        </w:rPr>
        <w:t xml:space="preserve">cquire from a </w:t>
      </w:r>
      <w:r w:rsidR="00F82A39" w:rsidRPr="00F82A39">
        <w:rPr>
          <w:b/>
          <w:bCs/>
        </w:rPr>
        <w:t>d</w:t>
      </w:r>
      <w:r w:rsidRPr="00F82A39">
        <w:rPr>
          <w:b/>
          <w:bCs/>
        </w:rPr>
        <w:t>evice</w:t>
      </w:r>
      <w:r w:rsidRPr="00A20A27">
        <w:t xml:space="preserve"> </w:t>
      </w:r>
      <w:r w:rsidR="00F82A39">
        <w:t>– You</w:t>
      </w:r>
      <w:r w:rsidRPr="00A20A27">
        <w:t xml:space="preserve"> can add </w:t>
      </w:r>
      <w:r w:rsidR="00F82A39" w:rsidRPr="00A20A27">
        <w:t>hard copy (paper) documents</w:t>
      </w:r>
      <w:r w:rsidRPr="00A20A27">
        <w:t xml:space="preserve"> </w:t>
      </w:r>
      <w:r w:rsidR="00DC277F">
        <w:t>in</w:t>
      </w:r>
      <w:r w:rsidRPr="00A20A27">
        <w:t>to Document Center is by capturing them with a WIA- or TWAIN-compliant scanner, camera, or other device. You can scan documents directly into each entity's Document Center, or you can scan documents in as unfiled documents and then attach them to the correct entities later.</w:t>
      </w:r>
    </w:p>
    <w:p w14:paraId="07F9B81F" w14:textId="0C8CE99D" w:rsidR="003C7783" w:rsidRPr="00DC277F" w:rsidRDefault="00F12C15" w:rsidP="00B3072B">
      <w:pPr>
        <w:pStyle w:val="BodyText"/>
        <w:ind w:left="1080"/>
        <w:rPr>
          <w:i/>
          <w:iCs/>
        </w:rPr>
      </w:pPr>
      <w:r>
        <w:rPr>
          <w:noProof/>
        </w:rPr>
        <w:drawing>
          <wp:anchor distT="0" distB="0" distL="0" distR="91440" simplePos="0" relativeHeight="251742212" behindDoc="1" locked="0" layoutInCell="1" allowOverlap="1" wp14:anchorId="14EAF458" wp14:editId="764C6DFB">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211143756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3C7783" w:rsidRPr="00DC277F">
        <w:rPr>
          <w:b/>
          <w:bCs/>
          <w:i/>
          <w:iCs/>
        </w:rPr>
        <w:t>Workflow Insight</w:t>
      </w:r>
      <w:r w:rsidR="003C7783" w:rsidRPr="00DC277F">
        <w:rPr>
          <w:i/>
          <w:iCs/>
        </w:rPr>
        <w:t xml:space="preserve">: </w:t>
      </w:r>
      <w:r w:rsidR="00F82A39" w:rsidRPr="00DC277F">
        <w:rPr>
          <w:i/>
          <w:iCs/>
        </w:rPr>
        <w:t>Set</w:t>
      </w:r>
      <w:r w:rsidR="003C7783" w:rsidRPr="00DC277F">
        <w:rPr>
          <w:i/>
          <w:iCs/>
        </w:rPr>
        <w:t xml:space="preserve"> up Document Type Templates</w:t>
      </w:r>
      <w:r w:rsidR="00F82A39" w:rsidRPr="00DC277F">
        <w:rPr>
          <w:i/>
          <w:iCs/>
        </w:rPr>
        <w:t xml:space="preserve"> to standardize </w:t>
      </w:r>
      <w:r w:rsidR="003C7783" w:rsidRPr="00DC277F">
        <w:rPr>
          <w:i/>
          <w:iCs/>
        </w:rPr>
        <w:t xml:space="preserve">Document Center </w:t>
      </w:r>
      <w:r w:rsidR="00F82A39" w:rsidRPr="00DC277F">
        <w:rPr>
          <w:i/>
          <w:iCs/>
        </w:rPr>
        <w:t xml:space="preserve">and </w:t>
      </w:r>
      <w:r w:rsidR="00DC277F" w:rsidRPr="00DC277F">
        <w:rPr>
          <w:i/>
          <w:iCs/>
        </w:rPr>
        <w:t xml:space="preserve">for quicker and easier </w:t>
      </w:r>
      <w:r w:rsidR="003C7783" w:rsidRPr="00DC277F">
        <w:rPr>
          <w:i/>
          <w:iCs/>
        </w:rPr>
        <w:t>acquisition</w:t>
      </w:r>
      <w:r w:rsidR="00DC277F" w:rsidRPr="00DC277F">
        <w:rPr>
          <w:i/>
          <w:iCs/>
        </w:rPr>
        <w:t>s</w:t>
      </w:r>
      <w:r w:rsidR="003C7783" w:rsidRPr="00DC277F">
        <w:rPr>
          <w:i/>
          <w:iCs/>
        </w:rPr>
        <w:t xml:space="preserve">.  </w:t>
      </w:r>
    </w:p>
    <w:p w14:paraId="121929FF" w14:textId="4E7AC8F1" w:rsidR="003C7783" w:rsidRPr="00A20A27" w:rsidRDefault="003C7783" w:rsidP="004F45B6">
      <w:pPr>
        <w:pStyle w:val="BodyText"/>
        <w:keepNext/>
        <w:keepLines/>
        <w:numPr>
          <w:ilvl w:val="0"/>
          <w:numId w:val="40"/>
        </w:numPr>
        <w:ind w:left="1080"/>
      </w:pPr>
      <w:r w:rsidRPr="00F82A39">
        <w:rPr>
          <w:b/>
          <w:bCs/>
        </w:rPr>
        <w:lastRenderedPageBreak/>
        <w:t>Import</w:t>
      </w:r>
      <w:r w:rsidRPr="00A20A27">
        <w:t xml:space="preserve"> </w:t>
      </w:r>
      <w:r w:rsidR="00F82A39">
        <w:t>–</w:t>
      </w:r>
      <w:r w:rsidRPr="00A20A27">
        <w:t xml:space="preserve"> </w:t>
      </w:r>
      <w:r w:rsidR="00DC277F">
        <w:t>You can add documents</w:t>
      </w:r>
      <w:r w:rsidRPr="00A20A27">
        <w:t xml:space="preserve"> that were received electronically </w:t>
      </w:r>
      <w:r w:rsidR="00DC277F">
        <w:t xml:space="preserve">into Document Center </w:t>
      </w:r>
      <w:r w:rsidRPr="00A20A27">
        <w:t xml:space="preserve">by importing </w:t>
      </w:r>
      <w:r w:rsidR="00DC277F">
        <w:t xml:space="preserve">the </w:t>
      </w:r>
      <w:r w:rsidRPr="00A20A27">
        <w:t>electronic files from your computer, your office's network, or a removable storage device—even if the files did not originate from Dentrix Enterprise. When you import from a file, Document Center creates a single-page document. To acquire a multi-page document, you must acquire the first page and then add a page.</w:t>
      </w:r>
    </w:p>
    <w:p w14:paraId="6A6CDFF8" w14:textId="1626C76F" w:rsidR="003C7783" w:rsidRPr="00A20A27" w:rsidRDefault="003C7783" w:rsidP="004F45B6">
      <w:pPr>
        <w:pStyle w:val="BodyText"/>
        <w:numPr>
          <w:ilvl w:val="0"/>
          <w:numId w:val="40"/>
        </w:numPr>
        <w:ind w:left="1080"/>
      </w:pPr>
      <w:r w:rsidRPr="00F82A39">
        <w:rPr>
          <w:b/>
          <w:bCs/>
        </w:rPr>
        <w:t>Send to Document Center</w:t>
      </w:r>
      <w:r w:rsidRPr="00A20A27">
        <w:t xml:space="preserve"> (</w:t>
      </w:r>
      <w:r w:rsidR="00F82A39">
        <w:t>v</w:t>
      </w:r>
      <w:r w:rsidRPr="00A20A27">
        <w:t xml:space="preserve">irtual </w:t>
      </w:r>
      <w:r w:rsidR="00F82A39">
        <w:t>p</w:t>
      </w:r>
      <w:r w:rsidRPr="00A20A27">
        <w:t>rinter</w:t>
      </w:r>
      <w:r w:rsidR="00F82A39">
        <w:t xml:space="preserve"> driver</w:t>
      </w:r>
      <w:r w:rsidRPr="00A20A27">
        <w:t xml:space="preserve">) </w:t>
      </w:r>
      <w:r w:rsidR="00F82A39">
        <w:t>–</w:t>
      </w:r>
      <w:r w:rsidRPr="00A20A27">
        <w:t xml:space="preserve"> Dentrix Enterprise has a printer driver that allows you to save a copy of a document from any program that allows printing, such as a word processing program or a Web browser. The document will be saved as a .pdf file in Document Center. You can use this tool even without any Dentrix Enterprise modules open.  </w:t>
      </w:r>
      <w:r w:rsidR="00F82A39">
        <w:t>The</w:t>
      </w:r>
      <w:r w:rsidRPr="00A20A27">
        <w:t xml:space="preserve"> "Acquire Documents" </w:t>
      </w:r>
      <w:r w:rsidR="00F82A39">
        <w:t xml:space="preserve">security right is required </w:t>
      </w:r>
      <w:r w:rsidRPr="00A20A27">
        <w:t xml:space="preserve">to use the Document Center printer driver.  </w:t>
      </w:r>
    </w:p>
    <w:p w14:paraId="6DD9201B" w14:textId="28E2FB7B" w:rsidR="003C7783" w:rsidRPr="00A20A27" w:rsidRDefault="00F82A39" w:rsidP="004F45B6">
      <w:pPr>
        <w:pStyle w:val="BodyText"/>
        <w:numPr>
          <w:ilvl w:val="0"/>
          <w:numId w:val="40"/>
        </w:numPr>
        <w:ind w:left="540"/>
        <w:rPr>
          <w:lang w:val="en"/>
        </w:rPr>
      </w:pPr>
      <w:r w:rsidRPr="00F82A39">
        <w:rPr>
          <w:b/>
          <w:bCs/>
          <w:lang w:val="en"/>
        </w:rPr>
        <w:t>A</w:t>
      </w:r>
      <w:r w:rsidR="003C7783" w:rsidRPr="00F82A39">
        <w:rPr>
          <w:b/>
          <w:bCs/>
          <w:lang w:val="en"/>
        </w:rPr>
        <w:t>ccess</w:t>
      </w:r>
      <w:r w:rsidRPr="00F82A39">
        <w:rPr>
          <w:b/>
          <w:bCs/>
          <w:lang w:val="en"/>
        </w:rPr>
        <w:t>ing</w:t>
      </w:r>
      <w:r w:rsidR="00BF5438" w:rsidRPr="00A20A27">
        <w:rPr>
          <w:lang w:val="en"/>
        </w:rPr>
        <w:t>:</w:t>
      </w:r>
    </w:p>
    <w:p w14:paraId="3DB1A50B" w14:textId="574A4811" w:rsidR="003C7783" w:rsidRPr="00A20A27" w:rsidRDefault="003C7783" w:rsidP="004F45B6">
      <w:pPr>
        <w:pStyle w:val="BodyText"/>
        <w:numPr>
          <w:ilvl w:val="0"/>
          <w:numId w:val="40"/>
        </w:numPr>
        <w:ind w:left="1080"/>
        <w:rPr>
          <w:iCs/>
          <w:lang w:val="en"/>
        </w:rPr>
      </w:pPr>
      <w:r w:rsidRPr="00A20A27">
        <w:rPr>
          <w:iCs/>
          <w:lang w:val="en"/>
        </w:rPr>
        <w:t xml:space="preserve">The Document Center </w:t>
      </w:r>
      <w:r w:rsidR="00DC277F">
        <w:rPr>
          <w:iCs/>
          <w:lang w:val="en"/>
        </w:rPr>
        <w:t xml:space="preserve">toolbar button </w:t>
      </w:r>
      <w:r w:rsidRPr="00A20A27">
        <w:rPr>
          <w:iCs/>
          <w:lang w:val="en"/>
        </w:rPr>
        <w:t xml:space="preserve">changes </w:t>
      </w:r>
      <w:r w:rsidR="00DC277F">
        <w:rPr>
          <w:iCs/>
          <w:lang w:val="en"/>
        </w:rPr>
        <w:t>if</w:t>
      </w:r>
      <w:r w:rsidRPr="00A20A27">
        <w:rPr>
          <w:iCs/>
          <w:lang w:val="en"/>
        </w:rPr>
        <w:t xml:space="preserve"> documents are available. </w:t>
      </w:r>
      <w:r w:rsidR="00DC277F">
        <w:rPr>
          <w:iCs/>
          <w:lang w:val="en"/>
        </w:rPr>
        <w:t>You can a</w:t>
      </w:r>
      <w:r w:rsidRPr="00A20A27">
        <w:rPr>
          <w:iCs/>
          <w:lang w:val="en"/>
        </w:rPr>
        <w:t>ccess</w:t>
      </w:r>
      <w:r w:rsidR="00DC277F">
        <w:rPr>
          <w:iCs/>
          <w:lang w:val="en"/>
        </w:rPr>
        <w:t xml:space="preserve"> Document Center</w:t>
      </w:r>
      <w:r w:rsidRPr="00A20A27">
        <w:rPr>
          <w:iCs/>
          <w:lang w:val="en"/>
        </w:rPr>
        <w:t xml:space="preserve"> from all patient</w:t>
      </w:r>
      <w:r w:rsidR="00DC277F">
        <w:rPr>
          <w:iCs/>
          <w:lang w:val="en"/>
        </w:rPr>
        <w:t>-</w:t>
      </w:r>
      <w:r w:rsidRPr="00A20A27">
        <w:rPr>
          <w:iCs/>
          <w:lang w:val="en"/>
        </w:rPr>
        <w:t xml:space="preserve">specific modules.  </w:t>
      </w:r>
    </w:p>
    <w:p w14:paraId="63156CF0" w14:textId="62D54ACC" w:rsidR="003C7783" w:rsidRPr="00A20A27" w:rsidRDefault="00DC277F" w:rsidP="004F45B6">
      <w:pPr>
        <w:pStyle w:val="BodyText"/>
        <w:numPr>
          <w:ilvl w:val="0"/>
          <w:numId w:val="40"/>
        </w:numPr>
        <w:ind w:left="1080"/>
      </w:pPr>
      <w:r>
        <w:t>T</w:t>
      </w:r>
      <w:r w:rsidR="003C7783" w:rsidRPr="00A20A27">
        <w:t xml:space="preserve">he document tree displays saved items by folder types </w:t>
      </w:r>
      <w:r>
        <w:t xml:space="preserve">and </w:t>
      </w:r>
      <w:r w:rsidR="003C7783" w:rsidRPr="00A20A27">
        <w:t>then by date. Each description is preset for standardization and ease of use.</w:t>
      </w:r>
    </w:p>
    <w:p w14:paraId="48011A24" w14:textId="1F6ECAC4" w:rsidR="003C7783" w:rsidRPr="00A20A27" w:rsidRDefault="00DC277F" w:rsidP="004F45B6">
      <w:pPr>
        <w:pStyle w:val="BodyText"/>
        <w:numPr>
          <w:ilvl w:val="0"/>
          <w:numId w:val="40"/>
        </w:numPr>
        <w:ind w:left="1080"/>
      </w:pPr>
      <w:r>
        <w:t>You can e</w:t>
      </w:r>
      <w:r w:rsidR="003C7783" w:rsidRPr="00A20A27">
        <w:t xml:space="preserve">asily search through </w:t>
      </w:r>
      <w:r>
        <w:t>documents by</w:t>
      </w:r>
      <w:r w:rsidR="003C7783" w:rsidRPr="00A20A27">
        <w:t xml:space="preserve"> using different views</w:t>
      </w:r>
      <w:r>
        <w:t xml:space="preserve"> (</w:t>
      </w:r>
      <w:r w:rsidR="003C7783" w:rsidRPr="00A20A27">
        <w:t xml:space="preserve">such as </w:t>
      </w:r>
      <w:r>
        <w:t>f</w:t>
      </w:r>
      <w:r w:rsidR="003C7783" w:rsidRPr="00A20A27">
        <w:t>amily</w:t>
      </w:r>
      <w:r>
        <w:t xml:space="preserve"> or s</w:t>
      </w:r>
      <w:r w:rsidR="003C7783" w:rsidRPr="00A20A27">
        <w:t>taff</w:t>
      </w:r>
      <w:r>
        <w:t xml:space="preserve">) and </w:t>
      </w:r>
      <w:r w:rsidR="003C7783" w:rsidRPr="00A20A27">
        <w:t xml:space="preserve">filters </w:t>
      </w:r>
      <w:r>
        <w:t>(</w:t>
      </w:r>
      <w:r w:rsidR="003C7783" w:rsidRPr="00A20A27">
        <w:t>such as document type</w:t>
      </w:r>
      <w:r>
        <w:t>)</w:t>
      </w:r>
      <w:r w:rsidR="003C7783" w:rsidRPr="00A20A27">
        <w:t>.</w:t>
      </w:r>
    </w:p>
    <w:p w14:paraId="6D54A095" w14:textId="30818D4B" w:rsidR="003C7783" w:rsidRPr="00A20A27" w:rsidRDefault="00F82A39" w:rsidP="004F45B6">
      <w:pPr>
        <w:pStyle w:val="BodyText"/>
        <w:numPr>
          <w:ilvl w:val="0"/>
          <w:numId w:val="40"/>
        </w:numPr>
        <w:ind w:left="540"/>
      </w:pPr>
      <w:r w:rsidRPr="00F82A39">
        <w:rPr>
          <w:b/>
          <w:bCs/>
        </w:rPr>
        <w:t>Modifying</w:t>
      </w:r>
      <w:r w:rsidR="00BF5438" w:rsidRPr="00A20A27">
        <w:t>:</w:t>
      </w:r>
    </w:p>
    <w:p w14:paraId="62A1553C" w14:textId="4CC88301" w:rsidR="003C7783" w:rsidRPr="00A20A27" w:rsidRDefault="003C7783" w:rsidP="004F45B6">
      <w:pPr>
        <w:pStyle w:val="BodyText"/>
        <w:numPr>
          <w:ilvl w:val="0"/>
          <w:numId w:val="40"/>
        </w:numPr>
        <w:ind w:left="1080"/>
      </w:pPr>
      <w:r w:rsidRPr="00DC277F">
        <w:rPr>
          <w:b/>
          <w:bCs/>
        </w:rPr>
        <w:t>Attachments</w:t>
      </w:r>
      <w:r w:rsidRPr="00A20A27">
        <w:t xml:space="preserve"> </w:t>
      </w:r>
      <w:r w:rsidR="00DC277F">
        <w:t>–</w:t>
      </w:r>
      <w:r w:rsidRPr="00A20A27">
        <w:t xml:space="preserve"> You can modify attachment associations for a specific document. Each document can be associated with a patient, provider/staff, employer, dental insurance plan, medical insurance plan, inbound referral, and/or outbound referral. Also, you can assign additional entities to a signed document. </w:t>
      </w:r>
    </w:p>
    <w:p w14:paraId="624FC838" w14:textId="6068C8D0" w:rsidR="003C7783" w:rsidRPr="00A20A27" w:rsidRDefault="003C7783" w:rsidP="004F45B6">
      <w:pPr>
        <w:pStyle w:val="BodyText"/>
        <w:numPr>
          <w:ilvl w:val="0"/>
          <w:numId w:val="40"/>
        </w:numPr>
        <w:ind w:left="1080"/>
      </w:pPr>
      <w:r w:rsidRPr="00DC277F">
        <w:rPr>
          <w:b/>
          <w:bCs/>
        </w:rPr>
        <w:t>Signatures</w:t>
      </w:r>
      <w:r w:rsidRPr="00A20A27">
        <w:t xml:space="preserve"> – To prevent the changing or deleting of a document in Document Center, you can lock it with a signature. A signatures can be applied only to a document that is attached to patients, providers, and/or staff members. A signature for each patient, provider, or staff member who is attached to the document is allowed. Once a document has been signed, the document information cannot be changed, but you can attach the document to additional </w:t>
      </w:r>
      <w:r w:rsidR="00DC277F">
        <w:t>entities</w:t>
      </w:r>
      <w:r w:rsidRPr="00A20A27">
        <w:t>.</w:t>
      </w:r>
    </w:p>
    <w:p w14:paraId="07AC6C27" w14:textId="508DF998" w:rsidR="00204CA3" w:rsidRPr="00D53397" w:rsidRDefault="00204CA3" w:rsidP="00204CA3">
      <w:pPr>
        <w:pStyle w:val="BodyText"/>
        <w:rPr>
          <w:i/>
          <w:iCs/>
        </w:rPr>
      </w:pPr>
      <w:r w:rsidRPr="00D53397">
        <w:rPr>
          <w:b/>
          <w:bCs/>
          <w:i/>
          <w:iCs/>
          <w:noProof/>
        </w:rPr>
        <w:drawing>
          <wp:anchor distT="0" distB="0" distL="0" distR="91440" simplePos="0" relativeHeight="252075012" behindDoc="1" locked="0" layoutInCell="1" allowOverlap="1" wp14:anchorId="1B66795A" wp14:editId="454A3E0C">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570446052"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w:t>
      </w:r>
      <w:r w:rsidRPr="00D53397">
        <w:rPr>
          <w:i/>
          <w:iCs/>
        </w:rPr>
        <w:t xml:space="preserve">: </w:t>
      </w:r>
      <w:r w:rsidR="00EC6644" w:rsidRPr="00D53397">
        <w:rPr>
          <w:i/>
          <w:iCs/>
        </w:rPr>
        <w:t>In version 11.0.20.585 (Component Update 3), the new Document Center Audit Documents utility allows you to access document, change information if necessary, and complete an audit.</w:t>
      </w:r>
    </w:p>
    <w:p w14:paraId="29C0FBFD" w14:textId="3EE238DE" w:rsidR="003C7783" w:rsidRDefault="003C7783" w:rsidP="00E92EA5">
      <w:pPr>
        <w:pStyle w:val="Heading4"/>
      </w:pPr>
      <w:r w:rsidRPr="00A20A27">
        <w:t>External Documents</w:t>
      </w:r>
    </w:p>
    <w:p w14:paraId="4AB94396" w14:textId="1D425ECC" w:rsidR="00DC277F" w:rsidRPr="00DC277F" w:rsidRDefault="00DC277F" w:rsidP="00DC277F">
      <w:pPr>
        <w:pStyle w:val="BodyText"/>
      </w:pPr>
      <w:r>
        <w:t>Refer to the following details for external documents:</w:t>
      </w:r>
    </w:p>
    <w:p w14:paraId="6B8FE51C" w14:textId="32CA9A81" w:rsidR="003C7783" w:rsidRPr="00A20A27" w:rsidRDefault="003C7783" w:rsidP="004F45B6">
      <w:pPr>
        <w:pStyle w:val="BodyText"/>
        <w:numPr>
          <w:ilvl w:val="0"/>
          <w:numId w:val="42"/>
        </w:numPr>
        <w:ind w:left="540"/>
      </w:pPr>
      <w:r w:rsidRPr="00C94FAB">
        <w:rPr>
          <w:b/>
          <w:bCs/>
        </w:rPr>
        <w:t>Mode</w:t>
      </w:r>
      <w:r w:rsidR="00BF5438" w:rsidRPr="00A20A27">
        <w:t>:</w:t>
      </w:r>
    </w:p>
    <w:p w14:paraId="0A5558F6" w14:textId="084F2E67" w:rsidR="003C7783" w:rsidRPr="00A20A27" w:rsidRDefault="003C7783" w:rsidP="004F45B6">
      <w:pPr>
        <w:pStyle w:val="BodyText"/>
        <w:numPr>
          <w:ilvl w:val="0"/>
          <w:numId w:val="42"/>
        </w:numPr>
        <w:ind w:left="1080"/>
      </w:pPr>
      <w:r w:rsidRPr="00174999">
        <w:rPr>
          <w:b/>
          <w:bCs/>
        </w:rPr>
        <w:t>Paper</w:t>
      </w:r>
      <w:r w:rsidRPr="00A20A27">
        <w:t xml:space="preserve"> </w:t>
      </w:r>
      <w:r w:rsidR="00C94FAB">
        <w:t>–</w:t>
      </w:r>
      <w:r w:rsidRPr="00A20A27">
        <w:t xml:space="preserve"> If records are maintained outside of the system in a paper chart or other hard copy method, access within Dentrix Enterprise is limited. Consider scanning the hard copies into the system or using </w:t>
      </w:r>
      <w:r w:rsidR="00C94FAB">
        <w:t>p</w:t>
      </w:r>
      <w:r w:rsidRPr="00A20A27">
        <w:t xml:space="preserve">atient </w:t>
      </w:r>
      <w:r w:rsidR="00C94FAB">
        <w:t>t</w:t>
      </w:r>
      <w:r w:rsidRPr="00A20A27">
        <w:t>ags to provide the ability to reference the documents or their location</w:t>
      </w:r>
      <w:r w:rsidR="00C94FAB">
        <w:t>s</w:t>
      </w:r>
      <w:r w:rsidRPr="00A20A27">
        <w:t xml:space="preserve">.  </w:t>
      </w:r>
    </w:p>
    <w:p w14:paraId="07429D87" w14:textId="567E6B39" w:rsidR="003C7783" w:rsidRPr="00A20A27" w:rsidRDefault="003C7783" w:rsidP="004F45B6">
      <w:pPr>
        <w:pStyle w:val="BodyText"/>
        <w:numPr>
          <w:ilvl w:val="0"/>
          <w:numId w:val="42"/>
        </w:numPr>
        <w:ind w:left="1080"/>
      </w:pPr>
      <w:r w:rsidRPr="00174999">
        <w:rPr>
          <w:b/>
          <w:bCs/>
        </w:rPr>
        <w:t xml:space="preserve">Medical </w:t>
      </w:r>
      <w:r w:rsidR="00C94FAB" w:rsidRPr="00174999">
        <w:rPr>
          <w:b/>
          <w:bCs/>
        </w:rPr>
        <w:t>s</w:t>
      </w:r>
      <w:r w:rsidRPr="00174999">
        <w:rPr>
          <w:b/>
          <w:bCs/>
        </w:rPr>
        <w:t>ystem</w:t>
      </w:r>
      <w:r w:rsidRPr="00A20A27">
        <w:t xml:space="preserve"> </w:t>
      </w:r>
      <w:r w:rsidR="00C94FAB">
        <w:t>–</w:t>
      </w:r>
      <w:r w:rsidRPr="00A20A27">
        <w:t xml:space="preserve"> When using an interface</w:t>
      </w:r>
      <w:r w:rsidR="00C94FAB">
        <w:t>,</w:t>
      </w:r>
      <w:r w:rsidRPr="00A20A27">
        <w:t xml:space="preserve"> such as HL7</w:t>
      </w:r>
      <w:r w:rsidR="00C94FAB">
        <w:t>,</w:t>
      </w:r>
      <w:r w:rsidRPr="00A20A27">
        <w:t xml:space="preserve"> with your medical software, records are often shared between the two systems. Identify which records will be referenced chairside (</w:t>
      </w:r>
      <w:r w:rsidR="00C94FAB">
        <w:t xml:space="preserve">or as </w:t>
      </w:r>
      <w:r w:rsidRPr="00A20A27">
        <w:t xml:space="preserve">part of </w:t>
      </w:r>
      <w:r w:rsidR="00C94FAB">
        <w:t>a</w:t>
      </w:r>
      <w:r w:rsidRPr="00A20A27">
        <w:t xml:space="preserve"> </w:t>
      </w:r>
      <w:r w:rsidR="00C94FAB">
        <w:t xml:space="preserve">dental </w:t>
      </w:r>
      <w:r w:rsidRPr="00A20A27">
        <w:t>visit)</w:t>
      </w:r>
      <w:r w:rsidR="00C94FAB">
        <w:t>,</w:t>
      </w:r>
      <w:r w:rsidRPr="00A20A27">
        <w:t xml:space="preserve"> and determine if they should be scanned into </w:t>
      </w:r>
      <w:r w:rsidR="00C94FAB">
        <w:t>the d</w:t>
      </w:r>
      <w:r w:rsidRPr="00A20A27">
        <w:t>ental</w:t>
      </w:r>
      <w:r w:rsidR="00C94FAB">
        <w:t xml:space="preserve"> and/or</w:t>
      </w:r>
      <w:r w:rsidRPr="00A20A27">
        <w:t xml:space="preserve"> </w:t>
      </w:r>
      <w:r w:rsidR="00C94FAB">
        <w:t>m</w:t>
      </w:r>
      <w:r w:rsidRPr="00A20A27">
        <w:t xml:space="preserve">edical system to support your workflows. </w:t>
      </w:r>
    </w:p>
    <w:p w14:paraId="21A1F473" w14:textId="687FABA1" w:rsidR="003C7783" w:rsidRPr="00A20A27" w:rsidRDefault="003C7783" w:rsidP="004F45B6">
      <w:pPr>
        <w:pStyle w:val="BodyText"/>
        <w:keepNext/>
        <w:keepLines/>
        <w:numPr>
          <w:ilvl w:val="0"/>
          <w:numId w:val="42"/>
        </w:numPr>
        <w:ind w:left="1080"/>
      </w:pPr>
      <w:r w:rsidRPr="00174999">
        <w:rPr>
          <w:b/>
          <w:bCs/>
        </w:rPr>
        <w:lastRenderedPageBreak/>
        <w:t xml:space="preserve">Centralized </w:t>
      </w:r>
      <w:r w:rsidR="00C94FAB" w:rsidRPr="00174999">
        <w:rPr>
          <w:b/>
          <w:bCs/>
        </w:rPr>
        <w:t>r</w:t>
      </w:r>
      <w:r w:rsidRPr="00174999">
        <w:rPr>
          <w:b/>
          <w:bCs/>
        </w:rPr>
        <w:t xml:space="preserve">ecords </w:t>
      </w:r>
      <w:r w:rsidR="00C94FAB" w:rsidRPr="00174999">
        <w:rPr>
          <w:b/>
          <w:bCs/>
        </w:rPr>
        <w:t>m</w:t>
      </w:r>
      <w:r w:rsidRPr="00174999">
        <w:rPr>
          <w:b/>
          <w:bCs/>
        </w:rPr>
        <w:t>anager</w:t>
      </w:r>
      <w:r w:rsidR="00C94FAB" w:rsidRPr="00174999">
        <w:rPr>
          <w:b/>
          <w:bCs/>
        </w:rPr>
        <w:t>s</w:t>
      </w:r>
      <w:r w:rsidRPr="00A20A27">
        <w:t xml:space="preserve"> </w:t>
      </w:r>
      <w:r w:rsidR="00C94FAB">
        <w:t>–</w:t>
      </w:r>
      <w:r w:rsidRPr="00A20A27">
        <w:t xml:space="preserve"> If records need to be requested prior to patient care, you can run a daily appointment list to provide as the list of records </w:t>
      </w:r>
      <w:r w:rsidR="00C94FAB">
        <w:t xml:space="preserve">that have been </w:t>
      </w:r>
      <w:r w:rsidRPr="00A20A27">
        <w:t>requested from a central records manager</w:t>
      </w:r>
      <w:r w:rsidR="00C94FAB">
        <w:t xml:space="preserve"> or </w:t>
      </w:r>
      <w:r w:rsidRPr="00A20A27">
        <w:t xml:space="preserve">office. </w:t>
      </w:r>
      <w:r w:rsidR="00C94FAB">
        <w:t>T</w:t>
      </w:r>
      <w:r w:rsidR="00C94FAB" w:rsidRPr="00A20A27">
        <w:t>o identify a record has already been provided</w:t>
      </w:r>
      <w:r w:rsidRPr="00A20A27">
        <w:t xml:space="preserve">, you can select the </w:t>
      </w:r>
      <w:r w:rsidR="00C94FAB" w:rsidRPr="00C94FAB">
        <w:rPr>
          <w:b/>
          <w:bCs/>
        </w:rPr>
        <w:t>C</w:t>
      </w:r>
      <w:r w:rsidRPr="00C94FAB">
        <w:rPr>
          <w:b/>
          <w:bCs/>
        </w:rPr>
        <w:t xml:space="preserve">hart </w:t>
      </w:r>
      <w:r w:rsidR="00C94FAB" w:rsidRPr="00C94FAB">
        <w:rPr>
          <w:b/>
          <w:bCs/>
        </w:rPr>
        <w:t>P</w:t>
      </w:r>
      <w:r w:rsidRPr="00C94FAB">
        <w:rPr>
          <w:b/>
          <w:bCs/>
        </w:rPr>
        <w:t>ulled</w:t>
      </w:r>
      <w:r w:rsidRPr="00A20A27">
        <w:t xml:space="preserve"> checkbox </w:t>
      </w:r>
      <w:r w:rsidR="00C94FAB">
        <w:t>for an appointment</w:t>
      </w:r>
      <w:r w:rsidRPr="00A20A27">
        <w:t xml:space="preserve">. When </w:t>
      </w:r>
      <w:r w:rsidR="00C94FAB">
        <w:t>you run</w:t>
      </w:r>
      <w:r w:rsidRPr="00A20A27">
        <w:t xml:space="preserve"> the daily appointment list, there is an option to </w:t>
      </w:r>
      <w:r w:rsidR="00C94FAB" w:rsidRPr="00C94FAB">
        <w:rPr>
          <w:b/>
          <w:bCs/>
        </w:rPr>
        <w:t>E</w:t>
      </w:r>
      <w:r w:rsidRPr="00C94FAB">
        <w:rPr>
          <w:b/>
          <w:bCs/>
        </w:rPr>
        <w:t xml:space="preserve">xclude </w:t>
      </w:r>
      <w:r w:rsidR="00C94FAB" w:rsidRPr="00C94FAB">
        <w:rPr>
          <w:b/>
          <w:bCs/>
        </w:rPr>
        <w:t>‘</w:t>
      </w:r>
      <w:r w:rsidRPr="00C94FAB">
        <w:rPr>
          <w:b/>
          <w:bCs/>
        </w:rPr>
        <w:t xml:space="preserve">Chart </w:t>
      </w:r>
      <w:r w:rsidR="00C94FAB" w:rsidRPr="00C94FAB">
        <w:rPr>
          <w:b/>
          <w:bCs/>
        </w:rPr>
        <w:t>P</w:t>
      </w:r>
      <w:r w:rsidRPr="00C94FAB">
        <w:rPr>
          <w:b/>
          <w:bCs/>
        </w:rPr>
        <w:t>ulled</w:t>
      </w:r>
      <w:r w:rsidR="00C94FAB" w:rsidRPr="00C94FAB">
        <w:rPr>
          <w:b/>
          <w:bCs/>
        </w:rPr>
        <w:t>’</w:t>
      </w:r>
      <w:r w:rsidRPr="00C94FAB">
        <w:rPr>
          <w:b/>
          <w:bCs/>
        </w:rPr>
        <w:t xml:space="preserve"> </w:t>
      </w:r>
      <w:r w:rsidR="00C94FAB" w:rsidRPr="00C94FAB">
        <w:rPr>
          <w:b/>
          <w:bCs/>
        </w:rPr>
        <w:t>A</w:t>
      </w:r>
      <w:r w:rsidRPr="00C94FAB">
        <w:rPr>
          <w:b/>
          <w:bCs/>
        </w:rPr>
        <w:t>ppointments</w:t>
      </w:r>
      <w:r w:rsidRPr="00A20A27">
        <w:t xml:space="preserve"> </w:t>
      </w:r>
      <w:r w:rsidR="00C94FAB">
        <w:t>so the list includes</w:t>
      </w:r>
      <w:r w:rsidRPr="00A20A27">
        <w:t xml:space="preserve"> appointments where records are still needed. This is a manual process for identifying </w:t>
      </w:r>
      <w:r w:rsidR="00C94FAB">
        <w:t xml:space="preserve">when </w:t>
      </w:r>
      <w:r w:rsidRPr="00A20A27">
        <w:t>records are received</w:t>
      </w:r>
      <w:r w:rsidR="00C94FAB">
        <w:t xml:space="preserve"> or </w:t>
      </w:r>
      <w:r w:rsidRPr="00A20A27">
        <w:t xml:space="preserve">available within the clinic. </w:t>
      </w:r>
    </w:p>
    <w:p w14:paraId="5D2BA04A" w14:textId="7B5B5EF0" w:rsidR="003C7783" w:rsidRPr="00A20A27" w:rsidRDefault="003C7783" w:rsidP="004F45B6">
      <w:pPr>
        <w:pStyle w:val="BodyText"/>
        <w:numPr>
          <w:ilvl w:val="0"/>
          <w:numId w:val="42"/>
        </w:numPr>
        <w:ind w:left="540"/>
      </w:pPr>
      <w:r w:rsidRPr="00C94FAB">
        <w:rPr>
          <w:b/>
          <w:bCs/>
        </w:rPr>
        <w:t>Availability</w:t>
      </w:r>
      <w:r w:rsidR="00BF5438" w:rsidRPr="00A20A27">
        <w:t>:</w:t>
      </w:r>
    </w:p>
    <w:p w14:paraId="6DB11FC8" w14:textId="69138583" w:rsidR="003C7783" w:rsidRPr="00A20A27" w:rsidRDefault="003C7783" w:rsidP="004F45B6">
      <w:pPr>
        <w:pStyle w:val="BodyText"/>
        <w:numPr>
          <w:ilvl w:val="0"/>
          <w:numId w:val="42"/>
        </w:numPr>
        <w:ind w:left="1080"/>
      </w:pPr>
      <w:r w:rsidRPr="00174999">
        <w:rPr>
          <w:b/>
          <w:bCs/>
        </w:rPr>
        <w:t xml:space="preserve">Locating </w:t>
      </w:r>
      <w:r w:rsidR="00174999">
        <w:rPr>
          <w:b/>
          <w:bCs/>
        </w:rPr>
        <w:t>i</w:t>
      </w:r>
      <w:r w:rsidRPr="00174999">
        <w:rPr>
          <w:b/>
          <w:bCs/>
        </w:rPr>
        <w:t>nformation</w:t>
      </w:r>
      <w:r w:rsidRPr="00A20A27">
        <w:t xml:space="preserve"> </w:t>
      </w:r>
      <w:r w:rsidR="00174999">
        <w:t>–</w:t>
      </w:r>
      <w:r w:rsidRPr="00A20A27">
        <w:t xml:space="preserve"> Documents outside of the system can be supported using various features in the system. Dentrix Enterprise is not designed to be an external document tracking system but can assist with supporting reference information that identifies if a document or record is maintained outside the system.  </w:t>
      </w:r>
    </w:p>
    <w:p w14:paraId="3F1D20E2" w14:textId="713F7FB2" w:rsidR="003C7783" w:rsidRPr="00A20A27" w:rsidRDefault="003C7783" w:rsidP="004F45B6">
      <w:pPr>
        <w:pStyle w:val="BodyText"/>
        <w:numPr>
          <w:ilvl w:val="0"/>
          <w:numId w:val="42"/>
        </w:numPr>
        <w:ind w:left="1080"/>
      </w:pPr>
      <w:r w:rsidRPr="00174999">
        <w:rPr>
          <w:b/>
          <w:bCs/>
        </w:rPr>
        <w:t xml:space="preserve">Document </w:t>
      </w:r>
      <w:r w:rsidR="00174999" w:rsidRPr="00174999">
        <w:rPr>
          <w:b/>
          <w:bCs/>
        </w:rPr>
        <w:t>n</w:t>
      </w:r>
      <w:r w:rsidRPr="00174999">
        <w:rPr>
          <w:b/>
          <w:bCs/>
        </w:rPr>
        <w:t>eeds</w:t>
      </w:r>
      <w:r w:rsidRPr="00A20A27">
        <w:t xml:space="preserve"> </w:t>
      </w:r>
      <w:r w:rsidR="00174999">
        <w:t>–</w:t>
      </w:r>
      <w:r w:rsidRPr="00A20A27">
        <w:t xml:space="preserve"> Patient </w:t>
      </w:r>
      <w:r w:rsidR="00174999">
        <w:t>t</w:t>
      </w:r>
      <w:r w:rsidRPr="00A20A27">
        <w:t xml:space="preserve">ags, </w:t>
      </w:r>
      <w:r w:rsidR="00174999">
        <w:t>F</w:t>
      </w:r>
      <w:r w:rsidRPr="00A20A27">
        <w:t xml:space="preserve">amily </w:t>
      </w:r>
      <w:r w:rsidR="00174999">
        <w:t>F</w:t>
      </w:r>
      <w:r w:rsidRPr="00A20A27">
        <w:t xml:space="preserve">ile consent dates, and Document Center are examples of features that </w:t>
      </w:r>
      <w:r w:rsidR="00174999">
        <w:t xml:space="preserve">you can use </w:t>
      </w:r>
      <w:r w:rsidRPr="00A20A27">
        <w:t xml:space="preserve">to identify which documents have been completed by a patient and which documents are needed.  </w:t>
      </w:r>
    </w:p>
    <w:p w14:paraId="5B836739" w14:textId="63412113" w:rsidR="003C7783" w:rsidRPr="00A20A27" w:rsidRDefault="00C94FAB" w:rsidP="004F45B6">
      <w:pPr>
        <w:pStyle w:val="BodyText"/>
        <w:numPr>
          <w:ilvl w:val="0"/>
          <w:numId w:val="42"/>
        </w:numPr>
        <w:ind w:left="540"/>
      </w:pPr>
      <w:r>
        <w:rPr>
          <w:b/>
          <w:bCs/>
        </w:rPr>
        <w:t>S</w:t>
      </w:r>
      <w:r w:rsidR="003C7783" w:rsidRPr="00C94FAB">
        <w:rPr>
          <w:b/>
          <w:bCs/>
        </w:rPr>
        <w:t>tatus</w:t>
      </w:r>
      <w:r w:rsidR="00BF5438" w:rsidRPr="00A20A27">
        <w:t>:</w:t>
      </w:r>
    </w:p>
    <w:p w14:paraId="5B1BEFD7" w14:textId="41A77736" w:rsidR="003C7783" w:rsidRPr="00A20A27" w:rsidRDefault="003C7783" w:rsidP="004F45B6">
      <w:pPr>
        <w:pStyle w:val="BodyText"/>
        <w:numPr>
          <w:ilvl w:val="0"/>
          <w:numId w:val="42"/>
        </w:numPr>
        <w:ind w:left="1080"/>
      </w:pPr>
      <w:r w:rsidRPr="00174999">
        <w:rPr>
          <w:b/>
          <w:bCs/>
        </w:rPr>
        <w:t xml:space="preserve">Forms </w:t>
      </w:r>
      <w:r w:rsidR="00174999" w:rsidRPr="00174999">
        <w:rPr>
          <w:b/>
          <w:bCs/>
        </w:rPr>
        <w:t>n</w:t>
      </w:r>
      <w:r w:rsidRPr="00174999">
        <w:rPr>
          <w:b/>
          <w:bCs/>
        </w:rPr>
        <w:t>eeded</w:t>
      </w:r>
      <w:r w:rsidRPr="00A20A27">
        <w:t xml:space="preserve"> </w:t>
      </w:r>
      <w:r w:rsidR="00174999">
        <w:t>–</w:t>
      </w:r>
      <w:r w:rsidRPr="00A20A27">
        <w:t xml:space="preserve"> Patient </w:t>
      </w:r>
      <w:r w:rsidR="00174999">
        <w:t>t</w:t>
      </w:r>
      <w:r w:rsidRPr="00A20A27">
        <w:t xml:space="preserve">ags, </w:t>
      </w:r>
      <w:r w:rsidR="00174999">
        <w:t>F</w:t>
      </w:r>
      <w:r w:rsidRPr="00A20A27">
        <w:t xml:space="preserve">amily </w:t>
      </w:r>
      <w:r w:rsidR="00174999">
        <w:t>F</w:t>
      </w:r>
      <w:r w:rsidRPr="00A20A27">
        <w:t xml:space="preserve">ile consent dates, and </w:t>
      </w:r>
      <w:r w:rsidR="00174999">
        <w:t>D</w:t>
      </w:r>
      <w:r w:rsidRPr="00A20A27">
        <w:t xml:space="preserve">ocument </w:t>
      </w:r>
      <w:r w:rsidR="00174999">
        <w:t>C</w:t>
      </w:r>
      <w:r w:rsidRPr="00A20A27">
        <w:t xml:space="preserve">enter are examples of features that </w:t>
      </w:r>
      <w:r w:rsidR="00174999">
        <w:t>you can use</w:t>
      </w:r>
      <w:r w:rsidRPr="00A20A27">
        <w:t xml:space="preserve"> to communicate which documents have been completed by a patient and which documents are needed.  </w:t>
      </w:r>
    </w:p>
    <w:p w14:paraId="05BCB0BB" w14:textId="522D8E4A" w:rsidR="003C7783" w:rsidRPr="003C7783" w:rsidRDefault="003C7783" w:rsidP="004F45B6">
      <w:pPr>
        <w:pStyle w:val="BodyText"/>
        <w:numPr>
          <w:ilvl w:val="0"/>
          <w:numId w:val="42"/>
        </w:numPr>
        <w:ind w:left="1080"/>
      </w:pPr>
      <w:r w:rsidRPr="00174999">
        <w:rPr>
          <w:b/>
          <w:bCs/>
        </w:rPr>
        <w:t xml:space="preserve">Completed </w:t>
      </w:r>
      <w:r w:rsidR="00174999" w:rsidRPr="00174999">
        <w:rPr>
          <w:b/>
          <w:bCs/>
        </w:rPr>
        <w:t>f</w:t>
      </w:r>
      <w:r w:rsidRPr="00174999">
        <w:rPr>
          <w:b/>
          <w:bCs/>
        </w:rPr>
        <w:t>orms/</w:t>
      </w:r>
      <w:r w:rsidR="00174999" w:rsidRPr="00174999">
        <w:rPr>
          <w:b/>
          <w:bCs/>
        </w:rPr>
        <w:t>d</w:t>
      </w:r>
      <w:r w:rsidRPr="00174999">
        <w:rPr>
          <w:b/>
          <w:bCs/>
        </w:rPr>
        <w:t>ata</w:t>
      </w:r>
      <w:r w:rsidR="00BF5438" w:rsidRPr="00A20A27">
        <w:t xml:space="preserve"> (</w:t>
      </w:r>
      <w:r w:rsidR="00174999">
        <w:t>i</w:t>
      </w:r>
      <w:r w:rsidRPr="00A20A27">
        <w:t xml:space="preserve">nterfaced </w:t>
      </w:r>
      <w:r w:rsidR="00174999">
        <w:t>a</w:t>
      </w:r>
      <w:r w:rsidRPr="00A20A27">
        <w:t>ccess</w:t>
      </w:r>
      <w:r w:rsidR="00BF5438" w:rsidRPr="00A20A27">
        <w:t xml:space="preserve">) </w:t>
      </w:r>
      <w:r w:rsidR="00174999" w:rsidRPr="00A20A27">
        <w:t>–</w:t>
      </w:r>
      <w:r w:rsidR="00174999">
        <w:t xml:space="preserve"> </w:t>
      </w:r>
      <w:r w:rsidRPr="00A20A27">
        <w:t>Using an HL7 interface, Dentrix Enterprise can incorporate updated information from your medical software after changes have been made.  Review HL7 options an</w:t>
      </w:r>
      <w:r w:rsidRPr="003C7783">
        <w:t xml:space="preserve">nually with support and your internal teams to identify updates to the interface that can be incorporated to support your workflows. </w:t>
      </w:r>
    </w:p>
    <w:p w14:paraId="7582347A" w14:textId="5FE62A6B" w:rsidR="00D15973" w:rsidRDefault="003C7783" w:rsidP="00D42C5A">
      <w:pPr>
        <w:pStyle w:val="Heading3"/>
      </w:pPr>
      <w:bookmarkStart w:id="147" w:name="_Toc135416708"/>
      <w:bookmarkStart w:id="148" w:name="_Toc166834348"/>
      <w:r w:rsidRPr="003C7783">
        <w:t>Patient Online Access</w:t>
      </w:r>
      <w:bookmarkEnd w:id="147"/>
      <w:r w:rsidR="00174999">
        <w:t xml:space="preserve"> </w:t>
      </w:r>
      <w:r w:rsidR="00174999" w:rsidRPr="003C7783">
        <w:t>(FUTURE)</w:t>
      </w:r>
      <w:bookmarkEnd w:id="148"/>
    </w:p>
    <w:p w14:paraId="29AE55BB" w14:textId="0B448ADA" w:rsidR="003C7783" w:rsidRDefault="00174999" w:rsidP="00D15973">
      <w:pPr>
        <w:pStyle w:val="BodyText"/>
      </w:pPr>
      <w:r>
        <w:t>For managing</w:t>
      </w:r>
      <w:r w:rsidR="003C7783" w:rsidRPr="003C7783">
        <w:t xml:space="preserve"> patient online experience</w:t>
      </w:r>
      <w:r>
        <w:t>s, some options</w:t>
      </w:r>
      <w:r w:rsidR="003C7783" w:rsidRPr="003C7783">
        <w:t xml:space="preserve"> are not available </w:t>
      </w:r>
      <w:r>
        <w:t>with</w:t>
      </w:r>
      <w:r w:rsidR="003C7783" w:rsidRPr="003C7783">
        <w:t xml:space="preserve"> Dentrix Enterprise. If </w:t>
      </w:r>
      <w:r>
        <w:t xml:space="preserve">you are </w:t>
      </w:r>
      <w:r w:rsidR="003C7783" w:rsidRPr="003C7783">
        <w:t xml:space="preserve">converting </w:t>
      </w:r>
      <w:r>
        <w:t xml:space="preserve">to </w:t>
      </w:r>
      <w:r w:rsidR="003C7783" w:rsidRPr="003C7783">
        <w:t>or adopting Dentrix Enterprise</w:t>
      </w:r>
      <w:r>
        <w:t xml:space="preserve">, </w:t>
      </w:r>
      <w:r w:rsidR="003C7783" w:rsidRPr="003C7783">
        <w:t xml:space="preserve">and your current workflows </w:t>
      </w:r>
      <w:r>
        <w:t>utilize</w:t>
      </w:r>
      <w:r w:rsidR="003C7783" w:rsidRPr="003C7783">
        <w:t xml:space="preserve"> these </w:t>
      </w:r>
      <w:r>
        <w:t>options</w:t>
      </w:r>
      <w:r w:rsidR="003C7783" w:rsidRPr="003C7783">
        <w:t xml:space="preserve"> in your legacy system, consider</w:t>
      </w:r>
      <w:r>
        <w:t xml:space="preserve"> switching to</w:t>
      </w:r>
      <w:r w:rsidR="003C7783" w:rsidRPr="003C7783">
        <w:t xml:space="preserve"> third</w:t>
      </w:r>
      <w:r>
        <w:t>-</w:t>
      </w:r>
      <w:r w:rsidR="003C7783" w:rsidRPr="003C7783">
        <w:t>party options that integrate with Dentrix Enterprise for accommodating patient online access.</w:t>
      </w:r>
    </w:p>
    <w:p w14:paraId="553EB41B" w14:textId="77777777" w:rsidR="005F79F5" w:rsidRDefault="005F79F5" w:rsidP="00D15973">
      <w:pPr>
        <w:pStyle w:val="BodyText"/>
        <w:sectPr w:rsidR="005F79F5" w:rsidSect="00C616BD">
          <w:pgSz w:w="12240" w:h="15840"/>
          <w:pgMar w:top="1440" w:right="1440" w:bottom="1440" w:left="1440" w:header="360" w:footer="360" w:gutter="0"/>
          <w:cols w:space="720"/>
          <w:docGrid w:linePitch="299"/>
        </w:sectPr>
      </w:pPr>
    </w:p>
    <w:p w14:paraId="5D425834" w14:textId="7A7C3646" w:rsidR="005F79F5" w:rsidRDefault="005F79F5" w:rsidP="005F79F5">
      <w:pPr>
        <w:pStyle w:val="Heading1"/>
      </w:pPr>
      <w:bookmarkStart w:id="149" w:name="_Toc135416595"/>
      <w:bookmarkStart w:id="150" w:name="_Toc135416709"/>
      <w:bookmarkStart w:id="151" w:name="_Toc166834349"/>
      <w:r>
        <w:lastRenderedPageBreak/>
        <w:t>Clinical Records Management</w:t>
      </w:r>
      <w:bookmarkEnd w:id="149"/>
      <w:bookmarkEnd w:id="150"/>
      <w:bookmarkEnd w:id="151"/>
    </w:p>
    <w:p w14:paraId="3EF17CA2" w14:textId="71AFD1D9" w:rsidR="005F79F5" w:rsidRDefault="008F4199" w:rsidP="00A37B2A">
      <w:pPr>
        <w:pStyle w:val="BodyText"/>
      </w:pPr>
      <w:r>
        <w:rPr>
          <w:noProof/>
        </w:rPr>
        <w:drawing>
          <wp:anchor distT="0" distB="0" distL="0" distR="91440" simplePos="0" relativeHeight="251738116" behindDoc="0" locked="0" layoutInCell="1" allowOverlap="1" wp14:anchorId="1FA986AC" wp14:editId="5BEEF0C2">
            <wp:simplePos x="0" y="0"/>
            <wp:positionH relativeFrom="column">
              <wp:posOffset>-457200</wp:posOffset>
            </wp:positionH>
            <wp:positionV relativeFrom="paragraph">
              <wp:posOffset>968375</wp:posOffset>
            </wp:positionV>
            <wp:extent cx="365760" cy="420370"/>
            <wp:effectExtent l="0" t="0" r="0" b="0"/>
            <wp:wrapTight wrapText="right">
              <wp:wrapPolygon edited="0">
                <wp:start x="0" y="0"/>
                <wp:lineTo x="0" y="20556"/>
                <wp:lineTo x="20250" y="20556"/>
                <wp:lineTo x="20250" y="0"/>
                <wp:lineTo x="0" y="0"/>
              </wp:wrapPolygon>
            </wp:wrapTight>
            <wp:docPr id="119294642"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 cy="420370"/>
                    </a:xfrm>
                    <a:prstGeom prst="rect">
                      <a:avLst/>
                    </a:prstGeom>
                  </pic:spPr>
                </pic:pic>
              </a:graphicData>
            </a:graphic>
            <wp14:sizeRelH relativeFrom="margin">
              <wp14:pctWidth>0</wp14:pctWidth>
            </wp14:sizeRelH>
            <wp14:sizeRelV relativeFrom="margin">
              <wp14:pctHeight>0</wp14:pctHeight>
            </wp14:sizeRelV>
          </wp:anchor>
        </w:drawing>
      </w:r>
      <w:r w:rsidR="005F79F5">
        <w:t>The clinical record, also referred to as the patient chart, is the official office document that records all diagnostic information, clinical notes, treatment performed</w:t>
      </w:r>
      <w:r w:rsidR="007F2E58">
        <w:t>,</w:t>
      </w:r>
      <w:r w:rsidR="005F79F5">
        <w:t xml:space="preserve"> and patient-related communications that pertain to medical and dental information in the dental office, including instructions for home care and consent to treatment. The clinical record is captured primarily during the patient visit lifecycle and patient records management. These processes help you maintain the accuracy and integrity of your clinical records. </w:t>
      </w:r>
    </w:p>
    <w:p w14:paraId="5147250C" w14:textId="48BC0F9D" w:rsidR="005F79F5" w:rsidRPr="007F2E58" w:rsidRDefault="007F2E58" w:rsidP="00A37B2A">
      <w:pPr>
        <w:pStyle w:val="BodyText"/>
        <w:rPr>
          <w:i/>
          <w:iCs/>
        </w:rPr>
      </w:pPr>
      <w:r w:rsidRPr="007F2E58">
        <w:rPr>
          <w:b/>
          <w:bCs/>
          <w:i/>
          <w:iCs/>
        </w:rPr>
        <w:t>Note</w:t>
      </w:r>
      <w:r w:rsidRPr="007F2E58">
        <w:rPr>
          <w:i/>
          <w:iCs/>
        </w:rPr>
        <w:t xml:space="preserve">: </w:t>
      </w:r>
      <w:r w:rsidR="005F79F5" w:rsidRPr="007F2E58">
        <w:rPr>
          <w:i/>
          <w:iCs/>
        </w:rPr>
        <w:t>Check with your state</w:t>
      </w:r>
      <w:r>
        <w:rPr>
          <w:i/>
          <w:iCs/>
        </w:rPr>
        <w:t>’s</w:t>
      </w:r>
      <w:r w:rsidR="005F79F5" w:rsidRPr="007F2E58">
        <w:rPr>
          <w:i/>
          <w:iCs/>
        </w:rPr>
        <w:t xml:space="preserve"> dental society or board of dentistry for information on record keeping requirements in your state. </w:t>
      </w:r>
    </w:p>
    <w:p w14:paraId="341BAF6D" w14:textId="77777777" w:rsidR="005F79F5" w:rsidRDefault="005F79F5" w:rsidP="004F45B6">
      <w:pPr>
        <w:pStyle w:val="Heading2"/>
        <w:numPr>
          <w:ilvl w:val="0"/>
          <w:numId w:val="43"/>
        </w:numPr>
      </w:pPr>
      <w:bookmarkStart w:id="152" w:name="_Toc135416710"/>
      <w:bookmarkStart w:id="153" w:name="_Toc166834350"/>
      <w:r>
        <w:t>Clinical Records Accuracy</w:t>
      </w:r>
      <w:bookmarkEnd w:id="152"/>
      <w:bookmarkEnd w:id="153"/>
    </w:p>
    <w:p w14:paraId="0FB62001" w14:textId="75FA33F8" w:rsidR="005F79F5" w:rsidRDefault="005F79F5" w:rsidP="005F79F5">
      <w:pPr>
        <w:pStyle w:val="BodyText"/>
      </w:pPr>
      <w:r>
        <w:t xml:space="preserve">The clinical record tracks what happens with every patient encounter. </w:t>
      </w:r>
      <w:r w:rsidR="007F2E58">
        <w:t>Complete and accurate records consist of the b</w:t>
      </w:r>
      <w:r>
        <w:t>asic components for the routine management of clinical coding, documentation, supporting information</w:t>
      </w:r>
      <w:r w:rsidR="007F2E58">
        <w:t>,</w:t>
      </w:r>
      <w:r>
        <w:t xml:space="preserve"> and notes. </w:t>
      </w:r>
    </w:p>
    <w:p w14:paraId="042BDC46" w14:textId="31BC1248" w:rsidR="005F79F5" w:rsidRDefault="005F79F5" w:rsidP="00D42C5A">
      <w:pPr>
        <w:pStyle w:val="Heading3"/>
      </w:pPr>
      <w:bookmarkStart w:id="154" w:name="_Toc135416711"/>
      <w:bookmarkStart w:id="155" w:name="_Toc166834351"/>
      <w:r>
        <w:t>Coding</w:t>
      </w:r>
      <w:bookmarkEnd w:id="154"/>
      <w:bookmarkEnd w:id="155"/>
    </w:p>
    <w:p w14:paraId="58F66E60" w14:textId="17161173" w:rsidR="005F79F5" w:rsidRDefault="00A6635C" w:rsidP="005F79F5">
      <w:pPr>
        <w:pStyle w:val="BodyText"/>
      </w:pPr>
      <w:r>
        <w:rPr>
          <w:noProof/>
        </w:rPr>
        <w:drawing>
          <wp:anchor distT="0" distB="0" distL="0" distR="91440" simplePos="0" relativeHeight="251740164" behindDoc="1" locked="0" layoutInCell="1" allowOverlap="1" wp14:anchorId="516A00DC" wp14:editId="1743D7ED">
            <wp:simplePos x="0" y="0"/>
            <wp:positionH relativeFrom="column">
              <wp:posOffset>-457200</wp:posOffset>
            </wp:positionH>
            <wp:positionV relativeFrom="paragraph">
              <wp:posOffset>220138</wp:posOffset>
            </wp:positionV>
            <wp:extent cx="365760" cy="484505"/>
            <wp:effectExtent l="0" t="0" r="0" b="0"/>
            <wp:wrapTight wrapText="right">
              <wp:wrapPolygon edited="0">
                <wp:start x="0" y="0"/>
                <wp:lineTo x="0" y="20383"/>
                <wp:lineTo x="20250" y="20383"/>
                <wp:lineTo x="20250" y="0"/>
                <wp:lineTo x="0" y="0"/>
              </wp:wrapPolygon>
            </wp:wrapTight>
            <wp:docPr id="1993009798"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6" behindDoc="0" locked="0" layoutInCell="1" allowOverlap="1" wp14:anchorId="3AC561D6" wp14:editId="3278ABC5">
            <wp:simplePos x="0" y="0"/>
            <wp:positionH relativeFrom="column">
              <wp:posOffset>5486400</wp:posOffset>
            </wp:positionH>
            <wp:positionV relativeFrom="paragraph">
              <wp:posOffset>-1270</wp:posOffset>
            </wp:positionV>
            <wp:extent cx="365760" cy="365760"/>
            <wp:effectExtent l="0" t="0" r="0" b="0"/>
            <wp:wrapTight wrapText="bothSides">
              <wp:wrapPolygon edited="0">
                <wp:start x="0" y="0"/>
                <wp:lineTo x="0" y="20250"/>
                <wp:lineTo x="20250" y="20250"/>
                <wp:lineTo x="20250" y="0"/>
                <wp:lineTo x="0" y="0"/>
              </wp:wrapPolygon>
            </wp:wrapTight>
            <wp:docPr id="121975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5532" name=""/>
                    <pic:cNvPicPr/>
                  </pic:nvPicPr>
                  <pic:blipFill>
                    <a:blip r:embed="rId56"/>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t xml:space="preserve">Coding supports uniform, consistent, and accurate documentation of the services delivered and diagnosis.  </w:t>
      </w:r>
    </w:p>
    <w:p w14:paraId="00F53291" w14:textId="40EE8C99" w:rsidR="005F79F5" w:rsidRDefault="005F79F5" w:rsidP="005F79F5">
      <w:pPr>
        <w:pStyle w:val="BodyText"/>
      </w:pPr>
      <w:r w:rsidRPr="00A37B2A">
        <w:rPr>
          <w:color w:val="00B050"/>
        </w:rPr>
        <w:t>&lt;&lt;Insert Coding decision support/SOP/guidance here&gt;&gt;</w:t>
      </w:r>
    </w:p>
    <w:p w14:paraId="203CEA93" w14:textId="000162F1" w:rsidR="005F79F5" w:rsidRDefault="005F79F5" w:rsidP="00E92EA5">
      <w:pPr>
        <w:pStyle w:val="Heading4"/>
      </w:pPr>
      <w:r>
        <w:t xml:space="preserve">Dental CDT </w:t>
      </w:r>
      <w:r w:rsidR="007F2E58">
        <w:t>C</w:t>
      </w:r>
      <w:r>
        <w:t>odes</w:t>
      </w:r>
    </w:p>
    <w:p w14:paraId="59A1A869" w14:textId="32C77877" w:rsidR="005F79F5" w:rsidRDefault="007F2E58" w:rsidP="005F79F5">
      <w:pPr>
        <w:pStyle w:val="BodyText"/>
      </w:pPr>
      <w:r>
        <w:t xml:space="preserve">You can use the following features to assist </w:t>
      </w:r>
      <w:r w:rsidR="005F79F5">
        <w:t>providers with quick access to the codes that accurately represent the procedure</w:t>
      </w:r>
      <w:r>
        <w:t>s</w:t>
      </w:r>
      <w:r w:rsidR="005F79F5">
        <w:t xml:space="preserve"> </w:t>
      </w:r>
      <w:r>
        <w:t xml:space="preserve">that were </w:t>
      </w:r>
      <w:r w:rsidR="005F79F5">
        <w:t>performed or planned</w:t>
      </w:r>
      <w:r>
        <w:t>:</w:t>
      </w:r>
    </w:p>
    <w:p w14:paraId="29C6A5C7" w14:textId="293B717B" w:rsidR="005F79F5" w:rsidRPr="007F2E58" w:rsidRDefault="005F79F5" w:rsidP="004F45B6">
      <w:pPr>
        <w:pStyle w:val="BodyText"/>
        <w:numPr>
          <w:ilvl w:val="0"/>
          <w:numId w:val="44"/>
        </w:numPr>
        <w:ind w:left="540"/>
      </w:pPr>
      <w:r w:rsidRPr="007F2E58">
        <w:rPr>
          <w:b/>
          <w:bCs/>
        </w:rPr>
        <w:t>Procedure categories</w:t>
      </w:r>
      <w:r w:rsidR="007F2E58">
        <w:t xml:space="preserve"> – You can customize these</w:t>
      </w:r>
      <w:r w:rsidRPr="007F2E58">
        <w:t xml:space="preserve"> lists to provide coding decision support for the clinical teams within your organization. This can limit the number of codes they need to search through to find the preferred</w:t>
      </w:r>
      <w:r w:rsidR="007F2E58">
        <w:t xml:space="preserve"> codes</w:t>
      </w:r>
      <w:r w:rsidRPr="007F2E58">
        <w:t xml:space="preserve">. </w:t>
      </w:r>
    </w:p>
    <w:p w14:paraId="44D29C3C" w14:textId="3C7BADF9" w:rsidR="005F79F5" w:rsidRDefault="005F79F5" w:rsidP="004F45B6">
      <w:pPr>
        <w:pStyle w:val="BodyText"/>
        <w:numPr>
          <w:ilvl w:val="0"/>
          <w:numId w:val="44"/>
        </w:numPr>
        <w:ind w:left="540"/>
      </w:pPr>
      <w:r w:rsidRPr="007F2E58">
        <w:rPr>
          <w:b/>
          <w:bCs/>
        </w:rPr>
        <w:t>Procedure button sets</w:t>
      </w:r>
      <w:r w:rsidR="007F2E58">
        <w:t xml:space="preserve"> – You can customize p</w:t>
      </w:r>
      <w:r w:rsidRPr="007F2E58">
        <w:t xml:space="preserve">rocedure button sets further to represent the codes </w:t>
      </w:r>
      <w:r w:rsidR="007F2E58">
        <w:t xml:space="preserve">that are </w:t>
      </w:r>
      <w:r w:rsidRPr="007F2E58">
        <w:t xml:space="preserve">used frequently by </w:t>
      </w:r>
      <w:r w:rsidR="007F2E58">
        <w:t xml:space="preserve">a </w:t>
      </w:r>
      <w:r w:rsidRPr="007F2E58">
        <w:t>provider</w:t>
      </w:r>
      <w:r>
        <w:t xml:space="preserve">.  </w:t>
      </w:r>
    </w:p>
    <w:p w14:paraId="7FC7ECCE" w14:textId="77777777" w:rsidR="005F79F5" w:rsidRDefault="005F79F5" w:rsidP="00E92EA5">
      <w:pPr>
        <w:pStyle w:val="Heading4"/>
      </w:pPr>
      <w:r>
        <w:t>Medical CPT Codes</w:t>
      </w:r>
    </w:p>
    <w:p w14:paraId="5EC07493" w14:textId="5408EA6B" w:rsidR="005F79F5" w:rsidRDefault="005F79F5" w:rsidP="005F79F5">
      <w:pPr>
        <w:pStyle w:val="BodyText"/>
      </w:pPr>
      <w:r>
        <w:t>Much like cross</w:t>
      </w:r>
      <w:r w:rsidR="00484731">
        <w:t xml:space="preserve"> </w:t>
      </w:r>
      <w:r>
        <w:t>coding</w:t>
      </w:r>
      <w:r w:rsidR="007F2E58">
        <w:t xml:space="preserve"> dental diagnostic codes, </w:t>
      </w:r>
      <w:r w:rsidR="00484731">
        <w:t>y</w:t>
      </w:r>
      <w:r>
        <w:t>ou can cross code medical CPT codes with CDT codes</w:t>
      </w:r>
      <w:r w:rsidR="00484731">
        <w:t xml:space="preserve"> and</w:t>
      </w:r>
      <w:r>
        <w:t xml:space="preserve"> CPT codes with ICD-10 codes. Using this cross-coding process supports coding decisions and internal clinical coding guidelines.</w:t>
      </w:r>
    </w:p>
    <w:p w14:paraId="18450FE2" w14:textId="3517434C" w:rsidR="005F79F5" w:rsidRDefault="005F79F5" w:rsidP="005F79F5">
      <w:pPr>
        <w:pStyle w:val="BodyText"/>
      </w:pPr>
      <w:r>
        <w:t xml:space="preserve">Medical claims require the cross </w:t>
      </w:r>
      <w:r w:rsidR="00484731">
        <w:t>coding</w:t>
      </w:r>
      <w:r>
        <w:t xml:space="preserve"> </w:t>
      </w:r>
      <w:r w:rsidR="00484731">
        <w:t xml:space="preserve">of a medical code </w:t>
      </w:r>
      <w:r>
        <w:t xml:space="preserve">with </w:t>
      </w:r>
      <w:r w:rsidR="00484731">
        <w:t>a</w:t>
      </w:r>
      <w:r>
        <w:t xml:space="preserve"> dental code </w:t>
      </w:r>
      <w:r w:rsidR="00484731">
        <w:t>and the attaching of the</w:t>
      </w:r>
      <w:r>
        <w:t xml:space="preserve"> </w:t>
      </w:r>
      <w:r w:rsidR="00484731">
        <w:t>applicable</w:t>
      </w:r>
      <w:r>
        <w:t xml:space="preserve"> diagnosis code</w:t>
      </w:r>
      <w:r w:rsidR="00484731">
        <w:t>s</w:t>
      </w:r>
      <w:r>
        <w:t>.</w:t>
      </w:r>
    </w:p>
    <w:p w14:paraId="2C7F1AD5" w14:textId="6D24339C" w:rsidR="005F79F5" w:rsidRPr="00484731" w:rsidRDefault="00F12C15" w:rsidP="005F79F5">
      <w:pPr>
        <w:pStyle w:val="BodyText"/>
        <w:rPr>
          <w:i/>
          <w:iCs/>
        </w:rPr>
      </w:pPr>
      <w:r>
        <w:rPr>
          <w:noProof/>
        </w:rPr>
        <w:drawing>
          <wp:anchor distT="0" distB="0" distL="0" distR="91440" simplePos="0" relativeHeight="251744260" behindDoc="1" locked="0" layoutInCell="1" allowOverlap="1" wp14:anchorId="20DCEA93" wp14:editId="365C2DC5">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075642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rsidRPr="00484731">
        <w:rPr>
          <w:b/>
          <w:bCs/>
          <w:i/>
          <w:iCs/>
        </w:rPr>
        <w:t>Workflow Insight</w:t>
      </w:r>
      <w:r w:rsidR="00484731" w:rsidRPr="00484731">
        <w:rPr>
          <w:i/>
          <w:iCs/>
        </w:rPr>
        <w:t xml:space="preserve">: </w:t>
      </w:r>
      <w:r w:rsidR="005F79F5" w:rsidRPr="00484731">
        <w:rPr>
          <w:i/>
          <w:iCs/>
        </w:rPr>
        <w:t xml:space="preserve">Procedure and diagnosis coding selection is recommended as </w:t>
      </w:r>
      <w:r w:rsidR="00484731" w:rsidRPr="00484731">
        <w:rPr>
          <w:i/>
          <w:iCs/>
        </w:rPr>
        <w:t>p</w:t>
      </w:r>
      <w:r w:rsidR="005F79F5" w:rsidRPr="00484731">
        <w:rPr>
          <w:i/>
          <w:iCs/>
        </w:rPr>
        <w:t xml:space="preserve">art of the clinical workflow due to </w:t>
      </w:r>
      <w:r w:rsidR="00484731" w:rsidRPr="00484731">
        <w:rPr>
          <w:i/>
          <w:iCs/>
        </w:rPr>
        <w:t>a</w:t>
      </w:r>
      <w:r w:rsidR="005F79F5" w:rsidRPr="00484731">
        <w:rPr>
          <w:i/>
          <w:iCs/>
        </w:rPr>
        <w:t xml:space="preserve"> provider’s obligation to </w:t>
      </w:r>
      <w:r w:rsidR="00484731" w:rsidRPr="00484731">
        <w:rPr>
          <w:i/>
          <w:iCs/>
        </w:rPr>
        <w:t>provide correct</w:t>
      </w:r>
      <w:r w:rsidR="005F79F5" w:rsidRPr="00484731">
        <w:rPr>
          <w:i/>
          <w:iCs/>
        </w:rPr>
        <w:t xml:space="preserve"> diagnosis and coding.</w:t>
      </w:r>
    </w:p>
    <w:p w14:paraId="2631549E" w14:textId="77777777" w:rsidR="005F79F5" w:rsidRDefault="005F79F5" w:rsidP="00E92EA5">
      <w:pPr>
        <w:pStyle w:val="Heading4"/>
      </w:pPr>
      <w:r>
        <w:lastRenderedPageBreak/>
        <w:t>Supporting or Diagnostic Codes</w:t>
      </w:r>
    </w:p>
    <w:p w14:paraId="4A0D429B" w14:textId="75CF20FC" w:rsidR="005F79F5" w:rsidRDefault="005F79F5" w:rsidP="004A2A35">
      <w:pPr>
        <w:pStyle w:val="BodyText"/>
        <w:keepNext/>
        <w:keepLines/>
      </w:pPr>
      <w:r>
        <w:t xml:space="preserve">Both ADA claim forms and HIPAA standard electronic claim transactions can report up to four diagnosis codes per dental procedure.  </w:t>
      </w:r>
    </w:p>
    <w:p w14:paraId="79C0FEB6" w14:textId="7D76705F" w:rsidR="005F79F5" w:rsidRDefault="005F79F5" w:rsidP="004F45B6">
      <w:pPr>
        <w:pStyle w:val="BodyText"/>
        <w:numPr>
          <w:ilvl w:val="0"/>
          <w:numId w:val="45"/>
        </w:numPr>
        <w:ind w:left="540"/>
      </w:pPr>
      <w:r w:rsidRPr="005F79F5">
        <w:rPr>
          <w:b/>
          <w:bCs/>
        </w:rPr>
        <w:t>ICD-10</w:t>
      </w:r>
      <w:r>
        <w:t xml:space="preserve"> </w:t>
      </w:r>
      <w:r w:rsidR="00484731">
        <w:t>–</w:t>
      </w:r>
      <w:r>
        <w:t xml:space="preserve"> There is no standard or fixed ICD code related to any procedure code. However, using the cross-coding settings in the system, you can assist with limiting </w:t>
      </w:r>
      <w:r w:rsidR="00484731">
        <w:t>searches</w:t>
      </w:r>
      <w:r>
        <w:t xml:space="preserve"> for codes.  </w:t>
      </w:r>
    </w:p>
    <w:p w14:paraId="7BF8741D" w14:textId="0208A639" w:rsidR="005F79F5" w:rsidRDefault="005F79F5" w:rsidP="004F45B6">
      <w:pPr>
        <w:pStyle w:val="BodyText"/>
        <w:numPr>
          <w:ilvl w:val="0"/>
          <w:numId w:val="45"/>
        </w:numPr>
        <w:ind w:left="1080"/>
      </w:pPr>
      <w:r>
        <w:t>Cross</w:t>
      </w:r>
      <w:r w:rsidR="00484731">
        <w:t xml:space="preserve"> c</w:t>
      </w:r>
      <w:r>
        <w:t xml:space="preserve">ode CDT codes with ICD-10 codes for supported dental diagnosis. </w:t>
      </w:r>
    </w:p>
    <w:p w14:paraId="058B813D" w14:textId="20DD8DD6" w:rsidR="005F79F5" w:rsidRDefault="005F79F5" w:rsidP="004F45B6">
      <w:pPr>
        <w:pStyle w:val="BodyText"/>
        <w:numPr>
          <w:ilvl w:val="0"/>
          <w:numId w:val="45"/>
        </w:numPr>
        <w:ind w:left="1080"/>
      </w:pPr>
      <w:r>
        <w:t>ICD codes can be limited to a short list available for specific CDT codes or automatically attached when an ADA code is posted.</w:t>
      </w:r>
    </w:p>
    <w:p w14:paraId="53E9A8A5" w14:textId="36C9FEBA" w:rsidR="005F79F5" w:rsidRDefault="005F79F5" w:rsidP="004F45B6">
      <w:pPr>
        <w:pStyle w:val="BodyText"/>
        <w:numPr>
          <w:ilvl w:val="0"/>
          <w:numId w:val="45"/>
        </w:numPr>
        <w:ind w:left="540"/>
      </w:pPr>
      <w:r w:rsidRPr="005F79F5">
        <w:rPr>
          <w:b/>
          <w:bCs/>
        </w:rPr>
        <w:t>Conditions</w:t>
      </w:r>
      <w:r>
        <w:t xml:space="preserve"> </w:t>
      </w:r>
      <w:r w:rsidR="00484731">
        <w:t>–</w:t>
      </w:r>
      <w:r>
        <w:t xml:space="preserve"> Condition codes are not part of the official ADA code set. These codes are used in the system to show and attach conditions present to treatment diagnosed in the patient chart. This is simply part of the electronic dental record and will not be used for any </w:t>
      </w:r>
      <w:r w:rsidR="00484731">
        <w:t>third-</w:t>
      </w:r>
      <w:r>
        <w:t xml:space="preserve">party reporting or submission for reimbursement.  </w:t>
      </w:r>
    </w:p>
    <w:p w14:paraId="45F7B794" w14:textId="2041E390" w:rsidR="005F79F5" w:rsidRDefault="005F79F5" w:rsidP="005F79F5">
      <w:pPr>
        <w:pStyle w:val="BodyText"/>
        <w:ind w:left="540"/>
      </w:pPr>
      <w:r>
        <w:t>Conditions can be used for reporting purposes</w:t>
      </w:r>
      <w:r w:rsidR="00484731">
        <w:t xml:space="preserve"> and can be attached</w:t>
      </w:r>
      <w:r>
        <w:t xml:space="preserve"> to treatment plans to further identify procedures </w:t>
      </w:r>
      <w:r w:rsidR="00484731">
        <w:t xml:space="preserve">that are </w:t>
      </w:r>
      <w:r>
        <w:t xml:space="preserve">connected to specific conditions.  </w:t>
      </w:r>
    </w:p>
    <w:p w14:paraId="028ED999" w14:textId="77777777" w:rsidR="005F79F5" w:rsidRDefault="005F79F5" w:rsidP="00E92EA5">
      <w:pPr>
        <w:pStyle w:val="Heading4"/>
      </w:pPr>
      <w:r>
        <w:t>Procedure Information</w:t>
      </w:r>
    </w:p>
    <w:p w14:paraId="0583FA58" w14:textId="31913F6E" w:rsidR="005F79F5" w:rsidRDefault="005F79F5" w:rsidP="005F79F5">
      <w:pPr>
        <w:pStyle w:val="BodyText"/>
      </w:pPr>
      <w:r>
        <w:t xml:space="preserve">In addition to </w:t>
      </w:r>
      <w:r w:rsidR="00484731">
        <w:t>correct</w:t>
      </w:r>
      <w:r>
        <w:t xml:space="preserve"> coding, each procedure’s date of service, clinic, provider, and any additional modifiers make up the accurate coding process.  </w:t>
      </w:r>
    </w:p>
    <w:p w14:paraId="3327C1BC" w14:textId="2C3257A4" w:rsidR="005F79F5" w:rsidRDefault="005F79F5" w:rsidP="004F45B6">
      <w:pPr>
        <w:pStyle w:val="BodyText"/>
        <w:numPr>
          <w:ilvl w:val="0"/>
          <w:numId w:val="46"/>
        </w:numPr>
        <w:ind w:left="540"/>
      </w:pPr>
      <w:r>
        <w:t>Use provider override</w:t>
      </w:r>
      <w:r w:rsidR="00484731">
        <w:t>s</w:t>
      </w:r>
      <w:r>
        <w:t xml:space="preserve"> as necessary to ensure</w:t>
      </w:r>
      <w:r w:rsidR="00484731">
        <w:t xml:space="preserve"> that </w:t>
      </w:r>
      <w:r>
        <w:t xml:space="preserve">accurate provider information is assigned to </w:t>
      </w:r>
      <w:r w:rsidR="00484731">
        <w:t xml:space="preserve">completed </w:t>
      </w:r>
      <w:r>
        <w:t xml:space="preserve">procedures that were treatment planned </w:t>
      </w:r>
      <w:r w:rsidR="00484731">
        <w:t>previously</w:t>
      </w:r>
      <w:r>
        <w:t xml:space="preserve">. </w:t>
      </w:r>
      <w:r w:rsidR="00484731">
        <w:t>For more information, see the “Database Design” section.</w:t>
      </w:r>
      <w:r>
        <w:t xml:space="preserve"> </w:t>
      </w:r>
    </w:p>
    <w:p w14:paraId="174012E1" w14:textId="2258EBF2" w:rsidR="005F79F5" w:rsidRDefault="005F79F5" w:rsidP="004F45B6">
      <w:pPr>
        <w:pStyle w:val="BodyText"/>
        <w:numPr>
          <w:ilvl w:val="0"/>
          <w:numId w:val="46"/>
        </w:numPr>
        <w:ind w:left="540"/>
      </w:pPr>
      <w:r>
        <w:t xml:space="preserve">If data entry is not completed on the date of service, it is important to record the accurate date of service for each code. The ability to edit this information depends on security and interface settings.  </w:t>
      </w:r>
    </w:p>
    <w:p w14:paraId="10210374" w14:textId="0954BA95" w:rsidR="005F79F5" w:rsidRPr="00EB1DEC" w:rsidRDefault="00EE070E" w:rsidP="005F79F5">
      <w:pPr>
        <w:pStyle w:val="BodyText"/>
        <w:rPr>
          <w:i/>
          <w:iCs/>
        </w:rPr>
      </w:pPr>
      <w:r>
        <w:rPr>
          <w:noProof/>
        </w:rPr>
        <w:drawing>
          <wp:anchor distT="0" distB="0" distL="0" distR="91440" simplePos="0" relativeHeight="251746308" behindDoc="1" locked="0" layoutInCell="1" allowOverlap="1" wp14:anchorId="1286A72B" wp14:editId="537E8BB8">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2468754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5F79F5" w:rsidRPr="00EB1DEC">
        <w:rPr>
          <w:b/>
          <w:bCs/>
          <w:i/>
          <w:iCs/>
        </w:rPr>
        <w:t>Operations Insight</w:t>
      </w:r>
      <w:r w:rsidR="005F79F5" w:rsidRPr="00EB1DEC">
        <w:rPr>
          <w:i/>
          <w:iCs/>
        </w:rPr>
        <w:t>: There are alternative options for supporting the ne</w:t>
      </w:r>
      <w:r w:rsidR="00EB1DEC" w:rsidRPr="00EB1DEC">
        <w:rPr>
          <w:i/>
          <w:iCs/>
        </w:rPr>
        <w:t>ed</w:t>
      </w:r>
      <w:r w:rsidR="005F79F5" w:rsidRPr="00EB1DEC">
        <w:rPr>
          <w:i/>
          <w:iCs/>
        </w:rPr>
        <w:t xml:space="preserve"> to edit completed or posted codes. The ability to update </w:t>
      </w:r>
      <w:r w:rsidR="00EB1DEC" w:rsidRPr="00EB1DEC">
        <w:rPr>
          <w:i/>
          <w:iCs/>
        </w:rPr>
        <w:t>a</w:t>
      </w:r>
      <w:r w:rsidR="005F79F5" w:rsidRPr="00EB1DEC">
        <w:rPr>
          <w:i/>
          <w:iCs/>
        </w:rPr>
        <w:t xml:space="preserve"> procedure</w:t>
      </w:r>
      <w:r w:rsidR="00EB1DEC" w:rsidRPr="00EB1DEC">
        <w:rPr>
          <w:i/>
          <w:iCs/>
        </w:rPr>
        <w:t>’</w:t>
      </w:r>
      <w:r w:rsidR="005F79F5" w:rsidRPr="00EB1DEC">
        <w:rPr>
          <w:i/>
          <w:iCs/>
        </w:rPr>
        <w:t xml:space="preserve">s date without having to allow for edits is available from Ledger.  </w:t>
      </w:r>
    </w:p>
    <w:p w14:paraId="5A79833F" w14:textId="740A5992" w:rsidR="005F79F5" w:rsidRDefault="005F79F5" w:rsidP="00D42C5A">
      <w:pPr>
        <w:pStyle w:val="Heading3"/>
      </w:pPr>
      <w:bookmarkStart w:id="156" w:name="_Toc135416712"/>
      <w:bookmarkStart w:id="157" w:name="_Toc166834352"/>
      <w:r>
        <w:t>Clinical Notes</w:t>
      </w:r>
      <w:bookmarkEnd w:id="156"/>
      <w:bookmarkEnd w:id="157"/>
    </w:p>
    <w:p w14:paraId="340A4749" w14:textId="4C1B2F1F" w:rsidR="005F79F5" w:rsidRDefault="00A104BD" w:rsidP="005F79F5">
      <w:pPr>
        <w:pStyle w:val="BodyText"/>
      </w:pPr>
      <w:r>
        <w:rPr>
          <w:noProof/>
        </w:rPr>
        <w:drawing>
          <wp:anchor distT="0" distB="0" distL="114300" distR="114300" simplePos="0" relativeHeight="252053508" behindDoc="0" locked="0" layoutInCell="1" allowOverlap="1" wp14:anchorId="3C145E71" wp14:editId="10D9C86D">
            <wp:simplePos x="0" y="0"/>
            <wp:positionH relativeFrom="column">
              <wp:posOffset>5486400</wp:posOffset>
            </wp:positionH>
            <wp:positionV relativeFrom="paragraph">
              <wp:posOffset>31027</wp:posOffset>
            </wp:positionV>
            <wp:extent cx="365760" cy="365760"/>
            <wp:effectExtent l="0" t="0" r="0" b="0"/>
            <wp:wrapTight wrapText="bothSides">
              <wp:wrapPolygon edited="0">
                <wp:start x="0" y="0"/>
                <wp:lineTo x="0" y="20250"/>
                <wp:lineTo x="20250" y="20250"/>
                <wp:lineTo x="20250" y="0"/>
                <wp:lineTo x="0" y="0"/>
              </wp:wrapPolygon>
            </wp:wrapTight>
            <wp:docPr id="183968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86516" name=""/>
                    <pic:cNvPicPr/>
                  </pic:nvPicPr>
                  <pic:blipFill>
                    <a:blip r:embed="rId57"/>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t xml:space="preserve">Comprehensive and accurate records are a vital part of </w:t>
      </w:r>
      <w:r w:rsidR="00EB1DEC">
        <w:t xml:space="preserve">a </w:t>
      </w:r>
      <w:r w:rsidR="005F79F5">
        <w:t xml:space="preserve">dental practice.  </w:t>
      </w:r>
    </w:p>
    <w:p w14:paraId="248E72D2" w14:textId="3C8261CB" w:rsidR="00BF5438" w:rsidRDefault="005F79F5" w:rsidP="00E92EA5">
      <w:pPr>
        <w:pStyle w:val="Heading4"/>
      </w:pPr>
      <w:r>
        <w:t>Clinical Note Provider</w:t>
      </w:r>
      <w:r w:rsidR="00EB1DEC">
        <w:t xml:space="preserve"> and Clinic</w:t>
      </w:r>
    </w:p>
    <w:p w14:paraId="095D8434" w14:textId="0BCEA698" w:rsidR="005F79F5" w:rsidRDefault="00EB1DEC" w:rsidP="00BF5438">
      <w:pPr>
        <w:pStyle w:val="BodyText"/>
      </w:pPr>
      <w:r>
        <w:t>When you add a clinical note, you assign</w:t>
      </w:r>
      <w:r w:rsidR="005F79F5">
        <w:t xml:space="preserve"> a provider and clinic.  </w:t>
      </w:r>
    </w:p>
    <w:p w14:paraId="5AB9013C" w14:textId="77777777" w:rsidR="00BF5438" w:rsidRDefault="005F79F5" w:rsidP="00E92EA5">
      <w:pPr>
        <w:pStyle w:val="Heading4"/>
      </w:pPr>
      <w:r>
        <w:t>Clinical Note Locking</w:t>
      </w:r>
    </w:p>
    <w:p w14:paraId="63A579B5" w14:textId="11D9CAF2" w:rsidR="005F79F5" w:rsidRDefault="005F79F5" w:rsidP="00BF5438">
      <w:pPr>
        <w:pStyle w:val="BodyText"/>
      </w:pPr>
      <w:r>
        <w:t xml:space="preserve">A provider can digitally sign a clinical note to indicate his or her approval of the note. Signing a clinical note locks it to prevent changes from being made to the text and to prevent the note from being deleted.  </w:t>
      </w:r>
    </w:p>
    <w:p w14:paraId="5E3B0525" w14:textId="68A18051" w:rsidR="005F79F5" w:rsidRPr="00EB1DEC" w:rsidRDefault="00EE070E" w:rsidP="00BF5438">
      <w:pPr>
        <w:pStyle w:val="BodyText"/>
        <w:rPr>
          <w:i/>
          <w:iCs/>
        </w:rPr>
      </w:pPr>
      <w:r>
        <w:rPr>
          <w:noProof/>
        </w:rPr>
        <w:drawing>
          <wp:anchor distT="0" distB="0" distL="0" distR="91440" simplePos="0" relativeHeight="251750404" behindDoc="1" locked="0" layoutInCell="1" allowOverlap="1" wp14:anchorId="16C48D4D" wp14:editId="00783C36">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98100394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rsidRPr="00EB1DEC">
        <w:rPr>
          <w:b/>
          <w:bCs/>
          <w:i/>
          <w:iCs/>
        </w:rPr>
        <w:t>Workflow Insight</w:t>
      </w:r>
      <w:r w:rsidR="005F79F5" w:rsidRPr="00EB1DEC">
        <w:rPr>
          <w:i/>
          <w:iCs/>
        </w:rPr>
        <w:t>: Depending upon certain global settings, clinical note locking can be accomplished automatically</w:t>
      </w:r>
      <w:r w:rsidR="00EB1DEC" w:rsidRPr="00EB1DEC">
        <w:rPr>
          <w:i/>
          <w:iCs/>
        </w:rPr>
        <w:t xml:space="preserve"> or</w:t>
      </w:r>
      <w:r w:rsidR="005F79F5" w:rsidRPr="00EB1DEC">
        <w:rPr>
          <w:i/>
          <w:iCs/>
        </w:rPr>
        <w:t xml:space="preserve"> during the month end process, or </w:t>
      </w:r>
      <w:r w:rsidR="00EB1DEC" w:rsidRPr="00EB1DEC">
        <w:rPr>
          <w:i/>
          <w:iCs/>
        </w:rPr>
        <w:t xml:space="preserve">it can be </w:t>
      </w:r>
      <w:r w:rsidR="005F79F5" w:rsidRPr="00EB1DEC">
        <w:rPr>
          <w:i/>
          <w:iCs/>
        </w:rPr>
        <w:t xml:space="preserve">removed as an option from the clinical notes. </w:t>
      </w:r>
    </w:p>
    <w:p w14:paraId="08654210" w14:textId="77777777" w:rsidR="003721AB" w:rsidRPr="00D53397" w:rsidRDefault="003721AB" w:rsidP="003721AB">
      <w:pPr>
        <w:pStyle w:val="Heading4"/>
        <w:spacing w:before="240"/>
        <w:rPr>
          <w:color w:val="auto"/>
        </w:rPr>
      </w:pPr>
      <w:r w:rsidRPr="00D53397">
        <w:rPr>
          <w:color w:val="auto"/>
        </w:rPr>
        <w:t>Oral Health Status Measure (OHSM)</w:t>
      </w:r>
    </w:p>
    <w:p w14:paraId="2FA419BC" w14:textId="77777777" w:rsidR="003721AB" w:rsidRPr="00D53397" w:rsidRDefault="003721AB" w:rsidP="003721AB">
      <w:pPr>
        <w:pStyle w:val="BodyText"/>
      </w:pPr>
      <w:r w:rsidRPr="00D53397">
        <w:t>The OHSM is a prevention-oriented tool which provides a way to record and track oral health, leading to early diagnosis and timely intervention.  When used routinely, the OHSM should decrease the number of emergency room visits for evaluation and/or treatment of serious oral infections.</w:t>
      </w:r>
    </w:p>
    <w:p w14:paraId="457C1B6D" w14:textId="77777777" w:rsidR="003721AB" w:rsidRPr="00D53397" w:rsidRDefault="003721AB" w:rsidP="003721AB">
      <w:pPr>
        <w:pStyle w:val="BodyText"/>
      </w:pPr>
      <w:r w:rsidRPr="00D53397">
        <w:lastRenderedPageBreak/>
        <w:t>As the patient’s status changes over time (e.g. when all treatment is completed or during periodic exams) the provider can update the assessment to reflect their current status.  In addition to tracking individual patients, the OHSM can be used to track the oral health of the clinic population.  For example, the reports can help you identify how many patients require immediate care or how many patients who were assessed have an excellent oral health status.</w:t>
      </w:r>
    </w:p>
    <w:p w14:paraId="732B0A0F" w14:textId="700B34A5" w:rsidR="00745C45" w:rsidRPr="00D53397" w:rsidRDefault="00745C45" w:rsidP="00745C45">
      <w:pPr>
        <w:pStyle w:val="BodyText"/>
        <w:rPr>
          <w:i/>
          <w:iCs/>
        </w:rPr>
      </w:pPr>
      <w:r w:rsidRPr="00D53397">
        <w:rPr>
          <w:b/>
          <w:bCs/>
          <w:i/>
          <w:iCs/>
          <w:noProof/>
        </w:rPr>
        <w:drawing>
          <wp:anchor distT="0" distB="0" distL="0" distR="91440" simplePos="0" relativeHeight="252077060" behindDoc="1" locked="0" layoutInCell="1" allowOverlap="1" wp14:anchorId="552DC3AE" wp14:editId="57B8C925">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2118731868"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Insights</w:t>
      </w:r>
      <w:r w:rsidRPr="00D53397">
        <w:rPr>
          <w:i/>
          <w:iCs/>
        </w:rPr>
        <w:t>:</w:t>
      </w:r>
    </w:p>
    <w:p w14:paraId="1DBCE8B4" w14:textId="73C383CE" w:rsidR="003721AB" w:rsidRPr="00D53397" w:rsidRDefault="003721AB" w:rsidP="004F45B6">
      <w:pPr>
        <w:pStyle w:val="BodyText"/>
        <w:numPr>
          <w:ilvl w:val="0"/>
          <w:numId w:val="162"/>
        </w:numPr>
        <w:spacing w:after="0"/>
        <w:rPr>
          <w:i/>
          <w:iCs/>
        </w:rPr>
      </w:pPr>
      <w:r w:rsidRPr="00D53397">
        <w:rPr>
          <w:i/>
          <w:iCs/>
        </w:rPr>
        <w:t xml:space="preserve">In version 8.0.96 &amp; higher, the Oral Health Status Measure (OHSM) window will open upon signing a clinical note to prompt </w:t>
      </w:r>
      <w:r w:rsidR="00D40C4C" w:rsidRPr="00D53397">
        <w:rPr>
          <w:i/>
          <w:iCs/>
        </w:rPr>
        <w:t xml:space="preserve">for </w:t>
      </w:r>
      <w:r w:rsidRPr="00D53397">
        <w:rPr>
          <w:i/>
          <w:iCs/>
        </w:rPr>
        <w:t xml:space="preserve">the answering of nine (9) questions.  </w:t>
      </w:r>
    </w:p>
    <w:p w14:paraId="73380F3D" w14:textId="77777777" w:rsidR="003721AB" w:rsidRPr="00D53397" w:rsidRDefault="003721AB" w:rsidP="004F45B6">
      <w:pPr>
        <w:pStyle w:val="BodyText"/>
        <w:numPr>
          <w:ilvl w:val="0"/>
          <w:numId w:val="162"/>
        </w:numPr>
        <w:spacing w:after="0"/>
        <w:rPr>
          <w:i/>
          <w:iCs/>
        </w:rPr>
      </w:pPr>
      <w:r w:rsidRPr="00D53397">
        <w:rPr>
          <w:i/>
          <w:iCs/>
        </w:rPr>
        <w:t>In version 8.0.96 &amp; higher, the OHSM data can be reported for a specific date range with or without patient details in the OHS Report.</w:t>
      </w:r>
    </w:p>
    <w:p w14:paraId="22CB46D2" w14:textId="27667E22" w:rsidR="00745C45" w:rsidRPr="00D53397" w:rsidRDefault="003721AB" w:rsidP="004F45B6">
      <w:pPr>
        <w:pStyle w:val="BodyText"/>
        <w:numPr>
          <w:ilvl w:val="0"/>
          <w:numId w:val="162"/>
        </w:numPr>
        <w:spacing w:after="0"/>
        <w:rPr>
          <w:i/>
          <w:iCs/>
        </w:rPr>
      </w:pPr>
      <w:r w:rsidRPr="00D53397">
        <w:rPr>
          <w:i/>
          <w:iCs/>
        </w:rPr>
        <w:t xml:space="preserve">In version 11.0.20.745 (Component Update 4), the Oral Health Status Classification (OHSC) data can be viewed, edited (with </w:t>
      </w:r>
      <w:r w:rsidR="0041482B" w:rsidRPr="00D53397">
        <w:rPr>
          <w:i/>
          <w:iCs/>
        </w:rPr>
        <w:t>applicable</w:t>
      </w:r>
      <w:r w:rsidRPr="00D53397">
        <w:rPr>
          <w:i/>
          <w:iCs/>
        </w:rPr>
        <w:t xml:space="preserve"> security rights), and graphed from the More Information window.</w:t>
      </w:r>
    </w:p>
    <w:p w14:paraId="01BE9BA2" w14:textId="056585D1" w:rsidR="003721AB" w:rsidRPr="00D53397" w:rsidRDefault="003721AB" w:rsidP="004F45B6">
      <w:pPr>
        <w:pStyle w:val="BodyText"/>
        <w:numPr>
          <w:ilvl w:val="0"/>
          <w:numId w:val="162"/>
        </w:numPr>
        <w:spacing w:after="0"/>
        <w:rPr>
          <w:i/>
          <w:iCs/>
        </w:rPr>
      </w:pPr>
      <w:r w:rsidRPr="00D53397">
        <w:rPr>
          <w:i/>
        </w:rPr>
        <w:t>In version 110.20.862 (Component Update 5), the OHS Outcome after Appointment Report will display the measure of change in oral health after a patient appointment, which may indicate the benefit or effectiveness of treatment performed.</w:t>
      </w:r>
    </w:p>
    <w:p w14:paraId="620D48DF" w14:textId="32EB2386" w:rsidR="00BF5438" w:rsidRDefault="005F79F5" w:rsidP="00E92EA5">
      <w:pPr>
        <w:pStyle w:val="Heading4"/>
      </w:pPr>
      <w:r>
        <w:t>Signature Manager</w:t>
      </w:r>
    </w:p>
    <w:p w14:paraId="194147F7" w14:textId="389F38B7" w:rsidR="005F79F5" w:rsidRDefault="00EB1DEC" w:rsidP="004A2A35">
      <w:pPr>
        <w:pStyle w:val="BodyText"/>
        <w:keepNext/>
        <w:keepLines/>
      </w:pPr>
      <w:r>
        <w:t>Providers and use S</w:t>
      </w:r>
      <w:r w:rsidR="005F79F5">
        <w:t xml:space="preserve">ignature </w:t>
      </w:r>
      <w:r>
        <w:t>M</w:t>
      </w:r>
      <w:r w:rsidR="005F79F5">
        <w:t xml:space="preserve">anager to identify the clinical notes that have not been completed or </w:t>
      </w:r>
      <w:r>
        <w:t xml:space="preserve">that </w:t>
      </w:r>
      <w:r w:rsidR="005F79F5">
        <w:t>need to be signed.</w:t>
      </w:r>
    </w:p>
    <w:p w14:paraId="78729B4E" w14:textId="38C2E6E3" w:rsidR="005F79F5" w:rsidRPr="00EB1DEC" w:rsidRDefault="00EE070E" w:rsidP="00BF5438">
      <w:pPr>
        <w:pStyle w:val="BodyText"/>
        <w:rPr>
          <w:i/>
          <w:iCs/>
        </w:rPr>
      </w:pPr>
      <w:r>
        <w:rPr>
          <w:noProof/>
        </w:rPr>
        <w:drawing>
          <wp:anchor distT="0" distB="0" distL="0" distR="91440" simplePos="0" relativeHeight="251748356" behindDoc="1" locked="0" layoutInCell="1" allowOverlap="1" wp14:anchorId="28207286" wp14:editId="14D36C4A">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53257677"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5F79F5" w:rsidRPr="00EB1DEC">
        <w:rPr>
          <w:b/>
          <w:bCs/>
          <w:i/>
          <w:iCs/>
        </w:rPr>
        <w:t>Operations Insight</w:t>
      </w:r>
      <w:r w:rsidR="00BF5438" w:rsidRPr="00EB1DEC">
        <w:rPr>
          <w:i/>
          <w:iCs/>
        </w:rPr>
        <w:t xml:space="preserve">: </w:t>
      </w:r>
      <w:r w:rsidR="005F79F5" w:rsidRPr="00EB1DEC">
        <w:rPr>
          <w:i/>
          <w:iCs/>
        </w:rPr>
        <w:t xml:space="preserve">This tool can also be used for workflow accountability review. It </w:t>
      </w:r>
      <w:r w:rsidR="00EB1DEC" w:rsidRPr="00EB1DEC">
        <w:rPr>
          <w:i/>
          <w:iCs/>
        </w:rPr>
        <w:t>allows you</w:t>
      </w:r>
      <w:r w:rsidR="005F79F5" w:rsidRPr="00EB1DEC">
        <w:rPr>
          <w:i/>
          <w:iCs/>
        </w:rPr>
        <w:t xml:space="preserve"> to proactively identify the clinics or providers that have </w:t>
      </w:r>
      <w:r w:rsidR="00EB1DEC">
        <w:rPr>
          <w:i/>
          <w:iCs/>
        </w:rPr>
        <w:t xml:space="preserve">clinical </w:t>
      </w:r>
      <w:r w:rsidR="005F79F5" w:rsidRPr="00EB1DEC">
        <w:rPr>
          <w:i/>
          <w:iCs/>
        </w:rPr>
        <w:t xml:space="preserve">notes </w:t>
      </w:r>
      <w:r w:rsidR="00EB1DEC" w:rsidRPr="00EB1DEC">
        <w:rPr>
          <w:i/>
          <w:iCs/>
        </w:rPr>
        <w:t>needing</w:t>
      </w:r>
      <w:r w:rsidR="005F79F5" w:rsidRPr="00EB1DEC">
        <w:rPr>
          <w:i/>
          <w:iCs/>
        </w:rPr>
        <w:t xml:space="preserve"> completion or signatures.</w:t>
      </w:r>
    </w:p>
    <w:p w14:paraId="7EDF84CD" w14:textId="77777777" w:rsidR="00BF5438" w:rsidRDefault="005F79F5" w:rsidP="00E92EA5">
      <w:pPr>
        <w:pStyle w:val="Heading4"/>
      </w:pPr>
      <w:r>
        <w:t>Addendums</w:t>
      </w:r>
    </w:p>
    <w:p w14:paraId="6E8D7AEF" w14:textId="5FDCB78D" w:rsidR="005F79F5" w:rsidRDefault="005F79F5" w:rsidP="00BF5438">
      <w:pPr>
        <w:pStyle w:val="BodyText"/>
      </w:pPr>
      <w:r>
        <w:t xml:space="preserve">Once a clinical note is signed and locked into history, </w:t>
      </w:r>
      <w:r w:rsidR="00EB1DEC">
        <w:t xml:space="preserve">you can record </w:t>
      </w:r>
      <w:r>
        <w:t xml:space="preserve">any changes or updates as an addendum to the original note. Addendums allow you to maintain the integrity of clinical notes as they are documented </w:t>
      </w:r>
      <w:r w:rsidR="00EB1DEC">
        <w:t xml:space="preserve">while allowing for </w:t>
      </w:r>
      <w:r>
        <w:t>updated information</w:t>
      </w:r>
      <w:r w:rsidR="00EB1DEC">
        <w:t xml:space="preserve"> to be shown</w:t>
      </w:r>
      <w:r>
        <w:t>.</w:t>
      </w:r>
    </w:p>
    <w:p w14:paraId="6A173DF1" w14:textId="77777777" w:rsidR="00E8209C" w:rsidRPr="00D53397" w:rsidRDefault="00E8209C" w:rsidP="00E8209C">
      <w:pPr>
        <w:pStyle w:val="BodyText"/>
        <w:rPr>
          <w:i/>
          <w:iCs/>
        </w:rPr>
      </w:pPr>
      <w:r w:rsidRPr="00D53397">
        <w:rPr>
          <w:b/>
          <w:bCs/>
          <w:i/>
          <w:iCs/>
          <w:noProof/>
        </w:rPr>
        <w:drawing>
          <wp:anchor distT="0" distB="0" distL="0" distR="91440" simplePos="0" relativeHeight="252079108" behindDoc="1" locked="0" layoutInCell="1" allowOverlap="1" wp14:anchorId="18B02A5C" wp14:editId="3955BCCD">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1049414041"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53397">
        <w:rPr>
          <w:b/>
          <w:bCs/>
          <w:i/>
          <w:iCs/>
        </w:rPr>
        <w:t>*NEW* Workflow Insights</w:t>
      </w:r>
      <w:r w:rsidRPr="00D53397">
        <w:rPr>
          <w:i/>
          <w:iCs/>
        </w:rPr>
        <w:t>:</w:t>
      </w:r>
    </w:p>
    <w:p w14:paraId="43DC00CB" w14:textId="4D07B408" w:rsidR="00E8209C" w:rsidRPr="00D53397" w:rsidRDefault="007C0B51" w:rsidP="004F45B6">
      <w:pPr>
        <w:pStyle w:val="BodyText"/>
        <w:numPr>
          <w:ilvl w:val="0"/>
          <w:numId w:val="163"/>
        </w:numPr>
      </w:pPr>
      <w:r w:rsidRPr="00D53397">
        <w:rPr>
          <w:i/>
          <w:iCs/>
        </w:rPr>
        <w:t>In version 11.0.20, a new capability available to RPMS clinics automatically transfers the dental patient signed clinical notes to the medical record. The ability to view dental notes from the medical chart optimizes patient care by giving clinicians access to a combined record of patient dental and medical history inside of RPMS.</w:t>
      </w:r>
    </w:p>
    <w:p w14:paraId="535843B1" w14:textId="6CB9AB53" w:rsidR="00F205E7" w:rsidRPr="00D53397" w:rsidRDefault="00F205E7" w:rsidP="004F45B6">
      <w:pPr>
        <w:pStyle w:val="BodyText"/>
        <w:numPr>
          <w:ilvl w:val="0"/>
          <w:numId w:val="163"/>
        </w:numPr>
      </w:pPr>
      <w:r w:rsidRPr="00D53397">
        <w:rPr>
          <w:i/>
          <w:iCs/>
        </w:rPr>
        <w:t>With the transfer of clinical notes enabled, addendums cannot be added to clinical notes. In</w:t>
      </w:r>
      <w:r w:rsidR="00D51A5F" w:rsidRPr="00D53397">
        <w:rPr>
          <w:i/>
          <w:iCs/>
        </w:rPr>
        <w:t>stead</w:t>
      </w:r>
      <w:r w:rsidRPr="00D53397">
        <w:rPr>
          <w:i/>
          <w:iCs/>
        </w:rPr>
        <w:t xml:space="preserve"> of appending the clinical note in Dentrix Enterprise, the provider will create a new clinical note, document the changes or additions to the previous note, and sign the new note to send it to the medical record.</w:t>
      </w:r>
    </w:p>
    <w:p w14:paraId="44B2026F" w14:textId="6FAE642B" w:rsidR="005F79F5" w:rsidRDefault="004359A6" w:rsidP="00D42C5A">
      <w:pPr>
        <w:pStyle w:val="Heading3"/>
      </w:pPr>
      <w:bookmarkStart w:id="158" w:name="_Toc135416713"/>
      <w:bookmarkStart w:id="159" w:name="_Toc166834353"/>
      <w:r>
        <w:rPr>
          <w:noProof/>
        </w:rPr>
        <w:drawing>
          <wp:anchor distT="0" distB="0" distL="0" distR="91440" simplePos="0" relativeHeight="251752452" behindDoc="1" locked="0" layoutInCell="1" allowOverlap="1" wp14:anchorId="01C975FC" wp14:editId="6C97D143">
            <wp:simplePos x="0" y="0"/>
            <wp:positionH relativeFrom="column">
              <wp:posOffset>-457200</wp:posOffset>
            </wp:positionH>
            <wp:positionV relativeFrom="paragraph">
              <wp:posOffset>575236</wp:posOffset>
            </wp:positionV>
            <wp:extent cx="365856" cy="484632"/>
            <wp:effectExtent l="0" t="0" r="0" b="0"/>
            <wp:wrapTight wrapText="right">
              <wp:wrapPolygon edited="0">
                <wp:start x="0" y="0"/>
                <wp:lineTo x="0" y="20383"/>
                <wp:lineTo x="20250" y="20383"/>
                <wp:lineTo x="20250" y="0"/>
                <wp:lineTo x="0" y="0"/>
              </wp:wrapPolygon>
            </wp:wrapTight>
            <wp:docPr id="172630187"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604" behindDoc="0" locked="0" layoutInCell="1" allowOverlap="1" wp14:anchorId="1E592525" wp14:editId="668C250F">
            <wp:simplePos x="0" y="0"/>
            <wp:positionH relativeFrom="column">
              <wp:posOffset>5486400</wp:posOffset>
            </wp:positionH>
            <wp:positionV relativeFrom="paragraph">
              <wp:posOffset>376555</wp:posOffset>
            </wp:positionV>
            <wp:extent cx="365760" cy="365760"/>
            <wp:effectExtent l="0" t="0" r="0" b="0"/>
            <wp:wrapTight wrapText="bothSides">
              <wp:wrapPolygon edited="0">
                <wp:start x="0" y="0"/>
                <wp:lineTo x="0" y="20250"/>
                <wp:lineTo x="20250" y="20250"/>
                <wp:lineTo x="20250" y="0"/>
                <wp:lineTo x="0" y="0"/>
              </wp:wrapPolygon>
            </wp:wrapTight>
            <wp:docPr id="115745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5377" name=""/>
                    <pic:cNvPicPr/>
                  </pic:nvPicPr>
                  <pic:blipFill>
                    <a:blip r:embed="rId58"/>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t>Perio Charting</w:t>
      </w:r>
      <w:bookmarkEnd w:id="158"/>
      <w:bookmarkEnd w:id="159"/>
    </w:p>
    <w:p w14:paraId="329BCA7B" w14:textId="536AE8F6" w:rsidR="00EB1DEC" w:rsidRPr="00EB1DEC" w:rsidRDefault="00EB1DEC" w:rsidP="00EB1DEC">
      <w:pPr>
        <w:pStyle w:val="BodyText"/>
      </w:pPr>
      <w:r>
        <w:t>Dentrix Enterprise provides tools for recording periodontal data.</w:t>
      </w:r>
    </w:p>
    <w:p w14:paraId="7C142D78" w14:textId="3FA80FC5" w:rsidR="005F79F5" w:rsidRDefault="005F79F5" w:rsidP="005F79F5">
      <w:pPr>
        <w:pStyle w:val="BodyText"/>
      </w:pPr>
      <w:r w:rsidRPr="00A37B2A">
        <w:rPr>
          <w:color w:val="00B050"/>
        </w:rPr>
        <w:t>&lt;&lt;Insert Perio charting decision support/SOP/guidelines here&gt;&gt;</w:t>
      </w:r>
    </w:p>
    <w:p w14:paraId="2A4C936A" w14:textId="77777777" w:rsidR="00BF5438" w:rsidRDefault="005F79F5" w:rsidP="00E92EA5">
      <w:pPr>
        <w:pStyle w:val="Heading4"/>
      </w:pPr>
      <w:r>
        <w:t>Charting Data Capture</w:t>
      </w:r>
    </w:p>
    <w:p w14:paraId="711E1AAE" w14:textId="5126E943" w:rsidR="005F79F5" w:rsidRDefault="005F79F5" w:rsidP="005F79F5">
      <w:pPr>
        <w:pStyle w:val="BodyText"/>
      </w:pPr>
      <w:r>
        <w:t>Perio exam methods and philosophies differ from provider to provider. To facilitate different charting styles, Perio Chart allows a provider to set up scripts and paths that represent his or her preferred method of examination.</w:t>
      </w:r>
    </w:p>
    <w:p w14:paraId="01972DEA" w14:textId="43FC6349" w:rsidR="00BF5438" w:rsidRDefault="005F79F5" w:rsidP="00E92EA5">
      <w:pPr>
        <w:pStyle w:val="Heading4"/>
      </w:pPr>
      <w:r>
        <w:lastRenderedPageBreak/>
        <w:t xml:space="preserve">Exam </w:t>
      </w:r>
      <w:r w:rsidR="00EB1DEC">
        <w:t>O</w:t>
      </w:r>
      <w:r>
        <w:t>rder</w:t>
      </w:r>
    </w:p>
    <w:p w14:paraId="2AF282A4" w14:textId="24D49C74" w:rsidR="005F79F5" w:rsidRDefault="00EB1DEC" w:rsidP="005F79F5">
      <w:pPr>
        <w:pStyle w:val="BodyText"/>
      </w:pPr>
      <w:r>
        <w:t>You can specify</w:t>
      </w:r>
      <w:r w:rsidR="005F79F5">
        <w:t xml:space="preserve"> how the perio exam progresses through the mouth. Path settings dictate the sequential order of movement through the probing areas of each individual tooth. Since each care provider will not take the same measurements in the same order, Dentrix Enterprise allows the path settings to be customized.</w:t>
      </w:r>
    </w:p>
    <w:p w14:paraId="19B6258B" w14:textId="227542A3" w:rsidR="00BF5438" w:rsidRDefault="005F79F5" w:rsidP="00E92EA5">
      <w:pPr>
        <w:pStyle w:val="Heading4"/>
      </w:pPr>
      <w:r>
        <w:t>Measurement Calculations (CAL</w:t>
      </w:r>
      <w:r w:rsidR="00184B0C">
        <w:t xml:space="preserve"> </w:t>
      </w:r>
      <w:r>
        <w:t>=</w:t>
      </w:r>
      <w:r w:rsidR="00184B0C">
        <w:t xml:space="preserve"> </w:t>
      </w:r>
      <w:r>
        <w:t>PD + GM)</w:t>
      </w:r>
    </w:p>
    <w:p w14:paraId="348AAA1E" w14:textId="582CFE5C" w:rsidR="005F79F5" w:rsidRDefault="005F79F5" w:rsidP="005F79F5">
      <w:pPr>
        <w:pStyle w:val="BodyText"/>
      </w:pPr>
      <w:r>
        <w:t>Wh</w:t>
      </w:r>
      <w:r w:rsidR="00EB1DEC">
        <w:t xml:space="preserve">ile </w:t>
      </w:r>
      <w:r>
        <w:t xml:space="preserve">performing a periodontal exam, it is important to remember that the pocket depth, gingival margin, and clinical attachment level measurements have a mathematical relationship. That relationship is such that, given any two of the three measurements, you can mathematically calculate the third. With that in mind, you can enter two measurements; and, based on your chosen calculation method, Dentrix Enterprise will automatically calculate and input the third measurement for you. </w:t>
      </w:r>
    </w:p>
    <w:p w14:paraId="3D7212DB" w14:textId="77777777" w:rsidR="00BF5438" w:rsidRDefault="005F79F5" w:rsidP="00E92EA5">
      <w:pPr>
        <w:pStyle w:val="Heading4"/>
      </w:pPr>
      <w:r>
        <w:t>Exam Diagnostics</w:t>
      </w:r>
    </w:p>
    <w:p w14:paraId="46AD00E3" w14:textId="641E1363" w:rsidR="005F79F5" w:rsidRDefault="005F79F5" w:rsidP="004A2A35">
      <w:pPr>
        <w:pStyle w:val="BodyText"/>
        <w:keepNext/>
        <w:keepLines/>
      </w:pPr>
      <w:r>
        <w:t xml:space="preserve">In addition to perio measurements, you can add other perio data to the current perio exam. You can use this data to create customized letters for insurance companies, patients, and clinical notes.  </w:t>
      </w:r>
    </w:p>
    <w:p w14:paraId="7607E2F2" w14:textId="31357DA6" w:rsidR="005F79F5" w:rsidRDefault="005F79F5" w:rsidP="004A2A35">
      <w:pPr>
        <w:pStyle w:val="BodyText"/>
        <w:keepNext/>
        <w:keepLines/>
        <w:numPr>
          <w:ilvl w:val="0"/>
          <w:numId w:val="6"/>
        </w:numPr>
        <w:ind w:left="540"/>
      </w:pPr>
      <w:r w:rsidRPr="00BF5438">
        <w:rPr>
          <w:b/>
          <w:bCs/>
        </w:rPr>
        <w:t>Notes</w:t>
      </w:r>
      <w:r w:rsidR="00BF5438">
        <w:t xml:space="preserve"> </w:t>
      </w:r>
      <w:r w:rsidR="00475EC8">
        <w:t>–</w:t>
      </w:r>
      <w:r>
        <w:t xml:space="preserve"> This section has a predefined selection of options to identify the condition of the patient's gingiva, X-</w:t>
      </w:r>
      <w:r w:rsidR="00475EC8">
        <w:t>r</w:t>
      </w:r>
      <w:r>
        <w:t>ays, oral hygiene, patient status</w:t>
      </w:r>
      <w:r w:rsidR="00475EC8">
        <w:t>,</w:t>
      </w:r>
      <w:r>
        <w:t xml:space="preserve"> and perio status.  </w:t>
      </w:r>
    </w:p>
    <w:p w14:paraId="279A5FFE" w14:textId="516B1B9B" w:rsidR="005F79F5" w:rsidRDefault="005F79F5" w:rsidP="004A2A35">
      <w:pPr>
        <w:pStyle w:val="BodyText"/>
        <w:keepNext/>
        <w:keepLines/>
        <w:numPr>
          <w:ilvl w:val="0"/>
          <w:numId w:val="6"/>
        </w:numPr>
        <w:ind w:left="540"/>
      </w:pPr>
      <w:r w:rsidRPr="00BF5438">
        <w:rPr>
          <w:b/>
          <w:bCs/>
        </w:rPr>
        <w:t>Summary</w:t>
      </w:r>
      <w:r w:rsidR="00BF5438">
        <w:t xml:space="preserve"> </w:t>
      </w:r>
      <w:r w:rsidR="00475EC8">
        <w:t>–</w:t>
      </w:r>
      <w:r w:rsidR="00BF5438">
        <w:t xml:space="preserve"> </w:t>
      </w:r>
      <w:r>
        <w:t xml:space="preserve">The summary totals provide statistics about the patient’s perio condition, probing depths, and clinical attachment levels. </w:t>
      </w:r>
    </w:p>
    <w:p w14:paraId="1FDEBCE4" w14:textId="77777777" w:rsidR="00573CA6" w:rsidRDefault="005F79F5" w:rsidP="004A2A35">
      <w:pPr>
        <w:pStyle w:val="BodyText"/>
        <w:keepNext/>
        <w:keepLines/>
        <w:numPr>
          <w:ilvl w:val="0"/>
          <w:numId w:val="6"/>
        </w:numPr>
        <w:ind w:left="540"/>
      </w:pPr>
      <w:r w:rsidRPr="00BF5438">
        <w:rPr>
          <w:b/>
          <w:bCs/>
        </w:rPr>
        <w:t>Periodontal Case Type</w:t>
      </w:r>
      <w:r w:rsidR="00BF5438">
        <w:t xml:space="preserve"> </w:t>
      </w:r>
      <w:r w:rsidR="00475EC8">
        <w:t xml:space="preserve">– </w:t>
      </w:r>
      <w:r>
        <w:t>Types 1</w:t>
      </w:r>
      <w:r w:rsidR="00475EC8">
        <w:t>–</w:t>
      </w:r>
      <w:r>
        <w:t>5 are available to identify a patient’s periodontal case type.</w:t>
      </w:r>
    </w:p>
    <w:p w14:paraId="68615356" w14:textId="37A39AC5" w:rsidR="005F79F5" w:rsidRPr="00573CA6" w:rsidRDefault="00EE070E" w:rsidP="00573CA6">
      <w:pPr>
        <w:pStyle w:val="BodyText"/>
        <w:ind w:left="540"/>
        <w:rPr>
          <w:i/>
          <w:iCs/>
        </w:rPr>
      </w:pPr>
      <w:r>
        <w:rPr>
          <w:noProof/>
        </w:rPr>
        <w:drawing>
          <wp:anchor distT="0" distB="0" distL="0" distR="91440" simplePos="0" relativeHeight="251756548" behindDoc="0" locked="0" layoutInCell="1" allowOverlap="1" wp14:anchorId="1A7541E6" wp14:editId="563F1F69">
            <wp:simplePos x="0" y="0"/>
            <wp:positionH relativeFrom="column">
              <wp:posOffset>-457200</wp:posOffset>
            </wp:positionH>
            <wp:positionV relativeFrom="paragraph">
              <wp:posOffset>0</wp:posOffset>
            </wp:positionV>
            <wp:extent cx="365981" cy="420624"/>
            <wp:effectExtent l="0" t="0" r="0" b="0"/>
            <wp:wrapTight wrapText="right">
              <wp:wrapPolygon edited="0">
                <wp:start x="0" y="0"/>
                <wp:lineTo x="0" y="20556"/>
                <wp:lineTo x="20250" y="20556"/>
                <wp:lineTo x="20250" y="0"/>
                <wp:lineTo x="0" y="0"/>
              </wp:wrapPolygon>
            </wp:wrapTight>
            <wp:docPr id="1766973679"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573CA6" w:rsidRPr="00573CA6">
        <w:rPr>
          <w:b/>
          <w:bCs/>
          <w:i/>
          <w:iCs/>
        </w:rPr>
        <w:t>Note</w:t>
      </w:r>
      <w:r w:rsidR="00573CA6" w:rsidRPr="00573CA6">
        <w:rPr>
          <w:i/>
          <w:iCs/>
        </w:rPr>
        <w:t xml:space="preserve">: </w:t>
      </w:r>
      <w:r w:rsidR="005F79F5" w:rsidRPr="00573CA6">
        <w:rPr>
          <w:i/>
          <w:iCs/>
        </w:rPr>
        <w:t>A new set of guidelines were released in 2017. These guidelines still reflect the previous classifications published in 1999.</w:t>
      </w:r>
    </w:p>
    <w:p w14:paraId="2600D3BD" w14:textId="77777777" w:rsidR="00BF5438" w:rsidRDefault="005F79F5" w:rsidP="00E92EA5">
      <w:pPr>
        <w:pStyle w:val="Heading4"/>
      </w:pPr>
      <w:r>
        <w:t>Access / Review</w:t>
      </w:r>
    </w:p>
    <w:p w14:paraId="78C6EFB1" w14:textId="2935E11A" w:rsidR="005F79F5" w:rsidRDefault="00184B0C" w:rsidP="005F79F5">
      <w:pPr>
        <w:pStyle w:val="BodyText"/>
      </w:pPr>
      <w:r>
        <w:t>Perio Chart</w:t>
      </w:r>
      <w:r w:rsidR="005F79F5">
        <w:t xml:space="preserve"> stores all </w:t>
      </w:r>
      <w:r>
        <w:t xml:space="preserve">periodontal </w:t>
      </w:r>
      <w:r w:rsidR="005F79F5">
        <w:t>charting for historic review.</w:t>
      </w:r>
    </w:p>
    <w:p w14:paraId="02E65742" w14:textId="36DE3F7C" w:rsidR="005F79F5" w:rsidRPr="001B3803" w:rsidRDefault="005F79F5" w:rsidP="004F45B6">
      <w:pPr>
        <w:pStyle w:val="BodyText"/>
        <w:numPr>
          <w:ilvl w:val="0"/>
          <w:numId w:val="47"/>
        </w:numPr>
        <w:ind w:left="540"/>
      </w:pPr>
      <w:r w:rsidRPr="001B3803">
        <w:rPr>
          <w:b/>
          <w:bCs/>
        </w:rPr>
        <w:t>Internal</w:t>
      </w:r>
      <w:r w:rsidR="001B3803">
        <w:t xml:space="preserve"> – A completed</w:t>
      </w:r>
      <w:r w:rsidRPr="001B3803">
        <w:t xml:space="preserve"> perio exam is stored </w:t>
      </w:r>
      <w:r w:rsidR="001B3803">
        <w:t>in your d</w:t>
      </w:r>
      <w:r w:rsidRPr="001B3803">
        <w:t xml:space="preserve">atabase </w:t>
      </w:r>
      <w:r w:rsidR="001B3803">
        <w:t xml:space="preserve">and is available </w:t>
      </w:r>
      <w:r w:rsidRPr="001B3803">
        <w:t xml:space="preserve">for further review, patient education, and/or attaching to an insurance claim. </w:t>
      </w:r>
    </w:p>
    <w:p w14:paraId="59AE3F7D" w14:textId="576FB0E5" w:rsidR="005F79F5" w:rsidRPr="001B3803" w:rsidRDefault="005F79F5" w:rsidP="004F45B6">
      <w:pPr>
        <w:pStyle w:val="BodyText"/>
        <w:numPr>
          <w:ilvl w:val="0"/>
          <w:numId w:val="47"/>
        </w:numPr>
        <w:ind w:left="1080"/>
      </w:pPr>
      <w:r w:rsidRPr="00425AEA">
        <w:rPr>
          <w:b/>
          <w:bCs/>
        </w:rPr>
        <w:t xml:space="preserve">Graphic </w:t>
      </w:r>
      <w:r w:rsidR="00425AEA">
        <w:rPr>
          <w:b/>
          <w:bCs/>
        </w:rPr>
        <w:t>c</w:t>
      </w:r>
      <w:r w:rsidRPr="00425AEA">
        <w:rPr>
          <w:b/>
          <w:bCs/>
        </w:rPr>
        <w:t>hart</w:t>
      </w:r>
      <w:r w:rsidR="001B3803">
        <w:t xml:space="preserve"> – </w:t>
      </w:r>
      <w:r w:rsidRPr="001B3803">
        <w:t xml:space="preserve">The graphic chart view displays the numeric perio data </w:t>
      </w:r>
      <w:r w:rsidR="00425AEA">
        <w:t>in</w:t>
      </w:r>
      <w:r w:rsidRPr="001B3803">
        <w:t xml:space="preserve"> a graphical representation. A legend appears at the bottom of the chart to explain the chart symbols. </w:t>
      </w:r>
      <w:r w:rsidR="00425AEA">
        <w:t>You cannot add or change d</w:t>
      </w:r>
      <w:r w:rsidRPr="001B3803">
        <w:t>ata in the graphic chart view.</w:t>
      </w:r>
    </w:p>
    <w:p w14:paraId="0CC68751" w14:textId="66EED6AE" w:rsidR="005F79F5" w:rsidRDefault="005F79F5" w:rsidP="004F45B6">
      <w:pPr>
        <w:pStyle w:val="BodyText"/>
        <w:numPr>
          <w:ilvl w:val="0"/>
          <w:numId w:val="47"/>
        </w:numPr>
        <w:ind w:left="1080"/>
      </w:pPr>
      <w:r w:rsidRPr="00425AEA">
        <w:rPr>
          <w:b/>
          <w:bCs/>
        </w:rPr>
        <w:t xml:space="preserve">Exam </w:t>
      </w:r>
      <w:r w:rsidR="00425AEA" w:rsidRPr="00425AEA">
        <w:rPr>
          <w:b/>
          <w:bCs/>
        </w:rPr>
        <w:t>c</w:t>
      </w:r>
      <w:r w:rsidRPr="00425AEA">
        <w:rPr>
          <w:b/>
          <w:bCs/>
        </w:rPr>
        <w:t>omparison</w:t>
      </w:r>
      <w:r w:rsidR="001B3803">
        <w:t xml:space="preserve"> – </w:t>
      </w:r>
      <w:r w:rsidRPr="001B3803">
        <w:t>To help you educate your patients regarding periodontal disease progression, you can compar</w:t>
      </w:r>
      <w:r>
        <w:t>e up to four saved perio exams with the current exam.</w:t>
      </w:r>
    </w:p>
    <w:p w14:paraId="3741DDEE" w14:textId="4FA4D3B0" w:rsidR="005F79F5" w:rsidRDefault="001B3803" w:rsidP="004F45B6">
      <w:pPr>
        <w:pStyle w:val="BodyText"/>
        <w:numPr>
          <w:ilvl w:val="0"/>
          <w:numId w:val="47"/>
        </w:numPr>
        <w:ind w:left="1080"/>
      </w:pPr>
      <w:r w:rsidRPr="00425AEA">
        <w:rPr>
          <w:b/>
          <w:bCs/>
        </w:rPr>
        <w:t>Claims</w:t>
      </w:r>
      <w:r>
        <w:t xml:space="preserve"> – </w:t>
      </w:r>
      <w:r w:rsidR="005F79F5">
        <w:t>To attach a perio chart to a claim, open the include attachments window</w:t>
      </w:r>
      <w:r w:rsidR="00425AEA">
        <w:t>,</w:t>
      </w:r>
      <w:r w:rsidR="005F79F5">
        <w:t xml:space="preserve"> and </w:t>
      </w:r>
      <w:r w:rsidR="003A71E1">
        <w:t xml:space="preserve">then </w:t>
      </w:r>
      <w:r w:rsidR="00425AEA">
        <w:t xml:space="preserve">click </w:t>
      </w:r>
      <w:r w:rsidR="00425AEA" w:rsidRPr="00425AEA">
        <w:rPr>
          <w:b/>
          <w:bCs/>
        </w:rPr>
        <w:t>Import Perio Chart</w:t>
      </w:r>
      <w:r w:rsidR="00425AEA">
        <w:t xml:space="preserve"> </w:t>
      </w:r>
      <w:r w:rsidR="005F79F5">
        <w:t xml:space="preserve">to select </w:t>
      </w:r>
      <w:r w:rsidR="00425AEA">
        <w:t xml:space="preserve">the date of </w:t>
      </w:r>
      <w:r w:rsidR="005F79F5">
        <w:t xml:space="preserve">the perio exam to attach. </w:t>
      </w:r>
    </w:p>
    <w:p w14:paraId="74EBD371" w14:textId="2ECE82B1" w:rsidR="005F79F5" w:rsidRPr="00425AEA" w:rsidRDefault="00EE070E" w:rsidP="00BF5438">
      <w:pPr>
        <w:pStyle w:val="BodyText"/>
        <w:ind w:left="1080"/>
        <w:rPr>
          <w:i/>
          <w:iCs/>
        </w:rPr>
      </w:pPr>
      <w:r>
        <w:rPr>
          <w:noProof/>
        </w:rPr>
        <w:drawing>
          <wp:anchor distT="0" distB="0" distL="0" distR="91440" simplePos="0" relativeHeight="251754500" behindDoc="1" locked="0" layoutInCell="1" allowOverlap="1" wp14:anchorId="43788828" wp14:editId="4EA4D696">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01648418"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5F79F5" w:rsidRPr="00425AEA">
        <w:rPr>
          <w:b/>
          <w:bCs/>
          <w:i/>
          <w:iCs/>
        </w:rPr>
        <w:t xml:space="preserve">Operations </w:t>
      </w:r>
      <w:r w:rsidR="001B3803" w:rsidRPr="00425AEA">
        <w:rPr>
          <w:b/>
          <w:bCs/>
          <w:i/>
          <w:iCs/>
        </w:rPr>
        <w:t>I</w:t>
      </w:r>
      <w:r w:rsidR="005F79F5" w:rsidRPr="00425AEA">
        <w:rPr>
          <w:b/>
          <w:bCs/>
          <w:i/>
          <w:iCs/>
        </w:rPr>
        <w:t>nsight</w:t>
      </w:r>
      <w:r w:rsidR="001B3803" w:rsidRPr="00425AEA">
        <w:rPr>
          <w:i/>
          <w:iCs/>
        </w:rPr>
        <w:t xml:space="preserve">: </w:t>
      </w:r>
      <w:r w:rsidR="005F79F5" w:rsidRPr="00425AEA">
        <w:rPr>
          <w:i/>
          <w:iCs/>
        </w:rPr>
        <w:t xml:space="preserve">All users must be pointed to the same letter template path </w:t>
      </w:r>
      <w:r w:rsidR="00425AEA">
        <w:rPr>
          <w:i/>
          <w:iCs/>
        </w:rPr>
        <w:t xml:space="preserve">to allow </w:t>
      </w:r>
      <w:r w:rsidR="003A71E1">
        <w:rPr>
          <w:i/>
          <w:iCs/>
        </w:rPr>
        <w:t xml:space="preserve">a person to attach </w:t>
      </w:r>
      <w:r w:rsidR="00425AEA">
        <w:rPr>
          <w:i/>
          <w:iCs/>
        </w:rPr>
        <w:t>a</w:t>
      </w:r>
      <w:r w:rsidR="005F79F5" w:rsidRPr="00425AEA">
        <w:rPr>
          <w:i/>
          <w:iCs/>
        </w:rPr>
        <w:t xml:space="preserve"> perio chart to </w:t>
      </w:r>
      <w:r w:rsidR="00425AEA">
        <w:rPr>
          <w:i/>
          <w:iCs/>
        </w:rPr>
        <w:t>a</w:t>
      </w:r>
      <w:r w:rsidR="005F79F5" w:rsidRPr="00425AEA">
        <w:rPr>
          <w:i/>
          <w:iCs/>
        </w:rPr>
        <w:t xml:space="preserve"> claim and then </w:t>
      </w:r>
      <w:r w:rsidR="003A71E1">
        <w:rPr>
          <w:i/>
          <w:iCs/>
        </w:rPr>
        <w:t>another person to submit that claim</w:t>
      </w:r>
      <w:r w:rsidR="005F79F5" w:rsidRPr="00425AEA">
        <w:rPr>
          <w:i/>
          <w:iCs/>
        </w:rPr>
        <w:t>.</w:t>
      </w:r>
    </w:p>
    <w:p w14:paraId="161B8A0B" w14:textId="24CCD1FA" w:rsidR="005F79F5" w:rsidRDefault="005F79F5" w:rsidP="004F45B6">
      <w:pPr>
        <w:pStyle w:val="BodyText"/>
        <w:numPr>
          <w:ilvl w:val="0"/>
          <w:numId w:val="47"/>
        </w:numPr>
        <w:ind w:left="540"/>
      </w:pPr>
      <w:r w:rsidRPr="00BF5438">
        <w:rPr>
          <w:b/>
          <w:bCs/>
        </w:rPr>
        <w:t>Referrals</w:t>
      </w:r>
      <w:r w:rsidR="001B3803">
        <w:t xml:space="preserve"> – </w:t>
      </w:r>
      <w:r w:rsidR="00425AEA">
        <w:t>You can print c</w:t>
      </w:r>
      <w:r>
        <w:t>ustom reports, charts,</w:t>
      </w:r>
      <w:r w:rsidR="00425AEA">
        <w:t xml:space="preserve"> and</w:t>
      </w:r>
      <w:r>
        <w:t xml:space="preserve"> letters to provide </w:t>
      </w:r>
      <w:r w:rsidR="00425AEA">
        <w:t>for</w:t>
      </w:r>
      <w:r>
        <w:t xml:space="preserve"> transitioning a patient’s care to another provider.  </w:t>
      </w:r>
    </w:p>
    <w:p w14:paraId="7984606F" w14:textId="77777777" w:rsidR="00BF5438" w:rsidRDefault="005F79F5" w:rsidP="00253844">
      <w:pPr>
        <w:pStyle w:val="Heading3"/>
      </w:pPr>
      <w:bookmarkStart w:id="160" w:name="_Toc135416714"/>
      <w:bookmarkStart w:id="161" w:name="_Toc166834354"/>
      <w:r>
        <w:lastRenderedPageBreak/>
        <w:t>Supporting Documentation</w:t>
      </w:r>
      <w:bookmarkEnd w:id="160"/>
      <w:bookmarkEnd w:id="161"/>
    </w:p>
    <w:p w14:paraId="381516BB" w14:textId="6204305D" w:rsidR="005F79F5" w:rsidRDefault="005F79F5" w:rsidP="00253844">
      <w:pPr>
        <w:pStyle w:val="BodyText"/>
        <w:keepNext/>
        <w:keepLines/>
      </w:pPr>
      <w:r>
        <w:t xml:space="preserve">Maintaining </w:t>
      </w:r>
      <w:r w:rsidR="003A71E1">
        <w:t>supporting clinical</w:t>
      </w:r>
      <w:r>
        <w:t xml:space="preserve"> documentation </w:t>
      </w:r>
      <w:r w:rsidR="00E80A35">
        <w:t>is required for proper diagnosis and treatment.</w:t>
      </w:r>
      <w:r>
        <w:t xml:space="preserve"> </w:t>
      </w:r>
    </w:p>
    <w:p w14:paraId="1C15E1D2" w14:textId="2AEB35BC" w:rsidR="005F79F5" w:rsidRDefault="005F79F5" w:rsidP="00E92EA5">
      <w:pPr>
        <w:pStyle w:val="Heading4"/>
      </w:pPr>
      <w:r>
        <w:t>Radiographs</w:t>
      </w:r>
    </w:p>
    <w:p w14:paraId="0E84FF9F" w14:textId="3A35994D" w:rsidR="005F79F5" w:rsidRPr="003A71E1" w:rsidRDefault="005F79F5" w:rsidP="004F45B6">
      <w:pPr>
        <w:pStyle w:val="BodyText"/>
        <w:numPr>
          <w:ilvl w:val="0"/>
          <w:numId w:val="47"/>
        </w:numPr>
        <w:ind w:left="540"/>
      </w:pPr>
      <w:r w:rsidRPr="00E80A35">
        <w:rPr>
          <w:b/>
          <w:bCs/>
        </w:rPr>
        <w:t>D</w:t>
      </w:r>
      <w:r w:rsidR="00E80A35" w:rsidRPr="00E80A35">
        <w:rPr>
          <w:b/>
          <w:bCs/>
        </w:rPr>
        <w:t>EXIS</w:t>
      </w:r>
      <w:r w:rsidR="003A71E1">
        <w:t xml:space="preserve"> – </w:t>
      </w:r>
      <w:r w:rsidRPr="003A71E1">
        <w:t>If you purchase and install D</w:t>
      </w:r>
      <w:r w:rsidR="00E80A35">
        <w:t>EXIS</w:t>
      </w:r>
      <w:r w:rsidRPr="003A71E1">
        <w:t>, you can integrate this third-party digital imaging program with Dentrix Enterprise. With Dexis installed, you can access any images that were acquired or imported into D</w:t>
      </w:r>
      <w:r w:rsidR="00E80A35">
        <w:t>EXIS</w:t>
      </w:r>
      <w:r w:rsidRPr="003A71E1">
        <w:t xml:space="preserve"> for a patient. </w:t>
      </w:r>
      <w:r w:rsidR="00E80A35">
        <w:t>You can attach i</w:t>
      </w:r>
      <w:r w:rsidRPr="003A71E1">
        <w:t xml:space="preserve">mages in </w:t>
      </w:r>
      <w:r w:rsidR="00E80A35">
        <w:t>DEXIS</w:t>
      </w:r>
      <w:r w:rsidRPr="003A71E1">
        <w:t xml:space="preserve"> to a claim directly from</w:t>
      </w:r>
      <w:r w:rsidR="00E80A35">
        <w:t xml:space="preserve"> the</w:t>
      </w:r>
      <w:r w:rsidRPr="003A71E1">
        <w:t xml:space="preserve"> </w:t>
      </w:r>
      <w:r w:rsidR="00E80A35">
        <w:t xml:space="preserve">Dentrix </w:t>
      </w:r>
      <w:r w:rsidRPr="003A71E1">
        <w:t>Enterprise</w:t>
      </w:r>
      <w:r w:rsidR="00E80A35">
        <w:t xml:space="preserve"> Ledger</w:t>
      </w:r>
      <w:r w:rsidRPr="003A71E1">
        <w:t xml:space="preserve">.  </w:t>
      </w:r>
    </w:p>
    <w:p w14:paraId="1F4F316F" w14:textId="2DD36AF8" w:rsidR="005F79F5" w:rsidRDefault="005F79F5" w:rsidP="004F45B6">
      <w:pPr>
        <w:pStyle w:val="BodyText"/>
        <w:numPr>
          <w:ilvl w:val="0"/>
          <w:numId w:val="47"/>
        </w:numPr>
        <w:ind w:left="540"/>
      </w:pPr>
      <w:r w:rsidRPr="00E80A35">
        <w:rPr>
          <w:b/>
          <w:bCs/>
        </w:rPr>
        <w:t>DentriXLink</w:t>
      </w:r>
      <w:r w:rsidR="003A71E1">
        <w:t xml:space="preserve"> – </w:t>
      </w:r>
      <w:r w:rsidRPr="003A71E1">
        <w:t>You can li</w:t>
      </w:r>
      <w:r>
        <w:t xml:space="preserve">nk Dentrix Enterprise with a third-party digital X-ray and imaging system. Depending on your imaging software, where and how you store your </w:t>
      </w:r>
      <w:r w:rsidR="00E80A35">
        <w:t>X</w:t>
      </w:r>
      <w:r>
        <w:t xml:space="preserve">-rays or images may </w:t>
      </w:r>
      <w:r w:rsidR="00E80A35">
        <w:t>vary</w:t>
      </w:r>
      <w:r>
        <w:t xml:space="preserve">.  </w:t>
      </w:r>
    </w:p>
    <w:p w14:paraId="13F62A43" w14:textId="77777777" w:rsidR="00BF5438" w:rsidRDefault="005F79F5" w:rsidP="00E92EA5">
      <w:pPr>
        <w:pStyle w:val="Heading4"/>
      </w:pPr>
      <w:r>
        <w:t>Narrative</w:t>
      </w:r>
      <w:r w:rsidR="00BF5438">
        <w:t>s</w:t>
      </w:r>
    </w:p>
    <w:p w14:paraId="3C282B6B" w14:textId="74547402" w:rsidR="005F79F5" w:rsidRDefault="00C853DA" w:rsidP="005F79F5">
      <w:pPr>
        <w:pStyle w:val="BodyText"/>
      </w:pPr>
      <w:r>
        <w:rPr>
          <w:noProof/>
        </w:rPr>
        <w:drawing>
          <wp:anchor distT="0" distB="0" distL="0" distR="91440" simplePos="0" relativeHeight="251758596" behindDoc="1" locked="0" layoutInCell="1" allowOverlap="1" wp14:anchorId="7FCF5318" wp14:editId="511D5021">
            <wp:simplePos x="0" y="0"/>
            <wp:positionH relativeFrom="column">
              <wp:posOffset>-457200</wp:posOffset>
            </wp:positionH>
            <wp:positionV relativeFrom="paragraph">
              <wp:posOffset>564440</wp:posOffset>
            </wp:positionV>
            <wp:extent cx="365856" cy="484632"/>
            <wp:effectExtent l="0" t="0" r="0" b="0"/>
            <wp:wrapTight wrapText="right">
              <wp:wrapPolygon edited="0">
                <wp:start x="0" y="0"/>
                <wp:lineTo x="0" y="20383"/>
                <wp:lineTo x="20250" y="20383"/>
                <wp:lineTo x="20250" y="0"/>
                <wp:lineTo x="0" y="0"/>
              </wp:wrapPolygon>
            </wp:wrapTight>
            <wp:docPr id="1304419763"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5F79F5">
        <w:t xml:space="preserve">Narratives or remarks are notes that an office can write to </w:t>
      </w:r>
      <w:r w:rsidR="00E80A35">
        <w:t>an</w:t>
      </w:r>
      <w:r w:rsidR="005F79F5">
        <w:t xml:space="preserve"> insurance company if the insurance company requires any sort of narrative or </w:t>
      </w:r>
      <w:r w:rsidR="00E80A35">
        <w:t xml:space="preserve">if </w:t>
      </w:r>
      <w:r w:rsidR="005F79F5">
        <w:t xml:space="preserve">the provider wants to provide expanded information about </w:t>
      </w:r>
      <w:r w:rsidR="00E80A35">
        <w:t>a</w:t>
      </w:r>
      <w:r w:rsidR="005F79F5">
        <w:t xml:space="preserve"> patient’s condition or treatment. </w:t>
      </w:r>
      <w:r w:rsidR="00E80A35">
        <w:t xml:space="preserve">You can add a narrative to a </w:t>
      </w:r>
      <w:r w:rsidR="005F79F5">
        <w:t>claim</w:t>
      </w:r>
      <w:r w:rsidR="00E80A35">
        <w:t xml:space="preserve"> by opening the claim from Ledger and then clicking the </w:t>
      </w:r>
      <w:r w:rsidR="00E80A35" w:rsidRPr="00E80A35">
        <w:rPr>
          <w:b/>
          <w:bCs/>
        </w:rPr>
        <w:t>Note</w:t>
      </w:r>
      <w:r w:rsidR="00E80A35">
        <w:t xml:space="preserve"> menu</w:t>
      </w:r>
      <w:r w:rsidR="005F79F5">
        <w:t xml:space="preserve">.  </w:t>
      </w:r>
    </w:p>
    <w:p w14:paraId="6C167545" w14:textId="37A5F27D" w:rsidR="005F79F5" w:rsidRDefault="005F79F5" w:rsidP="005F79F5">
      <w:pPr>
        <w:pStyle w:val="BodyText"/>
      </w:pPr>
      <w:r w:rsidRPr="00A37B2A">
        <w:rPr>
          <w:color w:val="00B050"/>
        </w:rPr>
        <w:t>&lt;&lt;Insert SOP/Guidance/Decision support on remarks/narratives&gt;&gt;</w:t>
      </w:r>
      <w:r>
        <w:t xml:space="preserve"> </w:t>
      </w:r>
    </w:p>
    <w:p w14:paraId="349DCA42" w14:textId="5CABFBE7" w:rsidR="005F79F5" w:rsidRDefault="005F79F5" w:rsidP="005F79F5">
      <w:pPr>
        <w:pStyle w:val="BodyText"/>
      </w:pPr>
      <w:r>
        <w:t>Sample guid</w:t>
      </w:r>
      <w:r w:rsidR="00E80A35">
        <w:t>elines</w:t>
      </w:r>
      <w:r>
        <w:t xml:space="preserve"> can include </w:t>
      </w:r>
      <w:r w:rsidR="00E80A35">
        <w:t xml:space="preserve">a </w:t>
      </w:r>
      <w:r>
        <w:t xml:space="preserve">clinical team entering specific notes in the procedure notes for direct access </w:t>
      </w:r>
      <w:r w:rsidR="00E80A35">
        <w:t>by</w:t>
      </w:r>
      <w:r>
        <w:t xml:space="preserve"> the revenue cycle or billing team. Alternatively, </w:t>
      </w:r>
      <w:r w:rsidR="00E80A35">
        <w:t xml:space="preserve">clinical teams can use </w:t>
      </w:r>
      <w:r>
        <w:t xml:space="preserve">clinical note templates to incorporate standard remarks or placement of the remarks within the body of the clinical notes.  </w:t>
      </w:r>
    </w:p>
    <w:p w14:paraId="350FA7D8" w14:textId="77777777" w:rsidR="00BF5438" w:rsidRDefault="005F79F5" w:rsidP="00E92EA5">
      <w:pPr>
        <w:pStyle w:val="Heading4"/>
      </w:pPr>
      <w:r>
        <w:t>Models/Digital Scans</w:t>
      </w:r>
    </w:p>
    <w:p w14:paraId="246518ED" w14:textId="7859D42B" w:rsidR="005F79F5" w:rsidRDefault="005F79F5" w:rsidP="005F79F5">
      <w:pPr>
        <w:pStyle w:val="BodyText"/>
      </w:pPr>
      <w:r>
        <w:t xml:space="preserve">If you have a DDX (Digital Dental Exchange) account, you can submit cases electronically to labs </w:t>
      </w:r>
      <w:r w:rsidR="00E80A35">
        <w:t>online</w:t>
      </w:r>
      <w:r>
        <w:t xml:space="preserve">.  Signing up for a DDX account is free. The labs to which you want to send cases must also have a DDX account. Also, when you open DDX from Dentrix Enterprise to create a lab case, DDX can pre-populate the online prescription form with basic patient information. With DDX, </w:t>
      </w:r>
      <w:r w:rsidR="00E80A35">
        <w:t>you can</w:t>
      </w:r>
      <w:r>
        <w:t xml:space="preserve"> attach a file to submit with the lab script or select the option to ship specific enclosures with the case.  </w:t>
      </w:r>
    </w:p>
    <w:p w14:paraId="3F742A95" w14:textId="77777777" w:rsidR="00BF5438" w:rsidRDefault="005F79F5" w:rsidP="00E92EA5">
      <w:pPr>
        <w:pStyle w:val="Heading4"/>
      </w:pPr>
      <w:r>
        <w:t>Scanned Documentation</w:t>
      </w:r>
    </w:p>
    <w:p w14:paraId="5579F27F" w14:textId="3A70A5C4" w:rsidR="005F79F5" w:rsidRDefault="005F79F5" w:rsidP="005F79F5">
      <w:pPr>
        <w:pStyle w:val="BodyText"/>
      </w:pPr>
      <w:r>
        <w:t xml:space="preserve">Any additional forms, documentation, or other manually obtained clinical information can be stored in </w:t>
      </w:r>
      <w:r w:rsidR="00E80A35">
        <w:t>D</w:t>
      </w:r>
      <w:r>
        <w:t xml:space="preserve">ocument </w:t>
      </w:r>
      <w:r w:rsidR="00E80A35">
        <w:t>C</w:t>
      </w:r>
      <w:r>
        <w:t>enter</w:t>
      </w:r>
      <w:r w:rsidR="00E80A35">
        <w:t>, which you can access</w:t>
      </w:r>
      <w:r>
        <w:t xml:space="preserve"> from all patient</w:t>
      </w:r>
      <w:r w:rsidR="00E80A35">
        <w:t>-</w:t>
      </w:r>
      <w:r>
        <w:t>specific modules</w:t>
      </w:r>
      <w:r w:rsidR="00E80A35">
        <w:t xml:space="preserve"> (such as</w:t>
      </w:r>
      <w:r>
        <w:t xml:space="preserve"> </w:t>
      </w:r>
      <w:r w:rsidR="00E80A35">
        <w:t>C</w:t>
      </w:r>
      <w:r>
        <w:t xml:space="preserve">hart and </w:t>
      </w:r>
      <w:r w:rsidR="00E80A35">
        <w:t>M</w:t>
      </w:r>
      <w:r>
        <w:t xml:space="preserve">ore </w:t>
      </w:r>
      <w:r w:rsidR="00E80A35">
        <w:t>Information)</w:t>
      </w:r>
      <w:r>
        <w:t xml:space="preserve">.  </w:t>
      </w:r>
    </w:p>
    <w:p w14:paraId="71E1DDF2" w14:textId="77777777" w:rsidR="00BF5438" w:rsidRDefault="005F79F5" w:rsidP="00E92EA5">
      <w:pPr>
        <w:pStyle w:val="Heading4"/>
      </w:pPr>
      <w:r>
        <w:t>Implantable Devices</w:t>
      </w:r>
    </w:p>
    <w:p w14:paraId="4258C708" w14:textId="2F4AA9F0" w:rsidR="005F79F5" w:rsidRDefault="005F79F5" w:rsidP="005F79F5">
      <w:pPr>
        <w:pStyle w:val="BodyText"/>
      </w:pPr>
      <w:r>
        <w:t>You can now add implantable devices to a patient’s medical alerts. There is a section in Medical Alerts that displays those devices. You can inactivate a device and specify a reason for doing so. If a procedure has been flagged as being for an implantable device, when you treatment plan that procedure, you can attach a device to the procedure by editing it, or you can wait to attach the device until you complete the procedure (when you post a completed procedure for an implantable device, Dentrix Enterprise automatically prompts you to attach a device).</w:t>
      </w:r>
    </w:p>
    <w:p w14:paraId="54F2D8D5" w14:textId="77777777" w:rsidR="00BF5438" w:rsidRDefault="005F79F5" w:rsidP="00E92EA5">
      <w:pPr>
        <w:pStyle w:val="Heading4"/>
      </w:pPr>
      <w:r>
        <w:t>Prescriptions</w:t>
      </w:r>
    </w:p>
    <w:p w14:paraId="62D85007" w14:textId="4D44DE3E" w:rsidR="005F79F5" w:rsidRDefault="009C6273" w:rsidP="005F79F5">
      <w:pPr>
        <w:pStyle w:val="BodyText"/>
      </w:pPr>
      <w:r>
        <w:t>You can</w:t>
      </w:r>
      <w:r w:rsidR="005F79F5">
        <w:t xml:space="preserve"> quickly create and accurately track medicines </w:t>
      </w:r>
      <w:r>
        <w:t xml:space="preserve">that are </w:t>
      </w:r>
      <w:r w:rsidR="005F79F5">
        <w:t xml:space="preserve">prescribed </w:t>
      </w:r>
      <w:r>
        <w:t>to</w:t>
      </w:r>
      <w:r w:rsidR="005F79F5">
        <w:t xml:space="preserve"> your patients.</w:t>
      </w:r>
    </w:p>
    <w:p w14:paraId="1F82F962" w14:textId="3C7716EA" w:rsidR="005F79F5" w:rsidRDefault="005F79F5" w:rsidP="004F45B6">
      <w:pPr>
        <w:pStyle w:val="BodyText"/>
        <w:numPr>
          <w:ilvl w:val="0"/>
          <w:numId w:val="48"/>
        </w:numPr>
        <w:ind w:left="540"/>
      </w:pPr>
      <w:r w:rsidRPr="00BF5438">
        <w:rPr>
          <w:b/>
          <w:bCs/>
        </w:rPr>
        <w:t>P</w:t>
      </w:r>
      <w:r w:rsidR="009C6273">
        <w:rPr>
          <w:b/>
          <w:bCs/>
        </w:rPr>
        <w:t>atient P</w:t>
      </w:r>
      <w:r w:rsidRPr="00BF5438">
        <w:rPr>
          <w:b/>
          <w:bCs/>
        </w:rPr>
        <w:t>rescription</w:t>
      </w:r>
      <w:r>
        <w:t xml:space="preserve"> </w:t>
      </w:r>
      <w:r w:rsidR="009C6273">
        <w:t>–</w:t>
      </w:r>
      <w:r w:rsidR="0065290E" w:rsidRPr="0065290E">
        <w:t xml:space="preserve"> </w:t>
      </w:r>
      <w:r w:rsidR="0065290E">
        <w:t xml:space="preserve">When you enter a new prescription for a patient in Patient Prescription, it automatically appears in the </w:t>
      </w:r>
      <w:r w:rsidR="0065290E" w:rsidRPr="009C6273">
        <w:rPr>
          <w:b/>
          <w:bCs/>
        </w:rPr>
        <w:t>Medications/Prescriptions</w:t>
      </w:r>
      <w:r w:rsidR="0065290E">
        <w:t xml:space="preserve"> list in Medical Alerts.</w:t>
      </w:r>
      <w:r w:rsidR="009C6273">
        <w:t xml:space="preserve"> </w:t>
      </w:r>
      <w:r>
        <w:t xml:space="preserve">While prescriptions that your office prescribes to </w:t>
      </w:r>
      <w:r w:rsidR="009C6273">
        <w:t>a</w:t>
      </w:r>
      <w:r>
        <w:t xml:space="preserve"> patient appear </w:t>
      </w:r>
      <w:r w:rsidR="009C6273">
        <w:t>in Medical Alerts</w:t>
      </w:r>
      <w:r>
        <w:t xml:space="preserve">, medications are drugs that have not been prescribed by your office and are therefore separate from prescriptions.  </w:t>
      </w:r>
    </w:p>
    <w:p w14:paraId="7EA5DA19" w14:textId="703E02D7" w:rsidR="005F79F5" w:rsidRDefault="005F79F5" w:rsidP="004F45B6">
      <w:pPr>
        <w:pStyle w:val="BodyText"/>
        <w:numPr>
          <w:ilvl w:val="0"/>
          <w:numId w:val="48"/>
        </w:numPr>
        <w:ind w:left="540"/>
      </w:pPr>
      <w:r w:rsidRPr="00BF5438">
        <w:rPr>
          <w:b/>
          <w:bCs/>
        </w:rPr>
        <w:lastRenderedPageBreak/>
        <w:t>ePrescribe</w:t>
      </w:r>
      <w:r>
        <w:t xml:space="preserve"> </w:t>
      </w:r>
      <w:r w:rsidR="009C6273">
        <w:t xml:space="preserve">– </w:t>
      </w:r>
      <w:r>
        <w:t xml:space="preserve">ePrescribe </w:t>
      </w:r>
      <w:r w:rsidR="009C6273">
        <w:t xml:space="preserve">allows you </w:t>
      </w:r>
      <w:r>
        <w:t xml:space="preserve">to </w:t>
      </w:r>
      <w:r w:rsidR="009C6273">
        <w:t xml:space="preserve">enter, transmit, and </w:t>
      </w:r>
      <w:r>
        <w:t>manage prescriptions online.</w:t>
      </w:r>
      <w:r w:rsidR="009C6273">
        <w:t xml:space="preserve"> </w:t>
      </w:r>
      <w:r>
        <w:t xml:space="preserve">This service requires a subscription </w:t>
      </w:r>
      <w:r w:rsidR="009C6273">
        <w:t xml:space="preserve">to be </w:t>
      </w:r>
      <w:r>
        <w:t>purchase</w:t>
      </w:r>
      <w:r w:rsidR="009C6273">
        <w:t>d</w:t>
      </w:r>
      <w:r>
        <w:t xml:space="preserve"> </w:t>
      </w:r>
      <w:r w:rsidR="009C6273">
        <w:t>that includes</w:t>
      </w:r>
      <w:r>
        <w:t xml:space="preserve"> licenses for each individual provider that will be prescribing using this service.  </w:t>
      </w:r>
    </w:p>
    <w:p w14:paraId="3BACE572" w14:textId="15FFD610" w:rsidR="005F79F5" w:rsidRDefault="005F79F5" w:rsidP="004F45B6">
      <w:pPr>
        <w:pStyle w:val="BodyText"/>
        <w:numPr>
          <w:ilvl w:val="0"/>
          <w:numId w:val="48"/>
        </w:numPr>
        <w:ind w:left="1080"/>
      </w:pPr>
      <w:r w:rsidRPr="00BF5438">
        <w:rPr>
          <w:b/>
          <w:bCs/>
        </w:rPr>
        <w:t>Decision Support</w:t>
      </w:r>
      <w:r>
        <w:t xml:space="preserve"> – One of the key benefits of ePrescribe is the ability to incorporate decision support into the prescribing workflow. Using ePrescribe improves patient safety with automatic drug interaction checking, dosage checks, adverse reaction checks, and duplicate therapy checks.  </w:t>
      </w:r>
    </w:p>
    <w:p w14:paraId="72EB23B2" w14:textId="3A7138DF" w:rsidR="005F79F5" w:rsidRDefault="005F79F5" w:rsidP="004F45B6">
      <w:pPr>
        <w:pStyle w:val="BodyText"/>
        <w:numPr>
          <w:ilvl w:val="0"/>
          <w:numId w:val="48"/>
        </w:numPr>
        <w:ind w:left="1080"/>
      </w:pPr>
      <w:r w:rsidRPr="00BF5438">
        <w:rPr>
          <w:b/>
          <w:bCs/>
        </w:rPr>
        <w:t>Tracking</w:t>
      </w:r>
      <w:r w:rsidR="009C6273">
        <w:t xml:space="preserve"> – When you enter an </w:t>
      </w:r>
      <w:r>
        <w:t>electronic prescription</w:t>
      </w:r>
      <w:r w:rsidR="009C6273">
        <w:t xml:space="preserve"> in</w:t>
      </w:r>
      <w:r>
        <w:t xml:space="preserve"> ePrescribe, a CCR file is downloaded and processed for the patient. </w:t>
      </w:r>
      <w:r w:rsidR="009C6273">
        <w:t>You can the</w:t>
      </w:r>
      <w:r w:rsidR="00EC3DF9">
        <w:t>n</w:t>
      </w:r>
      <w:r w:rsidR="009C6273">
        <w:t xml:space="preserve"> r</w:t>
      </w:r>
      <w:r>
        <w:t>econcile</w:t>
      </w:r>
      <w:r w:rsidR="009C6273">
        <w:t xml:space="preserve"> the document</w:t>
      </w:r>
      <w:r>
        <w:t xml:space="preserve"> with the data already in the patient</w:t>
      </w:r>
      <w:r w:rsidR="009C6273">
        <w:t>’</w:t>
      </w:r>
      <w:r>
        <w:t xml:space="preserve">s record in Dentrix Enterprise. For each problem, medication, and allergy, select </w:t>
      </w:r>
      <w:r w:rsidRPr="009C6273">
        <w:rPr>
          <w:b/>
          <w:bCs/>
        </w:rPr>
        <w:t>Keep</w:t>
      </w:r>
      <w:r>
        <w:t xml:space="preserve">, </w:t>
      </w:r>
      <w:r w:rsidRPr="009C6273">
        <w:rPr>
          <w:b/>
          <w:bCs/>
        </w:rPr>
        <w:t>Update</w:t>
      </w:r>
      <w:r>
        <w:t xml:space="preserve">, </w:t>
      </w:r>
      <w:r w:rsidRPr="009C6273">
        <w:rPr>
          <w:b/>
          <w:bCs/>
        </w:rPr>
        <w:t>Inactivate</w:t>
      </w:r>
      <w:r>
        <w:t xml:space="preserve">, or </w:t>
      </w:r>
      <w:r w:rsidRPr="009C6273">
        <w:rPr>
          <w:b/>
          <w:bCs/>
        </w:rPr>
        <w:t>Remove</w:t>
      </w:r>
      <w:r>
        <w:t xml:space="preserve"> from the </w:t>
      </w:r>
      <w:r w:rsidRPr="009C6273">
        <w:rPr>
          <w:b/>
          <w:bCs/>
        </w:rPr>
        <w:t>Action</w:t>
      </w:r>
      <w:r>
        <w:t xml:space="preserve"> list. Data that is removed from Dentrix Enterprise will be available only in an audit trail report. </w:t>
      </w:r>
    </w:p>
    <w:p w14:paraId="0FC296DF" w14:textId="77777777" w:rsidR="00BF5438" w:rsidRDefault="005F79F5" w:rsidP="004267C0">
      <w:pPr>
        <w:pStyle w:val="Heading2"/>
      </w:pPr>
      <w:bookmarkStart w:id="162" w:name="_Toc135416715"/>
      <w:bookmarkStart w:id="163" w:name="_Toc166834355"/>
      <w:r>
        <w:t>Treatment Planning</w:t>
      </w:r>
      <w:bookmarkEnd w:id="162"/>
      <w:bookmarkEnd w:id="163"/>
    </w:p>
    <w:p w14:paraId="7F410E32" w14:textId="3AEF456E" w:rsidR="005F79F5" w:rsidRDefault="00241912" w:rsidP="005F79F5">
      <w:pPr>
        <w:pStyle w:val="BodyText"/>
      </w:pPr>
      <w:r>
        <w:rPr>
          <w:noProof/>
        </w:rPr>
        <w:drawing>
          <wp:anchor distT="0" distB="0" distL="114300" distR="114300" simplePos="0" relativeHeight="252059652" behindDoc="0" locked="0" layoutInCell="1" allowOverlap="1" wp14:anchorId="0847569F" wp14:editId="4575FDD6">
            <wp:simplePos x="0" y="0"/>
            <wp:positionH relativeFrom="column">
              <wp:posOffset>5486400</wp:posOffset>
            </wp:positionH>
            <wp:positionV relativeFrom="paragraph">
              <wp:posOffset>20527</wp:posOffset>
            </wp:positionV>
            <wp:extent cx="365760" cy="365760"/>
            <wp:effectExtent l="0" t="0" r="0" b="0"/>
            <wp:wrapTight wrapText="bothSides">
              <wp:wrapPolygon edited="0">
                <wp:start x="0" y="0"/>
                <wp:lineTo x="0" y="20250"/>
                <wp:lineTo x="20250" y="20250"/>
                <wp:lineTo x="20250" y="0"/>
                <wp:lineTo x="0" y="0"/>
              </wp:wrapPolygon>
            </wp:wrapTight>
            <wp:docPr id="90315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5081" name=""/>
                    <pic:cNvPicPr/>
                  </pic:nvPicPr>
                  <pic:blipFill>
                    <a:blip r:embed="rId59"/>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65290E">
        <w:t>In Dentrix Enterprise, you can manage</w:t>
      </w:r>
      <w:r w:rsidR="005F79F5">
        <w:t xml:space="preserve"> the progress of planned patient care</w:t>
      </w:r>
      <w:r w:rsidR="0065290E">
        <w:t xml:space="preserve">. </w:t>
      </w:r>
      <w:r w:rsidR="005F79F5">
        <w:t xml:space="preserve">To maximize the patient experience, you </w:t>
      </w:r>
      <w:r w:rsidR="0065290E">
        <w:t>should</w:t>
      </w:r>
      <w:r w:rsidR="005F79F5">
        <w:t xml:space="preserve"> make treatment planning customized and personal, but you </w:t>
      </w:r>
      <w:r w:rsidR="0065290E">
        <w:t xml:space="preserve">should </w:t>
      </w:r>
      <w:r w:rsidR="005F79F5">
        <w:t xml:space="preserve">also maintain efficiency. When you post treatment-planned procedures in Ledger or Chart, Dentrix </w:t>
      </w:r>
      <w:r w:rsidR="0065290E">
        <w:t xml:space="preserve">Enterprise </w:t>
      </w:r>
      <w:r w:rsidR="005F79F5">
        <w:t>automatically places those procedures into a default treatment plan case in Treatment Planner. However, you can create additional treatment plan cases to group and organize procedures. This allows you to</w:t>
      </w:r>
      <w:r w:rsidR="0065290E">
        <w:t>, for example,</w:t>
      </w:r>
      <w:r w:rsidR="005F79F5">
        <w:t xml:space="preserve"> track the status of or prioritize various courses of treatment, create alternative treatment options, or provide different patient payment estimates. You can create a customized patient experience all while maintaining an efficient workflow.</w:t>
      </w:r>
    </w:p>
    <w:p w14:paraId="327A6305" w14:textId="77777777" w:rsidR="00B3072B" w:rsidRDefault="005F79F5" w:rsidP="00D42C5A">
      <w:pPr>
        <w:pStyle w:val="Heading3"/>
      </w:pPr>
      <w:bookmarkStart w:id="164" w:name="_Toc166834356"/>
      <w:r>
        <w:t>Case Visit Order</w:t>
      </w:r>
      <w:bookmarkEnd w:id="164"/>
    </w:p>
    <w:p w14:paraId="7DCA7DBC" w14:textId="3CB1C889" w:rsidR="005F79F5" w:rsidRDefault="005F79F5" w:rsidP="005F79F5">
      <w:pPr>
        <w:pStyle w:val="BodyText"/>
      </w:pPr>
      <w:r>
        <w:t>When more than one visit is required to complete a treatment plan case, you can organize the procedures in that case into visits so you know which procedures will be done in each visit.</w:t>
      </w:r>
    </w:p>
    <w:p w14:paraId="5C4692F3" w14:textId="5A9DC797" w:rsidR="005F79F5" w:rsidRPr="00CD3428" w:rsidRDefault="00C853DA" w:rsidP="005F79F5">
      <w:pPr>
        <w:pStyle w:val="BodyText"/>
        <w:rPr>
          <w:i/>
          <w:iCs/>
        </w:rPr>
      </w:pPr>
      <w:r>
        <w:rPr>
          <w:noProof/>
        </w:rPr>
        <w:drawing>
          <wp:anchor distT="0" distB="0" distL="0" distR="91440" simplePos="0" relativeHeight="251760644" behindDoc="1" locked="0" layoutInCell="1" allowOverlap="1" wp14:anchorId="71FED6ED" wp14:editId="00AE04B8">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096367105"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rsidRPr="00CD3428">
        <w:rPr>
          <w:b/>
          <w:bCs/>
          <w:i/>
          <w:iCs/>
        </w:rPr>
        <w:t>Workflow Insight</w:t>
      </w:r>
      <w:r w:rsidR="0065290E" w:rsidRPr="00CD3428">
        <w:rPr>
          <w:i/>
          <w:iCs/>
        </w:rPr>
        <w:t>:</w:t>
      </w:r>
      <w:r w:rsidR="005F79F5" w:rsidRPr="00CD3428">
        <w:rPr>
          <w:i/>
          <w:iCs/>
        </w:rPr>
        <w:t xml:space="preserve"> Dentrix Enterprise bases insurance estimates for treatment cases on the assigned visits. Dentrix Enterprise assumes that the procedures in </w:t>
      </w:r>
      <w:r w:rsidR="0065290E" w:rsidRPr="00CD3428">
        <w:rPr>
          <w:i/>
          <w:iCs/>
        </w:rPr>
        <w:t>the first visit</w:t>
      </w:r>
      <w:r w:rsidR="005F79F5" w:rsidRPr="00CD3428">
        <w:rPr>
          <w:i/>
          <w:iCs/>
        </w:rPr>
        <w:t xml:space="preserve"> will be covered by insurance first, and then the procedures in </w:t>
      </w:r>
      <w:r w:rsidR="0065290E" w:rsidRPr="00CD3428">
        <w:rPr>
          <w:i/>
          <w:iCs/>
        </w:rPr>
        <w:t>the second visit</w:t>
      </w:r>
      <w:r w:rsidR="005F79F5" w:rsidRPr="00CD3428">
        <w:rPr>
          <w:i/>
          <w:iCs/>
        </w:rPr>
        <w:t xml:space="preserve">, and so forth. If patients meet their maximum in </w:t>
      </w:r>
      <w:r w:rsidR="00CD3428" w:rsidRPr="00CD3428">
        <w:rPr>
          <w:i/>
          <w:iCs/>
        </w:rPr>
        <w:t>the third visit for example</w:t>
      </w:r>
      <w:r w:rsidR="005F79F5" w:rsidRPr="00CD3428">
        <w:rPr>
          <w:i/>
          <w:iCs/>
        </w:rPr>
        <w:t xml:space="preserve">, Dentrix Enterprise assumes that the procedures in </w:t>
      </w:r>
      <w:r w:rsidR="00CD3428" w:rsidRPr="00CD3428">
        <w:rPr>
          <w:i/>
          <w:iCs/>
        </w:rPr>
        <w:t>the fourth visit</w:t>
      </w:r>
      <w:r w:rsidR="005F79F5" w:rsidRPr="00CD3428">
        <w:rPr>
          <w:i/>
          <w:iCs/>
        </w:rPr>
        <w:t xml:space="preserve"> will not be covered by insurance</w:t>
      </w:r>
      <w:r w:rsidR="00CD3428" w:rsidRPr="00CD3428">
        <w:rPr>
          <w:i/>
          <w:iCs/>
        </w:rPr>
        <w:t>. S</w:t>
      </w:r>
      <w:r w:rsidR="005F79F5" w:rsidRPr="00CD3428">
        <w:rPr>
          <w:i/>
          <w:iCs/>
        </w:rPr>
        <w:t>o</w:t>
      </w:r>
      <w:r w:rsidR="00CD3428" w:rsidRPr="00CD3428">
        <w:rPr>
          <w:i/>
          <w:iCs/>
        </w:rPr>
        <w:t>,</w:t>
      </w:r>
      <w:r w:rsidR="005F79F5" w:rsidRPr="00CD3428">
        <w:rPr>
          <w:i/>
          <w:iCs/>
        </w:rPr>
        <w:t xml:space="preserve"> insurance estimates may vary depending on how you arrange procedures </w:t>
      </w:r>
      <w:r w:rsidR="00CD3428" w:rsidRPr="00CD3428">
        <w:rPr>
          <w:i/>
          <w:iCs/>
        </w:rPr>
        <w:t>into</w:t>
      </w:r>
      <w:r w:rsidR="005F79F5" w:rsidRPr="00CD3428">
        <w:rPr>
          <w:i/>
          <w:iCs/>
        </w:rPr>
        <w:t xml:space="preserve"> visits.</w:t>
      </w:r>
    </w:p>
    <w:p w14:paraId="1C476C8C" w14:textId="77777777" w:rsidR="00B3072B" w:rsidRDefault="005F79F5" w:rsidP="00D42C5A">
      <w:pPr>
        <w:pStyle w:val="Heading3"/>
      </w:pPr>
      <w:bookmarkStart w:id="165" w:name="_Toc166834357"/>
      <w:r>
        <w:t>Alternate Treatment Options</w:t>
      </w:r>
      <w:bookmarkEnd w:id="165"/>
    </w:p>
    <w:p w14:paraId="1A8065A5" w14:textId="1885BB96" w:rsidR="005F79F5" w:rsidRDefault="005F79F5" w:rsidP="005F79F5">
      <w:pPr>
        <w:pStyle w:val="BodyText"/>
      </w:pPr>
      <w:r>
        <w:t>You can create alternate cases for a treatment-planned procedure in order to provide the patient with multiple treatment options, such as root canal therapy and a crown versus an extraction, an implant, and a crown. When you create an alternate case, it is linked to the original case as an alternative treatment option.</w:t>
      </w:r>
    </w:p>
    <w:p w14:paraId="438A6A30" w14:textId="77777777" w:rsidR="00B3072B" w:rsidRDefault="005F79F5" w:rsidP="00253844">
      <w:pPr>
        <w:pStyle w:val="Heading3"/>
      </w:pPr>
      <w:bookmarkStart w:id="166" w:name="_Toc166834358"/>
      <w:r>
        <w:lastRenderedPageBreak/>
        <w:t>Document Treatment Status</w:t>
      </w:r>
      <w:bookmarkEnd w:id="166"/>
    </w:p>
    <w:p w14:paraId="4AC83DF6" w14:textId="144AFBC5" w:rsidR="005F79F5" w:rsidRDefault="005F79F5" w:rsidP="00253844">
      <w:pPr>
        <w:pStyle w:val="BodyText"/>
        <w:keepLines/>
      </w:pPr>
      <w:r>
        <w:t>You can assign statuses to a treatment plan case during the course of treatment to help you track what has gone on with the case, such as when the case was proposed, referred, accepted, or rejected. The procedures in a rejected case don't appear in Chart, so Chart is not cluttered with irrelevant procedures</w:t>
      </w:r>
      <w:r w:rsidR="0065290E">
        <w:t>. You can also record which procedures</w:t>
      </w:r>
      <w:r>
        <w:t xml:space="preserve"> you have recommended and presented to the patient. </w:t>
      </w:r>
    </w:p>
    <w:p w14:paraId="7EFDEA18" w14:textId="563085BC" w:rsidR="005F79F5" w:rsidRDefault="005F79F5" w:rsidP="00E92EA5">
      <w:pPr>
        <w:pStyle w:val="Heading4"/>
      </w:pPr>
      <w:r w:rsidRPr="00B3072B">
        <w:t>Case Status</w:t>
      </w:r>
    </w:p>
    <w:p w14:paraId="1E875B7C" w14:textId="6697E8B0" w:rsidR="0065290E" w:rsidRPr="0065290E" w:rsidRDefault="0065290E" w:rsidP="0065290E">
      <w:pPr>
        <w:pStyle w:val="BodyText"/>
      </w:pPr>
      <w:r>
        <w:t xml:space="preserve">Because the status of a case can be searched, </w:t>
      </w:r>
      <w:r w:rsidR="00CD3428">
        <w:t>selecting</w:t>
      </w:r>
      <w:r>
        <w:t xml:space="preserve"> a status </w:t>
      </w:r>
      <w:r w:rsidR="00CD3428">
        <w:t xml:space="preserve">and adding a note regarding the status change </w:t>
      </w:r>
      <w:r>
        <w:t>can really help with team communication to get everyone on the same page.</w:t>
      </w:r>
    </w:p>
    <w:p w14:paraId="6E0A91DA" w14:textId="38EE2961" w:rsidR="005F79F5" w:rsidRDefault="005F79F5" w:rsidP="004F45B6">
      <w:pPr>
        <w:pStyle w:val="BodyText"/>
        <w:numPr>
          <w:ilvl w:val="1"/>
          <w:numId w:val="49"/>
        </w:numPr>
        <w:ind w:left="540"/>
      </w:pPr>
      <w:r w:rsidRPr="00B3072B">
        <w:rPr>
          <w:b/>
          <w:bCs/>
        </w:rPr>
        <w:t>Accepted</w:t>
      </w:r>
      <w:r w:rsidR="00CD3428" w:rsidRPr="00CD3428">
        <w:t xml:space="preserve"> – </w:t>
      </w:r>
      <w:r>
        <w:t xml:space="preserve">You can use this </w:t>
      </w:r>
      <w:r w:rsidR="00CD3428">
        <w:t xml:space="preserve">status </w:t>
      </w:r>
      <w:r>
        <w:t>to specify that the case was accepted by the patient.</w:t>
      </w:r>
    </w:p>
    <w:p w14:paraId="268A5135" w14:textId="6391D160" w:rsidR="005F79F5" w:rsidRDefault="005F79F5" w:rsidP="004F45B6">
      <w:pPr>
        <w:pStyle w:val="BodyText"/>
        <w:numPr>
          <w:ilvl w:val="1"/>
          <w:numId w:val="49"/>
        </w:numPr>
        <w:ind w:left="540"/>
      </w:pPr>
      <w:r w:rsidRPr="00B3072B">
        <w:rPr>
          <w:b/>
          <w:bCs/>
        </w:rPr>
        <w:t>Rejected</w:t>
      </w:r>
      <w:r w:rsidR="00CD3428" w:rsidRPr="00CD3428">
        <w:t xml:space="preserve"> – </w:t>
      </w:r>
      <w:r>
        <w:t xml:space="preserve">You can use this </w:t>
      </w:r>
      <w:r w:rsidR="00CD3428">
        <w:t xml:space="preserve">status </w:t>
      </w:r>
      <w:r>
        <w:t>to specify that the case was rejected by the patient.</w:t>
      </w:r>
    </w:p>
    <w:p w14:paraId="235A1F38" w14:textId="6C1A4729" w:rsidR="005F79F5" w:rsidRDefault="005F79F5" w:rsidP="004F45B6">
      <w:pPr>
        <w:pStyle w:val="BodyText"/>
        <w:numPr>
          <w:ilvl w:val="1"/>
          <w:numId w:val="49"/>
        </w:numPr>
        <w:ind w:left="540"/>
      </w:pPr>
      <w:r w:rsidRPr="00B3072B">
        <w:rPr>
          <w:b/>
          <w:bCs/>
        </w:rPr>
        <w:t>Completed</w:t>
      </w:r>
      <w:r w:rsidR="00CD3428" w:rsidRPr="00CD3428">
        <w:t xml:space="preserve"> – </w:t>
      </w:r>
      <w:r>
        <w:t xml:space="preserve">You can use this </w:t>
      </w:r>
      <w:r w:rsidR="00CD3428">
        <w:t xml:space="preserve">status </w:t>
      </w:r>
      <w:r>
        <w:t>to specify that the case was completed.</w:t>
      </w:r>
    </w:p>
    <w:p w14:paraId="536C6D53" w14:textId="4728D054" w:rsidR="005F79F5" w:rsidRDefault="005F79F5" w:rsidP="004F45B6">
      <w:pPr>
        <w:pStyle w:val="BodyText"/>
        <w:numPr>
          <w:ilvl w:val="1"/>
          <w:numId w:val="49"/>
        </w:numPr>
        <w:ind w:left="540"/>
      </w:pPr>
      <w:r w:rsidRPr="00B3072B">
        <w:rPr>
          <w:b/>
          <w:bCs/>
        </w:rPr>
        <w:t>Referred</w:t>
      </w:r>
      <w:r w:rsidR="00CD3428" w:rsidRPr="00CD3428">
        <w:t xml:space="preserve"> – </w:t>
      </w:r>
      <w:r>
        <w:t xml:space="preserve">You can use this </w:t>
      </w:r>
      <w:r w:rsidR="00CD3428">
        <w:t xml:space="preserve">status </w:t>
      </w:r>
      <w:r>
        <w:t>to specify that the case was referred out to a doctor or specialist.</w:t>
      </w:r>
    </w:p>
    <w:p w14:paraId="01AAFC06" w14:textId="2EF7BC92" w:rsidR="005F79F5" w:rsidRPr="00CD3428" w:rsidRDefault="00C853DA" w:rsidP="0065290E">
      <w:pPr>
        <w:pStyle w:val="BodyText"/>
        <w:ind w:left="180"/>
        <w:rPr>
          <w:i/>
          <w:iCs/>
        </w:rPr>
      </w:pPr>
      <w:r>
        <w:rPr>
          <w:noProof/>
        </w:rPr>
        <w:drawing>
          <wp:anchor distT="0" distB="0" distL="0" distR="91440" simplePos="0" relativeHeight="251762692" behindDoc="1" locked="0" layoutInCell="1" allowOverlap="1" wp14:anchorId="7109E994" wp14:editId="6217AAED">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6438152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F79F5" w:rsidRPr="00CD3428">
        <w:rPr>
          <w:b/>
          <w:bCs/>
          <w:i/>
          <w:iCs/>
        </w:rPr>
        <w:t>Workflow Insight</w:t>
      </w:r>
      <w:r w:rsidR="0065290E" w:rsidRPr="00CD3428">
        <w:rPr>
          <w:i/>
          <w:iCs/>
        </w:rPr>
        <w:t>:</w:t>
      </w:r>
      <w:r w:rsidR="005F79F5" w:rsidRPr="00CD3428">
        <w:rPr>
          <w:i/>
          <w:iCs/>
        </w:rPr>
        <w:t xml:space="preserve"> Selecting </w:t>
      </w:r>
      <w:r w:rsidR="005F79F5" w:rsidRPr="00CD3428">
        <w:rPr>
          <w:b/>
          <w:bCs/>
          <w:i/>
          <w:iCs/>
        </w:rPr>
        <w:t>Accepted</w:t>
      </w:r>
      <w:r w:rsidR="005F79F5" w:rsidRPr="00CD3428">
        <w:rPr>
          <w:i/>
          <w:iCs/>
        </w:rPr>
        <w:t xml:space="preserve">, </w:t>
      </w:r>
      <w:r w:rsidR="005F79F5" w:rsidRPr="00CD3428">
        <w:rPr>
          <w:b/>
          <w:bCs/>
          <w:i/>
          <w:iCs/>
        </w:rPr>
        <w:t>Rejected</w:t>
      </w:r>
      <w:r w:rsidR="005F79F5" w:rsidRPr="00CD3428">
        <w:rPr>
          <w:i/>
          <w:iCs/>
        </w:rPr>
        <w:t xml:space="preserve">, and </w:t>
      </w:r>
      <w:r w:rsidR="005F79F5" w:rsidRPr="00CD3428">
        <w:rPr>
          <w:b/>
          <w:bCs/>
          <w:i/>
          <w:iCs/>
        </w:rPr>
        <w:t>Completed</w:t>
      </w:r>
      <w:r w:rsidR="005F79F5" w:rsidRPr="00CD3428">
        <w:rPr>
          <w:i/>
          <w:iCs/>
        </w:rPr>
        <w:t xml:space="preserve"> not only update</w:t>
      </w:r>
      <w:r w:rsidR="00CD3428" w:rsidRPr="00CD3428">
        <w:rPr>
          <w:i/>
          <w:iCs/>
        </w:rPr>
        <w:t>s</w:t>
      </w:r>
      <w:r w:rsidR="005F79F5" w:rsidRPr="00CD3428">
        <w:rPr>
          <w:i/>
          <w:iCs/>
        </w:rPr>
        <w:t xml:space="preserve"> the case's status but cause</w:t>
      </w:r>
      <w:r w:rsidR="00CD3428" w:rsidRPr="00CD3428">
        <w:rPr>
          <w:i/>
          <w:iCs/>
        </w:rPr>
        <w:t>s</w:t>
      </w:r>
      <w:r w:rsidR="005F79F5" w:rsidRPr="00CD3428">
        <w:rPr>
          <w:i/>
          <w:iCs/>
        </w:rPr>
        <w:t xml:space="preserve"> a new default treatment plan case to be created. </w:t>
      </w:r>
      <w:r w:rsidR="00CD3428" w:rsidRPr="00CD3428">
        <w:rPr>
          <w:i/>
          <w:iCs/>
        </w:rPr>
        <w:t>Additionally, s</w:t>
      </w:r>
      <w:r w:rsidR="005F79F5" w:rsidRPr="00CD3428">
        <w:rPr>
          <w:i/>
          <w:iCs/>
        </w:rPr>
        <w:t xml:space="preserve">electing </w:t>
      </w:r>
      <w:r w:rsidR="005F79F5" w:rsidRPr="00CD3428">
        <w:rPr>
          <w:b/>
          <w:bCs/>
          <w:i/>
          <w:iCs/>
        </w:rPr>
        <w:t>Completed</w:t>
      </w:r>
      <w:r w:rsidR="005F79F5" w:rsidRPr="00CD3428">
        <w:rPr>
          <w:i/>
          <w:iCs/>
        </w:rPr>
        <w:t xml:space="preserve"> set</w:t>
      </w:r>
      <w:r w:rsidR="00CD3428" w:rsidRPr="00CD3428">
        <w:rPr>
          <w:i/>
          <w:iCs/>
        </w:rPr>
        <w:t>s</w:t>
      </w:r>
      <w:r w:rsidR="005F79F5" w:rsidRPr="00CD3428">
        <w:rPr>
          <w:i/>
          <w:iCs/>
        </w:rPr>
        <w:t xml:space="preserve"> all the procedures in the case </w:t>
      </w:r>
      <w:r w:rsidR="00CD3428" w:rsidRPr="00CD3428">
        <w:rPr>
          <w:i/>
          <w:iCs/>
        </w:rPr>
        <w:t>“C</w:t>
      </w:r>
      <w:r w:rsidR="005F79F5" w:rsidRPr="00CD3428">
        <w:rPr>
          <w:i/>
          <w:iCs/>
        </w:rPr>
        <w:t>omplete,</w:t>
      </w:r>
      <w:r w:rsidR="00CD3428" w:rsidRPr="00CD3428">
        <w:rPr>
          <w:i/>
          <w:iCs/>
        </w:rPr>
        <w:t>”</w:t>
      </w:r>
      <w:r w:rsidR="005F79F5" w:rsidRPr="00CD3428">
        <w:rPr>
          <w:i/>
          <w:iCs/>
        </w:rPr>
        <w:t xml:space="preserve"> and the case </w:t>
      </w:r>
      <w:r w:rsidR="00CD3428" w:rsidRPr="00CD3428">
        <w:rPr>
          <w:i/>
          <w:iCs/>
        </w:rPr>
        <w:t>can</w:t>
      </w:r>
      <w:r w:rsidR="005F79F5" w:rsidRPr="00CD3428">
        <w:rPr>
          <w:i/>
          <w:iCs/>
        </w:rPr>
        <w:t xml:space="preserve"> no longer </w:t>
      </w:r>
      <w:r w:rsidR="00CD3428" w:rsidRPr="00CD3428">
        <w:rPr>
          <w:i/>
          <w:iCs/>
        </w:rPr>
        <w:t>be edited</w:t>
      </w:r>
      <w:r w:rsidR="005F79F5" w:rsidRPr="00CD3428">
        <w:rPr>
          <w:i/>
          <w:iCs/>
        </w:rPr>
        <w:t>.</w:t>
      </w:r>
    </w:p>
    <w:p w14:paraId="0C7D6BD8" w14:textId="37CB7FEB" w:rsidR="0065290E" w:rsidRPr="0065290E" w:rsidRDefault="005F79F5" w:rsidP="00E92EA5">
      <w:pPr>
        <w:pStyle w:val="Heading4"/>
      </w:pPr>
      <w:r w:rsidRPr="00B3072B">
        <w:t>Case Severity</w:t>
      </w:r>
    </w:p>
    <w:p w14:paraId="179310C1" w14:textId="0DE56671" w:rsidR="005F79F5" w:rsidRDefault="005F79F5" w:rsidP="0065290E">
      <w:pPr>
        <w:pStyle w:val="BodyText"/>
      </w:pPr>
      <w:r>
        <w:t xml:space="preserve">You can </w:t>
      </w:r>
      <w:r w:rsidR="00CD3428">
        <w:t xml:space="preserve">assign severities to a </w:t>
      </w:r>
      <w:r>
        <w:t xml:space="preserve">patient's treatment plan cases to help you </w:t>
      </w:r>
      <w:r w:rsidR="00CD3428">
        <w:t>prioritize which</w:t>
      </w:r>
      <w:r>
        <w:t xml:space="preserve"> treatment to perform next and which procedures are considered optional.</w:t>
      </w:r>
    </w:p>
    <w:p w14:paraId="7FF673C9" w14:textId="36C05112" w:rsidR="005F79F5" w:rsidRDefault="005F79F5" w:rsidP="004F45B6">
      <w:pPr>
        <w:pStyle w:val="BodyText"/>
        <w:numPr>
          <w:ilvl w:val="0"/>
          <w:numId w:val="50"/>
        </w:numPr>
        <w:ind w:left="540"/>
      </w:pPr>
      <w:r w:rsidRPr="00B3072B">
        <w:rPr>
          <w:b/>
          <w:bCs/>
        </w:rPr>
        <w:t>Immediate</w:t>
      </w:r>
      <w:r w:rsidR="00CD3428" w:rsidRPr="00CD3428">
        <w:t xml:space="preserve"> – </w:t>
      </w:r>
      <w:r>
        <w:t xml:space="preserve">This case should be done immediately. </w:t>
      </w:r>
    </w:p>
    <w:p w14:paraId="2CC4D54A" w14:textId="0384EF0A" w:rsidR="005F79F5" w:rsidRDefault="005F79F5" w:rsidP="004F45B6">
      <w:pPr>
        <w:pStyle w:val="BodyText"/>
        <w:numPr>
          <w:ilvl w:val="0"/>
          <w:numId w:val="50"/>
        </w:numPr>
        <w:ind w:left="540"/>
      </w:pPr>
      <w:r w:rsidRPr="00B3072B">
        <w:rPr>
          <w:b/>
          <w:bCs/>
        </w:rPr>
        <w:t>Eventual</w:t>
      </w:r>
      <w:r w:rsidR="00CD3428" w:rsidRPr="00CD3428">
        <w:t xml:space="preserve"> – </w:t>
      </w:r>
      <w:r>
        <w:t>This case should be done eventually (</w:t>
      </w:r>
      <w:r w:rsidR="00CD3428">
        <w:t>in the f</w:t>
      </w:r>
      <w:r>
        <w:t xml:space="preserve">uture). </w:t>
      </w:r>
    </w:p>
    <w:p w14:paraId="163747AF" w14:textId="439B51F9" w:rsidR="005F79F5" w:rsidRDefault="005F79F5" w:rsidP="004F45B6">
      <w:pPr>
        <w:pStyle w:val="BodyText"/>
        <w:numPr>
          <w:ilvl w:val="0"/>
          <w:numId w:val="50"/>
        </w:numPr>
        <w:ind w:left="540"/>
      </w:pPr>
      <w:r w:rsidRPr="00B3072B">
        <w:rPr>
          <w:b/>
          <w:bCs/>
        </w:rPr>
        <w:t>Optional</w:t>
      </w:r>
      <w:r w:rsidR="00CD3428" w:rsidRPr="00CD3428">
        <w:t xml:space="preserve"> – </w:t>
      </w:r>
      <w:r>
        <w:t xml:space="preserve">This case is optional. </w:t>
      </w:r>
    </w:p>
    <w:p w14:paraId="61C5C935" w14:textId="1DD9E9F2" w:rsidR="005F79F5" w:rsidRDefault="005F79F5" w:rsidP="004F45B6">
      <w:pPr>
        <w:pStyle w:val="BodyText"/>
        <w:numPr>
          <w:ilvl w:val="0"/>
          <w:numId w:val="50"/>
        </w:numPr>
        <w:ind w:left="540"/>
      </w:pPr>
      <w:r w:rsidRPr="00B3072B">
        <w:rPr>
          <w:b/>
          <w:bCs/>
        </w:rPr>
        <w:t>None</w:t>
      </w:r>
      <w:r w:rsidR="00CD3428" w:rsidRPr="00CD3428">
        <w:t xml:space="preserve"> – </w:t>
      </w:r>
      <w:r>
        <w:t>No severity.</w:t>
      </w:r>
    </w:p>
    <w:p w14:paraId="669802FC" w14:textId="77777777" w:rsidR="00B3072B" w:rsidRDefault="005F79F5" w:rsidP="00D42C5A">
      <w:pPr>
        <w:pStyle w:val="Heading3"/>
      </w:pPr>
      <w:bookmarkStart w:id="167" w:name="_Toc166834359"/>
      <w:r>
        <w:t>Consent Forms</w:t>
      </w:r>
      <w:bookmarkEnd w:id="167"/>
    </w:p>
    <w:p w14:paraId="0204C5CE" w14:textId="77777777" w:rsidR="00CD3428" w:rsidRDefault="005F79F5" w:rsidP="005F79F5">
      <w:pPr>
        <w:pStyle w:val="BodyText"/>
      </w:pPr>
      <w:r>
        <w:t xml:space="preserve">The patient and provider can electronically sign consent forms </w:t>
      </w:r>
      <w:r w:rsidR="00CD3428">
        <w:t xml:space="preserve">that are </w:t>
      </w:r>
      <w:r>
        <w:t>attached to a treatment plan case. Once a signature is added to a consent form and the form is saved, the signature cannot be removed. The consent form is considered locked once both parties have signed it.</w:t>
      </w:r>
    </w:p>
    <w:p w14:paraId="7BC4DEC7" w14:textId="410529FA" w:rsidR="005F79F5" w:rsidRPr="00CD3428" w:rsidRDefault="00C853DA" w:rsidP="005F79F5">
      <w:pPr>
        <w:pStyle w:val="BodyText"/>
        <w:rPr>
          <w:i/>
          <w:iCs/>
        </w:rPr>
      </w:pPr>
      <w:r>
        <w:rPr>
          <w:noProof/>
        </w:rPr>
        <w:drawing>
          <wp:anchor distT="0" distB="0" distL="0" distR="91440" simplePos="0" relativeHeight="251764740" behindDoc="1" locked="0" layoutInCell="1" allowOverlap="1" wp14:anchorId="7E283A87" wp14:editId="38CC6BB7">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75493855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73CA6">
        <w:rPr>
          <w:b/>
          <w:bCs/>
          <w:i/>
          <w:iCs/>
        </w:rPr>
        <w:t>Workflow Insight</w:t>
      </w:r>
      <w:r w:rsidR="00CD3428" w:rsidRPr="00CD3428">
        <w:rPr>
          <w:i/>
          <w:iCs/>
        </w:rPr>
        <w:t xml:space="preserve">: </w:t>
      </w:r>
      <w:r w:rsidR="005F79F5" w:rsidRPr="00CD3428">
        <w:rPr>
          <w:i/>
          <w:iCs/>
        </w:rPr>
        <w:t>Depending upon certain global settings, a consent form can also be locked during the month end process, when saved with or without any signatures, or after a specified length of time.</w:t>
      </w:r>
    </w:p>
    <w:p w14:paraId="0306B8AC" w14:textId="77777777" w:rsidR="00B3072B" w:rsidRDefault="005F79F5" w:rsidP="004267C0">
      <w:pPr>
        <w:pStyle w:val="Heading2"/>
      </w:pPr>
      <w:bookmarkStart w:id="168" w:name="_Toc135416717"/>
      <w:bookmarkStart w:id="169" w:name="_Toc166834360"/>
      <w:r>
        <w:t>Clinical Setup Integrity</w:t>
      </w:r>
      <w:bookmarkEnd w:id="168"/>
      <w:bookmarkEnd w:id="169"/>
    </w:p>
    <w:p w14:paraId="78CEBA6F" w14:textId="1D1ACA9F" w:rsidR="005F79F5" w:rsidRDefault="005F79F5" w:rsidP="005F79F5">
      <w:pPr>
        <w:pStyle w:val="BodyText"/>
      </w:pPr>
      <w:r>
        <w:t xml:space="preserve">Evaluate </w:t>
      </w:r>
      <w:r w:rsidR="00573CA6">
        <w:t xml:space="preserve">the </w:t>
      </w:r>
      <w:r>
        <w:t xml:space="preserve">clinical </w:t>
      </w:r>
      <w:r w:rsidR="00573CA6">
        <w:t>features</w:t>
      </w:r>
      <w:r>
        <w:t xml:space="preserve"> </w:t>
      </w:r>
      <w:r w:rsidR="00573CA6">
        <w:t>and</w:t>
      </w:r>
      <w:r>
        <w:t xml:space="preserve"> note template</w:t>
      </w:r>
      <w:r w:rsidR="00573CA6">
        <w:t>s</w:t>
      </w:r>
      <w:r>
        <w:t xml:space="preserve"> for efficiency</w:t>
      </w:r>
      <w:r w:rsidR="00573CA6">
        <w:t>.</w:t>
      </w:r>
    </w:p>
    <w:p w14:paraId="3BEE4EF3" w14:textId="4EA19525" w:rsidR="00B3072B" w:rsidRDefault="005F79F5" w:rsidP="00253844">
      <w:pPr>
        <w:pStyle w:val="Heading3"/>
      </w:pPr>
      <w:bookmarkStart w:id="170" w:name="_Toc166834361"/>
      <w:r>
        <w:lastRenderedPageBreak/>
        <w:t>Maintain</w:t>
      </w:r>
      <w:r w:rsidR="00573CA6">
        <w:t>ing</w:t>
      </w:r>
      <w:r>
        <w:t xml:space="preserve"> Coding Connected Features</w:t>
      </w:r>
      <w:bookmarkEnd w:id="170"/>
    </w:p>
    <w:p w14:paraId="2DD3338E" w14:textId="4EF0E9A2" w:rsidR="005F79F5" w:rsidRDefault="005F79F5" w:rsidP="00253844">
      <w:pPr>
        <w:pStyle w:val="BodyText"/>
        <w:keepNext/>
        <w:keepLines/>
      </w:pPr>
      <w:r>
        <w:t xml:space="preserve">When changes are made to the CDT code sets, Dentrix Enterprise </w:t>
      </w:r>
      <w:r w:rsidR="00573CA6">
        <w:t>S</w:t>
      </w:r>
      <w:r>
        <w:t xml:space="preserve">upport </w:t>
      </w:r>
      <w:r w:rsidR="00573CA6">
        <w:t xml:space="preserve">technicians </w:t>
      </w:r>
      <w:r>
        <w:t>can run the CDT Update utility to populate coding changes in your system. When this utility is run, there are additional places that these codes may be used</w:t>
      </w:r>
      <w:r w:rsidR="00573CA6">
        <w:t>, which</w:t>
      </w:r>
      <w:r>
        <w:t xml:space="preserve"> </w:t>
      </w:r>
      <w:r w:rsidR="00573CA6">
        <w:t>you must</w:t>
      </w:r>
      <w:r>
        <w:t xml:space="preserve"> </w:t>
      </w:r>
      <w:r w:rsidR="00573CA6">
        <w:t>review and update manually:</w:t>
      </w:r>
      <w:r>
        <w:t xml:space="preserve">  </w:t>
      </w:r>
    </w:p>
    <w:p w14:paraId="1A6D928C" w14:textId="5E302FB7" w:rsidR="005F79F5" w:rsidRDefault="005F79F5" w:rsidP="004F45B6">
      <w:pPr>
        <w:pStyle w:val="BodyText"/>
        <w:numPr>
          <w:ilvl w:val="0"/>
          <w:numId w:val="51"/>
        </w:numPr>
        <w:ind w:left="540"/>
      </w:pPr>
      <w:r w:rsidRPr="00B3072B">
        <w:rPr>
          <w:b/>
          <w:bCs/>
        </w:rPr>
        <w:t xml:space="preserve">Appointment </w:t>
      </w:r>
      <w:r w:rsidR="00AC2F2A">
        <w:rPr>
          <w:b/>
          <w:bCs/>
        </w:rPr>
        <w:t>r</w:t>
      </w:r>
      <w:r w:rsidRPr="00B3072B">
        <w:rPr>
          <w:b/>
          <w:bCs/>
        </w:rPr>
        <w:t>easons</w:t>
      </w:r>
      <w:r>
        <w:t xml:space="preserve"> </w:t>
      </w:r>
      <w:r w:rsidR="00573CA6">
        <w:t>–</w:t>
      </w:r>
      <w:r>
        <w:t xml:space="preserve"> </w:t>
      </w:r>
      <w:r w:rsidR="00573CA6">
        <w:t>You can set up a</w:t>
      </w:r>
      <w:r>
        <w:t xml:space="preserve">ppointment reasons </w:t>
      </w:r>
      <w:r w:rsidR="00573CA6">
        <w:t>in Practice D</w:t>
      </w:r>
      <w:r>
        <w:t xml:space="preserve">efinitions. If CDT code changes include any codes in </w:t>
      </w:r>
      <w:r w:rsidR="00573CA6">
        <w:t xml:space="preserve">the </w:t>
      </w:r>
      <w:r w:rsidR="00AC2F2A">
        <w:t>A</w:t>
      </w:r>
      <w:r>
        <w:t xml:space="preserve">ppointment </w:t>
      </w:r>
      <w:r w:rsidR="00AC2F2A">
        <w:t>R</w:t>
      </w:r>
      <w:r>
        <w:t>eason</w:t>
      </w:r>
      <w:r w:rsidR="00AC2F2A">
        <w:t>s</w:t>
      </w:r>
      <w:r w:rsidR="00573CA6">
        <w:t xml:space="preserve"> definition</w:t>
      </w:r>
      <w:r>
        <w:t xml:space="preserve">s, </w:t>
      </w:r>
      <w:r w:rsidR="00573CA6">
        <w:t>you must remove or replace them</w:t>
      </w:r>
      <w:r>
        <w:t xml:space="preserve"> to avoid using the outdated codes for future appointments. </w:t>
      </w:r>
    </w:p>
    <w:p w14:paraId="789BD508" w14:textId="4DB4321E" w:rsidR="005F79F5" w:rsidRDefault="005F79F5" w:rsidP="004F45B6">
      <w:pPr>
        <w:pStyle w:val="BodyText"/>
        <w:numPr>
          <w:ilvl w:val="0"/>
          <w:numId w:val="51"/>
        </w:numPr>
        <w:ind w:left="540"/>
      </w:pPr>
      <w:r w:rsidRPr="00B3072B">
        <w:rPr>
          <w:b/>
          <w:bCs/>
        </w:rPr>
        <w:t xml:space="preserve">Coverage </w:t>
      </w:r>
      <w:r w:rsidR="00AC2F2A">
        <w:rPr>
          <w:b/>
          <w:bCs/>
        </w:rPr>
        <w:t>t</w:t>
      </w:r>
      <w:r w:rsidRPr="00B3072B">
        <w:rPr>
          <w:b/>
          <w:bCs/>
        </w:rPr>
        <w:t>ables</w:t>
      </w:r>
      <w:r>
        <w:t xml:space="preserve"> </w:t>
      </w:r>
      <w:r w:rsidR="00573CA6">
        <w:t>–</w:t>
      </w:r>
      <w:r>
        <w:t xml:space="preserve"> Default coverage tables </w:t>
      </w:r>
      <w:r w:rsidR="00AC2F2A">
        <w:t xml:space="preserve">do not get </w:t>
      </w:r>
      <w:r>
        <w:t>updated with the latest codes. Manual</w:t>
      </w:r>
      <w:r w:rsidR="00AC2F2A">
        <w:t>ly editing a</w:t>
      </w:r>
      <w:r>
        <w:t xml:space="preserve"> coverage table will ensure that the code changes are incorporated into insurance estimates </w:t>
      </w:r>
      <w:r w:rsidR="00AC2F2A">
        <w:t>that Dentrix Enterprise calculates</w:t>
      </w:r>
      <w:r>
        <w:t xml:space="preserve">. </w:t>
      </w:r>
    </w:p>
    <w:p w14:paraId="0D487B63" w14:textId="578E5A15" w:rsidR="005F79F5" w:rsidRDefault="005F79F5" w:rsidP="004F45B6">
      <w:pPr>
        <w:pStyle w:val="BodyText"/>
        <w:numPr>
          <w:ilvl w:val="0"/>
          <w:numId w:val="51"/>
        </w:numPr>
        <w:ind w:left="540"/>
      </w:pPr>
      <w:r w:rsidRPr="00B3072B">
        <w:rPr>
          <w:b/>
          <w:bCs/>
        </w:rPr>
        <w:t xml:space="preserve">Procedure </w:t>
      </w:r>
      <w:r w:rsidR="00AC2F2A">
        <w:rPr>
          <w:b/>
          <w:bCs/>
        </w:rPr>
        <w:t>b</w:t>
      </w:r>
      <w:r w:rsidRPr="00B3072B">
        <w:rPr>
          <w:b/>
          <w:bCs/>
        </w:rPr>
        <w:t>uttons</w:t>
      </w:r>
      <w:r>
        <w:t xml:space="preserve"> – If any of the edited, removed, or added codes are in use or needed in your charting procedure buttons, you </w:t>
      </w:r>
      <w:r w:rsidR="00AC2F2A">
        <w:t>must</w:t>
      </w:r>
      <w:r>
        <w:t xml:space="preserve"> update your button sets accordingly. </w:t>
      </w:r>
    </w:p>
    <w:p w14:paraId="30B23299" w14:textId="692750BC" w:rsidR="005F79F5" w:rsidRDefault="005F79F5" w:rsidP="004F45B6">
      <w:pPr>
        <w:pStyle w:val="BodyText"/>
        <w:numPr>
          <w:ilvl w:val="0"/>
          <w:numId w:val="51"/>
        </w:numPr>
        <w:ind w:left="540"/>
      </w:pPr>
      <w:r w:rsidRPr="00B3072B">
        <w:rPr>
          <w:b/>
          <w:bCs/>
        </w:rPr>
        <w:t>Multi-</w:t>
      </w:r>
      <w:r w:rsidR="00AC2F2A">
        <w:rPr>
          <w:b/>
          <w:bCs/>
        </w:rPr>
        <w:t>c</w:t>
      </w:r>
      <w:r w:rsidRPr="00B3072B">
        <w:rPr>
          <w:b/>
          <w:bCs/>
        </w:rPr>
        <w:t>odes</w:t>
      </w:r>
      <w:r>
        <w:t xml:space="preserve"> </w:t>
      </w:r>
      <w:r w:rsidR="00573CA6">
        <w:t>–</w:t>
      </w:r>
      <w:r>
        <w:t xml:space="preserve"> </w:t>
      </w:r>
      <w:r w:rsidR="00AC2F2A">
        <w:t>Review m</w:t>
      </w:r>
      <w:r>
        <w:t xml:space="preserve">ulti-codes </w:t>
      </w:r>
      <w:r w:rsidR="00AC2F2A">
        <w:t xml:space="preserve">for </w:t>
      </w:r>
      <w:r>
        <w:t>updated</w:t>
      </w:r>
      <w:r w:rsidR="00AC2F2A">
        <w:t xml:space="preserve"> or </w:t>
      </w:r>
      <w:r>
        <w:t xml:space="preserve">inactivated CDT </w:t>
      </w:r>
      <w:r w:rsidR="00AC2F2A">
        <w:t>c</w:t>
      </w:r>
      <w:r>
        <w:t>odes</w:t>
      </w:r>
      <w:r w:rsidR="00AC2F2A">
        <w:t xml:space="preserve"> and update those multi-codes accordingly</w:t>
      </w:r>
      <w:r>
        <w:t xml:space="preserve">.  </w:t>
      </w:r>
    </w:p>
    <w:p w14:paraId="3F4BE2CF" w14:textId="56D44FAD" w:rsidR="005F79F5" w:rsidRDefault="005F79F5" w:rsidP="004F45B6">
      <w:pPr>
        <w:pStyle w:val="BodyText"/>
        <w:numPr>
          <w:ilvl w:val="0"/>
          <w:numId w:val="51"/>
        </w:numPr>
        <w:ind w:left="540"/>
      </w:pPr>
      <w:r w:rsidRPr="00B3072B">
        <w:rPr>
          <w:b/>
          <w:bCs/>
        </w:rPr>
        <w:t xml:space="preserve">Note </w:t>
      </w:r>
      <w:r w:rsidR="00AC2F2A">
        <w:rPr>
          <w:b/>
          <w:bCs/>
        </w:rPr>
        <w:t>t</w:t>
      </w:r>
      <w:r w:rsidRPr="00B3072B">
        <w:rPr>
          <w:b/>
          <w:bCs/>
        </w:rPr>
        <w:t>emplates</w:t>
      </w:r>
      <w:r>
        <w:t xml:space="preserve"> </w:t>
      </w:r>
      <w:r w:rsidR="00573CA6">
        <w:t>–</w:t>
      </w:r>
      <w:r>
        <w:t xml:space="preserve"> If </w:t>
      </w:r>
      <w:r w:rsidR="00AC2F2A">
        <w:t>updated or inactivated</w:t>
      </w:r>
      <w:r>
        <w:t xml:space="preserve"> CDT codes are included in your clinical note templates or prompts, </w:t>
      </w:r>
      <w:r w:rsidR="00AC2F2A">
        <w:t>you must replace or update those templates or prompts</w:t>
      </w:r>
      <w:r>
        <w:t xml:space="preserve"> according</w:t>
      </w:r>
      <w:r w:rsidR="00AC2F2A">
        <w:t>ly</w:t>
      </w:r>
      <w:r>
        <w:t xml:space="preserve">. </w:t>
      </w:r>
    </w:p>
    <w:p w14:paraId="5D490720" w14:textId="02902606" w:rsidR="005F79F5" w:rsidRDefault="005F79F5" w:rsidP="004F45B6">
      <w:pPr>
        <w:pStyle w:val="BodyText"/>
        <w:numPr>
          <w:ilvl w:val="0"/>
          <w:numId w:val="51"/>
        </w:numPr>
        <w:ind w:left="540"/>
      </w:pPr>
      <w:r w:rsidRPr="00B3072B">
        <w:rPr>
          <w:b/>
          <w:bCs/>
        </w:rPr>
        <w:t>Procedure Notes</w:t>
      </w:r>
      <w:r>
        <w:t xml:space="preserve"> </w:t>
      </w:r>
      <w:r w:rsidR="00573CA6">
        <w:t>–</w:t>
      </w:r>
      <w:r>
        <w:t xml:space="preserve"> </w:t>
      </w:r>
      <w:r w:rsidR="00AC2F2A">
        <w:t>You can assign d</w:t>
      </w:r>
      <w:r>
        <w:t xml:space="preserve">efault notes to procedure codes and then </w:t>
      </w:r>
      <w:r w:rsidR="00AC2F2A">
        <w:t xml:space="preserve">have them copied </w:t>
      </w:r>
      <w:r>
        <w:t xml:space="preserve">automatically to </w:t>
      </w:r>
      <w:r w:rsidR="00AC2F2A">
        <w:t>a</w:t>
      </w:r>
      <w:r>
        <w:t xml:space="preserve"> procedure note or clinical note. If changes are made to the CDT codes, </w:t>
      </w:r>
      <w:r w:rsidR="00AC2F2A">
        <w:t xml:space="preserve">you must review </w:t>
      </w:r>
      <w:r>
        <w:t>the auto</w:t>
      </w:r>
      <w:r w:rsidR="00AC2F2A">
        <w:t>matic</w:t>
      </w:r>
      <w:r>
        <w:t xml:space="preserve"> notes for accuracy.  </w:t>
      </w:r>
    </w:p>
    <w:p w14:paraId="55A32DFE" w14:textId="4CD8D907" w:rsidR="005F79F5" w:rsidRDefault="005F79F5" w:rsidP="004F45B6">
      <w:pPr>
        <w:pStyle w:val="BodyText"/>
        <w:numPr>
          <w:ilvl w:val="0"/>
          <w:numId w:val="51"/>
        </w:numPr>
        <w:ind w:left="540"/>
      </w:pPr>
      <w:r w:rsidRPr="00B3072B">
        <w:rPr>
          <w:b/>
          <w:bCs/>
        </w:rPr>
        <w:t>Procedure / Treatment Area Flags</w:t>
      </w:r>
      <w:r>
        <w:t xml:space="preserve"> </w:t>
      </w:r>
      <w:r w:rsidR="00573CA6">
        <w:t>–</w:t>
      </w:r>
      <w:r>
        <w:t xml:space="preserve"> These flags automatically correct </w:t>
      </w:r>
      <w:r w:rsidR="00AC2F2A">
        <w:t>the code for a procedure that you are posting or editing,</w:t>
      </w:r>
      <w:r>
        <w:t xml:space="preserve"> according to the tooth number and surfaces selected. These flags to change the procedure code can be overridden when </w:t>
      </w:r>
      <w:r w:rsidR="00AC2F2A">
        <w:t xml:space="preserve">you are </w:t>
      </w:r>
      <w:r>
        <w:t xml:space="preserve">posting or editing procedures. To review or edit the flags for </w:t>
      </w:r>
      <w:r w:rsidR="00AF6C58">
        <w:t>a procedure code’s</w:t>
      </w:r>
      <w:r>
        <w:t xml:space="preserve"> treatment area, </w:t>
      </w:r>
      <w:r w:rsidR="00AF6C58">
        <w:t xml:space="preserve">in Procedure Code Setup, double-click a procedure code, and then </w:t>
      </w:r>
      <w:r>
        <w:t xml:space="preserve">click </w:t>
      </w:r>
      <w:r w:rsidRPr="00AC2F2A">
        <w:rPr>
          <w:b/>
          <w:bCs/>
        </w:rPr>
        <w:t>Flags</w:t>
      </w:r>
      <w:r>
        <w:t xml:space="preserve">. The name of the dialog box and </w:t>
      </w:r>
      <w:r w:rsidR="00AF6C58">
        <w:t>available options vary</w:t>
      </w:r>
      <w:r>
        <w:t xml:space="preserve"> depending on the selected </w:t>
      </w:r>
      <w:r w:rsidRPr="00AC2F2A">
        <w:rPr>
          <w:b/>
          <w:bCs/>
        </w:rPr>
        <w:t>Treatment Area</w:t>
      </w:r>
      <w:r w:rsidR="00AF6C58">
        <w:t xml:space="preserve"> for the procedure code.</w:t>
      </w:r>
    </w:p>
    <w:p w14:paraId="64B90F35" w14:textId="77777777" w:rsidR="00B3072B" w:rsidRDefault="005F79F5" w:rsidP="00D42C5A">
      <w:pPr>
        <w:pStyle w:val="Heading3"/>
      </w:pPr>
      <w:bookmarkStart w:id="171" w:name="_Toc166834362"/>
      <w:r>
        <w:t>Maintaining Code Sets and Access</w:t>
      </w:r>
      <w:bookmarkEnd w:id="171"/>
    </w:p>
    <w:p w14:paraId="5272CEEA" w14:textId="747388B6" w:rsidR="005F79F5" w:rsidRDefault="005F79F5" w:rsidP="005F79F5">
      <w:pPr>
        <w:pStyle w:val="BodyText"/>
      </w:pPr>
      <w:r>
        <w:t xml:space="preserve">Refer to </w:t>
      </w:r>
      <w:r w:rsidR="00AF6C58">
        <w:t>the “</w:t>
      </w:r>
      <w:r>
        <w:t>Database Design</w:t>
      </w:r>
      <w:r w:rsidR="00AF6C58">
        <w:t>” section</w:t>
      </w:r>
      <w:r>
        <w:t xml:space="preserve"> for adding and updating codes in </w:t>
      </w:r>
      <w:r w:rsidR="00AF6C58">
        <w:t>Dentrix Enterprise</w:t>
      </w:r>
      <w:r>
        <w:t>.</w:t>
      </w:r>
    </w:p>
    <w:p w14:paraId="1978CF3C" w14:textId="1428D663" w:rsidR="005F79F5" w:rsidRDefault="005F79F5" w:rsidP="004F45B6">
      <w:pPr>
        <w:pStyle w:val="BodyText"/>
        <w:numPr>
          <w:ilvl w:val="0"/>
          <w:numId w:val="52"/>
        </w:numPr>
        <w:ind w:left="540"/>
      </w:pPr>
      <w:r w:rsidRPr="00B3072B">
        <w:rPr>
          <w:b/>
          <w:bCs/>
        </w:rPr>
        <w:t>Dental CDT Codes</w:t>
      </w:r>
      <w:r>
        <w:t xml:space="preserve"> </w:t>
      </w:r>
      <w:r w:rsidR="00AF6C58">
        <w:t>–</w:t>
      </w:r>
      <w:r>
        <w:t xml:space="preserve"> The standard ADA-CDT </w:t>
      </w:r>
      <w:r w:rsidR="00AF6C58">
        <w:t>d</w:t>
      </w:r>
      <w:r>
        <w:t xml:space="preserve">ental codes list is automatically loaded with Dentrix Enterprise. You can add to and edit the procedure codes </w:t>
      </w:r>
      <w:r w:rsidR="00AF6C58">
        <w:t>from O</w:t>
      </w:r>
      <w:r>
        <w:t xml:space="preserve">ffice </w:t>
      </w:r>
      <w:r w:rsidR="00AF6C58">
        <w:t>M</w:t>
      </w:r>
      <w:r>
        <w:t xml:space="preserve">anager. For a custom list of current codes in your </w:t>
      </w:r>
      <w:r w:rsidR="00AF6C58">
        <w:t>database</w:t>
      </w:r>
      <w:r>
        <w:t xml:space="preserve">, print the </w:t>
      </w:r>
      <w:r w:rsidR="00AF6C58">
        <w:t>P</w:t>
      </w:r>
      <w:r>
        <w:t xml:space="preserve">rocedure </w:t>
      </w:r>
      <w:r w:rsidR="00AF6C58">
        <w:t>C</w:t>
      </w:r>
      <w:r>
        <w:t xml:space="preserve">ode </w:t>
      </w:r>
      <w:r w:rsidR="00AF6C58">
        <w:t>L</w:t>
      </w:r>
      <w:r>
        <w:t xml:space="preserve">ist from </w:t>
      </w:r>
      <w:r w:rsidR="00AF6C58">
        <w:t>O</w:t>
      </w:r>
      <w:r>
        <w:t xml:space="preserve">ffice </w:t>
      </w:r>
      <w:r w:rsidR="00AF6C58">
        <w:t>M</w:t>
      </w:r>
      <w:r>
        <w:t xml:space="preserve">anager.  This printed list will include any </w:t>
      </w:r>
      <w:r w:rsidR="00AF6C58">
        <w:t xml:space="preserve">additions or </w:t>
      </w:r>
      <w:r>
        <w:t xml:space="preserve">changes you’ve made </w:t>
      </w:r>
      <w:r w:rsidR="00AF6C58">
        <w:t xml:space="preserve">to </w:t>
      </w:r>
      <w:r>
        <w:t xml:space="preserve">procedure codes.  </w:t>
      </w:r>
    </w:p>
    <w:p w14:paraId="4AB2FDAC" w14:textId="249F870C" w:rsidR="005F79F5" w:rsidRDefault="005F79F5" w:rsidP="004F45B6">
      <w:pPr>
        <w:pStyle w:val="BodyText"/>
        <w:numPr>
          <w:ilvl w:val="1"/>
          <w:numId w:val="53"/>
        </w:numPr>
        <w:ind w:left="1080"/>
      </w:pPr>
      <w:r w:rsidRPr="00AF6C58">
        <w:rPr>
          <w:b/>
          <w:bCs/>
        </w:rPr>
        <w:t>Inactiv</w:t>
      </w:r>
      <w:r w:rsidR="00AF6C58">
        <w:rPr>
          <w:b/>
          <w:bCs/>
        </w:rPr>
        <w:t>e</w:t>
      </w:r>
      <w:r w:rsidRPr="00AF6C58">
        <w:rPr>
          <w:b/>
          <w:bCs/>
        </w:rPr>
        <w:t xml:space="preserve"> Codes</w:t>
      </w:r>
      <w:r>
        <w:t xml:space="preserve"> </w:t>
      </w:r>
      <w:r w:rsidR="00AF6C58">
        <w:t>–</w:t>
      </w:r>
      <w:r>
        <w:t xml:space="preserve"> You can inactivate procedure codes that you do not want to post in your practice. You cannot inactivate a procedure code that is in use (such as in an insurance plan's payment table). An inactive procedure code is not available throughout Dentrix Enterprise for any clinic. Inactivating a procedure code is not permanent; you can reactivate any inactive procedure code as needed.</w:t>
      </w:r>
    </w:p>
    <w:p w14:paraId="4FBA9742" w14:textId="43DB108E" w:rsidR="005F79F5" w:rsidRDefault="005F79F5" w:rsidP="004F45B6">
      <w:pPr>
        <w:pStyle w:val="BodyText"/>
        <w:numPr>
          <w:ilvl w:val="1"/>
          <w:numId w:val="53"/>
        </w:numPr>
        <w:ind w:left="1080"/>
      </w:pPr>
      <w:r w:rsidRPr="00AF6C58">
        <w:rPr>
          <w:b/>
          <w:bCs/>
        </w:rPr>
        <w:t>New Codes</w:t>
      </w:r>
      <w:r>
        <w:t xml:space="preserve"> </w:t>
      </w:r>
      <w:r w:rsidR="00AF6C58">
        <w:t>–</w:t>
      </w:r>
      <w:r>
        <w:t xml:space="preserve"> You can add and edit the procedure codes </w:t>
      </w:r>
      <w:r w:rsidR="00AF6C58">
        <w:t xml:space="preserve">that </w:t>
      </w:r>
      <w:r>
        <w:t xml:space="preserve">you post in your practice. If you </w:t>
      </w:r>
      <w:r w:rsidR="00AF6C58">
        <w:t>need</w:t>
      </w:r>
      <w:r>
        <w:t xml:space="preserve"> a custom procedure code (for instance, a rate code or product</w:t>
      </w:r>
      <w:r w:rsidR="00AF6C58">
        <w:t xml:space="preserve"> code</w:t>
      </w:r>
      <w:r>
        <w:t>)</w:t>
      </w:r>
      <w:r w:rsidR="00AF6C58">
        <w:t xml:space="preserve">, you can add one, and it will be available for use </w:t>
      </w:r>
      <w:r>
        <w:t xml:space="preserve">the same as other codes.  </w:t>
      </w:r>
    </w:p>
    <w:p w14:paraId="59C295B4" w14:textId="5F9B044B" w:rsidR="005F79F5" w:rsidRDefault="00253844" w:rsidP="004F45B6">
      <w:pPr>
        <w:pStyle w:val="BodyText"/>
        <w:keepLines/>
        <w:numPr>
          <w:ilvl w:val="0"/>
          <w:numId w:val="52"/>
        </w:numPr>
        <w:ind w:left="547"/>
      </w:pPr>
      <w:r>
        <w:rPr>
          <w:noProof/>
        </w:rPr>
        <w:lastRenderedPageBreak/>
        <w:drawing>
          <wp:anchor distT="0" distB="0" distL="0" distR="91440" simplePos="0" relativeHeight="252102660" behindDoc="0" locked="0" layoutInCell="1" allowOverlap="1" wp14:anchorId="240DEBDD" wp14:editId="7D01764C">
            <wp:simplePos x="0" y="0"/>
            <wp:positionH relativeFrom="column">
              <wp:posOffset>-457200</wp:posOffset>
            </wp:positionH>
            <wp:positionV relativeFrom="paragraph">
              <wp:posOffset>846617</wp:posOffset>
            </wp:positionV>
            <wp:extent cx="365760" cy="420370"/>
            <wp:effectExtent l="0" t="0" r="0" b="0"/>
            <wp:wrapTight wrapText="right">
              <wp:wrapPolygon edited="0">
                <wp:start x="0" y="0"/>
                <wp:lineTo x="0" y="20556"/>
                <wp:lineTo x="20250" y="20556"/>
                <wp:lineTo x="20250" y="0"/>
                <wp:lineTo x="0" y="0"/>
              </wp:wrapPolygon>
            </wp:wrapTight>
            <wp:docPr id="1739158606"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 cy="420370"/>
                    </a:xfrm>
                    <a:prstGeom prst="rect">
                      <a:avLst/>
                    </a:prstGeom>
                  </pic:spPr>
                </pic:pic>
              </a:graphicData>
            </a:graphic>
            <wp14:sizeRelH relativeFrom="margin">
              <wp14:pctWidth>0</wp14:pctWidth>
            </wp14:sizeRelH>
            <wp14:sizeRelV relativeFrom="margin">
              <wp14:pctHeight>0</wp14:pctHeight>
            </wp14:sizeRelV>
          </wp:anchor>
        </w:drawing>
      </w:r>
      <w:r w:rsidR="005F79F5" w:rsidRPr="00B3072B">
        <w:rPr>
          <w:b/>
          <w:bCs/>
        </w:rPr>
        <w:t>Medical CPT Codes</w:t>
      </w:r>
      <w:r w:rsidR="005F79F5">
        <w:t xml:space="preserve"> - Due to licensing issues with the American Medical Association, Dentrix Enterprise </w:t>
      </w:r>
      <w:r w:rsidR="00AF6C58">
        <w:t xml:space="preserve">does </w:t>
      </w:r>
      <w:r w:rsidR="005F79F5">
        <w:t xml:space="preserve">not pre-load the AMA-CPT, AMA-CPT Modifier, CPT-Place of Service, CPT-Type of Service, ICD-10CM, or ICD-9CM codes. These codes must be manually added to the </w:t>
      </w:r>
      <w:r w:rsidR="00AF6C58">
        <w:t>database</w:t>
      </w:r>
      <w:r w:rsidR="005F79F5">
        <w:t xml:space="preserve">. </w:t>
      </w:r>
      <w:r w:rsidR="00AF6C58">
        <w:t>You can obtain i</w:t>
      </w:r>
      <w:r w:rsidR="005F79F5">
        <w:t xml:space="preserve">nformation on the codes and descriptions that can be added </w:t>
      </w:r>
      <w:r w:rsidR="00AF6C58">
        <w:t>from</w:t>
      </w:r>
      <w:r w:rsidR="005F79F5">
        <w:t xml:space="preserve"> reference books provided by the AMA.</w:t>
      </w:r>
    </w:p>
    <w:p w14:paraId="18F607F0" w14:textId="2D242B39" w:rsidR="005F79F5" w:rsidRPr="00DA4A35" w:rsidRDefault="00DA4A35" w:rsidP="00B3072B">
      <w:pPr>
        <w:pStyle w:val="BodyText"/>
        <w:ind w:left="540"/>
        <w:rPr>
          <w:i/>
          <w:iCs/>
        </w:rPr>
      </w:pPr>
      <w:r w:rsidRPr="00DA4A35">
        <w:rPr>
          <w:b/>
          <w:bCs/>
          <w:i/>
          <w:iCs/>
        </w:rPr>
        <w:t>Note</w:t>
      </w:r>
      <w:r w:rsidRPr="00DA4A35">
        <w:rPr>
          <w:i/>
          <w:iCs/>
        </w:rPr>
        <w:t xml:space="preserve">: With the </w:t>
      </w:r>
      <w:r w:rsidR="005F79F5" w:rsidRPr="00DA4A35">
        <w:rPr>
          <w:i/>
          <w:iCs/>
        </w:rPr>
        <w:t>Medical Cross Coding DataPak</w:t>
      </w:r>
      <w:r w:rsidRPr="00DA4A35">
        <w:rPr>
          <w:i/>
          <w:iCs/>
        </w:rPr>
        <w:t xml:space="preserve">, you can </w:t>
      </w:r>
      <w:r w:rsidR="005F79F5" w:rsidRPr="00DA4A35">
        <w:rPr>
          <w:i/>
          <w:iCs/>
        </w:rPr>
        <w:t xml:space="preserve">add all the codes (except ICD-10 codes) </w:t>
      </w:r>
      <w:r w:rsidRPr="00DA4A35">
        <w:rPr>
          <w:i/>
          <w:iCs/>
        </w:rPr>
        <w:t>into your database</w:t>
      </w:r>
      <w:r w:rsidR="005F79F5" w:rsidRPr="00DA4A35">
        <w:rPr>
          <w:i/>
          <w:iCs/>
        </w:rPr>
        <w:t>.</w:t>
      </w:r>
    </w:p>
    <w:p w14:paraId="2D9CA772" w14:textId="270DBFED" w:rsidR="005F79F5" w:rsidRDefault="005F79F5" w:rsidP="004F45B6">
      <w:pPr>
        <w:pStyle w:val="BodyText"/>
        <w:keepNext/>
        <w:keepLines/>
        <w:numPr>
          <w:ilvl w:val="0"/>
          <w:numId w:val="52"/>
        </w:numPr>
        <w:ind w:left="540"/>
      </w:pPr>
      <w:r w:rsidRPr="00B3072B">
        <w:rPr>
          <w:b/>
          <w:bCs/>
        </w:rPr>
        <w:t>Supporting or Diagnostic Codes</w:t>
      </w:r>
      <w:r w:rsidR="00B3072B">
        <w:t>:</w:t>
      </w:r>
    </w:p>
    <w:p w14:paraId="6DD07E14" w14:textId="0359675C" w:rsidR="005F79F5" w:rsidRDefault="005F79F5" w:rsidP="004F45B6">
      <w:pPr>
        <w:pStyle w:val="BodyText"/>
        <w:keepNext/>
        <w:keepLines/>
        <w:numPr>
          <w:ilvl w:val="1"/>
          <w:numId w:val="54"/>
        </w:numPr>
        <w:ind w:left="1080"/>
      </w:pPr>
      <w:r w:rsidRPr="00DA4A35">
        <w:rPr>
          <w:b/>
          <w:bCs/>
        </w:rPr>
        <w:t>ICD-10</w:t>
      </w:r>
      <w:r>
        <w:t xml:space="preserve"> </w:t>
      </w:r>
      <w:r w:rsidR="00DA4A35">
        <w:t>–</w:t>
      </w:r>
      <w:r>
        <w:t xml:space="preserve"> Please contact Enterprise Support </w:t>
      </w:r>
      <w:r w:rsidR="00DA4A35">
        <w:t xml:space="preserve">at 1-800-459-8067, Option 2 </w:t>
      </w:r>
      <w:r>
        <w:t xml:space="preserve">to </w:t>
      </w:r>
      <w:r w:rsidR="00DA4A35">
        <w:t xml:space="preserve">have a technician </w:t>
      </w:r>
      <w:r>
        <w:t>run the ICD-10 codes scrip</w:t>
      </w:r>
      <w:r w:rsidR="00DA4A35">
        <w:t xml:space="preserve">t to </w:t>
      </w:r>
      <w:r>
        <w:t>enter the dental</w:t>
      </w:r>
      <w:r w:rsidR="00DA4A35">
        <w:t>-</w:t>
      </w:r>
      <w:r>
        <w:t>related ICD-10 codes into your database.</w:t>
      </w:r>
    </w:p>
    <w:p w14:paraId="7281B1E9" w14:textId="2AFDF828" w:rsidR="005F79F5" w:rsidRDefault="005F79F5" w:rsidP="004F45B6">
      <w:pPr>
        <w:pStyle w:val="BodyText"/>
        <w:keepNext/>
        <w:keepLines/>
        <w:numPr>
          <w:ilvl w:val="1"/>
          <w:numId w:val="54"/>
        </w:numPr>
        <w:ind w:left="1080"/>
      </w:pPr>
      <w:r w:rsidRPr="00DA4A35">
        <w:rPr>
          <w:b/>
          <w:bCs/>
        </w:rPr>
        <w:t>Dental Diagnos</w:t>
      </w:r>
      <w:r w:rsidR="00DA4A35">
        <w:rPr>
          <w:b/>
          <w:bCs/>
        </w:rPr>
        <w:t>e</w:t>
      </w:r>
      <w:r w:rsidRPr="00DA4A35">
        <w:rPr>
          <w:b/>
          <w:bCs/>
        </w:rPr>
        <w:t>s</w:t>
      </w:r>
      <w:r>
        <w:t xml:space="preserve"> </w:t>
      </w:r>
      <w:r w:rsidR="00DA4A35">
        <w:t>–</w:t>
      </w:r>
      <w:r>
        <w:t xml:space="preserve"> Due to licensing issues, Dentrix Enterprise does not come with the dental diagnostic codes set up. These codes must be manually added to the </w:t>
      </w:r>
      <w:r w:rsidR="00AF6C58">
        <w:t>database</w:t>
      </w:r>
      <w:r>
        <w:t xml:space="preserve">. </w:t>
      </w:r>
      <w:r w:rsidR="00AF6C58">
        <w:t>You can obtain information</w:t>
      </w:r>
      <w:r>
        <w:t xml:space="preserve"> on the codes and descriptions </w:t>
      </w:r>
      <w:r w:rsidR="00AF6C58">
        <w:t>that can be added from</w:t>
      </w:r>
      <w:r>
        <w:t xml:space="preserve"> reference books provided by the ADA.</w:t>
      </w:r>
    </w:p>
    <w:p w14:paraId="7493202B" w14:textId="57BC5384" w:rsidR="005F79F5" w:rsidRDefault="005F79F5" w:rsidP="004F45B6">
      <w:pPr>
        <w:pStyle w:val="BodyText"/>
        <w:keepNext/>
        <w:keepLines/>
        <w:numPr>
          <w:ilvl w:val="1"/>
          <w:numId w:val="54"/>
        </w:numPr>
        <w:ind w:left="1080"/>
      </w:pPr>
      <w:r w:rsidRPr="00DA4A35">
        <w:rPr>
          <w:b/>
          <w:bCs/>
        </w:rPr>
        <w:t>Conditions</w:t>
      </w:r>
      <w:r>
        <w:t xml:space="preserve"> </w:t>
      </w:r>
      <w:r w:rsidR="00DA4A35">
        <w:t>–</w:t>
      </w:r>
      <w:r>
        <w:t xml:space="preserve"> Condition codes in Dentrix Enterprise are not tied to specific ICD-10 or SNOMED code sets. These are not official ADA or AMA codes used for reporting or insurance purposes but system specific codes to </w:t>
      </w:r>
      <w:r w:rsidR="00DA4A35">
        <w:t xml:space="preserve">use to identify present </w:t>
      </w:r>
      <w:r>
        <w:t xml:space="preserve">conditions in the odontogram. These codes can be updated or changed as needed </w:t>
      </w:r>
      <w:r w:rsidR="00DA4A35">
        <w:t>for</w:t>
      </w:r>
      <w:r>
        <w:t xml:space="preserve"> your organization.</w:t>
      </w:r>
    </w:p>
    <w:p w14:paraId="0A3B14F8" w14:textId="2A9E3EF6" w:rsidR="005F79F5" w:rsidRPr="00DA4A35" w:rsidRDefault="00CB088C" w:rsidP="00DA4A35">
      <w:pPr>
        <w:pStyle w:val="BodyText"/>
        <w:ind w:left="1080"/>
        <w:rPr>
          <w:i/>
          <w:iCs/>
        </w:rPr>
      </w:pPr>
      <w:r>
        <w:rPr>
          <w:noProof/>
        </w:rPr>
        <w:drawing>
          <wp:anchor distT="0" distB="0" distL="0" distR="91440" simplePos="0" relativeHeight="251768836" behindDoc="1" locked="0" layoutInCell="1" allowOverlap="1" wp14:anchorId="13E232B8" wp14:editId="4F459B3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35142545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5F79F5" w:rsidRPr="00DA4A35">
        <w:rPr>
          <w:b/>
          <w:bCs/>
          <w:i/>
          <w:iCs/>
        </w:rPr>
        <w:t>Operations Insight</w:t>
      </w:r>
      <w:r w:rsidR="00DA4A35" w:rsidRPr="00DA4A35">
        <w:rPr>
          <w:i/>
          <w:iCs/>
        </w:rPr>
        <w:t xml:space="preserve">: </w:t>
      </w:r>
      <w:r w:rsidR="005F79F5" w:rsidRPr="00DA4A35">
        <w:rPr>
          <w:i/>
          <w:iCs/>
        </w:rPr>
        <w:t xml:space="preserve">Condition codes may be used for some of the reports in Dentrix Enterprise. </w:t>
      </w:r>
      <w:r w:rsidR="00DA4A35" w:rsidRPr="00DA4A35">
        <w:rPr>
          <w:i/>
          <w:iCs/>
        </w:rPr>
        <w:t>B</w:t>
      </w:r>
      <w:r w:rsidR="005F79F5" w:rsidRPr="00DA4A35">
        <w:rPr>
          <w:i/>
          <w:iCs/>
        </w:rPr>
        <w:t>efore making changes or deleting condition codes</w:t>
      </w:r>
      <w:r w:rsidR="00DA4A35" w:rsidRPr="00DA4A35">
        <w:rPr>
          <w:i/>
          <w:iCs/>
        </w:rPr>
        <w:t>, verify that those condition codes are not used in necessary reports</w:t>
      </w:r>
      <w:r w:rsidR="005F79F5" w:rsidRPr="00DA4A35">
        <w:rPr>
          <w:i/>
          <w:iCs/>
        </w:rPr>
        <w:t>.</w:t>
      </w:r>
    </w:p>
    <w:p w14:paraId="1D06E36E" w14:textId="77777777" w:rsidR="00B3072B" w:rsidRDefault="00B3072B" w:rsidP="00B3072B">
      <w:pPr>
        <w:pStyle w:val="BodyText"/>
        <w:ind w:left="720"/>
        <w:sectPr w:rsidR="00B3072B" w:rsidSect="00C616BD">
          <w:pgSz w:w="12240" w:h="15840"/>
          <w:pgMar w:top="1440" w:right="1440" w:bottom="1440" w:left="1440" w:header="360" w:footer="360" w:gutter="0"/>
          <w:cols w:space="720"/>
          <w:docGrid w:linePitch="299"/>
        </w:sectPr>
      </w:pPr>
    </w:p>
    <w:p w14:paraId="0F07103E" w14:textId="23C31170" w:rsidR="00B3072B" w:rsidRDefault="00B3072B" w:rsidP="00B3072B">
      <w:pPr>
        <w:pStyle w:val="Heading1"/>
      </w:pPr>
      <w:bookmarkStart w:id="172" w:name="_Toc135416596"/>
      <w:bookmarkStart w:id="173" w:name="_Toc135416718"/>
      <w:bookmarkStart w:id="174" w:name="_Toc166834363"/>
      <w:r>
        <w:lastRenderedPageBreak/>
        <w:t>Revenue Cycle Management</w:t>
      </w:r>
      <w:bookmarkEnd w:id="172"/>
      <w:bookmarkEnd w:id="173"/>
      <w:bookmarkEnd w:id="174"/>
    </w:p>
    <w:p w14:paraId="03D79CEE" w14:textId="39E65961" w:rsidR="00B3072B" w:rsidRPr="00D060B6" w:rsidRDefault="00B3072B" w:rsidP="00B3072B">
      <w:pPr>
        <w:pStyle w:val="BodyText"/>
        <w:rPr>
          <w:bCs/>
        </w:rPr>
      </w:pPr>
      <w:r w:rsidRPr="00D060B6">
        <w:rPr>
          <w:bCs/>
        </w:rPr>
        <w:t xml:space="preserve">Managing revenue cycle in Dentrix Enterprise </w:t>
      </w:r>
      <w:r w:rsidR="00DA4A35">
        <w:rPr>
          <w:bCs/>
        </w:rPr>
        <w:t>consists of</w:t>
      </w:r>
      <w:r w:rsidRPr="00D060B6">
        <w:rPr>
          <w:bCs/>
        </w:rPr>
        <w:t xml:space="preserve"> several independent but connected workflows and processes </w:t>
      </w:r>
      <w:r w:rsidR="00DA4A35">
        <w:rPr>
          <w:bCs/>
        </w:rPr>
        <w:t xml:space="preserve">that are </w:t>
      </w:r>
      <w:r w:rsidRPr="00D060B6">
        <w:rPr>
          <w:bCs/>
        </w:rPr>
        <w:t xml:space="preserve">conducted within management routines and patient visit lifecycle workflows. This operations management overview for </w:t>
      </w:r>
      <w:r w:rsidR="00DA4A35">
        <w:rPr>
          <w:bCs/>
        </w:rPr>
        <w:t>r</w:t>
      </w:r>
      <w:r w:rsidRPr="00D060B6">
        <w:rPr>
          <w:bCs/>
        </w:rPr>
        <w:t xml:space="preserve">evenue </w:t>
      </w:r>
      <w:r w:rsidR="00DA4A35">
        <w:rPr>
          <w:bCs/>
        </w:rPr>
        <w:t>c</w:t>
      </w:r>
      <w:r w:rsidRPr="00D060B6">
        <w:rPr>
          <w:bCs/>
        </w:rPr>
        <w:t>ycle outlines the k</w:t>
      </w:r>
      <w:r>
        <w:rPr>
          <w:bCs/>
        </w:rPr>
        <w:t>ey components for d</w:t>
      </w:r>
      <w:r w:rsidRPr="00D060B6">
        <w:rPr>
          <w:bCs/>
        </w:rPr>
        <w:t xml:space="preserve">ental billing and patient collections. </w:t>
      </w:r>
    </w:p>
    <w:p w14:paraId="24769C3D" w14:textId="60FA604E" w:rsidR="003F63A2" w:rsidRPr="004267C0" w:rsidRDefault="00B3072B" w:rsidP="004F45B6">
      <w:pPr>
        <w:pStyle w:val="Heading2"/>
        <w:numPr>
          <w:ilvl w:val="0"/>
          <w:numId w:val="55"/>
        </w:numPr>
        <w:rPr>
          <w:sz w:val="22"/>
        </w:rPr>
      </w:pPr>
      <w:bookmarkStart w:id="175" w:name="_Toc135416719"/>
      <w:bookmarkStart w:id="176" w:name="_Toc166834364"/>
      <w:r>
        <w:t>Insurance Plan Setup</w:t>
      </w:r>
      <w:r w:rsidRPr="46812195">
        <w:t xml:space="preserve"> and M</w:t>
      </w:r>
      <w:r>
        <w:t>aintenance</w:t>
      </w:r>
      <w:bookmarkEnd w:id="175"/>
      <w:bookmarkEnd w:id="176"/>
      <w:r w:rsidRPr="00D060B6">
        <w:t xml:space="preserve"> </w:t>
      </w:r>
    </w:p>
    <w:p w14:paraId="3EE97AAA" w14:textId="4E112AEA" w:rsidR="00B3072B" w:rsidRPr="0073414B" w:rsidRDefault="00B3072B" w:rsidP="003F63A2">
      <w:pPr>
        <w:pStyle w:val="BodyText"/>
        <w:rPr>
          <w:b/>
          <w:bCs/>
        </w:rPr>
      </w:pPr>
      <w:r>
        <w:t xml:space="preserve">There is more to managing your insurance plans than simply entering plan information into Dentrix Enterprise. Understanding the key settings used when building the insurance plans </w:t>
      </w:r>
      <w:r w:rsidR="00477CBC">
        <w:t>and</w:t>
      </w:r>
      <w:r>
        <w:t xml:space="preserve"> routine maintenance of your insurance database provides a solid foundation for successful insurance processes. </w:t>
      </w:r>
    </w:p>
    <w:p w14:paraId="1E139724" w14:textId="0FD3AC5A" w:rsidR="00B3072B" w:rsidRDefault="00477CBC" w:rsidP="003F63A2">
      <w:pPr>
        <w:pStyle w:val="BodyText"/>
      </w:pPr>
      <w:r>
        <w:t>The following table lists the c</w:t>
      </w:r>
      <w:r w:rsidR="00B3072B" w:rsidRPr="0073414B">
        <w:t xml:space="preserve">omponents of Dentrix Enterprise </w:t>
      </w:r>
      <w:r>
        <w:t>i</w:t>
      </w:r>
      <w:r w:rsidR="00B3072B">
        <w:t xml:space="preserve">nsurance </w:t>
      </w:r>
      <w:r>
        <w:t>p</w:t>
      </w:r>
      <w:r w:rsidR="00B3072B">
        <w:t xml:space="preserve">lan </w:t>
      </w:r>
      <w:r>
        <w:t>s</w:t>
      </w:r>
      <w:r w:rsidR="00B3072B">
        <w:t xml:space="preserve">etup </w:t>
      </w:r>
      <w:r>
        <w:t>and m</w:t>
      </w:r>
      <w:r w:rsidR="00B3072B">
        <w:t>aintenance</w:t>
      </w:r>
      <w:r>
        <w:t>.</w:t>
      </w:r>
    </w:p>
    <w:tbl>
      <w:tblPr>
        <w:tblStyle w:val="TableGrid"/>
        <w:tblW w:w="5000" w:type="pct"/>
        <w:tblLook w:val="04A0" w:firstRow="1" w:lastRow="0" w:firstColumn="1" w:lastColumn="0" w:noHBand="0" w:noVBand="1"/>
      </w:tblPr>
      <w:tblGrid>
        <w:gridCol w:w="3116"/>
        <w:gridCol w:w="3117"/>
        <w:gridCol w:w="3117"/>
      </w:tblGrid>
      <w:tr w:rsidR="003F63A2" w14:paraId="5C74B5F8" w14:textId="77777777" w:rsidTr="00477CBC">
        <w:trPr>
          <w:trHeight w:val="404"/>
        </w:trPr>
        <w:tc>
          <w:tcPr>
            <w:tcW w:w="1666" w:type="pct"/>
            <w:vAlign w:val="center"/>
          </w:tcPr>
          <w:p w14:paraId="40264D75" w14:textId="095693CD" w:rsidR="003F63A2" w:rsidRPr="003F63A2" w:rsidRDefault="003F63A2" w:rsidP="00477CBC">
            <w:pPr>
              <w:pStyle w:val="BodyText"/>
              <w:spacing w:after="0"/>
              <w:rPr>
                <w:rFonts w:ascii="Arial" w:hAnsi="Arial"/>
                <w:b/>
                <w:bCs/>
              </w:rPr>
            </w:pPr>
            <w:r w:rsidRPr="003F63A2">
              <w:rPr>
                <w:rFonts w:ascii="Arial" w:hAnsi="Arial"/>
                <w:b/>
                <w:bCs/>
              </w:rPr>
              <w:t>Pre</w:t>
            </w:r>
            <w:r w:rsidR="00477CBC">
              <w:rPr>
                <w:rFonts w:ascii="Arial" w:hAnsi="Arial"/>
                <w:b/>
                <w:bCs/>
              </w:rPr>
              <w:t>r</w:t>
            </w:r>
            <w:r w:rsidRPr="003F63A2">
              <w:rPr>
                <w:rFonts w:ascii="Arial" w:hAnsi="Arial"/>
                <w:b/>
                <w:bCs/>
              </w:rPr>
              <w:t>equisites</w:t>
            </w:r>
          </w:p>
        </w:tc>
        <w:tc>
          <w:tcPr>
            <w:tcW w:w="1667" w:type="pct"/>
            <w:vAlign w:val="center"/>
          </w:tcPr>
          <w:p w14:paraId="18766024" w14:textId="54584681" w:rsidR="003F63A2" w:rsidRPr="003F63A2" w:rsidRDefault="003F63A2" w:rsidP="00477CBC">
            <w:pPr>
              <w:pStyle w:val="BodyText"/>
              <w:spacing w:after="0"/>
              <w:rPr>
                <w:rFonts w:ascii="Arial" w:hAnsi="Arial"/>
                <w:b/>
                <w:bCs/>
              </w:rPr>
            </w:pPr>
            <w:r w:rsidRPr="003F63A2">
              <w:rPr>
                <w:rFonts w:ascii="Arial" w:hAnsi="Arial"/>
                <w:b/>
                <w:bCs/>
              </w:rPr>
              <w:t>Defaults</w:t>
            </w:r>
          </w:p>
        </w:tc>
        <w:tc>
          <w:tcPr>
            <w:tcW w:w="1667" w:type="pct"/>
            <w:vAlign w:val="center"/>
          </w:tcPr>
          <w:p w14:paraId="1053085E" w14:textId="59959E59" w:rsidR="003F63A2" w:rsidRPr="003F63A2" w:rsidRDefault="003F63A2" w:rsidP="00477CBC">
            <w:pPr>
              <w:pStyle w:val="BodyText"/>
              <w:spacing w:after="0"/>
              <w:rPr>
                <w:rFonts w:ascii="Arial" w:hAnsi="Arial"/>
                <w:b/>
                <w:bCs/>
              </w:rPr>
            </w:pPr>
            <w:r w:rsidRPr="003F63A2">
              <w:rPr>
                <w:rFonts w:ascii="Arial" w:hAnsi="Arial"/>
                <w:b/>
                <w:bCs/>
              </w:rPr>
              <w:t>Components</w:t>
            </w:r>
          </w:p>
        </w:tc>
      </w:tr>
      <w:tr w:rsidR="003F63A2" w14:paraId="44C02E2A" w14:textId="77777777" w:rsidTr="00477CBC">
        <w:tc>
          <w:tcPr>
            <w:tcW w:w="1666" w:type="pct"/>
          </w:tcPr>
          <w:p w14:paraId="6117265C" w14:textId="77777777" w:rsidR="003F63A2" w:rsidRDefault="003F63A2" w:rsidP="004F45B6">
            <w:pPr>
              <w:pStyle w:val="BodyText"/>
              <w:numPr>
                <w:ilvl w:val="0"/>
                <w:numId w:val="56"/>
              </w:numPr>
              <w:ind w:left="247" w:hanging="247"/>
            </w:pPr>
            <w:r>
              <w:t>Providers</w:t>
            </w:r>
          </w:p>
          <w:p w14:paraId="50277096" w14:textId="3ABC71D3" w:rsidR="003F63A2" w:rsidRDefault="003F63A2" w:rsidP="004F45B6">
            <w:pPr>
              <w:pStyle w:val="BodyText"/>
              <w:numPr>
                <w:ilvl w:val="0"/>
                <w:numId w:val="56"/>
              </w:numPr>
              <w:ind w:left="247" w:hanging="247"/>
            </w:pPr>
            <w:r>
              <w:t xml:space="preserve">Fee </w:t>
            </w:r>
            <w:r w:rsidR="00477CBC">
              <w:t>s</w:t>
            </w:r>
            <w:r>
              <w:t>chedules</w:t>
            </w:r>
          </w:p>
          <w:p w14:paraId="14170A2E" w14:textId="221E26B6" w:rsidR="003F63A2" w:rsidRDefault="003F63A2" w:rsidP="004F45B6">
            <w:pPr>
              <w:pStyle w:val="BodyText"/>
              <w:numPr>
                <w:ilvl w:val="0"/>
                <w:numId w:val="56"/>
              </w:numPr>
              <w:ind w:left="247" w:hanging="247"/>
            </w:pPr>
            <w:r>
              <w:t xml:space="preserve">Definitions (Claim Form, Insurance Tags, Adjustment Types, </w:t>
            </w:r>
            <w:r w:rsidR="00477CBC">
              <w:t xml:space="preserve">and </w:t>
            </w:r>
            <w:r>
              <w:t>Financial Class Types)</w:t>
            </w:r>
          </w:p>
          <w:p w14:paraId="705DB801" w14:textId="4BC0D8A9" w:rsidR="003F63A2" w:rsidRDefault="003F63A2" w:rsidP="004F45B6">
            <w:pPr>
              <w:pStyle w:val="BodyText"/>
              <w:numPr>
                <w:ilvl w:val="0"/>
                <w:numId w:val="56"/>
              </w:numPr>
              <w:ind w:left="247" w:hanging="247"/>
            </w:pPr>
            <w:r>
              <w:t xml:space="preserve">eClaims </w:t>
            </w:r>
            <w:r w:rsidR="00477CBC">
              <w:t>e</w:t>
            </w:r>
            <w:r>
              <w:t>nrollment (as needed)</w:t>
            </w:r>
          </w:p>
        </w:tc>
        <w:tc>
          <w:tcPr>
            <w:tcW w:w="1667" w:type="pct"/>
          </w:tcPr>
          <w:p w14:paraId="1D48D618" w14:textId="1D5FA824" w:rsidR="003F63A2" w:rsidRDefault="003F63A2" w:rsidP="004F45B6">
            <w:pPr>
              <w:pStyle w:val="BodyText"/>
              <w:numPr>
                <w:ilvl w:val="0"/>
                <w:numId w:val="56"/>
              </w:numPr>
              <w:ind w:left="245" w:hanging="245"/>
            </w:pPr>
            <w:r>
              <w:t xml:space="preserve">Claim </w:t>
            </w:r>
            <w:r w:rsidR="00477CBC">
              <w:t>s</w:t>
            </w:r>
            <w:r>
              <w:t>etup</w:t>
            </w:r>
          </w:p>
          <w:p w14:paraId="5668E6F6" w14:textId="06B993F8" w:rsidR="003F63A2" w:rsidRDefault="003F63A2" w:rsidP="004F45B6">
            <w:pPr>
              <w:pStyle w:val="BodyText"/>
              <w:numPr>
                <w:ilvl w:val="0"/>
                <w:numId w:val="56"/>
              </w:numPr>
              <w:ind w:left="245" w:hanging="245"/>
            </w:pPr>
            <w:r>
              <w:t xml:space="preserve">Default </w:t>
            </w:r>
            <w:r w:rsidR="00477CBC">
              <w:t>i</w:t>
            </w:r>
            <w:r>
              <w:t xml:space="preserve">nsurance </w:t>
            </w:r>
            <w:r w:rsidR="00477CBC">
              <w:t>c</w:t>
            </w:r>
            <w:r>
              <w:t xml:space="preserve">overage </w:t>
            </w:r>
            <w:r w:rsidR="00477CBC">
              <w:t>t</w:t>
            </w:r>
            <w:r>
              <w:t>ables</w:t>
            </w:r>
          </w:p>
        </w:tc>
        <w:tc>
          <w:tcPr>
            <w:tcW w:w="1667" w:type="pct"/>
          </w:tcPr>
          <w:p w14:paraId="46CA2307" w14:textId="59DEDFFC" w:rsidR="003F63A2" w:rsidRDefault="003F63A2" w:rsidP="004F45B6">
            <w:pPr>
              <w:pStyle w:val="BodyText"/>
              <w:numPr>
                <w:ilvl w:val="0"/>
                <w:numId w:val="56"/>
              </w:numPr>
              <w:ind w:left="245" w:hanging="245"/>
            </w:pPr>
            <w:r>
              <w:t xml:space="preserve">Insurance </w:t>
            </w:r>
            <w:r w:rsidR="00477CBC">
              <w:t>d</w:t>
            </w:r>
            <w:r>
              <w:t>ata</w:t>
            </w:r>
          </w:p>
          <w:p w14:paraId="53AEA09A" w14:textId="3A9A6546" w:rsidR="003F63A2" w:rsidRDefault="003F63A2" w:rsidP="004F45B6">
            <w:pPr>
              <w:pStyle w:val="BodyText"/>
              <w:numPr>
                <w:ilvl w:val="0"/>
                <w:numId w:val="56"/>
              </w:numPr>
              <w:ind w:left="245" w:hanging="245"/>
            </w:pPr>
            <w:r>
              <w:t xml:space="preserve">Insurance </w:t>
            </w:r>
            <w:r w:rsidR="00477CBC">
              <w:t>p</w:t>
            </w:r>
            <w:r>
              <w:t xml:space="preserve">lan </w:t>
            </w:r>
            <w:r w:rsidR="00477CBC">
              <w:t>c</w:t>
            </w:r>
            <w:r>
              <w:t xml:space="preserve">laim </w:t>
            </w:r>
            <w:r w:rsidR="00477CBC">
              <w:t>s</w:t>
            </w:r>
            <w:r>
              <w:t>ettings</w:t>
            </w:r>
          </w:p>
          <w:p w14:paraId="11715B17" w14:textId="03D2B71C" w:rsidR="003F63A2" w:rsidRDefault="003F63A2" w:rsidP="004F45B6">
            <w:pPr>
              <w:pStyle w:val="BodyText"/>
              <w:numPr>
                <w:ilvl w:val="0"/>
                <w:numId w:val="56"/>
              </w:numPr>
              <w:ind w:left="245" w:hanging="245"/>
            </w:pPr>
            <w:r>
              <w:t xml:space="preserve">Insurance </w:t>
            </w:r>
            <w:r w:rsidR="00477CBC">
              <w:t>c</w:t>
            </w:r>
            <w:r>
              <w:t xml:space="preserve">overage </w:t>
            </w:r>
            <w:r w:rsidR="00477CBC">
              <w:t>and</w:t>
            </w:r>
            <w:r>
              <w:t xml:space="preserve"> </w:t>
            </w:r>
            <w:r w:rsidR="00477CBC">
              <w:t>e</w:t>
            </w:r>
            <w:r>
              <w:t>stimates</w:t>
            </w:r>
          </w:p>
        </w:tc>
      </w:tr>
    </w:tbl>
    <w:p w14:paraId="44164F6B" w14:textId="77777777" w:rsidR="003F63A2" w:rsidRPr="0073414B" w:rsidRDefault="003F63A2" w:rsidP="003F63A2">
      <w:pPr>
        <w:pStyle w:val="BodyText"/>
      </w:pPr>
    </w:p>
    <w:p w14:paraId="5F072A66" w14:textId="3C5FB8D6" w:rsidR="00B3072B" w:rsidRPr="00B24CE5" w:rsidRDefault="00CB088C" w:rsidP="00B3072B">
      <w:pPr>
        <w:pStyle w:val="BodyText"/>
        <w:rPr>
          <w:b/>
          <w:bCs/>
          <w:i/>
          <w:iCs/>
        </w:rPr>
      </w:pPr>
      <w:r>
        <w:rPr>
          <w:noProof/>
        </w:rPr>
        <w:drawing>
          <wp:anchor distT="0" distB="0" distL="0" distR="91440" simplePos="0" relativeHeight="251770884" behindDoc="1" locked="0" layoutInCell="1" allowOverlap="1" wp14:anchorId="3F42C442" wp14:editId="44E4F0D1">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78799142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B24CE5">
        <w:rPr>
          <w:b/>
          <w:bCs/>
          <w:i/>
          <w:iCs/>
        </w:rPr>
        <w:t>Operations Insight</w:t>
      </w:r>
      <w:r w:rsidR="00B3072B" w:rsidRPr="00B24CE5">
        <w:rPr>
          <w:i/>
          <w:iCs/>
        </w:rPr>
        <w:t xml:space="preserve">: </w:t>
      </w:r>
      <w:r w:rsidR="00B24CE5" w:rsidRPr="00B24CE5">
        <w:rPr>
          <w:i/>
          <w:iCs/>
        </w:rPr>
        <w:t>I</w:t>
      </w:r>
      <w:r w:rsidR="00B3072B" w:rsidRPr="00B24CE5">
        <w:rPr>
          <w:i/>
          <w:iCs/>
        </w:rPr>
        <w:t>nsurance plan</w:t>
      </w:r>
      <w:r w:rsidR="00B24CE5" w:rsidRPr="00B24CE5">
        <w:rPr>
          <w:i/>
          <w:iCs/>
        </w:rPr>
        <w:t xml:space="preserve"> setting</w:t>
      </w:r>
      <w:r w:rsidR="00B3072B" w:rsidRPr="00B24CE5">
        <w:rPr>
          <w:i/>
          <w:iCs/>
        </w:rPr>
        <w:t xml:space="preserve">s have a direct effect on many key </w:t>
      </w:r>
      <w:r w:rsidR="00B24CE5" w:rsidRPr="00B24CE5">
        <w:rPr>
          <w:i/>
          <w:iCs/>
        </w:rPr>
        <w:t>r</w:t>
      </w:r>
      <w:r w:rsidR="00B3072B" w:rsidRPr="00B24CE5">
        <w:rPr>
          <w:i/>
          <w:iCs/>
        </w:rPr>
        <w:t xml:space="preserve">evenue </w:t>
      </w:r>
      <w:r w:rsidR="00B24CE5" w:rsidRPr="00B24CE5">
        <w:rPr>
          <w:i/>
          <w:iCs/>
        </w:rPr>
        <w:t>c</w:t>
      </w:r>
      <w:r w:rsidR="00B3072B" w:rsidRPr="00B24CE5">
        <w:rPr>
          <w:i/>
          <w:iCs/>
        </w:rPr>
        <w:t xml:space="preserve">ycle and </w:t>
      </w:r>
      <w:r w:rsidR="00B24CE5" w:rsidRPr="00B24CE5">
        <w:rPr>
          <w:i/>
          <w:iCs/>
        </w:rPr>
        <w:t>r</w:t>
      </w:r>
      <w:r w:rsidR="00B3072B" w:rsidRPr="00B24CE5">
        <w:rPr>
          <w:i/>
          <w:iCs/>
        </w:rPr>
        <w:t>eporting outcomes.</w:t>
      </w:r>
    </w:p>
    <w:p w14:paraId="30F284F7" w14:textId="271BA288" w:rsidR="00B3072B" w:rsidRPr="00D060B6" w:rsidRDefault="00B3072B" w:rsidP="003F63A2">
      <w:pPr>
        <w:pStyle w:val="BodyText"/>
        <w:rPr>
          <w:b/>
          <w:bCs/>
        </w:rPr>
      </w:pPr>
      <w:r>
        <w:t xml:space="preserve">You can add or edit insurance plans from Family File </w:t>
      </w:r>
      <w:r w:rsidR="00B24CE5">
        <w:t>or</w:t>
      </w:r>
      <w:r>
        <w:t xml:space="preserve"> Office Manager; </w:t>
      </w:r>
      <w:r w:rsidR="00B24CE5">
        <w:t xml:space="preserve">however, you can assign </w:t>
      </w:r>
      <w:r>
        <w:t>a dental insurance plan to a subscriber</w:t>
      </w:r>
      <w:r w:rsidR="00B24CE5">
        <w:t xml:space="preserve"> only</w:t>
      </w:r>
      <w:r>
        <w:t xml:space="preserve"> from Family File.  </w:t>
      </w:r>
    </w:p>
    <w:p w14:paraId="121132DC" w14:textId="117CED24" w:rsidR="00B3072B" w:rsidRPr="00B24CE5" w:rsidRDefault="00F46BA9" w:rsidP="003F63A2">
      <w:pPr>
        <w:pStyle w:val="BodyText"/>
        <w:rPr>
          <w:i/>
          <w:iCs/>
        </w:rPr>
      </w:pPr>
      <w:r>
        <w:rPr>
          <w:noProof/>
        </w:rPr>
        <w:drawing>
          <wp:anchor distT="0" distB="0" distL="0" distR="91440" simplePos="0" relativeHeight="251772932" behindDoc="1" locked="0" layoutInCell="1" allowOverlap="1" wp14:anchorId="00A240D8" wp14:editId="3D1B914F">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39576190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B24CE5">
        <w:rPr>
          <w:b/>
          <w:bCs/>
          <w:i/>
          <w:iCs/>
        </w:rPr>
        <w:t>Workflow Insight</w:t>
      </w:r>
      <w:r w:rsidR="00B3072B" w:rsidRPr="00B24CE5">
        <w:rPr>
          <w:i/>
          <w:iCs/>
        </w:rPr>
        <w:t>: It is very important to search for existing insurance plans before adding a new insurance plan to prevent duplicate insurance plans in your database. Using descriptive, consistent, standard naming conventions is encouraged to assist with maintaining your insurance plan database.</w:t>
      </w:r>
    </w:p>
    <w:p w14:paraId="1765D7BA" w14:textId="77777777" w:rsidR="003F63A2" w:rsidRPr="003F63A2" w:rsidRDefault="00B3072B" w:rsidP="00D42C5A">
      <w:pPr>
        <w:pStyle w:val="Heading3"/>
      </w:pPr>
      <w:bookmarkStart w:id="177" w:name="_Toc166834365"/>
      <w:r w:rsidRPr="003F63A2">
        <w:lastRenderedPageBreak/>
        <w:t>Insurance Data</w:t>
      </w:r>
      <w:bookmarkEnd w:id="177"/>
    </w:p>
    <w:p w14:paraId="38D8E296" w14:textId="6E25AB4F" w:rsidR="00B3072B" w:rsidRDefault="00B3072B" w:rsidP="004A2A35">
      <w:pPr>
        <w:pStyle w:val="BodyText"/>
        <w:keepNext/>
        <w:keepLines/>
      </w:pPr>
      <w:r>
        <w:rPr>
          <w:sz w:val="24"/>
        </w:rPr>
        <w:t>T</w:t>
      </w:r>
      <w:r>
        <w:t xml:space="preserve">he following options are key items to understand when </w:t>
      </w:r>
      <w:r w:rsidR="00E563B8">
        <w:t xml:space="preserve">you are </w:t>
      </w:r>
      <w:r>
        <w:t>building or editing insurance data.  Payor</w:t>
      </w:r>
      <w:r w:rsidR="00E563B8">
        <w:t>/</w:t>
      </w:r>
      <w:r>
        <w:t>state</w:t>
      </w:r>
      <w:r w:rsidR="00E563B8">
        <w:t>-</w:t>
      </w:r>
      <w:r>
        <w:t xml:space="preserve">specific claim regulations and organizational guidance will identify the settings needed for each insurance plan.  </w:t>
      </w:r>
    </w:p>
    <w:p w14:paraId="737964F6" w14:textId="090E572E" w:rsidR="00B3072B" w:rsidRDefault="00B3072B" w:rsidP="004F45B6">
      <w:pPr>
        <w:pStyle w:val="BodyText"/>
        <w:keepNext/>
        <w:keepLines/>
        <w:numPr>
          <w:ilvl w:val="0"/>
          <w:numId w:val="57"/>
        </w:numPr>
        <w:ind w:left="540"/>
      </w:pPr>
      <w:r w:rsidRPr="003F63A2">
        <w:rPr>
          <w:b/>
        </w:rPr>
        <w:t>Carrier Name</w:t>
      </w:r>
      <w:r>
        <w:t xml:space="preserve"> </w:t>
      </w:r>
      <w:r w:rsidR="00381692">
        <w:t>–</w:t>
      </w:r>
      <w:r>
        <w:t xml:space="preserve"> Enter</w:t>
      </w:r>
      <w:r w:rsidRPr="003F63A2">
        <w:t xml:space="preserve"> </w:t>
      </w:r>
      <w:r w:rsidR="00381692">
        <w:t>the</w:t>
      </w:r>
      <w:r w:rsidRPr="003F63A2">
        <w:t xml:space="preserve"> name </w:t>
      </w:r>
      <w:r w:rsidR="00381692">
        <w:t xml:space="preserve">for the insurance carrier </w:t>
      </w:r>
      <w:r w:rsidRPr="003F63A2">
        <w:t>as you would like to see it listed on the insurance plan. Avoid nicknames and internal references.</w:t>
      </w:r>
    </w:p>
    <w:p w14:paraId="063339A2" w14:textId="5E20CFAD" w:rsidR="00F142A7" w:rsidRPr="00F142A7" w:rsidRDefault="00F46BA9" w:rsidP="004A2A35">
      <w:pPr>
        <w:pStyle w:val="BodyText"/>
        <w:keepNext/>
        <w:keepLines/>
        <w:ind w:left="540"/>
        <w:rPr>
          <w:i/>
          <w:iCs/>
        </w:rPr>
      </w:pPr>
      <w:r>
        <w:rPr>
          <w:noProof/>
        </w:rPr>
        <w:drawing>
          <wp:anchor distT="0" distB="0" distL="0" distR="91440" simplePos="0" relativeHeight="251774980" behindDoc="1" locked="0" layoutInCell="1" allowOverlap="1" wp14:anchorId="2BCBF56B" wp14:editId="67B03AA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88353346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142A7" w:rsidRPr="00F142A7">
        <w:rPr>
          <w:b/>
          <w:bCs/>
          <w:i/>
          <w:iCs/>
        </w:rPr>
        <w:t>Operations Insight</w:t>
      </w:r>
      <w:r w:rsidR="00F142A7" w:rsidRPr="00F142A7">
        <w:rPr>
          <w:i/>
          <w:iCs/>
        </w:rPr>
        <w:t xml:space="preserve">: </w:t>
      </w:r>
      <w:r w:rsidR="00B006D6">
        <w:rPr>
          <w:i/>
          <w:iCs/>
        </w:rPr>
        <w:t>Even though i</w:t>
      </w:r>
      <w:r w:rsidR="00F142A7" w:rsidRPr="00F142A7">
        <w:rPr>
          <w:i/>
          <w:iCs/>
        </w:rPr>
        <w:t>nsurance carriers, group plans, and group numbers are set up as independent records in the system</w:t>
      </w:r>
      <w:r w:rsidR="00B006D6">
        <w:rPr>
          <w:i/>
          <w:iCs/>
        </w:rPr>
        <w:t>, e</w:t>
      </w:r>
      <w:r w:rsidR="00F142A7" w:rsidRPr="00F142A7">
        <w:rPr>
          <w:i/>
          <w:iCs/>
        </w:rPr>
        <w:t xml:space="preserve">ach plan is recognized and reported as an individual </w:t>
      </w:r>
      <w:r w:rsidR="00B006D6">
        <w:rPr>
          <w:i/>
          <w:iCs/>
        </w:rPr>
        <w:t>entity</w:t>
      </w:r>
      <w:r w:rsidR="00F142A7" w:rsidRPr="00F142A7">
        <w:rPr>
          <w:i/>
          <w:iCs/>
        </w:rPr>
        <w:t xml:space="preserve">. </w:t>
      </w:r>
      <w:r w:rsidR="00F142A7">
        <w:rPr>
          <w:i/>
          <w:iCs/>
        </w:rPr>
        <w:t>Selecting f</w:t>
      </w:r>
      <w:r w:rsidR="00F142A7" w:rsidRPr="00F142A7">
        <w:rPr>
          <w:i/>
          <w:iCs/>
        </w:rPr>
        <w:t xml:space="preserve">inancial class types, insurance tags, or a range of carriers can </w:t>
      </w:r>
      <w:r w:rsidR="00B006D6">
        <w:rPr>
          <w:i/>
          <w:iCs/>
        </w:rPr>
        <w:t>help when you are running reports</w:t>
      </w:r>
      <w:r w:rsidR="00F142A7" w:rsidRPr="00F142A7">
        <w:rPr>
          <w:i/>
          <w:iCs/>
        </w:rPr>
        <w:t>. For example, if Delta Dental is the carrier, and there are seven plans for Delta Dental, reports will include seven Delta Dental carriers, and you can even select a range of only the Delta Dental carriers for reports to allow for reporting on their collective information.</w:t>
      </w:r>
    </w:p>
    <w:p w14:paraId="38A0F227" w14:textId="53543A5F" w:rsidR="00172D8F" w:rsidRDefault="005D3903" w:rsidP="004F45B6">
      <w:pPr>
        <w:pStyle w:val="BodyText"/>
        <w:numPr>
          <w:ilvl w:val="0"/>
          <w:numId w:val="57"/>
        </w:numPr>
        <w:ind w:left="540"/>
      </w:pPr>
      <w:r>
        <w:rPr>
          <w:noProof/>
        </w:rPr>
        <w:drawing>
          <wp:anchor distT="0" distB="0" distL="0" distR="91440" simplePos="0" relativeHeight="251777028" behindDoc="0" locked="0" layoutInCell="1" allowOverlap="1" wp14:anchorId="3B608084" wp14:editId="34B6A6A2">
            <wp:simplePos x="0" y="0"/>
            <wp:positionH relativeFrom="column">
              <wp:posOffset>-457200</wp:posOffset>
            </wp:positionH>
            <wp:positionV relativeFrom="paragraph">
              <wp:posOffset>503895</wp:posOffset>
            </wp:positionV>
            <wp:extent cx="365981" cy="420624"/>
            <wp:effectExtent l="0" t="0" r="0" b="0"/>
            <wp:wrapTight wrapText="right">
              <wp:wrapPolygon edited="0">
                <wp:start x="0" y="0"/>
                <wp:lineTo x="0" y="20556"/>
                <wp:lineTo x="20250" y="20556"/>
                <wp:lineTo x="20250" y="0"/>
                <wp:lineTo x="0" y="0"/>
              </wp:wrapPolygon>
            </wp:wrapTight>
            <wp:docPr id="1174247401"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B3072B" w:rsidRPr="003F63A2">
        <w:rPr>
          <w:b/>
          <w:bCs/>
        </w:rPr>
        <w:t>Group Plan</w:t>
      </w:r>
      <w:r w:rsidR="00B3072B" w:rsidRPr="003F63A2">
        <w:t xml:space="preserve"> </w:t>
      </w:r>
      <w:r w:rsidR="00381692">
        <w:t>–</w:t>
      </w:r>
      <w:r w:rsidR="00B3072B" w:rsidRPr="003F63A2">
        <w:t xml:space="preserve"> If the plan has a specific group, you can enter the group name. If you do not have a group name, </w:t>
      </w:r>
      <w:r w:rsidR="00172D8F">
        <w:t xml:space="preserve">you can use </w:t>
      </w:r>
      <w:r w:rsidR="00B3072B" w:rsidRPr="003F63A2">
        <w:t>the employer name or other internal references. You can select if you want to include the group name on the claim.</w:t>
      </w:r>
    </w:p>
    <w:p w14:paraId="132334B8" w14:textId="77E97C58" w:rsidR="00B3072B" w:rsidRPr="00172D8F" w:rsidRDefault="00172D8F" w:rsidP="00172D8F">
      <w:pPr>
        <w:pStyle w:val="BodyText"/>
        <w:ind w:left="540"/>
        <w:rPr>
          <w:i/>
          <w:iCs/>
        </w:rPr>
      </w:pPr>
      <w:r w:rsidRPr="00172D8F">
        <w:rPr>
          <w:b/>
          <w:bCs/>
          <w:i/>
          <w:iCs/>
        </w:rPr>
        <w:t>Note</w:t>
      </w:r>
      <w:r w:rsidRPr="00172D8F">
        <w:rPr>
          <w:i/>
          <w:iCs/>
        </w:rPr>
        <w:t xml:space="preserve">: </w:t>
      </w:r>
      <w:r w:rsidR="00B3072B" w:rsidRPr="00172D8F">
        <w:rPr>
          <w:i/>
          <w:iCs/>
        </w:rPr>
        <w:t xml:space="preserve">This field </w:t>
      </w:r>
      <w:r>
        <w:rPr>
          <w:i/>
          <w:iCs/>
        </w:rPr>
        <w:t xml:space="preserve">is useful </w:t>
      </w:r>
      <w:r w:rsidR="00B3072B" w:rsidRPr="00172D8F">
        <w:rPr>
          <w:i/>
          <w:iCs/>
        </w:rPr>
        <w:t xml:space="preserve">when you are searching </w:t>
      </w:r>
      <w:r w:rsidR="00B006D6">
        <w:rPr>
          <w:i/>
          <w:iCs/>
        </w:rPr>
        <w:t>through</w:t>
      </w:r>
      <w:r>
        <w:rPr>
          <w:i/>
          <w:iCs/>
        </w:rPr>
        <w:t xml:space="preserve"> insurance plans </w:t>
      </w:r>
      <w:r w:rsidR="00B006D6">
        <w:rPr>
          <w:i/>
          <w:iCs/>
        </w:rPr>
        <w:t xml:space="preserve">that were </w:t>
      </w:r>
      <w:r>
        <w:rPr>
          <w:i/>
          <w:iCs/>
        </w:rPr>
        <w:t xml:space="preserve">entered previously </w:t>
      </w:r>
      <w:r w:rsidR="00B006D6">
        <w:rPr>
          <w:i/>
          <w:iCs/>
        </w:rPr>
        <w:t>so you can</w:t>
      </w:r>
      <w:r>
        <w:rPr>
          <w:i/>
          <w:iCs/>
        </w:rPr>
        <w:t xml:space="preserve"> assign </w:t>
      </w:r>
      <w:r w:rsidR="00B006D6">
        <w:rPr>
          <w:i/>
          <w:iCs/>
        </w:rPr>
        <w:t xml:space="preserve">one </w:t>
      </w:r>
      <w:r w:rsidR="00B3072B" w:rsidRPr="00172D8F">
        <w:rPr>
          <w:i/>
          <w:iCs/>
        </w:rPr>
        <w:t>to</w:t>
      </w:r>
      <w:r w:rsidR="00B006D6">
        <w:rPr>
          <w:i/>
          <w:iCs/>
        </w:rPr>
        <w:t xml:space="preserve"> a</w:t>
      </w:r>
      <w:r w:rsidR="00B3072B" w:rsidRPr="00172D8F">
        <w:rPr>
          <w:i/>
          <w:iCs/>
        </w:rPr>
        <w:t xml:space="preserve"> patient.</w:t>
      </w:r>
    </w:p>
    <w:p w14:paraId="48AA3A5B" w14:textId="1CA4C692" w:rsidR="00B3072B" w:rsidRPr="003F63A2" w:rsidRDefault="00B3072B" w:rsidP="004F45B6">
      <w:pPr>
        <w:pStyle w:val="BodyText"/>
        <w:numPr>
          <w:ilvl w:val="0"/>
          <w:numId w:val="57"/>
        </w:numPr>
        <w:ind w:left="540"/>
      </w:pPr>
      <w:r w:rsidRPr="003F63A2">
        <w:rPr>
          <w:b/>
          <w:bCs/>
        </w:rPr>
        <w:t>Tags</w:t>
      </w:r>
      <w:r w:rsidRPr="003F63A2">
        <w:t xml:space="preserve"> </w:t>
      </w:r>
      <w:r w:rsidR="00381692">
        <w:t>–</w:t>
      </w:r>
      <w:r w:rsidRPr="003F63A2">
        <w:t xml:space="preserve"> </w:t>
      </w:r>
      <w:r w:rsidR="00172D8F">
        <w:t>You can assign i</w:t>
      </w:r>
      <w:r w:rsidRPr="003F63A2">
        <w:t xml:space="preserve">nsurance </w:t>
      </w:r>
      <w:r w:rsidR="00172D8F">
        <w:t>t</w:t>
      </w:r>
      <w:r w:rsidRPr="003F63A2">
        <w:t xml:space="preserve">ags to plans as a tool for grouping and searching </w:t>
      </w:r>
      <w:r w:rsidR="00172D8F">
        <w:t xml:space="preserve">for </w:t>
      </w:r>
      <w:r w:rsidRPr="003F63A2">
        <w:t xml:space="preserve">insurance plans. Insurance </w:t>
      </w:r>
      <w:r w:rsidR="00172D8F">
        <w:t>t</w:t>
      </w:r>
      <w:r w:rsidRPr="003F63A2">
        <w:t>ags are completely custom</w:t>
      </w:r>
      <w:r w:rsidR="00172D8F">
        <w:t>izable definitions</w:t>
      </w:r>
      <w:r w:rsidRPr="003F63A2">
        <w:t xml:space="preserve"> </w:t>
      </w:r>
      <w:r w:rsidR="00172D8F">
        <w:t>to fit</w:t>
      </w:r>
      <w:r w:rsidRPr="003F63A2">
        <w:t xml:space="preserve"> your organization's needs. A good example for an insurance </w:t>
      </w:r>
      <w:r w:rsidR="00172D8F">
        <w:t>t</w:t>
      </w:r>
      <w:r w:rsidRPr="003F63A2">
        <w:t>ag would be the associated clinic</w:t>
      </w:r>
      <w:r w:rsidR="00172D8F">
        <w:t>; and i</w:t>
      </w:r>
      <w:r w:rsidRPr="003F63A2">
        <w:t xml:space="preserve">f a plan is used for more than one clinic, multiple tags could be assigned.  </w:t>
      </w:r>
    </w:p>
    <w:p w14:paraId="458D81C9" w14:textId="7829FD1F" w:rsidR="00B3072B" w:rsidRPr="003F63A2" w:rsidRDefault="00B3072B" w:rsidP="004F45B6">
      <w:pPr>
        <w:pStyle w:val="BodyText"/>
        <w:numPr>
          <w:ilvl w:val="0"/>
          <w:numId w:val="57"/>
        </w:numPr>
        <w:ind w:left="540"/>
      </w:pPr>
      <w:r w:rsidRPr="003F63A2">
        <w:rPr>
          <w:b/>
          <w:bCs/>
        </w:rPr>
        <w:t>Employer</w:t>
      </w:r>
      <w:r w:rsidRPr="003F63A2">
        <w:t xml:space="preserve"> </w:t>
      </w:r>
      <w:r w:rsidR="00381692">
        <w:t>–</w:t>
      </w:r>
      <w:r w:rsidRPr="003F63A2">
        <w:t xml:space="preserve"> If an employer will be attached to the plan, you can select it. The employer must be in the system prior to attaching it to the plan.  </w:t>
      </w:r>
    </w:p>
    <w:p w14:paraId="60B8D5DB" w14:textId="04435BF8" w:rsidR="00B3072B" w:rsidRPr="003F63A2" w:rsidRDefault="00B3072B" w:rsidP="004F45B6">
      <w:pPr>
        <w:pStyle w:val="BodyText"/>
        <w:numPr>
          <w:ilvl w:val="0"/>
          <w:numId w:val="57"/>
        </w:numPr>
        <w:ind w:left="540"/>
      </w:pPr>
      <w:r w:rsidRPr="003F63A2">
        <w:rPr>
          <w:b/>
          <w:bCs/>
        </w:rPr>
        <w:t>Grou</w:t>
      </w:r>
      <w:r w:rsidR="00E563B8">
        <w:rPr>
          <w:b/>
          <w:bCs/>
        </w:rPr>
        <w:t>p</w:t>
      </w:r>
      <w:r w:rsidRPr="003F63A2">
        <w:rPr>
          <w:b/>
          <w:bCs/>
        </w:rPr>
        <w:t xml:space="preserve"> #</w:t>
      </w:r>
      <w:r w:rsidRPr="003F63A2">
        <w:t xml:space="preserve"> </w:t>
      </w:r>
      <w:r w:rsidR="00381692">
        <w:t>–</w:t>
      </w:r>
      <w:r w:rsidRPr="003F63A2">
        <w:t xml:space="preserve"> The group number often is the key identifying factor for insurance plans and is used when </w:t>
      </w:r>
      <w:r w:rsidR="00172D8F">
        <w:t xml:space="preserve">you are </w:t>
      </w:r>
      <w:r w:rsidRPr="003F63A2">
        <w:t xml:space="preserve">searching </w:t>
      </w:r>
      <w:r w:rsidR="00172D8F">
        <w:t xml:space="preserve">for </w:t>
      </w:r>
      <w:r w:rsidRPr="003F63A2">
        <w:t xml:space="preserve">insurance plans in the system. </w:t>
      </w:r>
      <w:r w:rsidR="00172D8F">
        <w:t>We</w:t>
      </w:r>
      <w:r w:rsidRPr="003F63A2">
        <w:t xml:space="preserve"> recommended </w:t>
      </w:r>
      <w:r w:rsidR="00172D8F">
        <w:t>that you</w:t>
      </w:r>
      <w:r w:rsidRPr="003F63A2">
        <w:t xml:space="preserve"> enter the full number as listed without abbreviations to assist with maintaining an accurate insurance plan database. Group numbers can be up to 30 characters</w:t>
      </w:r>
      <w:r w:rsidR="00172D8F">
        <w:t>.</w:t>
      </w:r>
      <w:r w:rsidRPr="003F63A2">
        <w:t xml:space="preserve"> </w:t>
      </w:r>
    </w:p>
    <w:p w14:paraId="17FBE29C" w14:textId="2B6DBAB9" w:rsidR="00B3072B" w:rsidRPr="003F63A2" w:rsidRDefault="00B3072B" w:rsidP="004F45B6">
      <w:pPr>
        <w:pStyle w:val="BodyText"/>
        <w:numPr>
          <w:ilvl w:val="0"/>
          <w:numId w:val="57"/>
        </w:numPr>
        <w:ind w:left="540"/>
      </w:pPr>
      <w:r w:rsidRPr="003F63A2">
        <w:rPr>
          <w:b/>
          <w:bCs/>
        </w:rPr>
        <w:t>Last Update</w:t>
      </w:r>
      <w:r w:rsidRPr="003F63A2">
        <w:t xml:space="preserve"> </w:t>
      </w:r>
      <w:r w:rsidR="00381692">
        <w:t>–</w:t>
      </w:r>
      <w:r w:rsidRPr="003F63A2">
        <w:t xml:space="preserve"> This field is helpful for tracking when a plan was updated in the system. It is important to note that this field is not updated automatically</w:t>
      </w:r>
      <w:r w:rsidR="00F142A7">
        <w:t>, so you must</w:t>
      </w:r>
      <w:r w:rsidRPr="003F63A2">
        <w:t xml:space="preserve"> manually populate</w:t>
      </w:r>
      <w:r w:rsidR="00F142A7">
        <w:t xml:space="preserve"> it</w:t>
      </w:r>
      <w:r w:rsidRPr="003F63A2">
        <w:t xml:space="preserve"> for each change.  </w:t>
      </w:r>
    </w:p>
    <w:p w14:paraId="353148E6" w14:textId="2BA11DC8" w:rsidR="00B3072B" w:rsidRPr="003F63A2" w:rsidRDefault="00B3072B" w:rsidP="004F45B6">
      <w:pPr>
        <w:pStyle w:val="BodyText"/>
        <w:numPr>
          <w:ilvl w:val="0"/>
          <w:numId w:val="57"/>
        </w:numPr>
        <w:ind w:left="540"/>
      </w:pPr>
      <w:r w:rsidRPr="003F63A2">
        <w:rPr>
          <w:b/>
          <w:bCs/>
        </w:rPr>
        <w:t>Benefit Renewal</w:t>
      </w:r>
      <w:r w:rsidRPr="003F63A2">
        <w:t xml:space="preserve"> </w:t>
      </w:r>
      <w:r w:rsidR="00381692">
        <w:t>–</w:t>
      </w:r>
      <w:r w:rsidRPr="003F63A2">
        <w:t xml:space="preserve"> This identifies the month that the yearly insurance benefits renew. Not including the accurate month could result in inaccurate insurance estimation calculations.  </w:t>
      </w:r>
    </w:p>
    <w:p w14:paraId="3EC66B4F" w14:textId="61345104" w:rsidR="00B3072B" w:rsidRPr="003F63A2" w:rsidRDefault="00B3072B" w:rsidP="004F45B6">
      <w:pPr>
        <w:pStyle w:val="BodyText"/>
        <w:keepNext/>
        <w:keepLines/>
        <w:numPr>
          <w:ilvl w:val="0"/>
          <w:numId w:val="57"/>
        </w:numPr>
        <w:ind w:left="540"/>
      </w:pPr>
      <w:r w:rsidRPr="003F63A2">
        <w:rPr>
          <w:b/>
          <w:bCs/>
        </w:rPr>
        <w:lastRenderedPageBreak/>
        <w:t>Claim Format</w:t>
      </w:r>
      <w:r w:rsidRPr="003F63A2">
        <w:t xml:space="preserve"> </w:t>
      </w:r>
      <w:r w:rsidR="00381692">
        <w:t>–</w:t>
      </w:r>
      <w:r w:rsidRPr="003F63A2">
        <w:t xml:space="preserve"> This determine</w:t>
      </w:r>
      <w:r w:rsidR="00B006D6">
        <w:t>s</w:t>
      </w:r>
      <w:r w:rsidRPr="003F63A2">
        <w:t xml:space="preserve"> the type of claim format </w:t>
      </w:r>
      <w:r w:rsidR="00B006D6">
        <w:t>to use</w:t>
      </w:r>
      <w:r w:rsidRPr="003F63A2">
        <w:t xml:space="preserve"> when a claim is generated for the plan</w:t>
      </w:r>
      <w:r w:rsidR="00B006D6">
        <w:t>:</w:t>
      </w:r>
    </w:p>
    <w:p w14:paraId="66B4794F" w14:textId="170CAE81" w:rsidR="00B006D6" w:rsidRDefault="00B3072B" w:rsidP="004F45B6">
      <w:pPr>
        <w:pStyle w:val="BodyText"/>
        <w:keepNext/>
        <w:keepLines/>
        <w:numPr>
          <w:ilvl w:val="1"/>
          <w:numId w:val="58"/>
        </w:numPr>
        <w:ind w:left="1080"/>
      </w:pPr>
      <w:r w:rsidRPr="003F63A2">
        <w:rPr>
          <w:b/>
          <w:bCs/>
        </w:rPr>
        <w:t>2019 ADA Claim Form</w:t>
      </w:r>
      <w:r w:rsidRPr="003F63A2">
        <w:t xml:space="preserve"> </w:t>
      </w:r>
      <w:r w:rsidR="00381692">
        <w:t xml:space="preserve">– </w:t>
      </w:r>
      <w:r w:rsidRPr="003F63A2">
        <w:t>The ADA Dental Claim Form provides a common format for reporting dental services to a patient's dental benefit plan. A claim is the formal payment request submitted by a dental care provider to the insurance carrier. The carrier then determines how much of the claim is covered by the patient's plan. Additional instruction</w:t>
      </w:r>
      <w:r w:rsidR="00EC3DF9">
        <w:t>s</w:t>
      </w:r>
      <w:r w:rsidRPr="003F63A2">
        <w:t xml:space="preserve"> for the ADA 2019 Claim Form can be found </w:t>
      </w:r>
      <w:r w:rsidR="00BE7A88">
        <w:t>online</w:t>
      </w:r>
      <w:r w:rsidR="00B006D6">
        <w:t>.</w:t>
      </w:r>
    </w:p>
    <w:p w14:paraId="5D0F81AD" w14:textId="01AEC0A7" w:rsidR="00B3072B" w:rsidRPr="003F63A2" w:rsidRDefault="00000000" w:rsidP="004A2A35">
      <w:pPr>
        <w:pStyle w:val="BodyText"/>
        <w:keepNext/>
        <w:keepLines/>
        <w:ind w:left="1440"/>
      </w:pPr>
      <w:hyperlink r:id="rId60" w:history="1">
        <w:r w:rsidR="00B3072B" w:rsidRPr="00BE7A88">
          <w:rPr>
            <w:rStyle w:val="Hyperlink"/>
            <w:color w:val="0070C0"/>
          </w:rPr>
          <w:t>https://www.ada.org/-/media/project/ada-organization/ada/ada-org/files/publications/cdt/</w:t>
        </w:r>
        <w:r w:rsidR="00B006D6" w:rsidRPr="00BE7A88">
          <w:rPr>
            <w:rStyle w:val="Hyperlink"/>
            <w:color w:val="0070C0"/>
          </w:rPr>
          <w:br/>
        </w:r>
        <w:r w:rsidR="00B3072B" w:rsidRPr="00BE7A88">
          <w:rPr>
            <w:rStyle w:val="Hyperlink"/>
            <w:color w:val="0070C0"/>
          </w:rPr>
          <w:t>v2019adadentalclaimcompletioninstructions_v3_2022feb.pdf?rev=70d192ad312a47f285487c1d69de4190&amp;hash=8EFBBD50FA335262C463823E1CA83DFE</w:t>
        </w:r>
      </w:hyperlink>
    </w:p>
    <w:p w14:paraId="36EEAABB" w14:textId="724167D2" w:rsidR="00B3072B" w:rsidRPr="003F63A2" w:rsidRDefault="00B3072B" w:rsidP="004F45B6">
      <w:pPr>
        <w:pStyle w:val="BodyText"/>
        <w:numPr>
          <w:ilvl w:val="1"/>
          <w:numId w:val="58"/>
        </w:numPr>
        <w:ind w:left="1080"/>
      </w:pPr>
      <w:r w:rsidRPr="003F63A2">
        <w:rPr>
          <w:b/>
          <w:bCs/>
        </w:rPr>
        <w:t>Health Care Finance Administration</w:t>
      </w:r>
      <w:r w:rsidRPr="00381692">
        <w:rPr>
          <w:b/>
          <w:bCs/>
        </w:rPr>
        <w:t xml:space="preserve"> - HCFA 1500 Claim Form</w:t>
      </w:r>
      <w:r w:rsidR="00E563B8">
        <w:t xml:space="preserve"> </w:t>
      </w:r>
      <w:r w:rsidR="00381692">
        <w:t>–</w:t>
      </w:r>
      <w:r w:rsidRPr="003F63A2">
        <w:t xml:space="preserve"> Created by Centers for Medicare &amp; Medicaid Services (CMS), which initially </w:t>
      </w:r>
      <w:r w:rsidR="00B006D6">
        <w:t>was created</w:t>
      </w:r>
      <w:r w:rsidRPr="003F63A2">
        <w:t xml:space="preserve"> to facilitate Medicare and Medicaid reimbursements.</w:t>
      </w:r>
    </w:p>
    <w:p w14:paraId="0E50B755" w14:textId="6DAEB06B" w:rsidR="00BE7A88" w:rsidRDefault="00B3072B" w:rsidP="004F45B6">
      <w:pPr>
        <w:pStyle w:val="BodyText"/>
        <w:numPr>
          <w:ilvl w:val="1"/>
          <w:numId w:val="58"/>
        </w:numPr>
        <w:ind w:left="1080"/>
      </w:pPr>
      <w:r w:rsidRPr="003F63A2">
        <w:rPr>
          <w:b/>
          <w:bCs/>
        </w:rPr>
        <w:t>UB04, AKA CMS-1450 Form</w:t>
      </w:r>
      <w:r w:rsidRPr="003F63A2">
        <w:t xml:space="preserve"> </w:t>
      </w:r>
      <w:r w:rsidR="00381692">
        <w:t>–</w:t>
      </w:r>
      <w:r w:rsidRPr="003F63A2">
        <w:t xml:space="preserve"> The UB04 uniform medical billing form is the standard claim form that any provider can use for the billing of inpatient or outpatient care. Refer to your state carriers for specific guidance on submitting the UBO4 dental claims. Sample carrier guidance can be found </w:t>
      </w:r>
      <w:r w:rsidR="00BE7A88">
        <w:t>online.</w:t>
      </w:r>
    </w:p>
    <w:p w14:paraId="7D189C73" w14:textId="44FCD227" w:rsidR="00B3072B" w:rsidRPr="003F63A2" w:rsidRDefault="00000000" w:rsidP="00BE7A88">
      <w:pPr>
        <w:pStyle w:val="BodyText"/>
        <w:ind w:left="1440"/>
      </w:pPr>
      <w:hyperlink r:id="rId61" w:history="1">
        <w:r w:rsidR="00B3072B" w:rsidRPr="00BE7A88">
          <w:rPr>
            <w:rStyle w:val="Hyperlink"/>
            <w:color w:val="0070C0"/>
          </w:rPr>
          <w:t>https://www.amerihealth.com/pdfs/providers/npi/ub04_form.pdf</w:t>
        </w:r>
      </w:hyperlink>
    </w:p>
    <w:p w14:paraId="3436E3C9" w14:textId="5E7471ED" w:rsidR="00B3072B" w:rsidRPr="003F63A2" w:rsidRDefault="00B3072B" w:rsidP="004F45B6">
      <w:pPr>
        <w:pStyle w:val="BodyText"/>
        <w:numPr>
          <w:ilvl w:val="1"/>
          <w:numId w:val="58"/>
        </w:numPr>
        <w:ind w:left="1080"/>
      </w:pPr>
      <w:r w:rsidRPr="003F63A2">
        <w:rPr>
          <w:b/>
          <w:bCs/>
        </w:rPr>
        <w:t>837</w:t>
      </w:r>
      <w:r w:rsidRPr="003F63A2">
        <w:t xml:space="preserve"> </w:t>
      </w:r>
      <w:r w:rsidR="00381692">
        <w:t>–</w:t>
      </w:r>
      <w:r w:rsidRPr="003F63A2">
        <w:t xml:space="preserve"> An 837 file is an electronic file that contains patient claim information. This file is submitted to an insurance company or to a clearinghouse instead of </w:t>
      </w:r>
      <w:r w:rsidR="00BE7A88">
        <w:t xml:space="preserve">a paper claim being </w:t>
      </w:r>
      <w:r w:rsidRPr="003F63A2">
        <w:t>print</w:t>
      </w:r>
      <w:r w:rsidR="00BE7A88">
        <w:t>ed</w:t>
      </w:r>
      <w:r w:rsidRPr="003F63A2">
        <w:t xml:space="preserve"> and mail</w:t>
      </w:r>
      <w:r w:rsidR="00BE7A88">
        <w:t>ed</w:t>
      </w:r>
      <w:r w:rsidRPr="003F63A2">
        <w:t>. The 837 file can process patient claim information in different formats</w:t>
      </w:r>
      <w:r w:rsidR="00BE7A88">
        <w:t xml:space="preserve">: </w:t>
      </w:r>
      <w:r w:rsidRPr="003F63A2">
        <w:t xml:space="preserve">837D (dental), 837P (professional), </w:t>
      </w:r>
      <w:r w:rsidR="00BE7A88">
        <w:t xml:space="preserve">or </w:t>
      </w:r>
      <w:r w:rsidRPr="003F63A2">
        <w:t>837I (institutional).</w:t>
      </w:r>
    </w:p>
    <w:p w14:paraId="38CD612C" w14:textId="463FCE7D" w:rsidR="00B3072B" w:rsidRDefault="00B3072B" w:rsidP="004F45B6">
      <w:pPr>
        <w:pStyle w:val="BodyText"/>
        <w:numPr>
          <w:ilvl w:val="1"/>
          <w:numId w:val="58"/>
        </w:numPr>
        <w:ind w:left="1080"/>
      </w:pPr>
      <w:r w:rsidRPr="003F63A2">
        <w:rPr>
          <w:b/>
          <w:bCs/>
        </w:rPr>
        <w:t>837i</w:t>
      </w:r>
      <w:r w:rsidRPr="003F63A2">
        <w:t xml:space="preserve"> </w:t>
      </w:r>
      <w:r w:rsidR="00381692">
        <w:t>–</w:t>
      </w:r>
      <w:r w:rsidRPr="003F63A2">
        <w:t xml:space="preserve"> </w:t>
      </w:r>
      <w:r w:rsidR="00BE7A88">
        <w:t xml:space="preserve">An </w:t>
      </w:r>
      <w:r w:rsidRPr="003F63A2">
        <w:t xml:space="preserve">837i (institutional) </w:t>
      </w:r>
      <w:r w:rsidR="00BE7A88">
        <w:t xml:space="preserve">file </w:t>
      </w:r>
      <w:r w:rsidRPr="003F63A2">
        <w:t xml:space="preserve">is the standard format used by institutional providers to transmit health care claims electronically. The Form CMS-1450, also known as the UB04, is the standard claim form to bill Medicare Administrative Contractors (MACs) when a paper claim is allowed. For additional </w:t>
      </w:r>
      <w:r w:rsidR="00BE7A88">
        <w:t xml:space="preserve">information and </w:t>
      </w:r>
      <w:r w:rsidRPr="003F63A2">
        <w:t>guidance about 837i, refer to the IHS EDR Training Videos.</w:t>
      </w:r>
    </w:p>
    <w:p w14:paraId="2FFA8011" w14:textId="548D8B54" w:rsidR="00705F7B" w:rsidRPr="005B0B41" w:rsidRDefault="00705F7B" w:rsidP="00CC6179">
      <w:pPr>
        <w:pStyle w:val="BodyText"/>
        <w:ind w:left="1080"/>
        <w:rPr>
          <w:i/>
          <w:iCs/>
        </w:rPr>
      </w:pPr>
      <w:r w:rsidRPr="005B0B41">
        <w:rPr>
          <w:b/>
          <w:bCs/>
          <w:i/>
          <w:iCs/>
          <w:noProof/>
        </w:rPr>
        <w:drawing>
          <wp:anchor distT="0" distB="0" distL="0" distR="91440" simplePos="0" relativeHeight="252081156" behindDoc="1" locked="0" layoutInCell="1" allowOverlap="1" wp14:anchorId="127DAF70" wp14:editId="7AC00977">
            <wp:simplePos x="0" y="0"/>
            <wp:positionH relativeFrom="column">
              <wp:posOffset>-453224</wp:posOffset>
            </wp:positionH>
            <wp:positionV relativeFrom="paragraph">
              <wp:posOffset>55659</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458898125"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5B0B41">
        <w:rPr>
          <w:b/>
          <w:bCs/>
          <w:i/>
          <w:iCs/>
        </w:rPr>
        <w:t>*NEW* Workflow Insight</w:t>
      </w:r>
      <w:r w:rsidR="00CC6179" w:rsidRPr="005B0B41">
        <w:rPr>
          <w:i/>
          <w:iCs/>
        </w:rPr>
        <w:t>: In version 11.0.44, an electronic UB04 (837i) claim can be submitted from Dentrix Enterprise. The 837i claims process requires enrollment and setup of eClaims through Dentrix Enterprise and Henry Schein One.</w:t>
      </w:r>
    </w:p>
    <w:p w14:paraId="3A15B5F1" w14:textId="1CBEDCCF" w:rsidR="00B3072B" w:rsidRPr="003F63A2" w:rsidRDefault="00B3072B" w:rsidP="004F45B6">
      <w:pPr>
        <w:pStyle w:val="BodyText"/>
        <w:numPr>
          <w:ilvl w:val="0"/>
          <w:numId w:val="57"/>
        </w:numPr>
        <w:ind w:left="540"/>
      </w:pPr>
      <w:r w:rsidRPr="003F63A2">
        <w:rPr>
          <w:b/>
          <w:bCs/>
        </w:rPr>
        <w:t>Fee Schedule</w:t>
      </w:r>
      <w:r w:rsidRPr="003F63A2">
        <w:t xml:space="preserve"> </w:t>
      </w:r>
      <w:r w:rsidR="00381692">
        <w:t>–</w:t>
      </w:r>
      <w:r w:rsidRPr="003F63A2">
        <w:t xml:space="preserve"> Attaching the maximum allowable fee schedule to the plan is the preferred method to produce accurate insurance estimations throughout the system. For additional information see the </w:t>
      </w:r>
      <w:r w:rsidR="00BE7A88">
        <w:t>“</w:t>
      </w:r>
      <w:r w:rsidRPr="003F63A2">
        <w:t>Estimate Components</w:t>
      </w:r>
      <w:r w:rsidR="00BE7A88">
        <w:t>”</w:t>
      </w:r>
      <w:r w:rsidRPr="003F63A2">
        <w:t xml:space="preserve"> section.</w:t>
      </w:r>
    </w:p>
    <w:p w14:paraId="6DF1BA09" w14:textId="13E95867" w:rsidR="00B3072B" w:rsidRPr="00BE7A88" w:rsidRDefault="00F46BA9" w:rsidP="003F63A2">
      <w:pPr>
        <w:pStyle w:val="BodyText"/>
        <w:ind w:left="540"/>
        <w:rPr>
          <w:i/>
          <w:iCs/>
        </w:rPr>
      </w:pPr>
      <w:r>
        <w:rPr>
          <w:noProof/>
        </w:rPr>
        <w:drawing>
          <wp:anchor distT="0" distB="0" distL="0" distR="91440" simplePos="0" relativeHeight="251779076" behindDoc="1" locked="0" layoutInCell="1" allowOverlap="1" wp14:anchorId="79F1242E" wp14:editId="615038D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33441960"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BE7A88">
        <w:rPr>
          <w:b/>
          <w:bCs/>
          <w:i/>
          <w:iCs/>
        </w:rPr>
        <w:t>Operations Insight</w:t>
      </w:r>
      <w:r w:rsidR="00B3072B" w:rsidRPr="00BE7A88">
        <w:rPr>
          <w:i/>
          <w:iCs/>
        </w:rPr>
        <w:t>: Using the contracted max</w:t>
      </w:r>
      <w:r w:rsidR="00BE7A88" w:rsidRPr="00BE7A88">
        <w:rPr>
          <w:i/>
          <w:iCs/>
        </w:rPr>
        <w:t>imum</w:t>
      </w:r>
      <w:r w:rsidR="00B3072B" w:rsidRPr="00BE7A88">
        <w:rPr>
          <w:i/>
          <w:iCs/>
        </w:rPr>
        <w:t xml:space="preserve"> allowable fee also supports workflow efficiency in other areas</w:t>
      </w:r>
      <w:r w:rsidR="00BE7A88" w:rsidRPr="00BE7A88">
        <w:rPr>
          <w:i/>
          <w:iCs/>
        </w:rPr>
        <w:t>: r</w:t>
      </w:r>
      <w:r w:rsidR="00B3072B" w:rsidRPr="00BE7A88">
        <w:rPr>
          <w:i/>
          <w:iCs/>
        </w:rPr>
        <w:t xml:space="preserve">eporting, insurance estimations, posting payments, </w:t>
      </w:r>
      <w:r w:rsidR="00BE7A88" w:rsidRPr="00BE7A88">
        <w:rPr>
          <w:i/>
          <w:iCs/>
        </w:rPr>
        <w:t xml:space="preserve">and </w:t>
      </w:r>
      <w:r w:rsidR="00B3072B" w:rsidRPr="00BE7A88">
        <w:rPr>
          <w:i/>
          <w:iCs/>
        </w:rPr>
        <w:t xml:space="preserve">provider payroll.  If there is not a fee schedule attached to the insurance plan, </w:t>
      </w:r>
      <w:r w:rsidR="00BE7A88" w:rsidRPr="00BE7A88">
        <w:rPr>
          <w:i/>
          <w:iCs/>
        </w:rPr>
        <w:t>Dentrix Enterprise uses</w:t>
      </w:r>
      <w:r w:rsidR="00B3072B" w:rsidRPr="00BE7A88">
        <w:rPr>
          <w:i/>
          <w:iCs/>
        </w:rPr>
        <w:t xml:space="preserve"> the fee schedule </w:t>
      </w:r>
      <w:r w:rsidR="00BE7A88" w:rsidRPr="00BE7A88">
        <w:rPr>
          <w:i/>
          <w:iCs/>
        </w:rPr>
        <w:t xml:space="preserve">that is </w:t>
      </w:r>
      <w:r w:rsidR="00B3072B" w:rsidRPr="00BE7A88">
        <w:rPr>
          <w:i/>
          <w:iCs/>
        </w:rPr>
        <w:t xml:space="preserve">attached to the provider of procedures when </w:t>
      </w:r>
      <w:r w:rsidR="00BE7A88" w:rsidRPr="00BE7A88">
        <w:rPr>
          <w:i/>
          <w:iCs/>
        </w:rPr>
        <w:t>it calculates</w:t>
      </w:r>
      <w:r w:rsidR="00B3072B" w:rsidRPr="00BE7A88">
        <w:rPr>
          <w:i/>
          <w:iCs/>
        </w:rPr>
        <w:t xml:space="preserve"> the percentages from the coverage table.</w:t>
      </w:r>
    </w:p>
    <w:p w14:paraId="6D7AE327" w14:textId="6531DE27" w:rsidR="00B3072B" w:rsidRPr="003F63A2" w:rsidRDefault="00B3072B" w:rsidP="004F45B6">
      <w:pPr>
        <w:pStyle w:val="BodyText"/>
        <w:keepNext/>
        <w:keepLines/>
        <w:numPr>
          <w:ilvl w:val="0"/>
          <w:numId w:val="57"/>
        </w:numPr>
        <w:ind w:left="547"/>
      </w:pPr>
      <w:r w:rsidRPr="003F63A2">
        <w:rPr>
          <w:b/>
          <w:bCs/>
        </w:rPr>
        <w:lastRenderedPageBreak/>
        <w:t>Payor ID</w:t>
      </w:r>
      <w:r w:rsidRPr="003F63A2">
        <w:t xml:space="preserve"> </w:t>
      </w:r>
      <w:r w:rsidR="00381692">
        <w:t>–</w:t>
      </w:r>
      <w:r w:rsidRPr="003F63A2">
        <w:t xml:space="preserve"> The </w:t>
      </w:r>
      <w:r w:rsidR="00E34A34">
        <w:t>p</w:t>
      </w:r>
      <w:r w:rsidRPr="003F63A2">
        <w:t xml:space="preserve">ayor ID is the “electronic address” for submitting claims electronically. Each payor has its own payor ID; however, some clearinghouses create their own specific payor ID. The list provided in Dentrix Enterprise includes the payor IDs </w:t>
      </w:r>
      <w:r w:rsidR="00BE7A88">
        <w:t xml:space="preserve">that are </w:t>
      </w:r>
      <w:r w:rsidRPr="003F63A2">
        <w:t xml:space="preserve">specific to </w:t>
      </w:r>
      <w:r w:rsidR="00BE7A88">
        <w:t>Henry Schein One</w:t>
      </w:r>
      <w:r w:rsidR="00E34A34">
        <w:t>’s</w:t>
      </w:r>
      <w:r w:rsidR="00BE7A88">
        <w:t xml:space="preserve"> </w:t>
      </w:r>
      <w:r w:rsidRPr="003F63A2">
        <w:t xml:space="preserve">eClaims clearinghouse. If you do not use eClaims, you </w:t>
      </w:r>
      <w:r w:rsidR="00E34A34">
        <w:t>must</w:t>
      </w:r>
      <w:r w:rsidRPr="003F63A2">
        <w:t xml:space="preserve"> enter the </w:t>
      </w:r>
      <w:r w:rsidR="00E34A34">
        <w:t>p</w:t>
      </w:r>
      <w:r w:rsidRPr="003F63A2">
        <w:t xml:space="preserve">ayor ID manually, and identify the correct </w:t>
      </w:r>
      <w:r w:rsidR="00E34A34">
        <w:t>p</w:t>
      </w:r>
      <w:r w:rsidRPr="003F63A2">
        <w:t>ayor IDs as directed by your clearinghouse.</w:t>
      </w:r>
    </w:p>
    <w:p w14:paraId="1E6940FD" w14:textId="7C9C4540" w:rsidR="00B3072B" w:rsidRPr="00E34A34" w:rsidRDefault="00F46BA9" w:rsidP="004A2A35">
      <w:pPr>
        <w:pStyle w:val="BodyText"/>
        <w:keepNext/>
        <w:keepLines/>
        <w:ind w:left="547"/>
        <w:rPr>
          <w:i/>
          <w:iCs/>
        </w:rPr>
      </w:pPr>
      <w:r>
        <w:rPr>
          <w:noProof/>
        </w:rPr>
        <w:drawing>
          <wp:anchor distT="0" distB="0" distL="0" distR="91440" simplePos="0" relativeHeight="251781124" behindDoc="1" locked="0" layoutInCell="1" allowOverlap="1" wp14:anchorId="12199A98" wp14:editId="5DA139EA">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473751764"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E34A34">
        <w:rPr>
          <w:b/>
          <w:bCs/>
          <w:i/>
          <w:iCs/>
        </w:rPr>
        <w:t>Workflow Insight</w:t>
      </w:r>
      <w:r w:rsidR="00B3072B" w:rsidRPr="00E34A34">
        <w:rPr>
          <w:i/>
          <w:iCs/>
        </w:rPr>
        <w:t xml:space="preserve">: Having the </w:t>
      </w:r>
      <w:r w:rsidR="00E34A34" w:rsidRPr="00E34A34">
        <w:rPr>
          <w:i/>
          <w:iCs/>
        </w:rPr>
        <w:t>p</w:t>
      </w:r>
      <w:r w:rsidR="00B3072B" w:rsidRPr="00E34A34">
        <w:rPr>
          <w:i/>
          <w:iCs/>
        </w:rPr>
        <w:t xml:space="preserve">ayor ID list available in the system directly from the eClaims clearinghouse streamlines the workflow while improving accuracy. If a </w:t>
      </w:r>
      <w:r w:rsidR="00E34A34" w:rsidRPr="00E34A34">
        <w:rPr>
          <w:i/>
          <w:iCs/>
        </w:rPr>
        <w:t>p</w:t>
      </w:r>
      <w:r w:rsidR="00B3072B" w:rsidRPr="00E34A34">
        <w:rPr>
          <w:i/>
          <w:iCs/>
        </w:rPr>
        <w:t>ayor ID is not listed, select the “all payors not listed” ID</w:t>
      </w:r>
      <w:r w:rsidR="00E34A34" w:rsidRPr="00E34A34">
        <w:rPr>
          <w:i/>
          <w:iCs/>
        </w:rPr>
        <w:t>,</w:t>
      </w:r>
      <w:r w:rsidR="00B3072B" w:rsidRPr="00E34A34">
        <w:rPr>
          <w:i/>
          <w:iCs/>
        </w:rPr>
        <w:t xml:space="preserve"> and the claim will be processed without any additional steps required.  </w:t>
      </w:r>
      <w:r w:rsidR="00E34A34" w:rsidRPr="00E34A34">
        <w:rPr>
          <w:i/>
          <w:iCs/>
        </w:rPr>
        <w:t>If possible, the clearinghouse</w:t>
      </w:r>
      <w:r w:rsidR="00B3072B" w:rsidRPr="00E34A34">
        <w:rPr>
          <w:i/>
          <w:iCs/>
        </w:rPr>
        <w:t xml:space="preserve"> update</w:t>
      </w:r>
      <w:r w:rsidR="00E34A34" w:rsidRPr="00E34A34">
        <w:rPr>
          <w:i/>
          <w:iCs/>
        </w:rPr>
        <w:t>s</w:t>
      </w:r>
      <w:r w:rsidR="00B3072B" w:rsidRPr="00E34A34">
        <w:rPr>
          <w:i/>
          <w:iCs/>
        </w:rPr>
        <w:t xml:space="preserve"> the </w:t>
      </w:r>
      <w:r w:rsidR="00E34A34" w:rsidRPr="00E34A34">
        <w:rPr>
          <w:i/>
          <w:iCs/>
        </w:rPr>
        <w:t>p</w:t>
      </w:r>
      <w:r w:rsidR="00B3072B" w:rsidRPr="00E34A34">
        <w:rPr>
          <w:i/>
          <w:iCs/>
        </w:rPr>
        <w:t>ayor ID and send</w:t>
      </w:r>
      <w:r w:rsidR="00E34A34" w:rsidRPr="00E34A34">
        <w:rPr>
          <w:i/>
          <w:iCs/>
        </w:rPr>
        <w:t>s</w:t>
      </w:r>
      <w:r w:rsidR="00B3072B" w:rsidRPr="00E34A34">
        <w:rPr>
          <w:i/>
          <w:iCs/>
        </w:rPr>
        <w:t xml:space="preserve"> </w:t>
      </w:r>
      <w:r w:rsidR="00E34A34" w:rsidRPr="00E34A34">
        <w:rPr>
          <w:i/>
          <w:iCs/>
        </w:rPr>
        <w:t xml:space="preserve">the claim </w:t>
      </w:r>
      <w:r w:rsidR="00B3072B" w:rsidRPr="00E34A34">
        <w:rPr>
          <w:i/>
          <w:iCs/>
        </w:rPr>
        <w:t>electronically</w:t>
      </w:r>
      <w:r w:rsidR="00E34A34" w:rsidRPr="00E34A34">
        <w:rPr>
          <w:i/>
          <w:iCs/>
        </w:rPr>
        <w:t>; otherwise</w:t>
      </w:r>
      <w:r w:rsidR="00B3072B" w:rsidRPr="00E34A34">
        <w:rPr>
          <w:i/>
          <w:iCs/>
        </w:rPr>
        <w:t xml:space="preserve">, the </w:t>
      </w:r>
      <w:r w:rsidR="00E34A34" w:rsidRPr="00E34A34">
        <w:rPr>
          <w:i/>
          <w:iCs/>
        </w:rPr>
        <w:t>clearinghouse prints the claim</w:t>
      </w:r>
      <w:r w:rsidR="00B3072B" w:rsidRPr="00E34A34">
        <w:rPr>
          <w:i/>
          <w:iCs/>
        </w:rPr>
        <w:t xml:space="preserve"> and sen</w:t>
      </w:r>
      <w:r w:rsidR="00E34A34" w:rsidRPr="00E34A34">
        <w:rPr>
          <w:i/>
          <w:iCs/>
        </w:rPr>
        <w:t>ds it</w:t>
      </w:r>
      <w:r w:rsidR="00B3072B" w:rsidRPr="00E34A34">
        <w:rPr>
          <w:i/>
          <w:iCs/>
        </w:rPr>
        <w:t xml:space="preserve"> to the payor. This process eliminates segregating claims that cannot be sent electronically.</w:t>
      </w:r>
    </w:p>
    <w:p w14:paraId="46EEDA17" w14:textId="4CFAFAB5" w:rsidR="00B3072B" w:rsidRPr="00A573D0" w:rsidRDefault="00B3072B" w:rsidP="004F45B6">
      <w:pPr>
        <w:pStyle w:val="BodyText"/>
        <w:numPr>
          <w:ilvl w:val="0"/>
          <w:numId w:val="57"/>
        </w:numPr>
        <w:ind w:left="540"/>
        <w:rPr>
          <w:b/>
          <w:bCs/>
          <w:i/>
          <w:iCs/>
        </w:rPr>
      </w:pPr>
      <w:r w:rsidRPr="003F63A2">
        <w:rPr>
          <w:b/>
          <w:bCs/>
        </w:rPr>
        <w:t>Financial Class Type</w:t>
      </w:r>
      <w:r w:rsidR="00E34A34">
        <w:rPr>
          <w:b/>
          <w:bCs/>
        </w:rPr>
        <w:t>s</w:t>
      </w:r>
      <w:r w:rsidRPr="003F63A2">
        <w:t xml:space="preserve"> </w:t>
      </w:r>
      <w:r w:rsidR="00381692">
        <w:t>–</w:t>
      </w:r>
      <w:r w:rsidRPr="003F63A2">
        <w:t xml:space="preserve"> Financial </w:t>
      </w:r>
      <w:r w:rsidR="00E34A34">
        <w:t>c</w:t>
      </w:r>
      <w:r w:rsidRPr="003F63A2">
        <w:t xml:space="preserve">lass </w:t>
      </w:r>
      <w:r w:rsidR="00E34A34">
        <w:t>t</w:t>
      </w:r>
      <w:r w:rsidRPr="003F63A2">
        <w:t>ypes allow you to group different payors into a similar category</w:t>
      </w:r>
      <w:r w:rsidR="00E34A34" w:rsidRPr="003F63A2">
        <w:t xml:space="preserve"> (</w:t>
      </w:r>
      <w:r w:rsidR="00E34A34">
        <w:t xml:space="preserve">such as </w:t>
      </w:r>
      <w:r w:rsidR="00E34A34" w:rsidRPr="003F63A2">
        <w:t xml:space="preserve">Medicare, Medicaid, </w:t>
      </w:r>
      <w:r w:rsidR="00E34A34">
        <w:t>or s</w:t>
      </w:r>
      <w:r w:rsidR="00E34A34" w:rsidRPr="003F63A2">
        <w:t>elf-</w:t>
      </w:r>
      <w:r w:rsidR="00E34A34">
        <w:t>p</w:t>
      </w:r>
      <w:r w:rsidR="00E34A34" w:rsidRPr="003F63A2">
        <w:t>ay)</w:t>
      </w:r>
      <w:r w:rsidRPr="003F63A2">
        <w:t xml:space="preserve"> for billing and reporting purposes. The</w:t>
      </w:r>
      <w:r w:rsidR="00E34A34">
        <w:t xml:space="preserve"> financial class</w:t>
      </w:r>
      <w:r w:rsidRPr="003F63A2">
        <w:t xml:space="preserve"> types </w:t>
      </w:r>
      <w:r w:rsidR="00E34A34">
        <w:t>are set up in Practice D</w:t>
      </w:r>
      <w:r>
        <w:t>efinitions.</w:t>
      </w:r>
    </w:p>
    <w:p w14:paraId="54317653" w14:textId="77777777" w:rsidR="00B3072B" w:rsidRPr="003F63A2" w:rsidRDefault="00B3072B" w:rsidP="00D42C5A">
      <w:pPr>
        <w:pStyle w:val="Heading3"/>
      </w:pPr>
      <w:bookmarkStart w:id="178" w:name="_Toc166834366"/>
      <w:r w:rsidRPr="003F63A2">
        <w:t>Insurance Plan Claim Settings (Dental Form):</w:t>
      </w:r>
      <w:bookmarkEnd w:id="178"/>
      <w:r w:rsidRPr="003F63A2">
        <w:t xml:space="preserve"> </w:t>
      </w:r>
    </w:p>
    <w:p w14:paraId="0895436B" w14:textId="04F92034" w:rsidR="00B3072B" w:rsidRPr="00253C8F" w:rsidRDefault="00F46BA9" w:rsidP="003F63A2">
      <w:pPr>
        <w:pStyle w:val="BodyText"/>
        <w:rPr>
          <w:b/>
          <w:i/>
          <w:iCs/>
        </w:rPr>
      </w:pPr>
      <w:r>
        <w:rPr>
          <w:noProof/>
        </w:rPr>
        <w:drawing>
          <wp:anchor distT="0" distB="0" distL="0" distR="91440" simplePos="0" relativeHeight="251783172" behindDoc="1" locked="0" layoutInCell="1" allowOverlap="1" wp14:anchorId="6455227C" wp14:editId="0D37AD7D">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70842664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253C8F">
        <w:rPr>
          <w:b/>
          <w:bCs/>
          <w:i/>
          <w:iCs/>
        </w:rPr>
        <w:t>Operations Insight</w:t>
      </w:r>
      <w:r w:rsidR="00E34A34" w:rsidRPr="00253C8F">
        <w:rPr>
          <w:i/>
          <w:iCs/>
        </w:rPr>
        <w:t>:</w:t>
      </w:r>
      <w:r w:rsidR="00B3072B" w:rsidRPr="00253C8F">
        <w:rPr>
          <w:i/>
          <w:iCs/>
        </w:rPr>
        <w:t xml:space="preserve"> </w:t>
      </w:r>
      <w:r w:rsidR="00253C8F" w:rsidRPr="00253C8F">
        <w:rPr>
          <w:i/>
          <w:iCs/>
        </w:rPr>
        <w:t>You can set up the default claim setup from</w:t>
      </w:r>
      <w:r w:rsidR="00B3072B" w:rsidRPr="00253C8F">
        <w:rPr>
          <w:i/>
          <w:iCs/>
        </w:rPr>
        <w:t xml:space="preserve"> Office Manager</w:t>
      </w:r>
      <w:r w:rsidR="00253C8F" w:rsidRPr="00253C8F">
        <w:rPr>
          <w:i/>
          <w:iCs/>
        </w:rPr>
        <w:t xml:space="preserve">. Go to </w:t>
      </w:r>
      <w:r w:rsidR="00B3072B" w:rsidRPr="00253C8F">
        <w:rPr>
          <w:b/>
          <w:bCs/>
          <w:i/>
          <w:iCs/>
        </w:rPr>
        <w:t>Maintenance</w:t>
      </w:r>
      <w:r w:rsidR="00B3072B" w:rsidRPr="00253C8F">
        <w:rPr>
          <w:i/>
          <w:iCs/>
        </w:rPr>
        <w:t xml:space="preserve"> </w:t>
      </w:r>
      <w:r w:rsidR="00253C8F" w:rsidRPr="00253C8F">
        <w:rPr>
          <w:i/>
          <w:iCs/>
        </w:rPr>
        <w:t>&gt;</w:t>
      </w:r>
      <w:r w:rsidR="00B3072B" w:rsidRPr="00253C8F">
        <w:rPr>
          <w:i/>
          <w:iCs/>
        </w:rPr>
        <w:t xml:space="preserve"> </w:t>
      </w:r>
      <w:r w:rsidR="00B3072B" w:rsidRPr="00253C8F">
        <w:rPr>
          <w:b/>
          <w:bCs/>
          <w:i/>
          <w:iCs/>
        </w:rPr>
        <w:t>Reference</w:t>
      </w:r>
      <w:r w:rsidR="00B3072B" w:rsidRPr="00253C8F">
        <w:rPr>
          <w:i/>
          <w:iCs/>
        </w:rPr>
        <w:t xml:space="preserve"> </w:t>
      </w:r>
      <w:r w:rsidR="00253C8F" w:rsidRPr="00253C8F">
        <w:rPr>
          <w:i/>
          <w:iCs/>
        </w:rPr>
        <w:t>&gt;</w:t>
      </w:r>
      <w:r w:rsidR="00B3072B" w:rsidRPr="00253C8F">
        <w:rPr>
          <w:i/>
          <w:iCs/>
        </w:rPr>
        <w:t xml:space="preserve"> </w:t>
      </w:r>
      <w:r w:rsidR="00B3072B" w:rsidRPr="00253C8F">
        <w:rPr>
          <w:b/>
          <w:bCs/>
          <w:i/>
          <w:iCs/>
        </w:rPr>
        <w:t>Claim Setup</w:t>
      </w:r>
      <w:r w:rsidR="00B3072B" w:rsidRPr="00253C8F">
        <w:rPr>
          <w:i/>
          <w:iCs/>
        </w:rPr>
        <w:t xml:space="preserve">. Changing the default </w:t>
      </w:r>
      <w:r w:rsidR="00253C8F" w:rsidRPr="00253C8F">
        <w:rPr>
          <w:i/>
          <w:iCs/>
        </w:rPr>
        <w:t>c</w:t>
      </w:r>
      <w:r w:rsidR="00B3072B" w:rsidRPr="00253C8F">
        <w:rPr>
          <w:i/>
          <w:iCs/>
        </w:rPr>
        <w:t xml:space="preserve">laim </w:t>
      </w:r>
      <w:r w:rsidR="00253C8F" w:rsidRPr="00253C8F">
        <w:rPr>
          <w:i/>
          <w:iCs/>
        </w:rPr>
        <w:t>s</w:t>
      </w:r>
      <w:r w:rsidR="00B3072B" w:rsidRPr="00253C8F">
        <w:rPr>
          <w:i/>
          <w:iCs/>
        </w:rPr>
        <w:t xml:space="preserve">etup </w:t>
      </w:r>
      <w:r w:rsidR="00253C8F" w:rsidRPr="00253C8F">
        <w:rPr>
          <w:i/>
          <w:iCs/>
        </w:rPr>
        <w:t>affects</w:t>
      </w:r>
      <w:r w:rsidR="00B3072B" w:rsidRPr="00253C8F">
        <w:rPr>
          <w:i/>
          <w:iCs/>
        </w:rPr>
        <w:t xml:space="preserve"> </w:t>
      </w:r>
      <w:r w:rsidR="00253C8F" w:rsidRPr="00253C8F">
        <w:rPr>
          <w:i/>
          <w:iCs/>
        </w:rPr>
        <w:t>any new</w:t>
      </w:r>
      <w:r w:rsidR="00B3072B" w:rsidRPr="00253C8F">
        <w:rPr>
          <w:i/>
          <w:iCs/>
        </w:rPr>
        <w:t xml:space="preserve"> insurance plans </w:t>
      </w:r>
      <w:r w:rsidR="00253C8F" w:rsidRPr="00253C8F">
        <w:rPr>
          <w:i/>
          <w:iCs/>
        </w:rPr>
        <w:t xml:space="preserve">that get </w:t>
      </w:r>
      <w:r w:rsidR="00B3072B" w:rsidRPr="00253C8F">
        <w:rPr>
          <w:i/>
          <w:iCs/>
        </w:rPr>
        <w:t xml:space="preserve">created </w:t>
      </w:r>
      <w:r w:rsidR="00253C8F" w:rsidRPr="00253C8F">
        <w:rPr>
          <w:i/>
          <w:iCs/>
        </w:rPr>
        <w:t xml:space="preserve">from that point on </w:t>
      </w:r>
      <w:r w:rsidR="00B3072B" w:rsidRPr="00253C8F">
        <w:rPr>
          <w:i/>
          <w:iCs/>
        </w:rPr>
        <w:t xml:space="preserve">and does not </w:t>
      </w:r>
      <w:r w:rsidR="00253C8F" w:rsidRPr="00253C8F">
        <w:rPr>
          <w:i/>
          <w:iCs/>
        </w:rPr>
        <w:t>affect</w:t>
      </w:r>
      <w:r w:rsidR="00B3072B" w:rsidRPr="00253C8F">
        <w:rPr>
          <w:i/>
          <w:iCs/>
        </w:rPr>
        <w:t xml:space="preserve"> existing plans</w:t>
      </w:r>
      <w:r w:rsidR="00253C8F" w:rsidRPr="00253C8F">
        <w:rPr>
          <w:i/>
          <w:iCs/>
        </w:rPr>
        <w:t>; however, an option to c</w:t>
      </w:r>
      <w:r w:rsidR="00B3072B" w:rsidRPr="00253C8F">
        <w:rPr>
          <w:i/>
          <w:iCs/>
        </w:rPr>
        <w:t xml:space="preserve">opy </w:t>
      </w:r>
      <w:r w:rsidR="00253C8F" w:rsidRPr="00253C8F">
        <w:rPr>
          <w:i/>
          <w:iCs/>
        </w:rPr>
        <w:t>the s</w:t>
      </w:r>
      <w:r w:rsidR="00B3072B" w:rsidRPr="00253C8F">
        <w:rPr>
          <w:i/>
          <w:iCs/>
        </w:rPr>
        <w:t>ettings to selected or all insurance plans</w:t>
      </w:r>
      <w:r w:rsidR="00253C8F" w:rsidRPr="00253C8F">
        <w:rPr>
          <w:i/>
          <w:iCs/>
        </w:rPr>
        <w:t xml:space="preserve"> is available</w:t>
      </w:r>
      <w:r w:rsidR="00B3072B" w:rsidRPr="00253C8F">
        <w:rPr>
          <w:i/>
          <w:iCs/>
        </w:rPr>
        <w:t>.</w:t>
      </w:r>
    </w:p>
    <w:p w14:paraId="79834B04" w14:textId="3CE1DAAE" w:rsidR="00E563B8" w:rsidRDefault="00B3072B" w:rsidP="00E92EA5">
      <w:pPr>
        <w:pStyle w:val="Heading4"/>
        <w:rPr>
          <w:bCs/>
        </w:rPr>
      </w:pPr>
      <w:r w:rsidRPr="003F63A2">
        <w:t>Claim Setup</w:t>
      </w:r>
    </w:p>
    <w:p w14:paraId="61481D9C" w14:textId="3CCA8287" w:rsidR="00B3072B" w:rsidRPr="0095119F" w:rsidRDefault="00B3072B" w:rsidP="00E563B8">
      <w:pPr>
        <w:pStyle w:val="BodyText"/>
        <w:rPr>
          <w:b/>
          <w:bCs/>
        </w:rPr>
      </w:pPr>
      <w:r w:rsidRPr="008C0AEE">
        <w:t xml:space="preserve">The ADA </w:t>
      </w:r>
      <w:r w:rsidR="00873C95">
        <w:t>c</w:t>
      </w:r>
      <w:r w:rsidRPr="008C0AEE">
        <w:t>laim</w:t>
      </w:r>
      <w:r w:rsidRPr="008C0AEE">
        <w:rPr>
          <w:b/>
          <w:bCs/>
        </w:rPr>
        <w:t xml:space="preserve"> </w:t>
      </w:r>
      <w:r w:rsidR="00873C95">
        <w:t>f</w:t>
      </w:r>
      <w:r w:rsidRPr="009025FF">
        <w:t>orm</w:t>
      </w:r>
      <w:r w:rsidR="008D0648">
        <w:t xml:space="preserve"> DX2019</w:t>
      </w:r>
      <w:r w:rsidRPr="008C0AEE">
        <w:t xml:space="preserve"> in Dentrix Enterprise provide</w:t>
      </w:r>
      <w:r w:rsidR="00253C8F">
        <w:t>s</w:t>
      </w:r>
      <w:r w:rsidRPr="008C0AEE">
        <w:t xml:space="preserve"> additional settings that can be set per plan or as a default for new insurance plans. </w:t>
      </w:r>
    </w:p>
    <w:p w14:paraId="26A4DD4A" w14:textId="6840518A" w:rsidR="00B3072B" w:rsidRPr="00B110DD" w:rsidRDefault="00B3072B" w:rsidP="004F45B6">
      <w:pPr>
        <w:pStyle w:val="BodyText"/>
        <w:numPr>
          <w:ilvl w:val="0"/>
          <w:numId w:val="59"/>
        </w:numPr>
        <w:ind w:left="540"/>
      </w:pPr>
      <w:r w:rsidRPr="00873C95">
        <w:rPr>
          <w:b/>
          <w:bCs/>
        </w:rPr>
        <w:t>Formatting Options</w:t>
      </w:r>
      <w:r w:rsidRPr="00B110DD">
        <w:t xml:space="preserve"> </w:t>
      </w:r>
      <w:r w:rsidR="00873C95">
        <w:t xml:space="preserve">– </w:t>
      </w:r>
      <w:r w:rsidR="00873C95" w:rsidRPr="00873C95">
        <w:rPr>
          <w:b/>
          <w:bCs/>
        </w:rPr>
        <w:t>F</w:t>
      </w:r>
      <w:r w:rsidRPr="00873C95">
        <w:rPr>
          <w:b/>
          <w:bCs/>
        </w:rPr>
        <w:t xml:space="preserve">ont </w:t>
      </w:r>
      <w:r w:rsidR="00873C95" w:rsidRPr="00873C95">
        <w:rPr>
          <w:b/>
          <w:bCs/>
        </w:rPr>
        <w:t>S</w:t>
      </w:r>
      <w:r w:rsidRPr="00873C95">
        <w:rPr>
          <w:b/>
          <w:bCs/>
        </w:rPr>
        <w:t>ize</w:t>
      </w:r>
      <w:r w:rsidRPr="00B110DD">
        <w:t xml:space="preserve">, </w:t>
      </w:r>
      <w:r w:rsidR="00873C95" w:rsidRPr="00873C95">
        <w:rPr>
          <w:b/>
          <w:bCs/>
        </w:rPr>
        <w:t>D</w:t>
      </w:r>
      <w:r w:rsidRPr="00873C95">
        <w:rPr>
          <w:b/>
          <w:bCs/>
        </w:rPr>
        <w:t xml:space="preserve">ate </w:t>
      </w:r>
      <w:r w:rsidR="00873C95" w:rsidRPr="00873C95">
        <w:rPr>
          <w:b/>
          <w:bCs/>
        </w:rPr>
        <w:t>F</w:t>
      </w:r>
      <w:r w:rsidRPr="00873C95">
        <w:rPr>
          <w:b/>
          <w:bCs/>
        </w:rPr>
        <w:t>ormat</w:t>
      </w:r>
      <w:r w:rsidRPr="00B110DD">
        <w:t>, and other</w:t>
      </w:r>
      <w:r w:rsidR="00873C95">
        <w:t xml:space="preserve"> options (if</w:t>
      </w:r>
      <w:r w:rsidRPr="00B110DD">
        <w:t xml:space="preserve"> a carrier requires something non-standard, such as </w:t>
      </w:r>
      <w:r w:rsidRPr="00873C95">
        <w:rPr>
          <w:b/>
          <w:bCs/>
        </w:rPr>
        <w:t>No Special Characters</w:t>
      </w:r>
      <w:r w:rsidR="00873C95">
        <w:t>)</w:t>
      </w:r>
      <w:r w:rsidRPr="00B110DD">
        <w:t>.</w:t>
      </w:r>
    </w:p>
    <w:p w14:paraId="1DCA1DC7" w14:textId="0E6AD327" w:rsidR="00B3072B" w:rsidRPr="00B110DD" w:rsidRDefault="00B3072B" w:rsidP="004F45B6">
      <w:pPr>
        <w:pStyle w:val="BodyText"/>
        <w:numPr>
          <w:ilvl w:val="0"/>
          <w:numId w:val="59"/>
        </w:numPr>
        <w:ind w:left="540"/>
      </w:pPr>
      <w:r w:rsidRPr="00873C95">
        <w:rPr>
          <w:b/>
          <w:bCs/>
        </w:rPr>
        <w:t>Provider and Fee Options</w:t>
      </w:r>
      <w:r w:rsidRPr="00B110DD">
        <w:t xml:space="preserve"> </w:t>
      </w:r>
      <w:r w:rsidR="00873C95">
        <w:t xml:space="preserve">– </w:t>
      </w:r>
      <w:r w:rsidR="00873C95" w:rsidRPr="00873C95">
        <w:t>The fee schedule to use for procedures on the entire claim</w:t>
      </w:r>
      <w:r w:rsidR="00873C95">
        <w:t>:</w:t>
      </w:r>
      <w:r w:rsidRPr="00B110DD">
        <w:t xml:space="preserve"> </w:t>
      </w:r>
      <w:r w:rsidRPr="00873C95">
        <w:rPr>
          <w:b/>
          <w:bCs/>
        </w:rPr>
        <w:t>Billing Provider</w:t>
      </w:r>
      <w:r w:rsidRPr="00B110DD">
        <w:t xml:space="preserve">, </w:t>
      </w:r>
      <w:r w:rsidRPr="00873C95">
        <w:rPr>
          <w:b/>
          <w:bCs/>
        </w:rPr>
        <w:t>Insurance Plan</w:t>
      </w:r>
      <w:r w:rsidRPr="00B110DD">
        <w:t xml:space="preserve">, or </w:t>
      </w:r>
      <w:r w:rsidRPr="00873C95">
        <w:rPr>
          <w:b/>
          <w:bCs/>
        </w:rPr>
        <w:t>Default</w:t>
      </w:r>
      <w:r w:rsidR="00873C95">
        <w:t xml:space="preserve"> (</w:t>
      </w:r>
      <w:r w:rsidR="00873C95" w:rsidRPr="00873C95">
        <w:t>use the fee schedule that is assigned to the subscriber; or if one is not assigned to the subscriber, the fee schedule that is assigned to the billing provider; or if one is not assigned to the billing provider, the fee schedule that is assigned to the insurance plan</w:t>
      </w:r>
      <w:r w:rsidRPr="00B110DD">
        <w:t>)</w:t>
      </w:r>
      <w:r w:rsidR="00873C95">
        <w:t>.</w:t>
      </w:r>
    </w:p>
    <w:p w14:paraId="5EA44132" w14:textId="5AE46D8F" w:rsidR="00873C95" w:rsidRPr="00B110DD" w:rsidRDefault="00B3072B" w:rsidP="004F45B6">
      <w:pPr>
        <w:pStyle w:val="BodyText"/>
        <w:numPr>
          <w:ilvl w:val="0"/>
          <w:numId w:val="59"/>
        </w:numPr>
        <w:ind w:left="540"/>
      </w:pPr>
      <w:r w:rsidRPr="00553CF2">
        <w:rPr>
          <w:b/>
          <w:bCs/>
        </w:rPr>
        <w:t>Provider Address</w:t>
      </w:r>
      <w:r w:rsidR="00873C95" w:rsidRPr="00553CF2">
        <w:rPr>
          <w:b/>
          <w:bCs/>
        </w:rPr>
        <w:t>es</w:t>
      </w:r>
      <w:r w:rsidRPr="00B110DD">
        <w:t xml:space="preserve"> </w:t>
      </w:r>
      <w:r w:rsidR="00553CF2">
        <w:t xml:space="preserve">– The address to use for the </w:t>
      </w:r>
      <w:r w:rsidR="00553CF2" w:rsidRPr="00553CF2">
        <w:rPr>
          <w:b/>
          <w:bCs/>
        </w:rPr>
        <w:t>Billing Provider</w:t>
      </w:r>
      <w:r w:rsidR="00553CF2">
        <w:t xml:space="preserve"> and </w:t>
      </w:r>
      <w:r w:rsidR="00553CF2" w:rsidRPr="00553CF2">
        <w:rPr>
          <w:b/>
          <w:bCs/>
        </w:rPr>
        <w:t>Rendering Provider</w:t>
      </w:r>
      <w:r w:rsidR="00553CF2">
        <w:t xml:space="preserve"> on</w:t>
      </w:r>
      <w:r w:rsidR="00873C95">
        <w:t xml:space="preserve"> claims: </w:t>
      </w:r>
      <w:r w:rsidR="00873C95" w:rsidRPr="00553CF2">
        <w:rPr>
          <w:b/>
          <w:bCs/>
        </w:rPr>
        <w:t>Billing Provider Address</w:t>
      </w:r>
      <w:r w:rsidR="00873C95">
        <w:t xml:space="preserve">, </w:t>
      </w:r>
      <w:r w:rsidR="00873C95" w:rsidRPr="00553CF2">
        <w:rPr>
          <w:b/>
          <w:bCs/>
        </w:rPr>
        <w:t>Rendering Provider Address</w:t>
      </w:r>
      <w:r w:rsidR="00873C95">
        <w:t xml:space="preserve">, </w:t>
      </w:r>
      <w:r w:rsidR="00873C95" w:rsidRPr="00553CF2">
        <w:rPr>
          <w:b/>
          <w:bCs/>
        </w:rPr>
        <w:t>Rendering Clinic Address</w:t>
      </w:r>
      <w:r w:rsidR="00873C95">
        <w:t xml:space="preserve">, or </w:t>
      </w:r>
      <w:r w:rsidR="00873C95" w:rsidRPr="00553CF2">
        <w:rPr>
          <w:b/>
          <w:bCs/>
        </w:rPr>
        <w:t>Central Clinic Address</w:t>
      </w:r>
      <w:r w:rsidR="00873C95">
        <w:t>.</w:t>
      </w:r>
    </w:p>
    <w:p w14:paraId="59830895" w14:textId="463E6816" w:rsidR="00B3072B" w:rsidRPr="00B110DD" w:rsidRDefault="00B3072B" w:rsidP="004F45B6">
      <w:pPr>
        <w:pStyle w:val="BodyText"/>
        <w:numPr>
          <w:ilvl w:val="0"/>
          <w:numId w:val="59"/>
        </w:numPr>
        <w:ind w:left="540"/>
      </w:pPr>
      <w:r w:rsidRPr="00553CF2">
        <w:rPr>
          <w:b/>
          <w:bCs/>
        </w:rPr>
        <w:t>Advanced Settings</w:t>
      </w:r>
      <w:r w:rsidRPr="00B110DD">
        <w:t xml:space="preserve"> </w:t>
      </w:r>
      <w:r w:rsidR="00553CF2">
        <w:t>– A</w:t>
      </w:r>
      <w:r w:rsidRPr="00B110DD">
        <w:t xml:space="preserve">dditional </w:t>
      </w:r>
      <w:r w:rsidR="00587FED">
        <w:t>information</w:t>
      </w:r>
      <w:r w:rsidRPr="00B110DD">
        <w:t xml:space="preserve"> that a carrier may require</w:t>
      </w:r>
      <w:r w:rsidR="00553CF2">
        <w:t>,</w:t>
      </w:r>
      <w:r w:rsidRPr="00B110DD">
        <w:t xml:space="preserve"> </w:t>
      </w:r>
      <w:r w:rsidRPr="008C0AEE">
        <w:t xml:space="preserve">such as </w:t>
      </w:r>
      <w:r w:rsidR="00553CF2">
        <w:t xml:space="preserve">the order of procedure codes or </w:t>
      </w:r>
      <w:r w:rsidRPr="008C0AEE">
        <w:t>whe</w:t>
      </w:r>
      <w:r>
        <w:t>re</w:t>
      </w:r>
      <w:r w:rsidRPr="008C0AEE">
        <w:t xml:space="preserve"> to us</w:t>
      </w:r>
      <w:r>
        <w:t>e</w:t>
      </w:r>
      <w:r w:rsidRPr="008C0AEE">
        <w:t xml:space="preserve"> </w:t>
      </w:r>
      <w:r>
        <w:t>the SSN</w:t>
      </w:r>
      <w:r w:rsidRPr="008C0AEE">
        <w:t xml:space="preserve"> on a claim.</w:t>
      </w:r>
    </w:p>
    <w:p w14:paraId="51F4E82B" w14:textId="15181862" w:rsidR="00E563B8" w:rsidRDefault="00381692" w:rsidP="00E92EA5">
      <w:pPr>
        <w:pStyle w:val="Heading4"/>
      </w:pPr>
      <w:r>
        <w:t>Print/Send</w:t>
      </w:r>
      <w:r w:rsidR="00B3072B" w:rsidRPr="003F63A2">
        <w:t xml:space="preserve"> Options</w:t>
      </w:r>
    </w:p>
    <w:p w14:paraId="12ED111A" w14:textId="5ACE57E6" w:rsidR="00B3072B" w:rsidRPr="008C0AEE" w:rsidRDefault="00553CF2" w:rsidP="00E563B8">
      <w:pPr>
        <w:pStyle w:val="BodyText"/>
        <w:rPr>
          <w:b/>
        </w:rPr>
      </w:pPr>
      <w:r>
        <w:t>The following o</w:t>
      </w:r>
      <w:r w:rsidR="00B3072B" w:rsidRPr="008C0AEE">
        <w:t>ptions for printing or sending insurance claims</w:t>
      </w:r>
      <w:r>
        <w:t xml:space="preserve"> are available:</w:t>
      </w:r>
    </w:p>
    <w:p w14:paraId="2BB5C52C" w14:textId="6E9D4B1A" w:rsidR="00B3072B" w:rsidRPr="00B110DD" w:rsidRDefault="00553CF2" w:rsidP="004F45B6">
      <w:pPr>
        <w:pStyle w:val="BodyText"/>
        <w:numPr>
          <w:ilvl w:val="0"/>
          <w:numId w:val="60"/>
        </w:numPr>
        <w:ind w:left="540"/>
      </w:pPr>
      <w:r>
        <w:t xml:space="preserve">The </w:t>
      </w:r>
      <w:r w:rsidRPr="00553CF2">
        <w:rPr>
          <w:b/>
          <w:bCs/>
        </w:rPr>
        <w:t>Diagnostic Code System</w:t>
      </w:r>
      <w:r>
        <w:t xml:space="preserve"> that is allowed on</w:t>
      </w:r>
      <w:r w:rsidR="00B3072B" w:rsidRPr="00B110DD">
        <w:t xml:space="preserve"> claims: </w:t>
      </w:r>
      <w:r w:rsidR="00B3072B" w:rsidRPr="00553CF2">
        <w:rPr>
          <w:b/>
          <w:bCs/>
        </w:rPr>
        <w:t>ICD 9</w:t>
      </w:r>
      <w:r w:rsidR="00B3072B" w:rsidRPr="00B110DD">
        <w:t xml:space="preserve">, </w:t>
      </w:r>
      <w:r w:rsidR="00B3072B" w:rsidRPr="00553CF2">
        <w:rPr>
          <w:b/>
          <w:bCs/>
        </w:rPr>
        <w:t>ICD 10</w:t>
      </w:r>
      <w:r w:rsidR="00B3072B" w:rsidRPr="00B110DD">
        <w:t xml:space="preserve">, or </w:t>
      </w:r>
      <w:r w:rsidR="00B3072B" w:rsidRPr="00553CF2">
        <w:rPr>
          <w:b/>
          <w:bCs/>
        </w:rPr>
        <w:t>Unspecified</w:t>
      </w:r>
      <w:r w:rsidR="00587FED">
        <w:t xml:space="preserve"> (to </w:t>
      </w:r>
      <w:r w:rsidR="00587FED" w:rsidRPr="00587FED">
        <w:rPr>
          <w:u w:val="single"/>
        </w:rPr>
        <w:t>not</w:t>
      </w:r>
      <w:r w:rsidR="00587FED">
        <w:t xml:space="preserve"> use diagnostic codes).</w:t>
      </w:r>
    </w:p>
    <w:p w14:paraId="775A01B2" w14:textId="0FE853D4" w:rsidR="00B3072B" w:rsidRPr="00B110DD" w:rsidRDefault="00553CF2" w:rsidP="004F45B6">
      <w:pPr>
        <w:pStyle w:val="BodyText"/>
        <w:numPr>
          <w:ilvl w:val="0"/>
          <w:numId w:val="60"/>
        </w:numPr>
        <w:ind w:left="540"/>
      </w:pPr>
      <w:r>
        <w:t>C</w:t>
      </w:r>
      <w:r w:rsidR="00B3072B" w:rsidRPr="00B110DD">
        <w:t xml:space="preserve">heckboxes </w:t>
      </w:r>
      <w:r>
        <w:t xml:space="preserve">for </w:t>
      </w:r>
      <w:r w:rsidR="00B3072B" w:rsidRPr="00B110DD">
        <w:t>exclud</w:t>
      </w:r>
      <w:r>
        <w:t>ing</w:t>
      </w:r>
      <w:r w:rsidR="00B3072B" w:rsidRPr="00B110DD">
        <w:t xml:space="preserve"> or skip</w:t>
      </w:r>
      <w:r>
        <w:t>ping items</w:t>
      </w:r>
      <w:r w:rsidR="00B3072B" w:rsidRPr="00B110DD">
        <w:t xml:space="preserve"> for </w:t>
      </w:r>
      <w:r>
        <w:t>claims</w:t>
      </w:r>
      <w:r w:rsidR="00B3072B" w:rsidRPr="00B110DD">
        <w:t xml:space="preserve">.  </w:t>
      </w:r>
    </w:p>
    <w:p w14:paraId="53000C43" w14:textId="60E3A8F3" w:rsidR="00B3072B" w:rsidRPr="00D04FDB" w:rsidRDefault="00B3072B" w:rsidP="004F45B6">
      <w:pPr>
        <w:pStyle w:val="BodyText"/>
        <w:numPr>
          <w:ilvl w:val="0"/>
          <w:numId w:val="60"/>
        </w:numPr>
        <w:ind w:left="540"/>
      </w:pPr>
      <w:r w:rsidRPr="00783050">
        <w:rPr>
          <w:b/>
          <w:bCs/>
        </w:rPr>
        <w:t>Advanced</w:t>
      </w:r>
      <w:r w:rsidRPr="00B110DD">
        <w:t xml:space="preserve"> </w:t>
      </w:r>
      <w:r w:rsidR="00553CF2">
        <w:t>s</w:t>
      </w:r>
      <w:r w:rsidRPr="00B110DD">
        <w:t xml:space="preserve">ettings </w:t>
      </w:r>
      <w:r w:rsidR="00783050">
        <w:t xml:space="preserve">to </w:t>
      </w:r>
      <w:r w:rsidRPr="00B110DD">
        <w:t xml:space="preserve">support additional </w:t>
      </w:r>
      <w:r w:rsidR="00783050">
        <w:t>information</w:t>
      </w:r>
      <w:r w:rsidRPr="00B110DD">
        <w:t xml:space="preserve"> that a carrier</w:t>
      </w:r>
      <w:r w:rsidRPr="008C0AEE">
        <w:t xml:space="preserve"> may require </w:t>
      </w:r>
      <w:r>
        <w:t xml:space="preserve">in specific boxes on </w:t>
      </w:r>
      <w:r w:rsidR="00783050">
        <w:t>claims</w:t>
      </w:r>
      <w:r w:rsidRPr="008C0AEE">
        <w:t>.</w:t>
      </w:r>
    </w:p>
    <w:p w14:paraId="66EFBD0A" w14:textId="7A307E2E" w:rsidR="00E563B8" w:rsidRDefault="00B3072B" w:rsidP="00E92EA5">
      <w:pPr>
        <w:pStyle w:val="Heading4"/>
      </w:pPr>
      <w:r w:rsidRPr="00B110DD">
        <w:lastRenderedPageBreak/>
        <w:t>Auto Adjustment</w:t>
      </w:r>
      <w:r w:rsidR="00381692">
        <w:t xml:space="preserve"> Option</w:t>
      </w:r>
      <w:r w:rsidRPr="00B110DD">
        <w:t>s</w:t>
      </w:r>
    </w:p>
    <w:p w14:paraId="43E35742" w14:textId="75CBD266" w:rsidR="00B3072B" w:rsidRPr="00B110DD" w:rsidRDefault="00B3072B" w:rsidP="00E563B8">
      <w:pPr>
        <w:pStyle w:val="BodyText"/>
      </w:pPr>
      <w:r w:rsidRPr="00B110DD">
        <w:t>The</w:t>
      </w:r>
      <w:r w:rsidR="00783050">
        <w:t xml:space="preserve"> </w:t>
      </w:r>
      <w:r w:rsidR="00783050" w:rsidRPr="00783050">
        <w:rPr>
          <w:b/>
          <w:bCs/>
        </w:rPr>
        <w:t>Auto Adjustment</w:t>
      </w:r>
      <w:r w:rsidRPr="00B110DD">
        <w:t xml:space="preserve"> </w:t>
      </w:r>
      <w:r w:rsidR="00783050">
        <w:t>options</w:t>
      </w:r>
      <w:r w:rsidRPr="00B110DD">
        <w:t xml:space="preserve"> </w:t>
      </w:r>
      <w:r w:rsidR="00783050">
        <w:t xml:space="preserve">allow Dentrix Enterprise to </w:t>
      </w:r>
      <w:r w:rsidRPr="00B110DD">
        <w:t xml:space="preserve">automatically post adjustments based on the </w:t>
      </w:r>
      <w:r w:rsidR="00783050">
        <w:t xml:space="preserve">specified </w:t>
      </w:r>
      <w:r w:rsidRPr="00B110DD">
        <w:t xml:space="preserve">insurance coverage or fee schedules. These options are helpful for creating </w:t>
      </w:r>
      <w:r w:rsidR="00783050">
        <w:t>s</w:t>
      </w:r>
      <w:r w:rsidRPr="00B110DD">
        <w:t xml:space="preserve">liding </w:t>
      </w:r>
      <w:r w:rsidR="00783050">
        <w:t>f</w:t>
      </w:r>
      <w:r w:rsidRPr="00B110DD">
        <w:t xml:space="preserve">ee </w:t>
      </w:r>
      <w:r w:rsidR="00783050">
        <w:t>s</w:t>
      </w:r>
      <w:r w:rsidRPr="00B110DD">
        <w:t xml:space="preserve">cale discounts or other discount plans </w:t>
      </w:r>
      <w:r w:rsidR="00783050">
        <w:t>t</w:t>
      </w:r>
      <w:r w:rsidRPr="00B110DD">
        <w:t>hat provide a percentage discount as well as other variables (</w:t>
      </w:r>
      <w:r w:rsidR="00783050">
        <w:t xml:space="preserve">such as </w:t>
      </w:r>
      <w:r w:rsidRPr="00B110DD">
        <w:t>visit costs</w:t>
      </w:r>
      <w:r w:rsidR="00783050">
        <w:t xml:space="preserve"> and</w:t>
      </w:r>
      <w:r w:rsidRPr="00B110DD">
        <w:t xml:space="preserve"> different coverage per types of codes)</w:t>
      </w:r>
      <w:r w:rsidR="00783050">
        <w:t>.</w:t>
      </w:r>
    </w:p>
    <w:p w14:paraId="3779E68F" w14:textId="497B9F63" w:rsidR="00E563B8" w:rsidRDefault="00B3072B" w:rsidP="00E92EA5">
      <w:pPr>
        <w:pStyle w:val="Heading4"/>
      </w:pPr>
      <w:r w:rsidRPr="00B110DD">
        <w:t>Rate Code Options</w:t>
      </w:r>
    </w:p>
    <w:p w14:paraId="03974E8E" w14:textId="3BAFCF3D" w:rsidR="00B3072B" w:rsidRPr="008C0AEE" w:rsidRDefault="00B3072B" w:rsidP="00E563B8">
      <w:pPr>
        <w:pStyle w:val="BodyText"/>
        <w:rPr>
          <w:b/>
          <w:bCs/>
        </w:rPr>
      </w:pPr>
      <w:r w:rsidRPr="00B110DD">
        <w:t>Th</w:t>
      </w:r>
      <w:r w:rsidR="00783050">
        <w:t xml:space="preserve">e </w:t>
      </w:r>
      <w:r w:rsidR="00783050" w:rsidRPr="00783050">
        <w:rPr>
          <w:b/>
          <w:bCs/>
        </w:rPr>
        <w:t>Rate Code Options</w:t>
      </w:r>
      <w:r w:rsidRPr="00B110DD">
        <w:t xml:space="preserve"> provide an automated process for billing rate codes and specific procedure information as directed by the payor. </w:t>
      </w:r>
      <w:r w:rsidR="00783050">
        <w:t>When creating a claim</w:t>
      </w:r>
      <w:r w:rsidRPr="00B110DD">
        <w:t xml:space="preserve">, </w:t>
      </w:r>
      <w:r w:rsidR="00783050">
        <w:t>Dentrix Enterprise</w:t>
      </w:r>
      <w:r w:rsidRPr="00B110DD">
        <w:t xml:space="preserve"> include</w:t>
      </w:r>
      <w:r w:rsidR="00783050">
        <w:t>s</w:t>
      </w:r>
      <w:r w:rsidRPr="00B110DD">
        <w:t xml:space="preserve"> the</w:t>
      </w:r>
      <w:r w:rsidR="00783050">
        <w:t xml:space="preserve"> specified</w:t>
      </w:r>
      <w:r w:rsidRPr="00B110DD">
        <w:t xml:space="preserve"> rate code</w:t>
      </w:r>
      <w:r w:rsidR="00783050">
        <w:t>,</w:t>
      </w:r>
      <w:r w:rsidRPr="008C0AEE">
        <w:t xml:space="preserve"> rate</w:t>
      </w:r>
      <w:r w:rsidR="00783050">
        <w:t>, and</w:t>
      </w:r>
      <w:r w:rsidRPr="008C0AEE">
        <w:t xml:space="preserve"> procedure information.  </w:t>
      </w:r>
    </w:p>
    <w:p w14:paraId="5EAD4D50" w14:textId="77777777" w:rsidR="00B3072B" w:rsidRPr="008C0AEE" w:rsidRDefault="00B3072B" w:rsidP="00D42C5A">
      <w:pPr>
        <w:pStyle w:val="Heading3"/>
      </w:pPr>
      <w:bookmarkStart w:id="179" w:name="_Toc166834367"/>
      <w:r w:rsidRPr="003F63A2">
        <w:t>Insurance Plan Claim Settings (Medical Form)</w:t>
      </w:r>
      <w:r w:rsidRPr="008C0AEE">
        <w:t>:</w:t>
      </w:r>
      <w:bookmarkEnd w:id="179"/>
      <w:r w:rsidRPr="008C0AEE">
        <w:t xml:space="preserve"> </w:t>
      </w:r>
    </w:p>
    <w:p w14:paraId="397BEAF4" w14:textId="635106BF" w:rsidR="00B3072B" w:rsidRPr="008C0AEE" w:rsidRDefault="00B3072B" w:rsidP="00381692">
      <w:pPr>
        <w:pStyle w:val="BodyText"/>
        <w:rPr>
          <w:b/>
          <w:bCs/>
        </w:rPr>
      </w:pPr>
      <w:r w:rsidRPr="00892281">
        <w:t xml:space="preserve">The </w:t>
      </w:r>
      <w:r w:rsidR="00783050">
        <w:t>m</w:t>
      </w:r>
      <w:r w:rsidRPr="008C0AEE">
        <w:t xml:space="preserve">edical claim forms in Dentrix Enterprise provide additional settings that can be set per plan or as a default for new insurance plans. </w:t>
      </w:r>
    </w:p>
    <w:p w14:paraId="61F153E7" w14:textId="3C11A3B2" w:rsidR="00B3072B" w:rsidRPr="008C0AEE" w:rsidRDefault="00B3072B" w:rsidP="004F45B6">
      <w:pPr>
        <w:pStyle w:val="BodyText"/>
        <w:numPr>
          <w:ilvl w:val="0"/>
          <w:numId w:val="61"/>
        </w:numPr>
        <w:ind w:left="540"/>
      </w:pPr>
      <w:r w:rsidRPr="00B110DD">
        <w:rPr>
          <w:b/>
          <w:bCs/>
        </w:rPr>
        <w:t>HCFA212</w:t>
      </w:r>
      <w:r w:rsidR="00B110DD">
        <w:t>:</w:t>
      </w:r>
    </w:p>
    <w:p w14:paraId="55BF4AA7" w14:textId="77777777" w:rsidR="007B5979" w:rsidRPr="00B110DD" w:rsidRDefault="007B5979" w:rsidP="004F45B6">
      <w:pPr>
        <w:pStyle w:val="BodyText"/>
        <w:numPr>
          <w:ilvl w:val="1"/>
          <w:numId w:val="62"/>
        </w:numPr>
        <w:ind w:left="1080"/>
      </w:pPr>
      <w:r w:rsidRPr="00553CF2">
        <w:rPr>
          <w:b/>
          <w:bCs/>
        </w:rPr>
        <w:t>Diagnostic Code System</w:t>
      </w:r>
      <w:r>
        <w:t xml:space="preserve"> – The diagnostic coding system that is allowed on</w:t>
      </w:r>
      <w:r w:rsidRPr="00B110DD">
        <w:t xml:space="preserve"> claims: </w:t>
      </w:r>
      <w:r w:rsidRPr="00553CF2">
        <w:rPr>
          <w:b/>
          <w:bCs/>
        </w:rPr>
        <w:t>ICD 9</w:t>
      </w:r>
      <w:r w:rsidRPr="00B110DD">
        <w:t xml:space="preserve">, </w:t>
      </w:r>
      <w:r w:rsidRPr="00553CF2">
        <w:rPr>
          <w:b/>
          <w:bCs/>
        </w:rPr>
        <w:t>ICD 10</w:t>
      </w:r>
      <w:r w:rsidRPr="00B110DD">
        <w:t xml:space="preserve">, or </w:t>
      </w:r>
      <w:r w:rsidRPr="00553CF2">
        <w:rPr>
          <w:b/>
          <w:bCs/>
        </w:rPr>
        <w:t>Unspecified</w:t>
      </w:r>
      <w:r>
        <w:t xml:space="preserve"> (to </w:t>
      </w:r>
      <w:r w:rsidRPr="00587FED">
        <w:rPr>
          <w:u w:val="single"/>
        </w:rPr>
        <w:t>not</w:t>
      </w:r>
      <w:r>
        <w:t xml:space="preserve"> use diagnostic codes).</w:t>
      </w:r>
    </w:p>
    <w:p w14:paraId="269FBFBD" w14:textId="77777777" w:rsidR="007B5979" w:rsidRPr="008C0AEE" w:rsidRDefault="007B5979" w:rsidP="004F45B6">
      <w:pPr>
        <w:pStyle w:val="BodyText"/>
        <w:numPr>
          <w:ilvl w:val="0"/>
          <w:numId w:val="62"/>
        </w:numPr>
        <w:ind w:left="1080"/>
      </w:pPr>
      <w:r w:rsidRPr="00783050">
        <w:rPr>
          <w:b/>
          <w:bCs/>
        </w:rPr>
        <w:t>Advanced</w:t>
      </w:r>
      <w:r w:rsidRPr="00B110DD">
        <w:t xml:space="preserve"> </w:t>
      </w:r>
      <w:r>
        <w:t>– S</w:t>
      </w:r>
      <w:r w:rsidRPr="00B110DD">
        <w:t xml:space="preserve">ettings </w:t>
      </w:r>
      <w:r>
        <w:t xml:space="preserve">to </w:t>
      </w:r>
      <w:r w:rsidRPr="00B110DD">
        <w:t xml:space="preserve">support additional </w:t>
      </w:r>
      <w:r>
        <w:t>information</w:t>
      </w:r>
      <w:r w:rsidRPr="00B110DD">
        <w:t xml:space="preserve"> that a carrier</w:t>
      </w:r>
      <w:r w:rsidRPr="008C0AEE">
        <w:t xml:space="preserve"> may require </w:t>
      </w:r>
      <w:r>
        <w:t>in specific boxes on claims</w:t>
      </w:r>
      <w:r w:rsidRPr="008C0AEE">
        <w:t xml:space="preserve">.  </w:t>
      </w:r>
    </w:p>
    <w:p w14:paraId="32C54A47" w14:textId="749FBB32" w:rsidR="007B5979" w:rsidRPr="007B5979" w:rsidRDefault="007B5979" w:rsidP="004F45B6">
      <w:pPr>
        <w:pStyle w:val="BodyText"/>
        <w:numPr>
          <w:ilvl w:val="1"/>
          <w:numId w:val="62"/>
        </w:numPr>
        <w:ind w:left="1080"/>
      </w:pPr>
      <w:r w:rsidRPr="007B5979">
        <w:rPr>
          <w:b/>
          <w:bCs/>
        </w:rPr>
        <w:t>Claim Setup</w:t>
      </w:r>
      <w:r>
        <w:t>:</w:t>
      </w:r>
    </w:p>
    <w:p w14:paraId="022CA6C7" w14:textId="6ED66A9F" w:rsidR="00B3072B" w:rsidRPr="008C0AEE" w:rsidRDefault="00587FED" w:rsidP="004F45B6">
      <w:pPr>
        <w:pStyle w:val="BodyText"/>
        <w:numPr>
          <w:ilvl w:val="2"/>
          <w:numId w:val="62"/>
        </w:numPr>
        <w:ind w:left="1620"/>
      </w:pPr>
      <w:r w:rsidRPr="00587FED">
        <w:rPr>
          <w:b/>
          <w:bCs/>
        </w:rPr>
        <w:t>Provider and Fee Options</w:t>
      </w:r>
      <w:r>
        <w:t xml:space="preserve"> – </w:t>
      </w:r>
      <w:r w:rsidRPr="00587FED">
        <w:t>The fee schedule to use for procedures on the entire claim</w:t>
      </w:r>
      <w:r>
        <w:t>:</w:t>
      </w:r>
      <w:r w:rsidRPr="00B110DD">
        <w:t xml:space="preserve"> </w:t>
      </w:r>
      <w:r w:rsidRPr="00873C95">
        <w:rPr>
          <w:b/>
          <w:bCs/>
        </w:rPr>
        <w:t>Billing Provider</w:t>
      </w:r>
      <w:r w:rsidRPr="00B110DD">
        <w:t xml:space="preserve">, </w:t>
      </w:r>
      <w:r w:rsidRPr="00873C95">
        <w:rPr>
          <w:b/>
          <w:bCs/>
        </w:rPr>
        <w:t>Insurance Plan</w:t>
      </w:r>
      <w:r w:rsidRPr="00B110DD">
        <w:t xml:space="preserve">, or </w:t>
      </w:r>
      <w:r w:rsidRPr="00873C95">
        <w:rPr>
          <w:b/>
          <w:bCs/>
        </w:rPr>
        <w:t>Default</w:t>
      </w:r>
      <w:r>
        <w:t xml:space="preserve"> (</w:t>
      </w:r>
      <w:r w:rsidRPr="00873C95">
        <w:t>use the fee schedule that is assigned to the subscriber; or if one is not assigned to the subscriber, the fee schedule that is assigned to the billing provider; or if one is not assigned to the billing provider, the fee schedule that is assigned to the insurance plan</w:t>
      </w:r>
      <w:r w:rsidRPr="00B110DD">
        <w:t>)</w:t>
      </w:r>
      <w:r>
        <w:t>.</w:t>
      </w:r>
      <w:r w:rsidR="00B3072B" w:rsidRPr="008C0AEE">
        <w:t xml:space="preserve">  </w:t>
      </w:r>
    </w:p>
    <w:p w14:paraId="0606DC50" w14:textId="38C50C5A" w:rsidR="00B3072B" w:rsidRPr="008C0AEE" w:rsidRDefault="00587FED" w:rsidP="004F45B6">
      <w:pPr>
        <w:pStyle w:val="BodyText"/>
        <w:numPr>
          <w:ilvl w:val="2"/>
          <w:numId w:val="62"/>
        </w:numPr>
        <w:ind w:left="1620"/>
      </w:pPr>
      <w:r w:rsidRPr="00553CF2">
        <w:rPr>
          <w:b/>
          <w:bCs/>
        </w:rPr>
        <w:t>Provider Addresses</w:t>
      </w:r>
      <w:r w:rsidRPr="00B110DD">
        <w:t xml:space="preserve"> </w:t>
      </w:r>
      <w:r>
        <w:t xml:space="preserve">– The address to use for the </w:t>
      </w:r>
      <w:r w:rsidRPr="00553CF2">
        <w:rPr>
          <w:b/>
          <w:bCs/>
        </w:rPr>
        <w:t>Billing Provider</w:t>
      </w:r>
      <w:r>
        <w:t xml:space="preserve"> and </w:t>
      </w:r>
      <w:r w:rsidRPr="00553CF2">
        <w:rPr>
          <w:b/>
          <w:bCs/>
        </w:rPr>
        <w:t>Rendering Provider</w:t>
      </w:r>
      <w:r>
        <w:t xml:space="preserve"> on claims: </w:t>
      </w:r>
      <w:r w:rsidRPr="00553CF2">
        <w:rPr>
          <w:b/>
          <w:bCs/>
        </w:rPr>
        <w:t>Billing Provider Address</w:t>
      </w:r>
      <w:r>
        <w:t xml:space="preserve">, </w:t>
      </w:r>
      <w:r w:rsidRPr="00553CF2">
        <w:rPr>
          <w:b/>
          <w:bCs/>
        </w:rPr>
        <w:t>Rendering Provider Address</w:t>
      </w:r>
      <w:r>
        <w:t xml:space="preserve">, </w:t>
      </w:r>
      <w:r w:rsidRPr="00553CF2">
        <w:rPr>
          <w:b/>
          <w:bCs/>
        </w:rPr>
        <w:t>Rendering Clinic Address</w:t>
      </w:r>
      <w:r>
        <w:t xml:space="preserve">, or </w:t>
      </w:r>
      <w:r w:rsidRPr="00553CF2">
        <w:rPr>
          <w:b/>
          <w:bCs/>
        </w:rPr>
        <w:t>Central Clinic Address</w:t>
      </w:r>
      <w:r>
        <w:t>.</w:t>
      </w:r>
      <w:r w:rsidR="00B3072B" w:rsidRPr="008C0AEE">
        <w:t xml:space="preserve">  </w:t>
      </w:r>
    </w:p>
    <w:p w14:paraId="503EAF7F" w14:textId="5AE795F2" w:rsidR="00B3072B" w:rsidRPr="008C0AEE" w:rsidRDefault="00B3072B" w:rsidP="004F45B6">
      <w:pPr>
        <w:pStyle w:val="BodyText"/>
        <w:numPr>
          <w:ilvl w:val="2"/>
          <w:numId w:val="62"/>
        </w:numPr>
        <w:ind w:left="1620"/>
      </w:pPr>
      <w:r w:rsidRPr="00587FED">
        <w:rPr>
          <w:b/>
          <w:bCs/>
        </w:rPr>
        <w:t>Advanced Settings</w:t>
      </w:r>
      <w:r w:rsidR="00587FED" w:rsidRPr="00B110DD">
        <w:t xml:space="preserve"> </w:t>
      </w:r>
      <w:r w:rsidR="00587FED">
        <w:t>– A</w:t>
      </w:r>
      <w:r w:rsidR="00587FED" w:rsidRPr="00B110DD">
        <w:t xml:space="preserve">dditional </w:t>
      </w:r>
      <w:r w:rsidR="00587FED">
        <w:t>information</w:t>
      </w:r>
      <w:r w:rsidR="00587FED" w:rsidRPr="00B110DD">
        <w:t xml:space="preserve"> that a carrier may require</w:t>
      </w:r>
      <w:r w:rsidR="00587FED">
        <w:t>,</w:t>
      </w:r>
      <w:r w:rsidRPr="008C0AEE">
        <w:t xml:space="preserve"> such as </w:t>
      </w:r>
      <w:r w:rsidR="00587FED">
        <w:t xml:space="preserve">anesthesia start and stop times or </w:t>
      </w:r>
      <w:r w:rsidRPr="008C0AEE">
        <w:t>wh</w:t>
      </w:r>
      <w:r w:rsidR="00587FED">
        <w:t>ere</w:t>
      </w:r>
      <w:r w:rsidRPr="008C0AEE">
        <w:t xml:space="preserve"> to use </w:t>
      </w:r>
      <w:r w:rsidR="00587FED">
        <w:t>the</w:t>
      </w:r>
      <w:r w:rsidRPr="008C0AEE">
        <w:t xml:space="preserve"> NPI on a claim.  </w:t>
      </w:r>
    </w:p>
    <w:p w14:paraId="428278D7" w14:textId="7FA38FC6" w:rsidR="00B3072B" w:rsidRPr="008C0AEE" w:rsidRDefault="00B3072B" w:rsidP="004F45B6">
      <w:pPr>
        <w:pStyle w:val="BodyText"/>
        <w:numPr>
          <w:ilvl w:val="0"/>
          <w:numId w:val="61"/>
        </w:numPr>
        <w:ind w:left="540"/>
      </w:pPr>
      <w:r w:rsidRPr="00B110DD">
        <w:rPr>
          <w:b/>
          <w:bCs/>
        </w:rPr>
        <w:t>UB04</w:t>
      </w:r>
      <w:r w:rsidR="007B5979">
        <w:t xml:space="preserve"> </w:t>
      </w:r>
      <w:r w:rsidR="004D4260">
        <w:t>(</w:t>
      </w:r>
      <w:r w:rsidR="007B5979" w:rsidRPr="008C0AEE">
        <w:t xml:space="preserve">837i for </w:t>
      </w:r>
      <w:r w:rsidR="007B5979">
        <w:t>i</w:t>
      </w:r>
      <w:r w:rsidR="007B5979" w:rsidRPr="008C0AEE">
        <w:t xml:space="preserve">nstitutional electronic </w:t>
      </w:r>
      <w:r w:rsidR="004D4260">
        <w:t xml:space="preserve">claim </w:t>
      </w:r>
      <w:r w:rsidR="007B5979" w:rsidRPr="008C0AEE">
        <w:t>submission</w:t>
      </w:r>
      <w:r w:rsidR="004D4260">
        <w:t>)</w:t>
      </w:r>
      <w:r w:rsidR="007B5979">
        <w:t>:</w:t>
      </w:r>
    </w:p>
    <w:p w14:paraId="17760D41" w14:textId="77777777" w:rsidR="004D4260" w:rsidRPr="00B110DD" w:rsidRDefault="004D4260" w:rsidP="004F45B6">
      <w:pPr>
        <w:pStyle w:val="BodyText"/>
        <w:numPr>
          <w:ilvl w:val="1"/>
          <w:numId w:val="61"/>
        </w:numPr>
        <w:ind w:left="1080"/>
      </w:pPr>
      <w:r w:rsidRPr="00553CF2">
        <w:rPr>
          <w:b/>
          <w:bCs/>
        </w:rPr>
        <w:t>Diagnostic Code System</w:t>
      </w:r>
      <w:r>
        <w:t xml:space="preserve"> – The diagnostic coding system that is allowed on</w:t>
      </w:r>
      <w:r w:rsidRPr="00B110DD">
        <w:t xml:space="preserve"> claims: </w:t>
      </w:r>
      <w:r w:rsidRPr="00553CF2">
        <w:rPr>
          <w:b/>
          <w:bCs/>
        </w:rPr>
        <w:t>ICD 9</w:t>
      </w:r>
      <w:r w:rsidRPr="00B110DD">
        <w:t xml:space="preserve">, </w:t>
      </w:r>
      <w:r w:rsidRPr="00553CF2">
        <w:rPr>
          <w:b/>
          <w:bCs/>
        </w:rPr>
        <w:t>ICD 10</w:t>
      </w:r>
      <w:r w:rsidRPr="00B110DD">
        <w:t xml:space="preserve">, or </w:t>
      </w:r>
      <w:r w:rsidRPr="00553CF2">
        <w:rPr>
          <w:b/>
          <w:bCs/>
        </w:rPr>
        <w:t>Unspecified</w:t>
      </w:r>
      <w:r>
        <w:t xml:space="preserve"> (to </w:t>
      </w:r>
      <w:r w:rsidRPr="00587FED">
        <w:rPr>
          <w:u w:val="single"/>
        </w:rPr>
        <w:t>not</w:t>
      </w:r>
      <w:r>
        <w:t xml:space="preserve"> use diagnostic codes).</w:t>
      </w:r>
    </w:p>
    <w:p w14:paraId="0B8B63C9" w14:textId="2ECD6C72" w:rsidR="00B3072B" w:rsidRDefault="004D4260" w:rsidP="004F45B6">
      <w:pPr>
        <w:pStyle w:val="BodyText"/>
        <w:numPr>
          <w:ilvl w:val="0"/>
          <w:numId w:val="61"/>
        </w:numPr>
        <w:ind w:left="1080"/>
      </w:pPr>
      <w:r w:rsidRPr="00783050">
        <w:rPr>
          <w:b/>
          <w:bCs/>
        </w:rPr>
        <w:t>Advanced</w:t>
      </w:r>
      <w:r w:rsidRPr="00B110DD">
        <w:t xml:space="preserve"> </w:t>
      </w:r>
      <w:r>
        <w:t>– S</w:t>
      </w:r>
      <w:r w:rsidRPr="00B110DD">
        <w:t xml:space="preserve">ettings </w:t>
      </w:r>
      <w:r>
        <w:t xml:space="preserve">to </w:t>
      </w:r>
      <w:r w:rsidRPr="00B110DD">
        <w:t xml:space="preserve">support additional </w:t>
      </w:r>
      <w:r>
        <w:t>information</w:t>
      </w:r>
      <w:r w:rsidRPr="00B110DD">
        <w:t xml:space="preserve"> that a carrier</w:t>
      </w:r>
      <w:r w:rsidRPr="008C0AEE">
        <w:t xml:space="preserve"> may require </w:t>
      </w:r>
      <w:r>
        <w:t>in specific boxes on claims</w:t>
      </w:r>
      <w:r w:rsidRPr="008C0AEE">
        <w:t>.</w:t>
      </w:r>
      <w:r>
        <w:t xml:space="preserve"> </w:t>
      </w:r>
      <w:r w:rsidR="00B3072B">
        <w:t xml:space="preserve">Refer to the IHS </w:t>
      </w:r>
      <w:r w:rsidR="007B5979">
        <w:t>t</w:t>
      </w:r>
      <w:r w:rsidR="00B3072B">
        <w:t xml:space="preserve">raining </w:t>
      </w:r>
      <w:r w:rsidR="007B5979">
        <w:t>v</w:t>
      </w:r>
      <w:r w:rsidR="00B3072B">
        <w:t xml:space="preserve">ideo </w:t>
      </w:r>
      <w:r w:rsidR="007B5979">
        <w:t>“</w:t>
      </w:r>
      <w:r w:rsidR="00B3072B">
        <w:t>837i: Medical Insurance Plan Setup</w:t>
      </w:r>
      <w:r w:rsidR="007B5979">
        <w:t>”</w:t>
      </w:r>
      <w:r w:rsidR="00B3072B">
        <w:t xml:space="preserve"> for </w:t>
      </w:r>
      <w:r w:rsidR="007B5979">
        <w:t>information about</w:t>
      </w:r>
      <w:r w:rsidR="00B3072B">
        <w:t xml:space="preserve"> the supported claim boxes.</w:t>
      </w:r>
    </w:p>
    <w:p w14:paraId="17DE3595" w14:textId="2EFC904A" w:rsidR="007B5979" w:rsidRPr="00381692" w:rsidRDefault="007B5979" w:rsidP="004F45B6">
      <w:pPr>
        <w:pStyle w:val="BodyText"/>
        <w:numPr>
          <w:ilvl w:val="1"/>
          <w:numId w:val="63"/>
        </w:numPr>
        <w:ind w:left="1080"/>
      </w:pPr>
      <w:r w:rsidRPr="007B5979">
        <w:rPr>
          <w:b/>
          <w:bCs/>
        </w:rPr>
        <w:t>Claim Setup</w:t>
      </w:r>
      <w:r w:rsidR="004D4260">
        <w:t xml:space="preserve"> – W</w:t>
      </w:r>
      <w:r>
        <w:t>hether</w:t>
      </w:r>
      <w:r w:rsidRPr="008C0AEE">
        <w:t xml:space="preserve"> box 38 is populated</w:t>
      </w:r>
      <w:r>
        <w:t xml:space="preserve"> with g</w:t>
      </w:r>
      <w:r w:rsidRPr="008C0AEE">
        <w:t>uarantor or pay</w:t>
      </w:r>
      <w:r>
        <w:t>o</w:t>
      </w:r>
      <w:r w:rsidRPr="008C0AEE">
        <w:t>r information</w:t>
      </w:r>
      <w:r>
        <w:t>.</w:t>
      </w:r>
    </w:p>
    <w:p w14:paraId="0857E2D6" w14:textId="206C9B44" w:rsidR="00B110DD" w:rsidRDefault="00B3072B" w:rsidP="00D42C5A">
      <w:pPr>
        <w:pStyle w:val="Heading3"/>
      </w:pPr>
      <w:bookmarkStart w:id="180" w:name="_Toc135416721"/>
      <w:bookmarkStart w:id="181" w:name="_Toc166834368"/>
      <w:r w:rsidRPr="7599250B">
        <w:lastRenderedPageBreak/>
        <w:t>Insurance Coverage and Estimates</w:t>
      </w:r>
      <w:bookmarkEnd w:id="180"/>
      <w:bookmarkEnd w:id="181"/>
      <w:r w:rsidRPr="00305937">
        <w:t xml:space="preserve"> </w:t>
      </w:r>
    </w:p>
    <w:p w14:paraId="7D7FDEB2" w14:textId="0B2BBCA3" w:rsidR="00B3072B" w:rsidRPr="00305937" w:rsidRDefault="00B3072B" w:rsidP="00B110DD">
      <w:pPr>
        <w:pStyle w:val="BodyText"/>
        <w:rPr>
          <w:b/>
          <w:bCs/>
        </w:rPr>
      </w:pPr>
      <w:r>
        <w:t>Dentrix Enterprise uses standard formulas to provide insurance estimat</w:t>
      </w:r>
      <w:r w:rsidR="004D4260">
        <w:t>e</w:t>
      </w:r>
      <w:r>
        <w:t>s</w:t>
      </w:r>
      <w:r w:rsidR="004D4260">
        <w:t xml:space="preserve">. </w:t>
      </w:r>
      <w:r>
        <w:t>The formula use</w:t>
      </w:r>
      <w:r w:rsidR="004D4260">
        <w:t>d depends</w:t>
      </w:r>
      <w:r>
        <w:t xml:space="preserve"> on the conditions </w:t>
      </w:r>
      <w:r w:rsidR="004D4260">
        <w:t xml:space="preserve">that are </w:t>
      </w:r>
      <w:r>
        <w:t xml:space="preserve">applicable to the fee schedule, coverage table, co-pay, payment table, and insurance override.  </w:t>
      </w:r>
    </w:p>
    <w:p w14:paraId="2D8F5A36" w14:textId="602BB44C" w:rsidR="00B3072B" w:rsidRPr="004D4260" w:rsidRDefault="00F46BA9" w:rsidP="00B110DD">
      <w:pPr>
        <w:pStyle w:val="BodyText"/>
        <w:rPr>
          <w:i/>
          <w:iCs/>
        </w:rPr>
      </w:pPr>
      <w:r>
        <w:rPr>
          <w:noProof/>
        </w:rPr>
        <w:drawing>
          <wp:anchor distT="0" distB="0" distL="0" distR="91440" simplePos="0" relativeHeight="251785220" behindDoc="1" locked="0" layoutInCell="1" allowOverlap="1" wp14:anchorId="07B0A0DA" wp14:editId="2C0741F8">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26880265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4D4260">
        <w:rPr>
          <w:b/>
          <w:bCs/>
          <w:i/>
          <w:iCs/>
        </w:rPr>
        <w:t>Operations Insight</w:t>
      </w:r>
      <w:r w:rsidR="00B3072B" w:rsidRPr="004D4260">
        <w:rPr>
          <w:i/>
          <w:iCs/>
        </w:rPr>
        <w:t xml:space="preserve">: All ADA codes in the coverage table must start with </w:t>
      </w:r>
      <w:r w:rsidR="004D4260" w:rsidRPr="004D4260">
        <w:rPr>
          <w:i/>
          <w:iCs/>
        </w:rPr>
        <w:t>an uppercase</w:t>
      </w:r>
      <w:r w:rsidR="00B3072B" w:rsidRPr="004D4260">
        <w:rPr>
          <w:i/>
          <w:iCs/>
        </w:rPr>
        <w:t xml:space="preserve"> D. Codes may not register or calculate correctly if a lowercase d or a</w:t>
      </w:r>
      <w:r w:rsidR="004D4260" w:rsidRPr="004D4260">
        <w:rPr>
          <w:i/>
          <w:iCs/>
        </w:rPr>
        <w:t xml:space="preserve"> zero </w:t>
      </w:r>
      <w:r w:rsidR="00B3072B" w:rsidRPr="004D4260">
        <w:rPr>
          <w:i/>
          <w:iCs/>
        </w:rPr>
        <w:t>is used.</w:t>
      </w:r>
    </w:p>
    <w:p w14:paraId="394CA857" w14:textId="1D0F7974" w:rsidR="00B110DD" w:rsidRPr="00B110DD" w:rsidRDefault="00B3072B" w:rsidP="00E92EA5">
      <w:pPr>
        <w:pStyle w:val="Heading4"/>
        <w:rPr>
          <w:color w:val="auto"/>
        </w:rPr>
      </w:pPr>
      <w:r w:rsidRPr="5A4B8279">
        <w:t>Estimate Components</w:t>
      </w:r>
    </w:p>
    <w:p w14:paraId="4C23EC55" w14:textId="31D4B64F" w:rsidR="00B3072B" w:rsidRDefault="004D4260" w:rsidP="00B110DD">
      <w:pPr>
        <w:pStyle w:val="BodyText"/>
      </w:pPr>
      <w:r>
        <w:t>Dentrix Enterprise uses t</w:t>
      </w:r>
      <w:r w:rsidR="00B3072B" w:rsidRPr="46812195">
        <w:t xml:space="preserve">he following </w:t>
      </w:r>
      <w:r>
        <w:t>factors to calculate</w:t>
      </w:r>
      <w:r w:rsidR="00B3072B" w:rsidRPr="46812195">
        <w:t xml:space="preserve"> insurance estimates</w:t>
      </w:r>
      <w:r w:rsidR="001E0785">
        <w:t>:</w:t>
      </w:r>
    </w:p>
    <w:p w14:paraId="244D0A4E" w14:textId="67308503" w:rsidR="00B3072B" w:rsidRPr="00B110DD" w:rsidRDefault="00B3072B" w:rsidP="004F45B6">
      <w:pPr>
        <w:pStyle w:val="BodyText"/>
        <w:numPr>
          <w:ilvl w:val="0"/>
          <w:numId w:val="57"/>
        </w:numPr>
        <w:ind w:left="540"/>
      </w:pPr>
      <w:r w:rsidRPr="00B110DD">
        <w:rPr>
          <w:b/>
          <w:bCs/>
        </w:rPr>
        <w:t>Fee Schedule</w:t>
      </w:r>
      <w:r w:rsidRPr="001D5F9C">
        <w:t xml:space="preserve"> </w:t>
      </w:r>
      <w:r w:rsidR="001E0785">
        <w:t xml:space="preserve">– </w:t>
      </w:r>
      <w:r w:rsidRPr="001D5F9C">
        <w:t>Fee</w:t>
      </w:r>
      <w:r w:rsidRPr="00B110DD">
        <w:t xml:space="preserve"> schedules are lists of the maximum amount charged per service. Fees can be set by organization, office, insurance companies, and more.</w:t>
      </w:r>
    </w:p>
    <w:p w14:paraId="3A9128BB" w14:textId="49F09506" w:rsidR="00B3072B" w:rsidRPr="00B110DD" w:rsidRDefault="00B3072B" w:rsidP="00B110DD">
      <w:pPr>
        <w:pStyle w:val="BodyText"/>
        <w:ind w:left="540"/>
      </w:pPr>
      <w:r w:rsidRPr="001E0785">
        <w:rPr>
          <w:b/>
          <w:bCs/>
        </w:rPr>
        <w:t>Wh</w:t>
      </w:r>
      <w:r w:rsidR="00B110DD" w:rsidRPr="001E0785">
        <w:rPr>
          <w:b/>
          <w:bCs/>
        </w:rPr>
        <w:t>y</w:t>
      </w:r>
      <w:r w:rsidRPr="001E0785">
        <w:rPr>
          <w:b/>
          <w:bCs/>
        </w:rPr>
        <w:t xml:space="preserve"> is it important?</w:t>
      </w:r>
      <w:r w:rsidRPr="00B110DD">
        <w:t xml:space="preserve"> The </w:t>
      </w:r>
      <w:r w:rsidR="001E0785">
        <w:t>f</w:t>
      </w:r>
      <w:r w:rsidRPr="00B110DD">
        <w:t xml:space="preserve">ee </w:t>
      </w:r>
      <w:r w:rsidR="001E0785">
        <w:t>s</w:t>
      </w:r>
      <w:r w:rsidRPr="00B110DD">
        <w:t xml:space="preserve">chedule is the basis of all financial aspects for production and collection. The fee schedule is directly related to the insurance components and dictates all estimated outcomes.   </w:t>
      </w:r>
    </w:p>
    <w:p w14:paraId="6DD451F7" w14:textId="77777777" w:rsidR="00B3072B" w:rsidRPr="001E0785" w:rsidRDefault="00B3072B" w:rsidP="00B110DD">
      <w:pPr>
        <w:pStyle w:val="BodyText"/>
        <w:ind w:left="540"/>
        <w:rPr>
          <w:b/>
          <w:bCs/>
        </w:rPr>
      </w:pPr>
      <w:r w:rsidRPr="001E0785">
        <w:rPr>
          <w:b/>
          <w:bCs/>
        </w:rPr>
        <w:t>How is it used?</w:t>
      </w:r>
    </w:p>
    <w:p w14:paraId="05596E3D" w14:textId="1174C7CB" w:rsidR="00B3072B" w:rsidRPr="00B110DD" w:rsidRDefault="001E0785" w:rsidP="004F45B6">
      <w:pPr>
        <w:pStyle w:val="BodyText"/>
        <w:numPr>
          <w:ilvl w:val="1"/>
          <w:numId w:val="64"/>
        </w:numPr>
        <w:ind w:left="1080"/>
      </w:pPr>
      <w:r>
        <w:t>For t</w:t>
      </w:r>
      <w:r w:rsidR="00B3072B" w:rsidRPr="00B110DD">
        <w:t>reatment plan presentation</w:t>
      </w:r>
      <w:r>
        <w:t>s, to provide g</w:t>
      </w:r>
      <w:r w:rsidR="00B3072B" w:rsidRPr="00B110DD">
        <w:t xml:space="preserve">ood </w:t>
      </w:r>
      <w:r>
        <w:t>f</w:t>
      </w:r>
      <w:r w:rsidR="00B3072B" w:rsidRPr="00B110DD">
        <w:t xml:space="preserve">aith </w:t>
      </w:r>
      <w:r>
        <w:t>e</w:t>
      </w:r>
      <w:r w:rsidR="00B3072B" w:rsidRPr="00B110DD">
        <w:t>stimates</w:t>
      </w:r>
      <w:r>
        <w:t xml:space="preserve"> (</w:t>
      </w:r>
      <w:r w:rsidR="00B3072B" w:rsidRPr="00B110DD">
        <w:t>No Surprise Act)</w:t>
      </w:r>
      <w:r>
        <w:t>.</w:t>
      </w:r>
    </w:p>
    <w:p w14:paraId="52E6D73A" w14:textId="758C78C5" w:rsidR="00B3072B" w:rsidRPr="001D5F9C" w:rsidRDefault="001E0785" w:rsidP="004F45B6">
      <w:pPr>
        <w:pStyle w:val="BodyText"/>
        <w:numPr>
          <w:ilvl w:val="1"/>
          <w:numId w:val="64"/>
        </w:numPr>
        <w:ind w:left="1080"/>
      </w:pPr>
      <w:r>
        <w:t>In l</w:t>
      </w:r>
      <w:r w:rsidR="00B3072B" w:rsidRPr="00B110DD">
        <w:t>ine-</w:t>
      </w:r>
      <w:r>
        <w:t>i</w:t>
      </w:r>
      <w:r w:rsidR="00B3072B" w:rsidRPr="00B110DD">
        <w:t xml:space="preserve">tem </w:t>
      </w:r>
      <w:r>
        <w:t>a</w:t>
      </w:r>
      <w:r w:rsidR="00B3072B" w:rsidRPr="00B110DD">
        <w:t>ccounting</w:t>
      </w:r>
      <w:r>
        <w:t>,</w:t>
      </w:r>
      <w:r w:rsidR="00B3072B" w:rsidRPr="00B110DD">
        <w:t xml:space="preserve"> to determine </w:t>
      </w:r>
      <w:r>
        <w:t xml:space="preserve">the </w:t>
      </w:r>
      <w:r w:rsidR="00B3072B" w:rsidRPr="00B110DD">
        <w:t>insurance payment, patient payme</w:t>
      </w:r>
      <w:r w:rsidR="00B3072B">
        <w:t>nt, and provider collections</w:t>
      </w:r>
      <w:r>
        <w:t>.</w:t>
      </w:r>
    </w:p>
    <w:p w14:paraId="7CDBA754" w14:textId="749EA84E" w:rsidR="00B3072B" w:rsidRPr="00B110DD" w:rsidRDefault="00B3072B" w:rsidP="004F45B6">
      <w:pPr>
        <w:pStyle w:val="BodyText"/>
        <w:numPr>
          <w:ilvl w:val="0"/>
          <w:numId w:val="64"/>
        </w:numPr>
        <w:ind w:left="540"/>
      </w:pPr>
      <w:r w:rsidRPr="00B110DD">
        <w:rPr>
          <w:b/>
          <w:bCs/>
        </w:rPr>
        <w:t>Fee Schedule Assignment</w:t>
      </w:r>
      <w:r w:rsidR="001E0785" w:rsidRPr="001D5F9C">
        <w:t xml:space="preserve"> </w:t>
      </w:r>
      <w:r w:rsidR="001E0785">
        <w:t xml:space="preserve">– </w:t>
      </w:r>
      <w:r w:rsidRPr="00B110DD">
        <w:rPr>
          <w:bCs/>
        </w:rPr>
        <w:t>T</w:t>
      </w:r>
      <w:r w:rsidRPr="00B110DD">
        <w:t xml:space="preserve">he fee </w:t>
      </w:r>
      <w:r w:rsidR="001E0785">
        <w:t xml:space="preserve">that is </w:t>
      </w:r>
      <w:r w:rsidRPr="00B110DD">
        <w:t xml:space="preserve">used in the insurance estimate will be determined by where the fee schedule is assigned in the system. Fee assignment </w:t>
      </w:r>
      <w:r w:rsidR="001E0785">
        <w:t>is</w:t>
      </w:r>
      <w:r w:rsidRPr="00B110DD">
        <w:t xml:space="preserve"> </w:t>
      </w:r>
      <w:r w:rsidR="001E0785">
        <w:t>handled</w:t>
      </w:r>
      <w:r w:rsidRPr="00B110DD">
        <w:t xml:space="preserve"> in the following hierarch</w:t>
      </w:r>
      <w:r w:rsidR="001E0785">
        <w:t>ical</w:t>
      </w:r>
      <w:r w:rsidRPr="00B110DD">
        <w:t xml:space="preserve"> order:</w:t>
      </w:r>
    </w:p>
    <w:p w14:paraId="11AF4ADD" w14:textId="7FC470D9" w:rsidR="00B3072B" w:rsidRPr="00B110DD" w:rsidRDefault="00B3072B" w:rsidP="004F45B6">
      <w:pPr>
        <w:pStyle w:val="BodyText"/>
        <w:numPr>
          <w:ilvl w:val="1"/>
          <w:numId w:val="65"/>
        </w:numPr>
        <w:ind w:left="1080"/>
      </w:pPr>
      <w:r w:rsidRPr="001E0785">
        <w:rPr>
          <w:b/>
          <w:bCs/>
        </w:rPr>
        <w:t xml:space="preserve">Patient </w:t>
      </w:r>
      <w:r w:rsidR="001E0785">
        <w:rPr>
          <w:b/>
          <w:bCs/>
        </w:rPr>
        <w:t>f</w:t>
      </w:r>
      <w:r w:rsidRPr="001E0785">
        <w:rPr>
          <w:b/>
          <w:bCs/>
        </w:rPr>
        <w:t xml:space="preserve">ee </w:t>
      </w:r>
      <w:r w:rsidR="001E0785">
        <w:rPr>
          <w:b/>
          <w:bCs/>
        </w:rPr>
        <w:t>s</w:t>
      </w:r>
      <w:r w:rsidRPr="001E0785">
        <w:rPr>
          <w:b/>
          <w:bCs/>
        </w:rPr>
        <w:t>chedule</w:t>
      </w:r>
      <w:r w:rsidR="001E0785" w:rsidRPr="001D5F9C">
        <w:t xml:space="preserve"> </w:t>
      </w:r>
      <w:r w:rsidR="001E0785">
        <w:t>– A</w:t>
      </w:r>
      <w:r w:rsidRPr="00B110DD">
        <w:t xml:space="preserve"> special fee schedule </w:t>
      </w:r>
      <w:r w:rsidR="001E0785">
        <w:t>that must be assign</w:t>
      </w:r>
      <w:r w:rsidR="00EC3DF9">
        <w:t>ed</w:t>
      </w:r>
      <w:r w:rsidR="001E0785">
        <w:t xml:space="preserve"> to the patient </w:t>
      </w:r>
      <w:r w:rsidRPr="00B110DD">
        <w:t xml:space="preserve">for any reason other than insurance </w:t>
      </w:r>
      <w:r w:rsidR="001E0785">
        <w:t>purposes.</w:t>
      </w:r>
    </w:p>
    <w:p w14:paraId="0CD7B1D1" w14:textId="56CBDC9E" w:rsidR="00B3072B" w:rsidRPr="00B110DD" w:rsidRDefault="00B3072B" w:rsidP="004F45B6">
      <w:pPr>
        <w:pStyle w:val="BodyText"/>
        <w:numPr>
          <w:ilvl w:val="1"/>
          <w:numId w:val="65"/>
        </w:numPr>
        <w:ind w:left="1080"/>
      </w:pPr>
      <w:r w:rsidRPr="001E0785">
        <w:rPr>
          <w:b/>
          <w:bCs/>
        </w:rPr>
        <w:t xml:space="preserve">Insurance </w:t>
      </w:r>
      <w:r w:rsidR="001E0785" w:rsidRPr="001E0785">
        <w:rPr>
          <w:b/>
          <w:bCs/>
        </w:rPr>
        <w:t>p</w:t>
      </w:r>
      <w:r w:rsidRPr="001E0785">
        <w:rPr>
          <w:b/>
          <w:bCs/>
        </w:rPr>
        <w:t>lan</w:t>
      </w:r>
      <w:r w:rsidR="001E0785" w:rsidRPr="001E0785">
        <w:rPr>
          <w:b/>
          <w:bCs/>
        </w:rPr>
        <w:t xml:space="preserve"> f</w:t>
      </w:r>
      <w:r w:rsidRPr="001E0785">
        <w:rPr>
          <w:b/>
          <w:bCs/>
        </w:rPr>
        <w:t xml:space="preserve">ee </w:t>
      </w:r>
      <w:r w:rsidR="001E0785" w:rsidRPr="001E0785">
        <w:rPr>
          <w:b/>
          <w:bCs/>
        </w:rPr>
        <w:t>s</w:t>
      </w:r>
      <w:r w:rsidRPr="001E0785">
        <w:rPr>
          <w:b/>
          <w:bCs/>
        </w:rPr>
        <w:t>chedule</w:t>
      </w:r>
      <w:r w:rsidR="001E0785" w:rsidRPr="001D5F9C">
        <w:t xml:space="preserve"> </w:t>
      </w:r>
      <w:r w:rsidR="001E0785">
        <w:t>– T</w:t>
      </w:r>
      <w:r w:rsidRPr="00B110DD">
        <w:t>he breakdown of what the insurance company will pay for specific services, otherwise known as the contracted rate</w:t>
      </w:r>
      <w:r w:rsidR="001E0785">
        <w:t>.</w:t>
      </w:r>
    </w:p>
    <w:p w14:paraId="49CD54E0" w14:textId="56421FB7" w:rsidR="00B3072B" w:rsidRPr="00B110DD" w:rsidRDefault="00B3072B" w:rsidP="004F45B6">
      <w:pPr>
        <w:pStyle w:val="BodyText"/>
        <w:numPr>
          <w:ilvl w:val="1"/>
          <w:numId w:val="65"/>
        </w:numPr>
        <w:ind w:left="1080"/>
      </w:pPr>
      <w:r w:rsidRPr="001E0785">
        <w:rPr>
          <w:b/>
          <w:bCs/>
        </w:rPr>
        <w:t xml:space="preserve">Provider </w:t>
      </w:r>
      <w:r w:rsidR="001E0785" w:rsidRPr="001E0785">
        <w:rPr>
          <w:b/>
          <w:bCs/>
        </w:rPr>
        <w:t>f</w:t>
      </w:r>
      <w:r w:rsidRPr="001E0785">
        <w:rPr>
          <w:b/>
          <w:bCs/>
        </w:rPr>
        <w:t xml:space="preserve">ee </w:t>
      </w:r>
      <w:r w:rsidR="001E0785" w:rsidRPr="001E0785">
        <w:rPr>
          <w:b/>
          <w:bCs/>
        </w:rPr>
        <w:t>s</w:t>
      </w:r>
      <w:r w:rsidRPr="001E0785">
        <w:rPr>
          <w:b/>
          <w:bCs/>
        </w:rPr>
        <w:t>chedule</w:t>
      </w:r>
      <w:r w:rsidR="001E0785" w:rsidRPr="001D5F9C">
        <w:t xml:space="preserve"> </w:t>
      </w:r>
      <w:r w:rsidR="001E0785">
        <w:t>– U</w:t>
      </w:r>
      <w:r w:rsidRPr="00B110DD">
        <w:t>sually the office</w:t>
      </w:r>
      <w:r w:rsidR="001E0785">
        <w:t>’s</w:t>
      </w:r>
      <w:r w:rsidRPr="00B110DD">
        <w:t xml:space="preserve"> UCR</w:t>
      </w:r>
      <w:r w:rsidR="001E0785">
        <w:t xml:space="preserve"> fee schedule.</w:t>
      </w:r>
    </w:p>
    <w:p w14:paraId="653DE6D2" w14:textId="1837A223" w:rsidR="00B3072B" w:rsidRPr="00234A19" w:rsidRDefault="005D3903" w:rsidP="00B110DD">
      <w:pPr>
        <w:pStyle w:val="BodyText"/>
        <w:ind w:left="540"/>
        <w:rPr>
          <w:i/>
          <w:iCs/>
        </w:rPr>
      </w:pPr>
      <w:r>
        <w:rPr>
          <w:noProof/>
        </w:rPr>
        <w:drawing>
          <wp:anchor distT="0" distB="0" distL="0" distR="91440" simplePos="0" relativeHeight="251787268" behindDoc="1" locked="0" layoutInCell="1" allowOverlap="1" wp14:anchorId="2953D5DC" wp14:editId="2D7A8B5B">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6905774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234A19">
        <w:rPr>
          <w:b/>
          <w:bCs/>
          <w:i/>
          <w:iCs/>
        </w:rPr>
        <w:t>Workflow Insight</w:t>
      </w:r>
      <w:r w:rsidR="00B3072B" w:rsidRPr="00234A19">
        <w:rPr>
          <w:i/>
          <w:iCs/>
        </w:rPr>
        <w:t>: If two or more of any of the above fee schedules are selected, the system will always read the one higher on the list. For example</w:t>
      </w:r>
      <w:r w:rsidR="001E0785" w:rsidRPr="00234A19">
        <w:rPr>
          <w:i/>
          <w:iCs/>
        </w:rPr>
        <w:t>,</w:t>
      </w:r>
      <w:r w:rsidR="00B3072B" w:rsidRPr="00234A19">
        <w:rPr>
          <w:i/>
          <w:iCs/>
        </w:rPr>
        <w:t xml:space="preserve"> </w:t>
      </w:r>
      <w:r w:rsidR="001E0785" w:rsidRPr="00234A19">
        <w:rPr>
          <w:i/>
          <w:iCs/>
        </w:rPr>
        <w:t>t</w:t>
      </w:r>
      <w:r w:rsidR="00B3072B" w:rsidRPr="00234A19">
        <w:rPr>
          <w:i/>
          <w:iCs/>
        </w:rPr>
        <w:t xml:space="preserve">he </w:t>
      </w:r>
      <w:r w:rsidR="001E0785" w:rsidRPr="00234A19">
        <w:rPr>
          <w:i/>
          <w:iCs/>
        </w:rPr>
        <w:t>p</w:t>
      </w:r>
      <w:r w:rsidR="00B3072B" w:rsidRPr="00234A19">
        <w:rPr>
          <w:i/>
          <w:iCs/>
        </w:rPr>
        <w:t xml:space="preserve">atient </w:t>
      </w:r>
      <w:r w:rsidR="001E0785" w:rsidRPr="00234A19">
        <w:rPr>
          <w:i/>
          <w:iCs/>
        </w:rPr>
        <w:t>f</w:t>
      </w:r>
      <w:r w:rsidR="00B3072B" w:rsidRPr="00234A19">
        <w:rPr>
          <w:i/>
          <w:iCs/>
        </w:rPr>
        <w:t xml:space="preserve">ee </w:t>
      </w:r>
      <w:r w:rsidR="001E0785" w:rsidRPr="00234A19">
        <w:rPr>
          <w:i/>
          <w:iCs/>
        </w:rPr>
        <w:t>s</w:t>
      </w:r>
      <w:r w:rsidR="00B3072B" w:rsidRPr="00234A19">
        <w:rPr>
          <w:i/>
          <w:iCs/>
        </w:rPr>
        <w:t xml:space="preserve">chedule takes priority over </w:t>
      </w:r>
      <w:r w:rsidR="001E0785" w:rsidRPr="00234A19">
        <w:rPr>
          <w:i/>
          <w:iCs/>
        </w:rPr>
        <w:t>the insurance plan fee schedule; and the insurance plan fee schedule takes priority over the provider fee schedule. Additionally, if the patient has</w:t>
      </w:r>
      <w:r w:rsidR="00B3072B" w:rsidRPr="00234A19">
        <w:rPr>
          <w:i/>
          <w:iCs/>
        </w:rPr>
        <w:t xml:space="preserve"> multiple insurance</w:t>
      </w:r>
      <w:r w:rsidR="001E0785" w:rsidRPr="00234A19">
        <w:rPr>
          <w:i/>
          <w:iCs/>
        </w:rPr>
        <w:t xml:space="preserve"> plan</w:t>
      </w:r>
      <w:r w:rsidR="00B3072B" w:rsidRPr="00234A19">
        <w:rPr>
          <w:i/>
          <w:iCs/>
        </w:rPr>
        <w:t>s</w:t>
      </w:r>
      <w:r w:rsidR="001E0785" w:rsidRPr="00234A19">
        <w:rPr>
          <w:i/>
          <w:iCs/>
        </w:rPr>
        <w:t>,</w:t>
      </w:r>
      <w:r w:rsidR="00B3072B" w:rsidRPr="00234A19">
        <w:rPr>
          <w:i/>
          <w:iCs/>
        </w:rPr>
        <w:t xml:space="preserve"> the primary insurance plan fee schedule </w:t>
      </w:r>
      <w:r w:rsidR="00234A19" w:rsidRPr="00234A19">
        <w:rPr>
          <w:i/>
          <w:iCs/>
        </w:rPr>
        <w:t>takes priority over the secondary and any subsequent coverage</w:t>
      </w:r>
      <w:r w:rsidR="00B3072B" w:rsidRPr="00234A19">
        <w:rPr>
          <w:i/>
          <w:iCs/>
        </w:rPr>
        <w:t>.</w:t>
      </w:r>
    </w:p>
    <w:p w14:paraId="12CCF124" w14:textId="13EC591F" w:rsidR="00B3072B" w:rsidRPr="00B110DD" w:rsidRDefault="00B3072B" w:rsidP="004F45B6">
      <w:pPr>
        <w:pStyle w:val="BodyText"/>
        <w:numPr>
          <w:ilvl w:val="0"/>
          <w:numId w:val="64"/>
        </w:numPr>
        <w:ind w:left="540"/>
        <w:rPr>
          <w:color w:val="000000" w:themeColor="text1"/>
        </w:rPr>
      </w:pPr>
      <w:r w:rsidRPr="00B110DD">
        <w:rPr>
          <w:b/>
        </w:rPr>
        <w:t>Coverage Table</w:t>
      </w:r>
      <w:r w:rsidRPr="00234A19">
        <w:t xml:space="preserve"> </w:t>
      </w:r>
      <w:r w:rsidR="00234A19" w:rsidRPr="00234A19">
        <w:t>–</w:t>
      </w:r>
      <w:r w:rsidRPr="00234A19">
        <w:t xml:space="preserve"> </w:t>
      </w:r>
      <w:r w:rsidR="00234A19" w:rsidRPr="00234A19">
        <w:t xml:space="preserve">You can </w:t>
      </w:r>
      <w:r w:rsidR="00234A19">
        <w:t>add i</w:t>
      </w:r>
      <w:r w:rsidRPr="00B110DD">
        <w:t xml:space="preserve">nsurance benefit breakdowns for each plan as a coverage table.  The </w:t>
      </w:r>
      <w:r w:rsidR="00234A19">
        <w:t>c</w:t>
      </w:r>
      <w:r w:rsidRPr="00B110DD">
        <w:t xml:space="preserve">overage </w:t>
      </w:r>
      <w:r w:rsidR="00234A19">
        <w:t>t</w:t>
      </w:r>
      <w:r w:rsidRPr="00B110DD">
        <w:t>able include</w:t>
      </w:r>
      <w:r w:rsidR="00234A19">
        <w:t>s</w:t>
      </w:r>
      <w:r w:rsidRPr="00B110DD">
        <w:t xml:space="preserve"> deductible amounts, plan maximums, and the percentage covered. In the absence of </w:t>
      </w:r>
      <w:r w:rsidR="00234A19">
        <w:t xml:space="preserve">an </w:t>
      </w:r>
      <w:r w:rsidRPr="00B110DD">
        <w:t>insurance override and payment tables</w:t>
      </w:r>
      <w:r w:rsidR="00234A19">
        <w:t>,</w:t>
      </w:r>
      <w:r w:rsidRPr="00B110DD">
        <w:t xml:space="preserve"> the fee schedule and coverage table will be used as the primary source for insurance estimates.  </w:t>
      </w:r>
    </w:p>
    <w:p w14:paraId="5B4BA64D" w14:textId="6F32B53F" w:rsidR="00B3072B" w:rsidRPr="00B110DD" w:rsidRDefault="00B3072B" w:rsidP="004F45B6">
      <w:pPr>
        <w:pStyle w:val="BodyText"/>
        <w:numPr>
          <w:ilvl w:val="0"/>
          <w:numId w:val="64"/>
        </w:numPr>
        <w:ind w:left="540"/>
        <w:rPr>
          <w:color w:val="000000" w:themeColor="text1"/>
        </w:rPr>
      </w:pPr>
      <w:r w:rsidRPr="00B110DD">
        <w:rPr>
          <w:b/>
          <w:bCs/>
        </w:rPr>
        <w:t>Payment Tables</w:t>
      </w:r>
      <w:r w:rsidR="00234A19">
        <w:t xml:space="preserve"> – In the </w:t>
      </w:r>
      <w:r w:rsidRPr="00B110DD">
        <w:t>payment table</w:t>
      </w:r>
      <w:r w:rsidR="00234A19">
        <w:t>,</w:t>
      </w:r>
      <w:r w:rsidRPr="00B110DD">
        <w:t xml:space="preserve"> you can enter the </w:t>
      </w:r>
      <w:r w:rsidRPr="00B110DD">
        <w:rPr>
          <w:iCs/>
        </w:rPr>
        <w:t>exact dollar amount</w:t>
      </w:r>
      <w:r w:rsidRPr="00B110DD">
        <w:t xml:space="preserve"> that an insurance plan pays towards a specific procedure code. </w:t>
      </w:r>
      <w:r w:rsidRPr="00B110DD">
        <w:rPr>
          <w:color w:val="000000" w:themeColor="text1"/>
        </w:rPr>
        <w:t xml:space="preserve">Payment table codes override </w:t>
      </w:r>
      <w:r w:rsidR="00234A19">
        <w:rPr>
          <w:color w:val="000000" w:themeColor="text1"/>
        </w:rPr>
        <w:t>c</w:t>
      </w:r>
      <w:r w:rsidRPr="00B110DD">
        <w:rPr>
          <w:color w:val="000000" w:themeColor="text1"/>
        </w:rPr>
        <w:t>overage table codes.</w:t>
      </w:r>
    </w:p>
    <w:p w14:paraId="77258245" w14:textId="3B9E44CD" w:rsidR="00B3072B" w:rsidRPr="00B110DD" w:rsidRDefault="00B3072B" w:rsidP="004F45B6">
      <w:pPr>
        <w:pStyle w:val="BodyText"/>
        <w:numPr>
          <w:ilvl w:val="0"/>
          <w:numId w:val="64"/>
        </w:numPr>
        <w:ind w:left="540"/>
        <w:rPr>
          <w:b/>
          <w:bCs/>
        </w:rPr>
      </w:pPr>
      <w:r w:rsidRPr="00B110DD">
        <w:rPr>
          <w:b/>
        </w:rPr>
        <w:t>Co-Pays</w:t>
      </w:r>
      <w:r w:rsidR="00234A19">
        <w:t xml:space="preserve"> – </w:t>
      </w:r>
      <w:r w:rsidRPr="00B110DD">
        <w:t xml:space="preserve">The co-pays in the coverage table are designed to support capitation plans. Using the Cap Plan coverage table that lists all procedures, you can enter a co-payment amount for each procedure that is covered by the plan. </w:t>
      </w:r>
      <w:r>
        <w:t xml:space="preserve"> </w:t>
      </w:r>
    </w:p>
    <w:p w14:paraId="75038966" w14:textId="20A00872" w:rsidR="00B3072B" w:rsidRPr="00516E41" w:rsidRDefault="00B3072B" w:rsidP="00E92EA5">
      <w:pPr>
        <w:pStyle w:val="Heading4"/>
        <w:rPr>
          <w:u w:val="single"/>
        </w:rPr>
      </w:pPr>
      <w:r w:rsidRPr="46812195">
        <w:lastRenderedPageBreak/>
        <w:t>Es</w:t>
      </w:r>
      <w:r>
        <w:t>timate Exceptions or Overrides</w:t>
      </w:r>
    </w:p>
    <w:p w14:paraId="23BB11B5" w14:textId="47A04EC5" w:rsidR="00B3072B" w:rsidRPr="00B110DD" w:rsidRDefault="00B3072B" w:rsidP="004F45B6">
      <w:pPr>
        <w:pStyle w:val="BodyText"/>
        <w:numPr>
          <w:ilvl w:val="0"/>
          <w:numId w:val="66"/>
        </w:numPr>
        <w:ind w:left="540"/>
        <w:rPr>
          <w:b/>
          <w:bCs/>
        </w:rPr>
      </w:pPr>
      <w:r w:rsidRPr="00B110DD">
        <w:rPr>
          <w:b/>
        </w:rPr>
        <w:t>Insurance Override</w:t>
      </w:r>
      <w:r w:rsidRPr="00B110DD">
        <w:rPr>
          <w:b/>
          <w:bCs/>
        </w:rPr>
        <w:t xml:space="preserve"> </w:t>
      </w:r>
      <w:r w:rsidR="00234A19">
        <w:t xml:space="preserve">– </w:t>
      </w:r>
      <w:r w:rsidRPr="00B110DD">
        <w:t>This option is available per procedure code if the patient has insurance coverage. It allows you to manually override what the system has estimated as the insurance portion for the procedure.</w:t>
      </w:r>
      <w:r w:rsidR="00234A19">
        <w:t xml:space="preserve"> Use an i</w:t>
      </w:r>
      <w:r w:rsidRPr="00B110DD">
        <w:t xml:space="preserve">nsurance </w:t>
      </w:r>
      <w:r w:rsidR="00234A19">
        <w:t>o</w:t>
      </w:r>
      <w:r w:rsidRPr="00B110DD">
        <w:t>verride in limited</w:t>
      </w:r>
      <w:r w:rsidR="00234A19">
        <w:t>,</w:t>
      </w:r>
      <w:r w:rsidRPr="00B110DD">
        <w:t xml:space="preserve"> unique circumstances</w:t>
      </w:r>
      <w:r w:rsidR="00234A19">
        <w:t xml:space="preserve">; you </w:t>
      </w:r>
      <w:r w:rsidRPr="00B110DD">
        <w:t xml:space="preserve">should not </w:t>
      </w:r>
      <w:r w:rsidR="00234A19">
        <w:t>use it as</w:t>
      </w:r>
      <w:r w:rsidRPr="00B110DD">
        <w:t xml:space="preserve"> a routine practice in your workflow.  </w:t>
      </w:r>
    </w:p>
    <w:p w14:paraId="5AA305C6" w14:textId="6946C86E" w:rsidR="00B3072B" w:rsidRPr="00B110DD" w:rsidRDefault="00B3072B" w:rsidP="004F45B6">
      <w:pPr>
        <w:pStyle w:val="BodyText"/>
        <w:numPr>
          <w:ilvl w:val="0"/>
          <w:numId w:val="66"/>
        </w:numPr>
        <w:ind w:left="540"/>
      </w:pPr>
      <w:r w:rsidRPr="00B110DD">
        <w:rPr>
          <w:b/>
        </w:rPr>
        <w:t>Pre-Authorization Estimates</w:t>
      </w:r>
      <w:r w:rsidRPr="00B110DD">
        <w:rPr>
          <w:b/>
          <w:bCs/>
        </w:rPr>
        <w:t xml:space="preserve"> </w:t>
      </w:r>
      <w:r w:rsidR="00234A19">
        <w:t xml:space="preserve">– </w:t>
      </w:r>
      <w:r w:rsidRPr="00B110DD">
        <w:t>Estimates</w:t>
      </w:r>
      <w:r w:rsidR="00234A19">
        <w:t xml:space="preserve"> that you </w:t>
      </w:r>
      <w:r w:rsidR="00234A19" w:rsidRPr="00B110DD">
        <w:t xml:space="preserve">itemize by procedure </w:t>
      </w:r>
      <w:r w:rsidRPr="00B110DD">
        <w:t xml:space="preserve">will update the insurance portion of the estimate accordingly using </w:t>
      </w:r>
      <w:r w:rsidR="00234A19">
        <w:t xml:space="preserve">an </w:t>
      </w:r>
      <w:r w:rsidRPr="00B110DD">
        <w:t xml:space="preserve">insurance override. Use the pre-authorization management tools to assist your team with managing the process.  </w:t>
      </w:r>
    </w:p>
    <w:p w14:paraId="3B215F89" w14:textId="5B841806" w:rsidR="00B3072B" w:rsidRPr="00B110DD" w:rsidRDefault="00B3072B" w:rsidP="004F45B6">
      <w:pPr>
        <w:pStyle w:val="BodyText"/>
        <w:numPr>
          <w:ilvl w:val="0"/>
          <w:numId w:val="66"/>
        </w:numPr>
        <w:ind w:left="1080"/>
        <w:rPr>
          <w:b/>
          <w:bCs/>
        </w:rPr>
      </w:pPr>
      <w:r w:rsidRPr="00B110DD">
        <w:rPr>
          <w:b/>
          <w:bCs/>
        </w:rPr>
        <w:t>Coverage Table</w:t>
      </w:r>
      <w:r w:rsidR="00234A19">
        <w:t xml:space="preserve"> – </w:t>
      </w:r>
      <w:r w:rsidRPr="00B110DD">
        <w:t>Procedures can be identified as requiring a pre-authorization.</w:t>
      </w:r>
    </w:p>
    <w:p w14:paraId="0A5AE61C" w14:textId="7D5C5AEE" w:rsidR="00B3072B" w:rsidRPr="00B110DD" w:rsidRDefault="00B3072B" w:rsidP="004F45B6">
      <w:pPr>
        <w:pStyle w:val="BodyText"/>
        <w:numPr>
          <w:ilvl w:val="0"/>
          <w:numId w:val="66"/>
        </w:numPr>
        <w:ind w:left="1080"/>
        <w:rPr>
          <w:b/>
          <w:bCs/>
        </w:rPr>
      </w:pPr>
      <w:r w:rsidRPr="00B110DD">
        <w:rPr>
          <w:b/>
          <w:bCs/>
        </w:rPr>
        <w:t>Treatment Plan –</w:t>
      </w:r>
      <w:r w:rsidRPr="00B110DD">
        <w:t xml:space="preserve"> Flag or clear procedures as needing a pre-authorization from </w:t>
      </w:r>
      <w:r w:rsidR="00234A19">
        <w:t>T</w:t>
      </w:r>
      <w:r w:rsidRPr="00B110DD">
        <w:t xml:space="preserve">reatment </w:t>
      </w:r>
      <w:r w:rsidR="00234A19">
        <w:t>P</w:t>
      </w:r>
      <w:r w:rsidRPr="00B110DD">
        <w:t>lanner. If a procedure was already flagged from the coverage table, the pre-estimate flag cannot be set or cleared.</w:t>
      </w:r>
    </w:p>
    <w:p w14:paraId="5C3A83C1" w14:textId="4D81E03E" w:rsidR="00B3072B" w:rsidRPr="00B110DD" w:rsidRDefault="00B3072B" w:rsidP="004F45B6">
      <w:pPr>
        <w:pStyle w:val="BodyText"/>
        <w:numPr>
          <w:ilvl w:val="1"/>
          <w:numId w:val="67"/>
        </w:numPr>
        <w:ind w:left="1620"/>
      </w:pPr>
      <w:r w:rsidRPr="007264E7">
        <w:rPr>
          <w:rFonts w:eastAsiaTheme="minorEastAsia"/>
          <w:b/>
          <w:bCs/>
        </w:rPr>
        <w:t>Pre-treatment authorization codes</w:t>
      </w:r>
      <w:r w:rsidRPr="00B110DD">
        <w:rPr>
          <w:rFonts w:eastAsiaTheme="minorEastAsia"/>
        </w:rPr>
        <w:t xml:space="preserve"> </w:t>
      </w:r>
      <w:r w:rsidR="00234A19">
        <w:t xml:space="preserve">– </w:t>
      </w:r>
      <w:r w:rsidRPr="00B110DD">
        <w:rPr>
          <w:rFonts w:eastAsiaTheme="minorEastAsia"/>
        </w:rPr>
        <w:t xml:space="preserve">The </w:t>
      </w:r>
      <w:r w:rsidRPr="00234A19">
        <w:rPr>
          <w:rFonts w:eastAsiaTheme="minorEastAsia"/>
          <w:b/>
          <w:bCs/>
        </w:rPr>
        <w:t>Pre-Est</w:t>
      </w:r>
      <w:r w:rsidRPr="00B110DD">
        <w:rPr>
          <w:rFonts w:eastAsiaTheme="minorEastAsia"/>
        </w:rPr>
        <w:t xml:space="preserve"> column </w:t>
      </w:r>
      <w:r w:rsidR="00234A19">
        <w:rPr>
          <w:rFonts w:eastAsiaTheme="minorEastAsia"/>
        </w:rPr>
        <w:t>in Treatment Planner identifies the</w:t>
      </w:r>
      <w:r w:rsidRPr="00B110DD">
        <w:rPr>
          <w:rFonts w:eastAsiaTheme="minorEastAsia"/>
        </w:rPr>
        <w:t xml:space="preserve"> need and status of pre-authorizations</w:t>
      </w:r>
      <w:r w:rsidR="00234A19">
        <w:rPr>
          <w:rFonts w:eastAsiaTheme="minorEastAsia"/>
        </w:rPr>
        <w:t>:</w:t>
      </w:r>
    </w:p>
    <w:p w14:paraId="6E4B35C1" w14:textId="7D2AE549" w:rsidR="007264E7" w:rsidRPr="007264E7" w:rsidRDefault="00B3072B" w:rsidP="004F45B6">
      <w:pPr>
        <w:pStyle w:val="BodyText"/>
        <w:numPr>
          <w:ilvl w:val="1"/>
          <w:numId w:val="68"/>
        </w:numPr>
      </w:pPr>
      <w:r w:rsidRPr="00234A19">
        <w:rPr>
          <w:rFonts w:eastAsiaTheme="minorEastAsia"/>
          <w:b/>
          <w:bCs/>
        </w:rPr>
        <w:t>N</w:t>
      </w:r>
      <w:r w:rsidR="00234A19" w:rsidRPr="00B110DD">
        <w:rPr>
          <w:b/>
          <w:bCs/>
        </w:rPr>
        <w:t xml:space="preserve"> –</w:t>
      </w:r>
      <w:r w:rsidR="00234A19" w:rsidRPr="00B110DD">
        <w:t xml:space="preserve"> </w:t>
      </w:r>
      <w:r w:rsidRPr="00B110DD">
        <w:rPr>
          <w:rFonts w:eastAsiaTheme="minorEastAsia"/>
        </w:rPr>
        <w:t>Needed</w:t>
      </w:r>
      <w:r w:rsidR="00234A19">
        <w:rPr>
          <w:rFonts w:eastAsiaTheme="minorEastAsia"/>
        </w:rPr>
        <w:t>.</w:t>
      </w:r>
    </w:p>
    <w:p w14:paraId="0CDE1A73" w14:textId="71AB283D" w:rsidR="007264E7" w:rsidRPr="007264E7" w:rsidRDefault="00B3072B" w:rsidP="004F45B6">
      <w:pPr>
        <w:pStyle w:val="BodyText"/>
        <w:numPr>
          <w:ilvl w:val="1"/>
          <w:numId w:val="68"/>
        </w:numPr>
      </w:pPr>
      <w:r w:rsidRPr="00234A19">
        <w:rPr>
          <w:rFonts w:eastAsiaTheme="minorEastAsia"/>
          <w:b/>
          <w:bCs/>
        </w:rPr>
        <w:t>S</w:t>
      </w:r>
      <w:r w:rsidR="00234A19" w:rsidRPr="00B110DD">
        <w:rPr>
          <w:b/>
          <w:bCs/>
        </w:rPr>
        <w:t xml:space="preserve"> –</w:t>
      </w:r>
      <w:r w:rsidR="00234A19" w:rsidRPr="00B110DD">
        <w:t xml:space="preserve"> </w:t>
      </w:r>
      <w:r w:rsidRPr="00B110DD">
        <w:rPr>
          <w:rFonts w:eastAsiaTheme="minorEastAsia"/>
        </w:rPr>
        <w:t>Sent</w:t>
      </w:r>
      <w:r w:rsidR="00234A19">
        <w:rPr>
          <w:rFonts w:eastAsiaTheme="minorEastAsia"/>
        </w:rPr>
        <w:t>.</w:t>
      </w:r>
    </w:p>
    <w:p w14:paraId="54AA2E10" w14:textId="4E339CC7" w:rsidR="007264E7" w:rsidRPr="007264E7" w:rsidRDefault="00B3072B" w:rsidP="004F45B6">
      <w:pPr>
        <w:pStyle w:val="BodyText"/>
        <w:numPr>
          <w:ilvl w:val="1"/>
          <w:numId w:val="68"/>
        </w:numPr>
      </w:pPr>
      <w:r w:rsidRPr="00234A19">
        <w:rPr>
          <w:rFonts w:eastAsiaTheme="minorEastAsia"/>
          <w:b/>
          <w:bCs/>
        </w:rPr>
        <w:t>A</w:t>
      </w:r>
      <w:r w:rsidR="00234A19" w:rsidRPr="00B110DD">
        <w:rPr>
          <w:b/>
          <w:bCs/>
        </w:rPr>
        <w:t xml:space="preserve"> –</w:t>
      </w:r>
      <w:r w:rsidR="00234A19" w:rsidRPr="00B110DD">
        <w:t xml:space="preserve"> </w:t>
      </w:r>
      <w:r w:rsidRPr="00B110DD">
        <w:rPr>
          <w:rFonts w:eastAsiaTheme="minorEastAsia"/>
        </w:rPr>
        <w:t>Accepted</w:t>
      </w:r>
      <w:r w:rsidR="00234A19">
        <w:rPr>
          <w:rFonts w:eastAsiaTheme="minorEastAsia"/>
        </w:rPr>
        <w:t>.</w:t>
      </w:r>
    </w:p>
    <w:p w14:paraId="3D048BA9" w14:textId="2D12586F" w:rsidR="007264E7" w:rsidRPr="007264E7" w:rsidRDefault="00B3072B" w:rsidP="004F45B6">
      <w:pPr>
        <w:pStyle w:val="BodyText"/>
        <w:numPr>
          <w:ilvl w:val="1"/>
          <w:numId w:val="68"/>
        </w:numPr>
      </w:pPr>
      <w:r w:rsidRPr="00234A19">
        <w:rPr>
          <w:rFonts w:eastAsiaTheme="minorEastAsia"/>
          <w:b/>
          <w:bCs/>
        </w:rPr>
        <w:t>R</w:t>
      </w:r>
      <w:r w:rsidR="00234A19" w:rsidRPr="00B110DD">
        <w:rPr>
          <w:b/>
          <w:bCs/>
        </w:rPr>
        <w:t xml:space="preserve"> –</w:t>
      </w:r>
      <w:r w:rsidR="00234A19" w:rsidRPr="00B110DD">
        <w:t xml:space="preserve"> </w:t>
      </w:r>
      <w:r w:rsidRPr="00B110DD">
        <w:rPr>
          <w:rFonts w:eastAsiaTheme="minorEastAsia"/>
        </w:rPr>
        <w:t>Rejected</w:t>
      </w:r>
      <w:r w:rsidR="00234A19">
        <w:rPr>
          <w:rFonts w:eastAsiaTheme="minorEastAsia"/>
        </w:rPr>
        <w:t>.</w:t>
      </w:r>
    </w:p>
    <w:p w14:paraId="4BDD7D2C" w14:textId="1012D1BA" w:rsidR="00B3072B" w:rsidRPr="00B110DD" w:rsidRDefault="00B3072B" w:rsidP="007264E7">
      <w:pPr>
        <w:pStyle w:val="BodyText"/>
        <w:ind w:left="1620"/>
      </w:pPr>
      <w:r w:rsidRPr="00B110DD">
        <w:rPr>
          <w:rFonts w:eastAsiaTheme="minorEastAsia"/>
        </w:rPr>
        <w:t xml:space="preserve">The </w:t>
      </w:r>
      <w:r w:rsidRPr="00234A19">
        <w:rPr>
          <w:rFonts w:eastAsiaTheme="minorEastAsia"/>
          <w:b/>
          <w:bCs/>
        </w:rPr>
        <w:t>1</w:t>
      </w:r>
      <w:r w:rsidRPr="00B110DD">
        <w:rPr>
          <w:rFonts w:eastAsiaTheme="minorEastAsia"/>
        </w:rPr>
        <w:t xml:space="preserve"> or </w:t>
      </w:r>
      <w:r w:rsidRPr="00234A19">
        <w:rPr>
          <w:rFonts w:eastAsiaTheme="minorEastAsia"/>
          <w:b/>
          <w:bCs/>
        </w:rPr>
        <w:t>2</w:t>
      </w:r>
      <w:r w:rsidRPr="00B110DD">
        <w:rPr>
          <w:rFonts w:eastAsiaTheme="minorEastAsia"/>
        </w:rPr>
        <w:t xml:space="preserve"> indicates primary or secondary insurance. </w:t>
      </w:r>
    </w:p>
    <w:p w14:paraId="0B17D6B5" w14:textId="3E03F6F6" w:rsidR="00B3072B" w:rsidRPr="00B110DD" w:rsidRDefault="00B3072B" w:rsidP="004F45B6">
      <w:pPr>
        <w:pStyle w:val="BodyText"/>
        <w:numPr>
          <w:ilvl w:val="0"/>
          <w:numId w:val="66"/>
        </w:numPr>
        <w:ind w:left="540"/>
        <w:rPr>
          <w:b/>
          <w:bCs/>
        </w:rPr>
      </w:pPr>
      <w:r w:rsidRPr="00B110DD">
        <w:rPr>
          <w:rFonts w:eastAsiaTheme="minorEastAsia"/>
          <w:b/>
        </w:rPr>
        <w:t>Payment Table</w:t>
      </w:r>
      <w:r w:rsidRPr="00B110DD">
        <w:rPr>
          <w:rFonts w:eastAsiaTheme="minorEastAsia"/>
        </w:rPr>
        <w:t xml:space="preserve"> </w:t>
      </w:r>
      <w:r w:rsidR="00234A19">
        <w:t xml:space="preserve">– </w:t>
      </w:r>
      <w:r w:rsidRPr="00B110DD">
        <w:rPr>
          <w:rFonts w:eastAsiaTheme="minorEastAsia"/>
        </w:rPr>
        <w:t xml:space="preserve">As you post insurance payments, you can select the option to automatically update </w:t>
      </w:r>
      <w:r w:rsidR="00CC01CF">
        <w:rPr>
          <w:rFonts w:eastAsiaTheme="minorEastAsia"/>
        </w:rPr>
        <w:t>the</w:t>
      </w:r>
      <w:r w:rsidRPr="00B110DD">
        <w:rPr>
          <w:rFonts w:eastAsiaTheme="minorEastAsia"/>
        </w:rPr>
        <w:t xml:space="preserve"> payment table for that plan, storing what the insurance plan will pay for a specific procedure. This amount override</w:t>
      </w:r>
      <w:r w:rsidR="00CC01CF">
        <w:rPr>
          <w:rFonts w:eastAsiaTheme="minorEastAsia"/>
        </w:rPr>
        <w:t>s</w:t>
      </w:r>
      <w:r w:rsidRPr="00B110DD">
        <w:rPr>
          <w:rFonts w:eastAsiaTheme="minorEastAsia"/>
        </w:rPr>
        <w:t xml:space="preserve"> any calculation </w:t>
      </w:r>
      <w:r w:rsidR="00CC01CF">
        <w:rPr>
          <w:rFonts w:eastAsiaTheme="minorEastAsia"/>
        </w:rPr>
        <w:t>from</w:t>
      </w:r>
      <w:r w:rsidRPr="00B110DD">
        <w:rPr>
          <w:rFonts w:eastAsiaTheme="minorEastAsia"/>
        </w:rPr>
        <w:t xml:space="preserve"> the coverage table.  </w:t>
      </w:r>
    </w:p>
    <w:p w14:paraId="5969638E" w14:textId="770A5C26" w:rsidR="00B3072B" w:rsidRPr="004A2A35" w:rsidRDefault="005D3903" w:rsidP="004A2A35">
      <w:pPr>
        <w:pStyle w:val="BodyText"/>
        <w:rPr>
          <w:i/>
          <w:iCs/>
        </w:rPr>
      </w:pPr>
      <w:r>
        <w:rPr>
          <w:noProof/>
        </w:rPr>
        <w:drawing>
          <wp:anchor distT="0" distB="0" distL="0" distR="91440" simplePos="0" relativeHeight="251789316" behindDoc="1" locked="0" layoutInCell="1" allowOverlap="1" wp14:anchorId="637E1F5B" wp14:editId="5140E7BE">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4090769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CC01CF">
        <w:rPr>
          <w:b/>
          <w:bCs/>
          <w:i/>
          <w:iCs/>
        </w:rPr>
        <w:t>Workflow Insight</w:t>
      </w:r>
      <w:r w:rsidR="00B3072B" w:rsidRPr="00CC01CF">
        <w:rPr>
          <w:i/>
          <w:iCs/>
        </w:rPr>
        <w:t xml:space="preserve">:  </w:t>
      </w:r>
      <w:r w:rsidR="00CC01CF" w:rsidRPr="00CC01CF">
        <w:rPr>
          <w:i/>
          <w:iCs/>
        </w:rPr>
        <w:t>E</w:t>
      </w:r>
      <w:r w:rsidR="00B3072B" w:rsidRPr="00CC01CF">
        <w:rPr>
          <w:i/>
          <w:iCs/>
        </w:rPr>
        <w:t>stimates</w:t>
      </w:r>
      <w:r w:rsidR="00CC01CF" w:rsidRPr="00CC01CF">
        <w:rPr>
          <w:i/>
          <w:iCs/>
        </w:rPr>
        <w:t xml:space="preserve"> use </w:t>
      </w:r>
      <w:r w:rsidR="00B3072B" w:rsidRPr="00CC01CF">
        <w:rPr>
          <w:i/>
          <w:iCs/>
        </w:rPr>
        <w:t xml:space="preserve">the following </w:t>
      </w:r>
      <w:r w:rsidR="00CC01CF" w:rsidRPr="00CC01CF">
        <w:rPr>
          <w:i/>
          <w:iCs/>
        </w:rPr>
        <w:t>priority</w:t>
      </w:r>
      <w:r w:rsidR="00B3072B" w:rsidRPr="00CC01CF">
        <w:rPr>
          <w:i/>
          <w:iCs/>
        </w:rPr>
        <w:t>: Fee</w:t>
      </w:r>
      <w:r w:rsidR="00CC01CF" w:rsidRPr="00CC01CF">
        <w:rPr>
          <w:i/>
          <w:iCs/>
        </w:rPr>
        <w:t xml:space="preserve"> (patient, insurance, or provider)</w:t>
      </w:r>
      <w:r w:rsidR="00B3072B" w:rsidRPr="00CC01CF">
        <w:rPr>
          <w:i/>
          <w:iCs/>
        </w:rPr>
        <w:t xml:space="preserve">, </w:t>
      </w:r>
      <w:r w:rsidR="00CC01CF" w:rsidRPr="00CC01CF">
        <w:rPr>
          <w:i/>
          <w:iCs/>
        </w:rPr>
        <w:t>i</w:t>
      </w:r>
      <w:r w:rsidR="00B3072B" w:rsidRPr="00CC01CF">
        <w:rPr>
          <w:i/>
          <w:iCs/>
        </w:rPr>
        <w:t xml:space="preserve">nsurance </w:t>
      </w:r>
      <w:r w:rsidR="00CC01CF" w:rsidRPr="00CC01CF">
        <w:rPr>
          <w:i/>
          <w:iCs/>
        </w:rPr>
        <w:t>o</w:t>
      </w:r>
      <w:r w:rsidR="00B3072B" w:rsidRPr="00CC01CF">
        <w:rPr>
          <w:i/>
          <w:iCs/>
        </w:rPr>
        <w:t xml:space="preserve">verride (manual or pre-auth), payment table, coverage table, </w:t>
      </w:r>
      <w:r w:rsidR="00CC01CF" w:rsidRPr="00CC01CF">
        <w:rPr>
          <w:i/>
          <w:iCs/>
        </w:rPr>
        <w:t xml:space="preserve">and then </w:t>
      </w:r>
      <w:r w:rsidR="00B3072B" w:rsidRPr="00CC01CF">
        <w:rPr>
          <w:i/>
          <w:iCs/>
        </w:rPr>
        <w:t>co-pays.</w:t>
      </w:r>
    </w:p>
    <w:p w14:paraId="14B066C4" w14:textId="505E289E" w:rsidR="007264E7" w:rsidRDefault="00B3072B" w:rsidP="004267C0">
      <w:pPr>
        <w:pStyle w:val="Heading2"/>
        <w:rPr>
          <w:bCs/>
        </w:rPr>
      </w:pPr>
      <w:bookmarkStart w:id="182" w:name="_Toc135416722"/>
      <w:bookmarkStart w:id="183" w:name="_Toc166834369"/>
      <w:r w:rsidRPr="007264E7">
        <w:t>Claim Management</w:t>
      </w:r>
      <w:bookmarkEnd w:id="182"/>
      <w:bookmarkEnd w:id="183"/>
    </w:p>
    <w:p w14:paraId="3B1D1E92" w14:textId="072EF04F" w:rsidR="00B3072B" w:rsidRPr="00486B30" w:rsidRDefault="00CC01CF" w:rsidP="007264E7">
      <w:pPr>
        <w:pStyle w:val="BodyText"/>
        <w:rPr>
          <w:b/>
          <w:bCs/>
        </w:rPr>
      </w:pPr>
      <w:r>
        <w:t>In Dentrix Enterprise, you can manage</w:t>
      </w:r>
      <w:r w:rsidR="00B3072B">
        <w:t xml:space="preserve"> the full cycle of insurance claims. </w:t>
      </w:r>
    </w:p>
    <w:p w14:paraId="67961E7D" w14:textId="5AE94DC9" w:rsidR="00B3072B" w:rsidRPr="00CC01CF" w:rsidRDefault="005D3903" w:rsidP="00CC01CF">
      <w:pPr>
        <w:pStyle w:val="BodyText"/>
        <w:rPr>
          <w:i/>
        </w:rPr>
      </w:pPr>
      <w:r>
        <w:rPr>
          <w:noProof/>
        </w:rPr>
        <w:drawing>
          <wp:anchor distT="0" distB="0" distL="0" distR="91440" simplePos="0" relativeHeight="251791364" behindDoc="1" locked="0" layoutInCell="1" allowOverlap="1" wp14:anchorId="4359F707" wp14:editId="42073B04">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3739782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CC01CF">
        <w:rPr>
          <w:b/>
          <w:bCs/>
          <w:i/>
        </w:rPr>
        <w:t>Operations Insight</w:t>
      </w:r>
      <w:r w:rsidR="00B3072B" w:rsidRPr="00CC01CF">
        <w:rPr>
          <w:i/>
        </w:rPr>
        <w:t xml:space="preserve">: A “clean” dental claim is one that contains all required information for claim adjudication, is free of errors, and is processed in a timely manner. </w:t>
      </w:r>
      <w:r w:rsidR="00CC01CF" w:rsidRPr="00CC01CF">
        <w:rPr>
          <w:i/>
        </w:rPr>
        <w:t>A s</w:t>
      </w:r>
      <w:r w:rsidR="00B3072B" w:rsidRPr="00CC01CF">
        <w:rPr>
          <w:i/>
        </w:rPr>
        <w:t>uccessful or “clean” claim submission in Dentrix Enterprise is achieved through the collective efforts of multiple operations and management workflows.</w:t>
      </w:r>
    </w:p>
    <w:p w14:paraId="051C8E5C" w14:textId="7F03DFD5" w:rsidR="00B3072B" w:rsidRDefault="00B3072B" w:rsidP="007264E7">
      <w:pPr>
        <w:pStyle w:val="BodyText"/>
        <w:keepNext/>
      </w:pPr>
      <w:r>
        <w:t>Pre</w:t>
      </w:r>
      <w:r w:rsidR="00CC01CF">
        <w:t>r</w:t>
      </w:r>
      <w:r>
        <w:t>equisites for</w:t>
      </w:r>
      <w:r w:rsidRPr="00F96135">
        <w:t xml:space="preserve"> </w:t>
      </w:r>
      <w:r w:rsidR="00CC01CF">
        <w:t>s</w:t>
      </w:r>
      <w:r>
        <w:t xml:space="preserve">uccessful </w:t>
      </w:r>
      <w:r w:rsidRPr="00F96135">
        <w:t xml:space="preserve">Dentrix Enterprise </w:t>
      </w:r>
      <w:r w:rsidR="00CC01CF">
        <w:t>c</w:t>
      </w:r>
      <w:r>
        <w:t xml:space="preserve">laim </w:t>
      </w:r>
      <w:r w:rsidR="00CC01CF">
        <w:t>m</w:t>
      </w:r>
      <w:r>
        <w:t>anagement</w:t>
      </w:r>
      <w:r w:rsidRPr="00F96135">
        <w:t>:</w:t>
      </w:r>
    </w:p>
    <w:p w14:paraId="110E7DEC" w14:textId="11E111AB" w:rsidR="00CC01CF" w:rsidRPr="00CC01CF" w:rsidRDefault="00CC01CF" w:rsidP="004F45B6">
      <w:pPr>
        <w:pStyle w:val="BodyText"/>
        <w:numPr>
          <w:ilvl w:val="0"/>
          <w:numId w:val="153"/>
        </w:numPr>
        <w:ind w:left="540"/>
      </w:pPr>
      <w:r w:rsidRPr="00CC01CF">
        <w:rPr>
          <w:b/>
          <w:bCs/>
        </w:rPr>
        <w:t>Patient Information</w:t>
      </w:r>
      <w:r>
        <w:t xml:space="preserve"> – </w:t>
      </w:r>
      <w:r w:rsidRPr="00CC01CF">
        <w:t xml:space="preserve">Refer to </w:t>
      </w:r>
      <w:r>
        <w:t>the “</w:t>
      </w:r>
      <w:r w:rsidRPr="00CC01CF">
        <w:t>Patient Records Management</w:t>
      </w:r>
      <w:r>
        <w:t>” s</w:t>
      </w:r>
      <w:r w:rsidRPr="00CC01CF">
        <w:t>ection</w:t>
      </w:r>
      <w:r>
        <w:t>.</w:t>
      </w:r>
    </w:p>
    <w:p w14:paraId="74016FB8" w14:textId="026F9176" w:rsidR="00CC01CF" w:rsidRPr="00CC01CF" w:rsidRDefault="00CC01CF" w:rsidP="004F45B6">
      <w:pPr>
        <w:pStyle w:val="BodyText"/>
        <w:numPr>
          <w:ilvl w:val="0"/>
          <w:numId w:val="153"/>
        </w:numPr>
        <w:ind w:left="540"/>
      </w:pPr>
      <w:r w:rsidRPr="00CC01CF">
        <w:rPr>
          <w:b/>
          <w:bCs/>
        </w:rPr>
        <w:t>Clinical Information</w:t>
      </w:r>
      <w:r>
        <w:t xml:space="preserve"> –</w:t>
      </w:r>
      <w:r w:rsidRPr="00CC01CF">
        <w:t xml:space="preserve"> Refer to </w:t>
      </w:r>
      <w:r>
        <w:t>the “</w:t>
      </w:r>
      <w:r w:rsidRPr="00CC01CF">
        <w:t>Clinical Records Management</w:t>
      </w:r>
      <w:r>
        <w:t>” s</w:t>
      </w:r>
      <w:r w:rsidRPr="00CC01CF">
        <w:t>ection</w:t>
      </w:r>
      <w:r>
        <w:t>.</w:t>
      </w:r>
    </w:p>
    <w:p w14:paraId="2B012A31" w14:textId="2DBBAE47" w:rsidR="001F0A8F" w:rsidRPr="0012044C" w:rsidRDefault="00CC01CF" w:rsidP="004F45B6">
      <w:pPr>
        <w:pStyle w:val="BodyText"/>
        <w:numPr>
          <w:ilvl w:val="0"/>
          <w:numId w:val="153"/>
        </w:numPr>
        <w:ind w:left="540"/>
      </w:pPr>
      <w:r w:rsidRPr="00CC01CF">
        <w:rPr>
          <w:b/>
          <w:bCs/>
        </w:rPr>
        <w:t>Provider/Plan Information</w:t>
      </w:r>
      <w:r>
        <w:t xml:space="preserve"> – </w:t>
      </w:r>
      <w:r w:rsidRPr="00CC01CF">
        <w:t xml:space="preserve">Refer to </w:t>
      </w:r>
      <w:r>
        <w:t>other portions of the</w:t>
      </w:r>
      <w:r w:rsidRPr="00CC01CF">
        <w:t xml:space="preserve"> </w:t>
      </w:r>
      <w:r>
        <w:t>“</w:t>
      </w:r>
      <w:r w:rsidRPr="00CC01CF">
        <w:t>Revenue Cycle Management</w:t>
      </w:r>
      <w:r>
        <w:t>” section and the “</w:t>
      </w:r>
      <w:r w:rsidRPr="00CC01CF">
        <w:t>Database Design</w:t>
      </w:r>
      <w:r>
        <w:t>” section.</w:t>
      </w:r>
    </w:p>
    <w:p w14:paraId="2225D282" w14:textId="59B9C565" w:rsidR="00B3072B" w:rsidRDefault="005D3903" w:rsidP="00D42C5A">
      <w:pPr>
        <w:pStyle w:val="Heading3"/>
      </w:pPr>
      <w:bookmarkStart w:id="184" w:name="_Toc135416723"/>
      <w:bookmarkStart w:id="185" w:name="_Toc166834370"/>
      <w:r>
        <w:rPr>
          <w:noProof/>
        </w:rPr>
        <w:lastRenderedPageBreak/>
        <w:drawing>
          <wp:anchor distT="0" distB="0" distL="0" distR="91440" simplePos="0" relativeHeight="251793412" behindDoc="1" locked="0" layoutInCell="1" allowOverlap="1" wp14:anchorId="7BCD1E57" wp14:editId="03AAF8F4">
            <wp:simplePos x="0" y="0"/>
            <wp:positionH relativeFrom="column">
              <wp:posOffset>-457200</wp:posOffset>
            </wp:positionH>
            <wp:positionV relativeFrom="paragraph">
              <wp:posOffset>142447</wp:posOffset>
            </wp:positionV>
            <wp:extent cx="365856" cy="484632"/>
            <wp:effectExtent l="0" t="0" r="0" b="0"/>
            <wp:wrapTight wrapText="right">
              <wp:wrapPolygon edited="0">
                <wp:start x="0" y="0"/>
                <wp:lineTo x="0" y="20383"/>
                <wp:lineTo x="20250" y="20383"/>
                <wp:lineTo x="20250" y="0"/>
                <wp:lineTo x="0" y="0"/>
              </wp:wrapPolygon>
            </wp:wrapTight>
            <wp:docPr id="1439647739"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B3072B" w:rsidRPr="46812195">
        <w:t>Claim Submission</w:t>
      </w:r>
      <w:bookmarkEnd w:id="184"/>
      <w:bookmarkEnd w:id="185"/>
    </w:p>
    <w:p w14:paraId="4EC5663C" w14:textId="3B3E2261" w:rsidR="001F0A8F" w:rsidRPr="001F0A8F" w:rsidRDefault="001F0A8F" w:rsidP="001F0A8F">
      <w:pPr>
        <w:pStyle w:val="BodyText"/>
        <w:keepNext/>
        <w:keepLines/>
      </w:pPr>
      <w:r w:rsidRPr="00454D84">
        <w:rPr>
          <w:color w:val="00B050"/>
        </w:rPr>
        <w:t xml:space="preserve">&lt;&lt;Insert </w:t>
      </w:r>
      <w:r>
        <w:rPr>
          <w:color w:val="00B050"/>
        </w:rPr>
        <w:t xml:space="preserve">Successful </w:t>
      </w:r>
      <w:r w:rsidRPr="00454D84">
        <w:rPr>
          <w:color w:val="00B050"/>
        </w:rPr>
        <w:t xml:space="preserve">Claim </w:t>
      </w:r>
      <w:r>
        <w:rPr>
          <w:color w:val="00B050"/>
        </w:rPr>
        <w:t>Submission</w:t>
      </w:r>
      <w:r w:rsidRPr="00454D84">
        <w:rPr>
          <w:color w:val="00B050"/>
        </w:rPr>
        <w:t xml:space="preserve"> decision support/SOP/guidance here&gt;&gt;</w:t>
      </w:r>
      <w:r w:rsidRPr="00835C2E">
        <w:t xml:space="preserve"> </w:t>
      </w:r>
    </w:p>
    <w:p w14:paraId="2A36D739" w14:textId="73147CDE" w:rsidR="00B3072B" w:rsidRPr="00A0461D" w:rsidRDefault="00B3072B" w:rsidP="00E92EA5">
      <w:pPr>
        <w:pStyle w:val="Heading4"/>
      </w:pPr>
      <w:r w:rsidRPr="00A0461D">
        <w:t>Claim Providers</w:t>
      </w:r>
    </w:p>
    <w:p w14:paraId="14EB6F24" w14:textId="6D08A2A4" w:rsidR="00B3072B" w:rsidRPr="00A0461D" w:rsidRDefault="00B3072B" w:rsidP="004F45B6">
      <w:pPr>
        <w:pStyle w:val="BodyText"/>
        <w:numPr>
          <w:ilvl w:val="0"/>
          <w:numId w:val="135"/>
        </w:numPr>
        <w:ind w:left="540"/>
      </w:pPr>
      <w:r w:rsidRPr="00A0461D">
        <w:rPr>
          <w:b/>
          <w:bCs/>
        </w:rPr>
        <w:t>Billing Dentist or Dental Entity</w:t>
      </w:r>
      <w:r w:rsidRPr="005F21DF">
        <w:t xml:space="preserve"> </w:t>
      </w:r>
      <w:r w:rsidR="005F21DF" w:rsidRPr="005F21DF">
        <w:t xml:space="preserve">– </w:t>
      </w:r>
      <w:r w:rsidRPr="00A0461D">
        <w:t xml:space="preserve">The </w:t>
      </w:r>
      <w:r w:rsidR="005F21DF">
        <w:t>“</w:t>
      </w:r>
      <w:r w:rsidRPr="00A0461D">
        <w:t>Billing Dentist</w:t>
      </w:r>
      <w:r w:rsidR="005F21DF">
        <w:t>”</w:t>
      </w:r>
      <w:r w:rsidRPr="00A0461D">
        <w:t xml:space="preserve"> or </w:t>
      </w:r>
      <w:r w:rsidR="005F21DF">
        <w:t>“</w:t>
      </w:r>
      <w:r w:rsidRPr="00A0461D">
        <w:t>Dental Entity</w:t>
      </w:r>
      <w:r w:rsidR="005F21DF">
        <w:t>”</w:t>
      </w:r>
      <w:r w:rsidRPr="00A0461D">
        <w:t xml:space="preserve"> section provides information on the individual dentist’s name, the name of the practitioner providing care, or the name of the group practice/corporation that is responsible for billing. Depending on the business relationship of the practice and the treating dentist, the information provided in this section may not be the treating dentist.</w:t>
      </w:r>
    </w:p>
    <w:p w14:paraId="27136BDB" w14:textId="753AC4CE" w:rsidR="00B3072B" w:rsidRPr="00A0461D" w:rsidRDefault="00B3072B" w:rsidP="004F45B6">
      <w:pPr>
        <w:pStyle w:val="BodyText"/>
        <w:numPr>
          <w:ilvl w:val="0"/>
          <w:numId w:val="135"/>
        </w:numPr>
        <w:ind w:left="540"/>
      </w:pPr>
      <w:r w:rsidRPr="00AB2B67">
        <w:rPr>
          <w:b/>
          <w:bCs/>
        </w:rPr>
        <w:t>Treating Dentist and Treatment Location</w:t>
      </w:r>
      <w:r w:rsidR="005F21DF" w:rsidRPr="005F21DF">
        <w:t xml:space="preserve"> – </w:t>
      </w:r>
      <w:r w:rsidR="005F21DF">
        <w:t>In this section, enter i</w:t>
      </w:r>
      <w:r w:rsidRPr="00A0461D">
        <w:t>nformation that is specific to the dentist or practitioner acting within the scope of their state licensure who has provided treatment.</w:t>
      </w:r>
    </w:p>
    <w:p w14:paraId="2F1D77BE" w14:textId="65DE85A5" w:rsidR="00B3072B" w:rsidRPr="00A0461D" w:rsidRDefault="00B3072B" w:rsidP="004F45B6">
      <w:pPr>
        <w:pStyle w:val="BodyText"/>
        <w:numPr>
          <w:ilvl w:val="0"/>
          <w:numId w:val="135"/>
        </w:numPr>
        <w:ind w:left="540"/>
      </w:pPr>
      <w:r w:rsidRPr="00AB2B67">
        <w:rPr>
          <w:b/>
          <w:bCs/>
        </w:rPr>
        <w:t>Pay-to</w:t>
      </w:r>
      <w:r w:rsidR="005F21DF" w:rsidRPr="005F21DF">
        <w:t xml:space="preserve"> – </w:t>
      </w:r>
      <w:r w:rsidR="005F21DF">
        <w:t>This i</w:t>
      </w:r>
      <w:r w:rsidRPr="00A0461D">
        <w:t>s the business or individual to whom a payment is made.</w:t>
      </w:r>
    </w:p>
    <w:p w14:paraId="1D957A2C" w14:textId="03C0CD9E" w:rsidR="00A0461D" w:rsidRDefault="00B3072B" w:rsidP="00E92EA5">
      <w:pPr>
        <w:pStyle w:val="Heading4"/>
      </w:pPr>
      <w:r w:rsidRPr="46812195">
        <w:t>Primary</w:t>
      </w:r>
      <w:r>
        <w:t xml:space="preserve"> Dental C</w:t>
      </w:r>
      <w:r w:rsidRPr="46812195">
        <w:t>laims</w:t>
      </w:r>
    </w:p>
    <w:p w14:paraId="18877CEE" w14:textId="35923F6C" w:rsidR="00B3072B" w:rsidRPr="00BF7CF0" w:rsidRDefault="005F21DF" w:rsidP="00A0461D">
      <w:pPr>
        <w:pStyle w:val="BodyText"/>
        <w:rPr>
          <w:i/>
          <w:iCs/>
          <w:sz w:val="18"/>
          <w:szCs w:val="18"/>
        </w:rPr>
      </w:pPr>
      <w:r>
        <w:t xml:space="preserve">You can create primary dental claims </w:t>
      </w:r>
      <w:r w:rsidR="00B3072B">
        <w:t xml:space="preserve">per patient during the post visit workflow or as a batch of claims from </w:t>
      </w:r>
      <w:r>
        <w:t>O</w:t>
      </w:r>
      <w:r w:rsidR="00B3072B">
        <w:t xml:space="preserve">ffice </w:t>
      </w:r>
      <w:r>
        <w:t>M</w:t>
      </w:r>
      <w:r w:rsidR="00B3072B">
        <w:t xml:space="preserve">anager. </w:t>
      </w:r>
    </w:p>
    <w:p w14:paraId="7AB89D1A" w14:textId="2BF35FB7" w:rsidR="00B3072B" w:rsidRPr="005F21DF" w:rsidRDefault="005D3903" w:rsidP="00A0461D">
      <w:pPr>
        <w:pStyle w:val="BodyText"/>
        <w:rPr>
          <w:i/>
          <w:iCs/>
        </w:rPr>
      </w:pPr>
      <w:r>
        <w:rPr>
          <w:noProof/>
        </w:rPr>
        <w:drawing>
          <wp:anchor distT="0" distB="0" distL="0" distR="91440" simplePos="0" relativeHeight="251795460" behindDoc="1" locked="0" layoutInCell="1" allowOverlap="1" wp14:anchorId="32ABB9A9" wp14:editId="46D68B9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74997164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5F21DF">
        <w:rPr>
          <w:b/>
          <w:bCs/>
          <w:i/>
          <w:iCs/>
        </w:rPr>
        <w:t>Workflow Insight</w:t>
      </w:r>
      <w:r w:rsidR="00B3072B" w:rsidRPr="005F21DF">
        <w:rPr>
          <w:i/>
          <w:iCs/>
        </w:rPr>
        <w:t>: For procedures that require additional information or attachments, creating claims from Ledger is the most efficient way to identify the needs and complete the information. Batching insurance claims is an effective tool to avoid skipping claims that need to be created</w:t>
      </w:r>
      <w:r w:rsidR="005F21DF">
        <w:rPr>
          <w:i/>
          <w:iCs/>
        </w:rPr>
        <w:t>,</w:t>
      </w:r>
      <w:r w:rsidR="00B3072B" w:rsidRPr="005F21DF">
        <w:rPr>
          <w:i/>
          <w:iCs/>
        </w:rPr>
        <w:t xml:space="preserve"> and </w:t>
      </w:r>
      <w:r w:rsidR="005F21DF">
        <w:rPr>
          <w:i/>
          <w:iCs/>
        </w:rPr>
        <w:t>you can create</w:t>
      </w:r>
      <w:r w:rsidR="00B3072B" w:rsidRPr="005F21DF">
        <w:rPr>
          <w:i/>
          <w:iCs/>
        </w:rPr>
        <w:t xml:space="preserve"> batches of claims for multiple patients at one time.</w:t>
      </w:r>
    </w:p>
    <w:p w14:paraId="76A7C026" w14:textId="5ED933E3" w:rsidR="00A0461D" w:rsidRDefault="00B3072B" w:rsidP="00E92EA5">
      <w:pPr>
        <w:pStyle w:val="Heading4"/>
      </w:pPr>
      <w:r w:rsidRPr="46812195">
        <w:t>Sec</w:t>
      </w:r>
      <w:r>
        <w:t>ondary, Tertiary, or Quaternary Dental C</w:t>
      </w:r>
      <w:r w:rsidRPr="46812195">
        <w:t>laims</w:t>
      </w:r>
    </w:p>
    <w:p w14:paraId="176FDB18" w14:textId="2E2A424C" w:rsidR="00B3072B" w:rsidRDefault="005F21DF" w:rsidP="00A0461D">
      <w:pPr>
        <w:pStyle w:val="BodyText"/>
        <w:rPr>
          <w:lang w:bidi="en-US"/>
        </w:rPr>
      </w:pPr>
      <w:r>
        <w:t>When you post</w:t>
      </w:r>
      <w:r w:rsidR="00B3072B" w:rsidRPr="46812195">
        <w:rPr>
          <w:lang w:bidi="en-US"/>
        </w:rPr>
        <w:t xml:space="preserve"> an insurance payment for a primary dental insurance claim</w:t>
      </w:r>
      <w:r>
        <w:rPr>
          <w:lang w:bidi="en-US"/>
        </w:rPr>
        <w:t>, Dentrix Enterprise</w:t>
      </w:r>
      <w:r w:rsidR="00B3072B" w:rsidRPr="46812195">
        <w:rPr>
          <w:lang w:bidi="en-US"/>
        </w:rPr>
        <w:t xml:space="preserve"> automatically prompt</w:t>
      </w:r>
      <w:r>
        <w:rPr>
          <w:lang w:bidi="en-US"/>
        </w:rPr>
        <w:t>s</w:t>
      </w:r>
      <w:r w:rsidR="00B3072B" w:rsidRPr="46812195">
        <w:rPr>
          <w:lang w:bidi="en-US"/>
        </w:rPr>
        <w:t xml:space="preserve"> you to confirm if you want to create a secondary dental insurance claim. If you choose no</w:t>
      </w:r>
      <w:r>
        <w:rPr>
          <w:lang w:bidi="en-US"/>
        </w:rPr>
        <w:t>t to</w:t>
      </w:r>
      <w:r w:rsidR="00B3072B" w:rsidRPr="46812195">
        <w:rPr>
          <w:lang w:bidi="en-US"/>
        </w:rPr>
        <w:t xml:space="preserve">, or if you add the patient's secondary dental insurance plan after entering an insurance payment for the primary dental claim, you still can manually create a secondary dental insurance claim if needed. Tertiary and quaternary claims </w:t>
      </w:r>
      <w:r>
        <w:rPr>
          <w:lang w:bidi="en-US"/>
        </w:rPr>
        <w:t>must always be created manually</w:t>
      </w:r>
      <w:r w:rsidR="00B3072B" w:rsidRPr="46812195">
        <w:rPr>
          <w:lang w:bidi="en-US"/>
        </w:rPr>
        <w:t xml:space="preserve"> and are not shown in insurance estimates, treatment plans, or insurance reports. </w:t>
      </w:r>
    </w:p>
    <w:p w14:paraId="55392EF3" w14:textId="214C2B6C" w:rsidR="00A0461D" w:rsidRDefault="00B3072B" w:rsidP="00E92EA5">
      <w:pPr>
        <w:pStyle w:val="Heading4"/>
        <w:rPr>
          <w:lang w:bidi="en-US"/>
        </w:rPr>
      </w:pPr>
      <w:r w:rsidRPr="46812195">
        <w:rPr>
          <w:lang w:bidi="en-US"/>
        </w:rPr>
        <w:t>Medical Claims</w:t>
      </w:r>
    </w:p>
    <w:p w14:paraId="3934E9E2" w14:textId="2CC7AB44" w:rsidR="00B3072B" w:rsidRDefault="00B3072B" w:rsidP="00A0461D">
      <w:pPr>
        <w:pStyle w:val="BodyText"/>
        <w:rPr>
          <w:b/>
          <w:bCs/>
          <w:lang w:bidi="en-US"/>
        </w:rPr>
      </w:pPr>
      <w:r w:rsidRPr="46812195">
        <w:rPr>
          <w:lang w:bidi="en-US"/>
        </w:rPr>
        <w:t xml:space="preserve">Medical Claims require a combination of AMA codes, ICD-10 diagnostic codes, </w:t>
      </w:r>
      <w:r w:rsidR="005F21DF">
        <w:rPr>
          <w:lang w:bidi="en-US"/>
        </w:rPr>
        <w:t>m</w:t>
      </w:r>
      <w:r w:rsidRPr="46812195">
        <w:rPr>
          <w:lang w:bidi="en-US"/>
        </w:rPr>
        <w:t xml:space="preserve">odifier </w:t>
      </w:r>
      <w:r w:rsidR="005F21DF">
        <w:rPr>
          <w:lang w:bidi="en-US"/>
        </w:rPr>
        <w:t>c</w:t>
      </w:r>
      <w:r w:rsidRPr="46812195">
        <w:rPr>
          <w:lang w:bidi="en-US"/>
        </w:rPr>
        <w:t>odes, and service codes added to the system. Entry of the necessary code sets utilized for medical coding can be accomplished manually or installed with the Medical Code Data Pak</w:t>
      </w:r>
      <w:r w:rsidR="005F21DF">
        <w:rPr>
          <w:lang w:bidi="en-US"/>
        </w:rPr>
        <w:t>,</w:t>
      </w:r>
      <w:r w:rsidRPr="46812195">
        <w:rPr>
          <w:lang w:bidi="en-US"/>
        </w:rPr>
        <w:t xml:space="preserve"> which can be purchased from </w:t>
      </w:r>
      <w:r w:rsidR="005F21DF">
        <w:rPr>
          <w:lang w:bidi="en-US"/>
        </w:rPr>
        <w:t xml:space="preserve">Henry Schein One </w:t>
      </w:r>
      <w:r w:rsidRPr="46812195">
        <w:rPr>
          <w:lang w:bidi="en-US"/>
        </w:rPr>
        <w:t xml:space="preserve">Sales.   </w:t>
      </w:r>
    </w:p>
    <w:p w14:paraId="3DFD457D" w14:textId="32BE25F3" w:rsidR="00B3072B" w:rsidRPr="005F21DF" w:rsidRDefault="005D3903" w:rsidP="00A0461D">
      <w:pPr>
        <w:pStyle w:val="BodyText"/>
        <w:rPr>
          <w:i/>
          <w:iCs/>
          <w:lang w:bidi="en-US"/>
        </w:rPr>
      </w:pPr>
      <w:r>
        <w:rPr>
          <w:noProof/>
        </w:rPr>
        <w:drawing>
          <wp:anchor distT="0" distB="0" distL="0" distR="91440" simplePos="0" relativeHeight="251797508" behindDoc="1" locked="0" layoutInCell="1" allowOverlap="1" wp14:anchorId="43C2AED3" wp14:editId="6818537F">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8407326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5F21DF">
        <w:rPr>
          <w:b/>
          <w:bCs/>
          <w:i/>
          <w:iCs/>
          <w:lang w:bidi="en-US"/>
        </w:rPr>
        <w:t>Operations Insight</w:t>
      </w:r>
      <w:r w:rsidR="00B3072B" w:rsidRPr="005F21DF">
        <w:rPr>
          <w:i/>
          <w:iCs/>
          <w:lang w:bidi="en-US"/>
        </w:rPr>
        <w:t>: Medical claims require manual cross</w:t>
      </w:r>
      <w:r w:rsidR="005F21DF" w:rsidRPr="005F21DF">
        <w:rPr>
          <w:i/>
          <w:iCs/>
          <w:lang w:bidi="en-US"/>
        </w:rPr>
        <w:t xml:space="preserve"> </w:t>
      </w:r>
      <w:r w:rsidR="00B3072B" w:rsidRPr="005F21DF">
        <w:rPr>
          <w:i/>
          <w:iCs/>
          <w:lang w:bidi="en-US"/>
        </w:rPr>
        <w:t>coding for each dental procedure code listed on the claim. This process in Dentrix Enterprise is best suited for a limited volume of procedures and claims required for medical cross coding and submission.</w:t>
      </w:r>
    </w:p>
    <w:p w14:paraId="7ACA01FD" w14:textId="0AB20B61" w:rsidR="00A0461D" w:rsidRDefault="00B3072B" w:rsidP="00E92EA5">
      <w:pPr>
        <w:pStyle w:val="Heading4"/>
      </w:pPr>
      <w:r w:rsidRPr="46812195">
        <w:t>Electronic Submission</w:t>
      </w:r>
    </w:p>
    <w:p w14:paraId="385FA3B4" w14:textId="3B6BCF37" w:rsidR="00B3072B" w:rsidRDefault="00B3072B" w:rsidP="004A2A35">
      <w:pPr>
        <w:pStyle w:val="BodyText"/>
        <w:keepNext/>
        <w:keepLines/>
      </w:pPr>
      <w:r>
        <w:t xml:space="preserve">Submitting Dental and Medical claims electronically with eClaims will simplify the insurance claims process. With eClaims, you can create, validate, and electronically send your insurance claims to payors.  Claims can be centrally managed for the organization or by individual clinics.   </w:t>
      </w:r>
    </w:p>
    <w:p w14:paraId="4817FB52" w14:textId="41D9AC0F" w:rsidR="00B3072B" w:rsidRPr="005F21DF" w:rsidRDefault="005D3903" w:rsidP="00A0461D">
      <w:pPr>
        <w:pStyle w:val="BodyText"/>
        <w:rPr>
          <w:i/>
          <w:iCs/>
        </w:rPr>
      </w:pPr>
      <w:r>
        <w:rPr>
          <w:noProof/>
        </w:rPr>
        <w:drawing>
          <wp:anchor distT="0" distB="0" distL="0" distR="91440" simplePos="0" relativeHeight="251799556" behindDoc="1" locked="0" layoutInCell="1" allowOverlap="1" wp14:anchorId="56AA9DAE" wp14:editId="5119B322">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7004222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5F21DF">
        <w:rPr>
          <w:b/>
          <w:bCs/>
          <w:i/>
          <w:iCs/>
        </w:rPr>
        <w:t>Operations Insight</w:t>
      </w:r>
      <w:r w:rsidR="00B3072B" w:rsidRPr="005F21DF">
        <w:rPr>
          <w:i/>
          <w:iCs/>
        </w:rPr>
        <w:t>: Sending claims electronically reduces the reimbursement time to days instead of weeks. Many claims can be adjudicated in real time, reducing the reimbursement time even further.</w:t>
      </w:r>
    </w:p>
    <w:p w14:paraId="1B201FB2" w14:textId="55BEFFE6" w:rsidR="007264E7" w:rsidRDefault="00B3072B" w:rsidP="00D42C5A">
      <w:pPr>
        <w:pStyle w:val="Heading3"/>
      </w:pPr>
      <w:bookmarkStart w:id="186" w:name="_Toc135416724"/>
      <w:bookmarkStart w:id="187" w:name="_Toc166834371"/>
      <w:r w:rsidRPr="46812195">
        <w:lastRenderedPageBreak/>
        <w:t>Claim Tracking</w:t>
      </w:r>
      <w:bookmarkEnd w:id="186"/>
      <w:bookmarkEnd w:id="187"/>
    </w:p>
    <w:p w14:paraId="5B1144D7" w14:textId="4416AD16" w:rsidR="00B3072B" w:rsidRPr="00835C2E" w:rsidRDefault="005D3903" w:rsidP="007264E7">
      <w:pPr>
        <w:pStyle w:val="BodyText"/>
        <w:rPr>
          <w:b/>
          <w:bCs/>
        </w:rPr>
      </w:pPr>
      <w:r>
        <w:rPr>
          <w:noProof/>
        </w:rPr>
        <w:drawing>
          <wp:anchor distT="0" distB="0" distL="0" distR="91440" simplePos="0" relativeHeight="251801604" behindDoc="1" locked="0" layoutInCell="1" allowOverlap="1" wp14:anchorId="31B58D69" wp14:editId="0A6FF231">
            <wp:simplePos x="0" y="0"/>
            <wp:positionH relativeFrom="column">
              <wp:posOffset>-457200</wp:posOffset>
            </wp:positionH>
            <wp:positionV relativeFrom="paragraph">
              <wp:posOffset>267335</wp:posOffset>
            </wp:positionV>
            <wp:extent cx="365760" cy="484505"/>
            <wp:effectExtent l="0" t="0" r="0" b="0"/>
            <wp:wrapTight wrapText="right">
              <wp:wrapPolygon edited="0">
                <wp:start x="0" y="0"/>
                <wp:lineTo x="0" y="20383"/>
                <wp:lineTo x="20250" y="20383"/>
                <wp:lineTo x="20250" y="0"/>
                <wp:lineTo x="0" y="0"/>
              </wp:wrapPolygon>
            </wp:wrapTight>
            <wp:docPr id="506440046"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B3072B">
        <w:t xml:space="preserve">There are multiple resources to assist you with confirming all necessary claims are sent and tracking the status and data for submitted claims.  </w:t>
      </w:r>
    </w:p>
    <w:p w14:paraId="408AD3F5" w14:textId="3E61AC2A" w:rsidR="00B3072B" w:rsidRPr="00AB2B67" w:rsidRDefault="00B3072B" w:rsidP="00AB2B67">
      <w:pPr>
        <w:pStyle w:val="BodyText"/>
      </w:pPr>
      <w:r w:rsidRPr="00454D84">
        <w:rPr>
          <w:color w:val="00B050"/>
        </w:rPr>
        <w:t>&lt;&lt;Insert Claim Tracking decision support/SOP/guidance here&gt;&gt;</w:t>
      </w:r>
      <w:r w:rsidRPr="00835C2E">
        <w:t xml:space="preserve"> </w:t>
      </w:r>
    </w:p>
    <w:p w14:paraId="7B289872" w14:textId="75E1E4D6" w:rsidR="00AB2B67" w:rsidRDefault="00B3072B" w:rsidP="00E92EA5">
      <w:pPr>
        <w:pStyle w:val="Heading4"/>
      </w:pPr>
      <w:r>
        <w:t>eCentral Insurance Manager</w:t>
      </w:r>
    </w:p>
    <w:p w14:paraId="28F22E67" w14:textId="3ABD6659" w:rsidR="00B3072B" w:rsidRDefault="00B3072B" w:rsidP="00AB2B67">
      <w:pPr>
        <w:pStyle w:val="BodyText"/>
        <w:rPr>
          <w:b/>
          <w:bCs/>
        </w:rPr>
      </w:pPr>
      <w:r>
        <w:t xml:space="preserve">The Insurance Manager allows you to track your electronic claims, view submission reports, and view claim statistics. The Insurance Manager cuts the wait time by giving </w:t>
      </w:r>
      <w:r w:rsidR="005F21DF">
        <w:t xml:space="preserve">you </w:t>
      </w:r>
      <w:r>
        <w:t>real</w:t>
      </w:r>
      <w:r w:rsidR="005F21DF">
        <w:t>-</w:t>
      </w:r>
      <w:r>
        <w:t xml:space="preserve">time access to a claim’s status, </w:t>
      </w:r>
      <w:r w:rsidR="005F21DF">
        <w:t>which allows</w:t>
      </w:r>
      <w:r>
        <w:t xml:space="preserve"> you to identify and begin resolving any “problem” claims within the first two weeks.  </w:t>
      </w:r>
    </w:p>
    <w:p w14:paraId="53FEBD24" w14:textId="6EAAFCF8" w:rsidR="00AB2B67" w:rsidRDefault="00B3072B" w:rsidP="00E92EA5">
      <w:pPr>
        <w:pStyle w:val="Heading4"/>
      </w:pPr>
      <w:r>
        <w:t>Procedures Not Attached</w:t>
      </w:r>
    </w:p>
    <w:p w14:paraId="6DEAFB6F" w14:textId="204A0DC3" w:rsidR="00B3072B" w:rsidRDefault="00B3072B" w:rsidP="00AB2B67">
      <w:pPr>
        <w:pStyle w:val="BodyText"/>
        <w:rPr>
          <w:b/>
          <w:bCs/>
        </w:rPr>
      </w:pPr>
      <w:r>
        <w:t xml:space="preserve">This report identifies any patient who has insurance and completed procedures not attached to a claim.  </w:t>
      </w:r>
    </w:p>
    <w:p w14:paraId="6ABCBF3E" w14:textId="2B2CA7E7" w:rsidR="00B3072B" w:rsidRPr="00357663" w:rsidRDefault="005D3903" w:rsidP="00AB2B67">
      <w:pPr>
        <w:pStyle w:val="BodyText"/>
        <w:rPr>
          <w:i/>
          <w:iCs/>
        </w:rPr>
      </w:pPr>
      <w:r>
        <w:rPr>
          <w:noProof/>
        </w:rPr>
        <w:drawing>
          <wp:anchor distT="0" distB="0" distL="0" distR="91440" simplePos="0" relativeHeight="251803652" behindDoc="1" locked="0" layoutInCell="1" allowOverlap="1" wp14:anchorId="6B321531" wp14:editId="34FAF91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942702527"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357663">
        <w:rPr>
          <w:b/>
          <w:bCs/>
          <w:i/>
          <w:iCs/>
        </w:rPr>
        <w:t>Workflow Insight</w:t>
      </w:r>
      <w:r w:rsidR="00B3072B" w:rsidRPr="00357663">
        <w:rPr>
          <w:i/>
          <w:iCs/>
        </w:rPr>
        <w:t>:  If there are procedures that are not sent on insurance claims, you can mark the individual code as “do not bill.” This helps avoid having products and other elective items</w:t>
      </w:r>
      <w:r w:rsidR="005F21DF" w:rsidRPr="00357663">
        <w:rPr>
          <w:i/>
          <w:iCs/>
        </w:rPr>
        <w:t xml:space="preserve"> that should not be billed to insurance</w:t>
      </w:r>
      <w:r w:rsidR="00B3072B" w:rsidRPr="00357663">
        <w:rPr>
          <w:i/>
          <w:iCs/>
        </w:rPr>
        <w:t xml:space="preserve"> listed on the report.</w:t>
      </w:r>
    </w:p>
    <w:p w14:paraId="664D9B08" w14:textId="1488D618" w:rsidR="00AB2B67" w:rsidRDefault="00B3072B" w:rsidP="00E92EA5">
      <w:pPr>
        <w:pStyle w:val="Heading4"/>
      </w:pPr>
      <w:r>
        <w:t>Claims Not Sent</w:t>
      </w:r>
    </w:p>
    <w:p w14:paraId="66019958" w14:textId="4E1BBC3A" w:rsidR="00B3072B" w:rsidRDefault="00B3072B" w:rsidP="00AB2B67">
      <w:pPr>
        <w:pStyle w:val="BodyText"/>
      </w:pPr>
      <w:r>
        <w:t xml:space="preserve">This report ensures claims are processed after being created. If a claim was not sent to the batch, printed, or sent electronically, it </w:t>
      </w:r>
      <w:r w:rsidR="00357663">
        <w:t>appears on</w:t>
      </w:r>
      <w:r>
        <w:t xml:space="preserve"> this report.  </w:t>
      </w:r>
    </w:p>
    <w:p w14:paraId="49FBEDF4" w14:textId="0270858B" w:rsidR="00AB2B67" w:rsidRDefault="00B3072B" w:rsidP="00E92EA5">
      <w:pPr>
        <w:pStyle w:val="Heading4"/>
      </w:pPr>
      <w:r>
        <w:t>Insurance Claims Aging</w:t>
      </w:r>
    </w:p>
    <w:p w14:paraId="6664AD6B" w14:textId="459D0140" w:rsidR="00B3072B" w:rsidRDefault="00B3072B" w:rsidP="00AB2B67">
      <w:pPr>
        <w:pStyle w:val="BodyText"/>
        <w:rPr>
          <w:b/>
          <w:bCs/>
        </w:rPr>
      </w:pPr>
      <w:r>
        <w:t>Th</w:t>
      </w:r>
      <w:r w:rsidR="00357663">
        <w:t>is</w:t>
      </w:r>
      <w:r>
        <w:t xml:space="preserve"> report list</w:t>
      </w:r>
      <w:r w:rsidR="00357663">
        <w:t>s</w:t>
      </w:r>
      <w:r>
        <w:t xml:space="preserve"> outstanding insurance claims, grouped by insurance carrier, along with the aged balances of each claim.  </w:t>
      </w:r>
    </w:p>
    <w:p w14:paraId="394A1AB8" w14:textId="345443AC" w:rsidR="00AB2B67" w:rsidRDefault="00B3072B" w:rsidP="00E92EA5">
      <w:pPr>
        <w:pStyle w:val="Heading4"/>
      </w:pPr>
      <w:r>
        <w:t>Claim Denials Management</w:t>
      </w:r>
    </w:p>
    <w:p w14:paraId="3F5DC3A7" w14:textId="54229BF1" w:rsidR="00B3072B" w:rsidRDefault="00B3072B" w:rsidP="004A2A35">
      <w:pPr>
        <w:pStyle w:val="BodyText"/>
        <w:keepNext/>
        <w:keepLines/>
      </w:pPr>
      <w:r>
        <w:t xml:space="preserve">Request for additional information </w:t>
      </w:r>
      <w:r w:rsidR="00357663">
        <w:t>versus</w:t>
      </w:r>
      <w:r>
        <w:t xml:space="preserve"> a true denial. </w:t>
      </w:r>
    </w:p>
    <w:p w14:paraId="0B27B916" w14:textId="604687BE" w:rsidR="00B3072B" w:rsidRDefault="00B3072B" w:rsidP="004F45B6">
      <w:pPr>
        <w:pStyle w:val="BodyText"/>
        <w:keepNext/>
        <w:keepLines/>
        <w:numPr>
          <w:ilvl w:val="0"/>
          <w:numId w:val="136"/>
        </w:numPr>
        <w:ind w:left="540"/>
      </w:pPr>
      <w:r>
        <w:rPr>
          <w:b/>
          <w:bCs/>
        </w:rPr>
        <w:t>Insurance Claim Statuses and N</w:t>
      </w:r>
      <w:r w:rsidRPr="46812195">
        <w:rPr>
          <w:b/>
          <w:bCs/>
        </w:rPr>
        <w:t xml:space="preserve">otes – </w:t>
      </w:r>
      <w:r>
        <w:t>As you follow up on outstanding insurance claims, you can update an individual claim's status using one of the standard status options listed</w:t>
      </w:r>
      <w:r w:rsidR="00357663">
        <w:t>:</w:t>
      </w:r>
      <w:r>
        <w:t xml:space="preserve"> </w:t>
      </w:r>
      <w:r w:rsidRPr="00357663">
        <w:rPr>
          <w:b/>
          <w:bCs/>
        </w:rPr>
        <w:t>Tracer Sent</w:t>
      </w:r>
      <w:r>
        <w:t xml:space="preserve">, </w:t>
      </w:r>
      <w:r w:rsidRPr="00357663">
        <w:rPr>
          <w:b/>
          <w:bCs/>
        </w:rPr>
        <w:t>On Hold</w:t>
      </w:r>
      <w:r>
        <w:t xml:space="preserve">, </w:t>
      </w:r>
      <w:r w:rsidRPr="00357663">
        <w:rPr>
          <w:b/>
          <w:bCs/>
        </w:rPr>
        <w:t>Re-Sent</w:t>
      </w:r>
      <w:r>
        <w:t xml:space="preserve">, or </w:t>
      </w:r>
      <w:r w:rsidRPr="00357663">
        <w:rPr>
          <w:b/>
          <w:bCs/>
        </w:rPr>
        <w:t>Voided</w:t>
      </w:r>
      <w:r>
        <w:t xml:space="preserve">. The claim status note will automatically </w:t>
      </w:r>
      <w:r w:rsidR="00357663">
        <w:t xml:space="preserve">be </w:t>
      </w:r>
      <w:r>
        <w:t>populate</w:t>
      </w:r>
      <w:r w:rsidR="00357663">
        <w:t>d with</w:t>
      </w:r>
      <w:r>
        <w:t xml:space="preserve"> status information, and you can </w:t>
      </w:r>
      <w:r w:rsidR="00357663">
        <w:t xml:space="preserve">manually </w:t>
      </w:r>
      <w:r>
        <w:t xml:space="preserve">type </w:t>
      </w:r>
      <w:r w:rsidR="00357663">
        <w:t>additional information</w:t>
      </w:r>
      <w:r>
        <w:t xml:space="preserve">.  </w:t>
      </w:r>
    </w:p>
    <w:p w14:paraId="0DF42530" w14:textId="46553E11" w:rsidR="00B3072B" w:rsidRDefault="00B3072B" w:rsidP="004F45B6">
      <w:pPr>
        <w:pStyle w:val="BodyText"/>
        <w:keepNext/>
        <w:keepLines/>
        <w:numPr>
          <w:ilvl w:val="0"/>
          <w:numId w:val="136"/>
        </w:numPr>
        <w:ind w:left="540"/>
        <w:rPr>
          <w:b/>
          <w:bCs/>
        </w:rPr>
      </w:pPr>
      <w:r>
        <w:rPr>
          <w:b/>
          <w:bCs/>
        </w:rPr>
        <w:t>Re</w:t>
      </w:r>
      <w:r w:rsidR="00357663">
        <w:rPr>
          <w:b/>
          <w:bCs/>
        </w:rPr>
        <w:t>s</w:t>
      </w:r>
      <w:r>
        <w:rPr>
          <w:b/>
          <w:bCs/>
        </w:rPr>
        <w:t xml:space="preserve">ubmit Reasons </w:t>
      </w:r>
      <w:r w:rsidR="00357663" w:rsidRPr="46812195">
        <w:rPr>
          <w:b/>
          <w:bCs/>
        </w:rPr>
        <w:t>–</w:t>
      </w:r>
      <w:r w:rsidRPr="46812195">
        <w:rPr>
          <w:b/>
          <w:bCs/>
        </w:rPr>
        <w:t xml:space="preserve"> </w:t>
      </w:r>
      <w:r>
        <w:t xml:space="preserve">Resubmitting claims can help elevate your RCM effectiveness by reducing management efforts for a claim that has been addressed recently and </w:t>
      </w:r>
      <w:r w:rsidR="00357663">
        <w:t xml:space="preserve">by </w:t>
      </w:r>
      <w:r>
        <w:t xml:space="preserve">providing insight into trends with denied claims within your organization.  </w:t>
      </w:r>
    </w:p>
    <w:p w14:paraId="6A434BA5" w14:textId="1E3B285A" w:rsidR="00B3072B" w:rsidRPr="00357663" w:rsidRDefault="005D3903" w:rsidP="004A2A35">
      <w:pPr>
        <w:pStyle w:val="BodyText"/>
        <w:keepNext/>
        <w:keepLines/>
        <w:ind w:left="540"/>
        <w:rPr>
          <w:i/>
          <w:iCs/>
        </w:rPr>
      </w:pPr>
      <w:r>
        <w:rPr>
          <w:noProof/>
        </w:rPr>
        <w:drawing>
          <wp:anchor distT="0" distB="0" distL="0" distR="91440" simplePos="0" relativeHeight="251805700" behindDoc="1" locked="0" layoutInCell="1" allowOverlap="1" wp14:anchorId="5E87B5B2" wp14:editId="1B31AD03">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11670557"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357663">
        <w:rPr>
          <w:b/>
          <w:bCs/>
          <w:i/>
          <w:iCs/>
        </w:rPr>
        <w:t xml:space="preserve">Operations </w:t>
      </w:r>
      <w:r w:rsidR="00357663" w:rsidRPr="00357663">
        <w:rPr>
          <w:b/>
          <w:bCs/>
          <w:i/>
          <w:iCs/>
        </w:rPr>
        <w:t>I</w:t>
      </w:r>
      <w:r w:rsidR="00B3072B" w:rsidRPr="00357663">
        <w:rPr>
          <w:b/>
          <w:bCs/>
          <w:i/>
          <w:iCs/>
        </w:rPr>
        <w:t>nsight</w:t>
      </w:r>
      <w:r w:rsidR="00B3072B" w:rsidRPr="00357663">
        <w:rPr>
          <w:i/>
          <w:iCs/>
        </w:rPr>
        <w:t>: Resubmitting claims is recommended to maintain the integrity of data surrounding each claim. It is especially important if you are enrolled in eEOB import. Deleting the claim will also eliminate the internal data that links the claim to the eEOB. This simple step can enhance your electronic posting processes.</w:t>
      </w:r>
    </w:p>
    <w:p w14:paraId="32B9F566" w14:textId="20D97A02" w:rsidR="00B3072B" w:rsidRDefault="00B3072B" w:rsidP="004F45B6">
      <w:pPr>
        <w:pStyle w:val="BodyText"/>
        <w:numPr>
          <w:ilvl w:val="0"/>
          <w:numId w:val="137"/>
        </w:numPr>
        <w:ind w:left="540"/>
      </w:pPr>
      <w:r w:rsidRPr="46812195">
        <w:rPr>
          <w:b/>
          <w:bCs/>
        </w:rPr>
        <w:t>Split Primary Claim</w:t>
      </w:r>
      <w:r>
        <w:rPr>
          <w:b/>
          <w:bCs/>
        </w:rPr>
        <w:t xml:space="preserve"> </w:t>
      </w:r>
      <w:r w:rsidR="00357663" w:rsidRPr="46812195">
        <w:rPr>
          <w:b/>
          <w:bCs/>
        </w:rPr>
        <w:t>–</w:t>
      </w:r>
      <w:r w:rsidRPr="46812195">
        <w:rPr>
          <w:b/>
          <w:bCs/>
        </w:rPr>
        <w:t xml:space="preserve"> </w:t>
      </w:r>
      <w:r w:rsidRPr="00835C2E">
        <w:rPr>
          <w:bCs/>
        </w:rPr>
        <w:t>Splitting</w:t>
      </w:r>
      <w:r>
        <w:t xml:space="preserve"> a primary claim is important for maintaining accuracy in claims tracking when the data within one claim needs alternative management tasks. This process allows you to single out the procedures you plan to resubmit to the insurance company and allows you to post payment to any procedures that were successfully adjudicated.  </w:t>
      </w:r>
    </w:p>
    <w:p w14:paraId="23081895" w14:textId="68DEBC82" w:rsidR="00B3072B" w:rsidRDefault="00B3072B" w:rsidP="004F45B6">
      <w:pPr>
        <w:pStyle w:val="BodyText"/>
        <w:numPr>
          <w:ilvl w:val="0"/>
          <w:numId w:val="137"/>
        </w:numPr>
        <w:ind w:left="540"/>
        <w:rPr>
          <w:b/>
          <w:bCs/>
        </w:rPr>
      </w:pPr>
      <w:r w:rsidRPr="46812195">
        <w:rPr>
          <w:b/>
          <w:bCs/>
        </w:rPr>
        <w:t xml:space="preserve">Zero Payment </w:t>
      </w:r>
      <w:r w:rsidR="00357663" w:rsidRPr="46812195">
        <w:rPr>
          <w:b/>
          <w:bCs/>
        </w:rPr>
        <w:t>–</w:t>
      </w:r>
      <w:r w:rsidRPr="46812195">
        <w:rPr>
          <w:b/>
          <w:bCs/>
        </w:rPr>
        <w:t xml:space="preserve"> </w:t>
      </w:r>
      <w:r>
        <w:t xml:space="preserve">Posting a zero payment also closes the claim </w:t>
      </w:r>
      <w:r w:rsidR="00357663">
        <w:t>on</w:t>
      </w:r>
      <w:r>
        <w:t xml:space="preserve"> the ledger. Before posting a zero </w:t>
      </w:r>
      <w:r w:rsidR="00357663">
        <w:t xml:space="preserve">payment </w:t>
      </w:r>
      <w:r>
        <w:t xml:space="preserve">to denied claims, </w:t>
      </w:r>
      <w:r w:rsidR="00357663">
        <w:t>we</w:t>
      </w:r>
      <w:r>
        <w:t xml:space="preserve"> recommend</w:t>
      </w:r>
      <w:r w:rsidR="00357663">
        <w:t xml:space="preserve"> that you</w:t>
      </w:r>
      <w:r>
        <w:t xml:space="preserve"> review the circumstances to determine if resubmission, splitting, or updating data could warrant new denial management efforts.  </w:t>
      </w:r>
    </w:p>
    <w:p w14:paraId="0F0B5730" w14:textId="7042F379" w:rsidR="00B3072B" w:rsidRPr="00AB2B67" w:rsidRDefault="00B3072B" w:rsidP="004F45B6">
      <w:pPr>
        <w:pStyle w:val="BodyText"/>
        <w:keepLines/>
        <w:numPr>
          <w:ilvl w:val="0"/>
          <w:numId w:val="137"/>
        </w:numPr>
        <w:ind w:left="547"/>
        <w:rPr>
          <w:b/>
          <w:bCs/>
        </w:rPr>
      </w:pPr>
      <w:r w:rsidRPr="00AB2B67">
        <w:rPr>
          <w:b/>
          <w:bCs/>
        </w:rPr>
        <w:lastRenderedPageBreak/>
        <w:t>Claims In History</w:t>
      </w:r>
      <w:r w:rsidRPr="00357663">
        <w:t xml:space="preserve"> </w:t>
      </w:r>
      <w:r w:rsidR="00357663" w:rsidRPr="00357663">
        <w:t>–</w:t>
      </w:r>
      <w:r w:rsidRPr="00357663">
        <w:t xml:space="preserve"> </w:t>
      </w:r>
      <w:r>
        <w:t xml:space="preserve">Once a claim has been closed, depending on security rights, you may be able to edit and correct the information to resend the original claim. If the claim is closed as well as the month, the claim will be placed into history. It isn’t impossible to generate the necessary documentation in the system to resubmit or appeal a claim. The following steps could change based on your internal financial guidelines and account policies.  </w:t>
      </w:r>
    </w:p>
    <w:p w14:paraId="411C8875" w14:textId="729724F3" w:rsidR="00B3072B" w:rsidRPr="00AB2B67" w:rsidRDefault="00B3072B" w:rsidP="004F45B6">
      <w:pPr>
        <w:pStyle w:val="BodyText"/>
        <w:numPr>
          <w:ilvl w:val="1"/>
          <w:numId w:val="138"/>
        </w:numPr>
        <w:ind w:left="1080"/>
      </w:pPr>
      <w:r>
        <w:t>Pos</w:t>
      </w:r>
      <w:r w:rsidRPr="00AB2B67">
        <w:t xml:space="preserve">t the original procedures with the backdated date of service in </w:t>
      </w:r>
      <w:r w:rsidR="00357663">
        <w:t>L</w:t>
      </w:r>
      <w:r w:rsidRPr="00AB2B67">
        <w:t xml:space="preserve">edger.  </w:t>
      </w:r>
    </w:p>
    <w:p w14:paraId="7EABB6EF" w14:textId="16E16D99" w:rsidR="00B3072B" w:rsidRPr="00AB2B67" w:rsidRDefault="00357663" w:rsidP="004F45B6">
      <w:pPr>
        <w:pStyle w:val="BodyText"/>
        <w:numPr>
          <w:ilvl w:val="1"/>
          <w:numId w:val="138"/>
        </w:numPr>
        <w:ind w:left="1080"/>
      </w:pPr>
      <w:r>
        <w:t>If you p</w:t>
      </w:r>
      <w:r w:rsidR="00B3072B" w:rsidRPr="00AB2B67">
        <w:t>ost the procedures for the second time</w:t>
      </w:r>
      <w:r>
        <w:t>,</w:t>
      </w:r>
      <w:r w:rsidR="00B3072B" w:rsidRPr="00AB2B67">
        <w:t xml:space="preserve"> manually post an adjustment to offset the additional charge.  </w:t>
      </w:r>
    </w:p>
    <w:p w14:paraId="1C95E523" w14:textId="77777777" w:rsidR="00B3072B" w:rsidRPr="00AB2B67" w:rsidRDefault="00B3072B" w:rsidP="004F45B6">
      <w:pPr>
        <w:pStyle w:val="BodyText"/>
        <w:numPr>
          <w:ilvl w:val="1"/>
          <w:numId w:val="138"/>
        </w:numPr>
        <w:ind w:left="1080"/>
      </w:pPr>
      <w:r w:rsidRPr="00AB2B67">
        <w:t xml:space="preserve">Create a claim with the new procedures to submit for payment.  </w:t>
      </w:r>
    </w:p>
    <w:p w14:paraId="3D84425C" w14:textId="2A1776A3" w:rsidR="00B3072B" w:rsidRDefault="00357663" w:rsidP="004F45B6">
      <w:pPr>
        <w:pStyle w:val="BodyText"/>
        <w:numPr>
          <w:ilvl w:val="1"/>
          <w:numId w:val="138"/>
        </w:numPr>
        <w:ind w:left="1080"/>
        <w:rPr>
          <w:b/>
          <w:bCs/>
        </w:rPr>
      </w:pPr>
      <w:r>
        <w:t>I</w:t>
      </w:r>
      <w:r w:rsidR="00B3072B" w:rsidRPr="00AB2B67">
        <w:t>f the insurance company sends an eEOB that is electronically linked to the orig</w:t>
      </w:r>
      <w:r w:rsidR="00B3072B">
        <w:t>inal claim</w:t>
      </w:r>
      <w:r>
        <w:t>, post the payment manually</w:t>
      </w:r>
      <w:r w:rsidR="00B3072B">
        <w:t xml:space="preserve">.  </w:t>
      </w:r>
    </w:p>
    <w:p w14:paraId="15F2AAAD" w14:textId="51F42AB3" w:rsidR="00B3072B" w:rsidRDefault="005D3903" w:rsidP="00D42C5A">
      <w:pPr>
        <w:pStyle w:val="Heading3"/>
      </w:pPr>
      <w:bookmarkStart w:id="188" w:name="_Toc135416725"/>
      <w:bookmarkStart w:id="189" w:name="_Toc166834372"/>
      <w:r>
        <w:rPr>
          <w:noProof/>
        </w:rPr>
        <w:drawing>
          <wp:anchor distT="0" distB="0" distL="0" distR="91440" simplePos="0" relativeHeight="251807748" behindDoc="1" locked="0" layoutInCell="1" allowOverlap="1" wp14:anchorId="09281C8D" wp14:editId="1AF6D5AC">
            <wp:simplePos x="0" y="0"/>
            <wp:positionH relativeFrom="column">
              <wp:posOffset>-457200</wp:posOffset>
            </wp:positionH>
            <wp:positionV relativeFrom="paragraph">
              <wp:posOffset>400685</wp:posOffset>
            </wp:positionV>
            <wp:extent cx="365760" cy="484505"/>
            <wp:effectExtent l="0" t="0" r="0" b="0"/>
            <wp:wrapTight wrapText="right">
              <wp:wrapPolygon edited="0">
                <wp:start x="0" y="0"/>
                <wp:lineTo x="0" y="20383"/>
                <wp:lineTo x="20250" y="20383"/>
                <wp:lineTo x="20250" y="0"/>
                <wp:lineTo x="0" y="0"/>
              </wp:wrapPolygon>
            </wp:wrapTight>
            <wp:docPr id="506616557"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B3072B" w:rsidRPr="1A6CC218">
        <w:t>Claim Payments</w:t>
      </w:r>
      <w:bookmarkEnd w:id="188"/>
      <w:bookmarkEnd w:id="189"/>
    </w:p>
    <w:p w14:paraId="198A6DDD" w14:textId="473B8899" w:rsidR="00B3072B" w:rsidRPr="00AB2B67" w:rsidRDefault="00B3072B" w:rsidP="000D7FFC">
      <w:pPr>
        <w:pStyle w:val="BodyText"/>
        <w:keepNext/>
        <w:keepLines/>
      </w:pPr>
      <w:r w:rsidRPr="00454D84">
        <w:rPr>
          <w:color w:val="00B050"/>
        </w:rPr>
        <w:t>&lt;&lt;Insert Claim Payments and Adjustments decision support/SOP/guidance here&gt;&gt;</w:t>
      </w:r>
    </w:p>
    <w:p w14:paraId="2EF871C5" w14:textId="495CBAA2" w:rsidR="00AB2B67" w:rsidRDefault="00B3072B" w:rsidP="00E92EA5">
      <w:pPr>
        <w:pStyle w:val="Heading4"/>
      </w:pPr>
      <w:r>
        <w:t>eEOB (</w:t>
      </w:r>
      <w:r w:rsidR="00357663">
        <w:t>B</w:t>
      </w:r>
      <w:r w:rsidRPr="1A6CC218">
        <w:t xml:space="preserve">atch </w:t>
      </w:r>
      <w:r w:rsidR="00357663">
        <w:t>I</w:t>
      </w:r>
      <w:r w:rsidRPr="1A6CC218">
        <w:t xml:space="preserve">nsurance </w:t>
      </w:r>
      <w:r w:rsidR="00357663">
        <w:t>P</w:t>
      </w:r>
      <w:r w:rsidRPr="1A6CC218">
        <w:t>ayment</w:t>
      </w:r>
      <w:r>
        <w:t>)</w:t>
      </w:r>
    </w:p>
    <w:p w14:paraId="6EA587E8" w14:textId="1B3A8476" w:rsidR="00B3072B" w:rsidRDefault="00B3072B" w:rsidP="000D7FFC">
      <w:pPr>
        <w:pStyle w:val="BodyText"/>
        <w:keepNext/>
        <w:keepLines/>
      </w:pPr>
      <w:r>
        <w:t>When an insurance carrier sends your office one check or electronic funds transfer (EFT) to cover multiple claims for multiple patients, with Dentrix Enterprise, you can post the large insurance check to multiple patients without having to switch back and forth between different accounts and insurance claims.</w:t>
      </w:r>
    </w:p>
    <w:p w14:paraId="5F5BBA34" w14:textId="7C02F9DA" w:rsidR="00B3072B" w:rsidRDefault="00B3072B" w:rsidP="004F45B6">
      <w:pPr>
        <w:pStyle w:val="BodyText"/>
        <w:keepNext/>
        <w:keepLines/>
        <w:numPr>
          <w:ilvl w:val="0"/>
          <w:numId w:val="139"/>
        </w:numPr>
        <w:ind w:left="540"/>
      </w:pPr>
      <w:r>
        <w:rPr>
          <w:b/>
          <w:bCs/>
        </w:rPr>
        <w:t>e</w:t>
      </w:r>
      <w:r w:rsidRPr="1A6CC218">
        <w:rPr>
          <w:b/>
          <w:bCs/>
        </w:rPr>
        <w:t>EOB</w:t>
      </w:r>
      <w:r>
        <w:rPr>
          <w:b/>
          <w:bCs/>
        </w:rPr>
        <w:t xml:space="preserve"> </w:t>
      </w:r>
      <w:r w:rsidR="00357663">
        <w:rPr>
          <w:b/>
          <w:bCs/>
        </w:rPr>
        <w:t>–</w:t>
      </w:r>
      <w:r w:rsidRPr="1A6CC218">
        <w:rPr>
          <w:b/>
          <w:bCs/>
        </w:rPr>
        <w:t xml:space="preserve"> </w:t>
      </w:r>
      <w:r w:rsidRPr="1A6CC218">
        <w:t>Some payors provide an electronic Explanation of Benefits (EOB) as an Electronic Remittance Advice (ERA) for an electronic claim that you submit. With the 835 EOB import utility, you can import EOBs (in the 835 X12 4010 standard format) from eCentral into Dentrix Enterprise and post batches of insurance payments to multiple patients' accounts.</w:t>
      </w:r>
    </w:p>
    <w:p w14:paraId="5D033E85" w14:textId="26EF56A2" w:rsidR="00B3072B" w:rsidRPr="00357663" w:rsidRDefault="005D3903" w:rsidP="00AB2B67">
      <w:pPr>
        <w:pStyle w:val="BodyText"/>
        <w:ind w:left="540"/>
        <w:rPr>
          <w:i/>
          <w:iCs/>
        </w:rPr>
      </w:pPr>
      <w:r>
        <w:rPr>
          <w:noProof/>
        </w:rPr>
        <w:drawing>
          <wp:anchor distT="0" distB="0" distL="0" distR="91440" simplePos="0" relativeHeight="251809796" behindDoc="1" locked="0" layoutInCell="1" allowOverlap="1" wp14:anchorId="46DB5939" wp14:editId="1F16FC0E">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47492497"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357663">
        <w:rPr>
          <w:b/>
          <w:bCs/>
          <w:i/>
          <w:iCs/>
        </w:rPr>
        <w:t>Operations Insight</w:t>
      </w:r>
      <w:r w:rsidR="00B3072B" w:rsidRPr="00357663">
        <w:rPr>
          <w:i/>
          <w:iCs/>
        </w:rPr>
        <w:t>: This feature is available as an add-on that you can purchase</w:t>
      </w:r>
      <w:r w:rsidR="00357663" w:rsidRPr="00357663">
        <w:rPr>
          <w:i/>
          <w:iCs/>
        </w:rPr>
        <w:t>,</w:t>
      </w:r>
      <w:r w:rsidR="00B3072B" w:rsidRPr="00357663">
        <w:rPr>
          <w:i/>
          <w:iCs/>
        </w:rPr>
        <w:t xml:space="preserve"> and you must be submitting claims electronically through eClaims. Also, a global setting controls the availability of this feature.</w:t>
      </w:r>
    </w:p>
    <w:p w14:paraId="60826827" w14:textId="279C4C9B" w:rsidR="00B3072B" w:rsidRPr="00357663" w:rsidRDefault="005D3903" w:rsidP="00AB2B67">
      <w:pPr>
        <w:pStyle w:val="BodyText"/>
        <w:ind w:left="540"/>
        <w:rPr>
          <w:i/>
          <w:iCs/>
        </w:rPr>
      </w:pPr>
      <w:r>
        <w:rPr>
          <w:noProof/>
        </w:rPr>
        <w:drawing>
          <wp:anchor distT="0" distB="0" distL="0" distR="91440" simplePos="0" relativeHeight="251811844" behindDoc="1" locked="0" layoutInCell="1" allowOverlap="1" wp14:anchorId="32339553" wp14:editId="4FD0758F">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063545251"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357663">
        <w:rPr>
          <w:b/>
          <w:bCs/>
          <w:i/>
          <w:iCs/>
        </w:rPr>
        <w:t>Workflow Insight</w:t>
      </w:r>
      <w:r w:rsidR="00B3072B" w:rsidRPr="00357663">
        <w:rPr>
          <w:i/>
          <w:iCs/>
        </w:rPr>
        <w:t>: Do not import EOBs until you have received a check from the payor or verified that funds have been transferred through an EFT.</w:t>
      </w:r>
    </w:p>
    <w:p w14:paraId="05E29955" w14:textId="145891F0" w:rsidR="00B3072B" w:rsidRDefault="00B3072B" w:rsidP="004F45B6">
      <w:pPr>
        <w:pStyle w:val="BodyText"/>
        <w:numPr>
          <w:ilvl w:val="0"/>
          <w:numId w:val="139"/>
        </w:numPr>
        <w:ind w:left="540"/>
      </w:pPr>
      <w:r w:rsidRPr="1A6CC218">
        <w:rPr>
          <w:b/>
          <w:bCs/>
        </w:rPr>
        <w:t>Check number</w:t>
      </w:r>
      <w:r>
        <w:rPr>
          <w:b/>
          <w:bCs/>
        </w:rPr>
        <w:t xml:space="preserve"> </w:t>
      </w:r>
      <w:r w:rsidR="00357663">
        <w:t>–</w:t>
      </w:r>
      <w:r>
        <w:t xml:space="preserve"> The check number appears as part of a payment description on family walkouts (enhanced and plain forms), billing statements, the Family Ledger Report, and the Patient Ledger Report. For walkouts and statements, if the check number is longer than 14 characters, an ellipsis and the last 11 characters are displayed. For family and patient ledger reports, if the check number is longer than 13 characters, an ellipsis and the last 10 characters are displayed. Due to space limitations, the following reports, although they do list guarantor payments, do not show payment check numbers: Day Sheet (charges and receipts), Payment Summary Report, Suspended Credits Report, and Day Sheet-Receipts Report.</w:t>
      </w:r>
    </w:p>
    <w:p w14:paraId="6120FA57" w14:textId="1D1A5A61" w:rsidR="00B3072B" w:rsidRPr="00A07EE9" w:rsidRDefault="00B3072B" w:rsidP="004F45B6">
      <w:pPr>
        <w:pStyle w:val="BodyText"/>
        <w:numPr>
          <w:ilvl w:val="0"/>
          <w:numId w:val="139"/>
        </w:numPr>
        <w:ind w:left="540"/>
        <w:rPr>
          <w:b/>
          <w:bCs/>
        </w:rPr>
      </w:pPr>
      <w:r>
        <w:rPr>
          <w:b/>
          <w:bCs/>
        </w:rPr>
        <w:t>I</w:t>
      </w:r>
      <w:r w:rsidRPr="595666BA">
        <w:rPr>
          <w:b/>
          <w:bCs/>
        </w:rPr>
        <w:t xml:space="preserve">nsurance </w:t>
      </w:r>
      <w:r>
        <w:rPr>
          <w:b/>
          <w:bCs/>
        </w:rPr>
        <w:t>O</w:t>
      </w:r>
      <w:r w:rsidRPr="595666BA">
        <w:rPr>
          <w:b/>
          <w:bCs/>
        </w:rPr>
        <w:t>verpayments</w:t>
      </w:r>
      <w:r>
        <w:rPr>
          <w:b/>
          <w:bCs/>
        </w:rPr>
        <w:t xml:space="preserve"> </w:t>
      </w:r>
      <w:r w:rsidR="00251C04">
        <w:rPr>
          <w:b/>
          <w:bCs/>
        </w:rPr>
        <w:t>–</w:t>
      </w:r>
      <w:r w:rsidRPr="595666BA">
        <w:rPr>
          <w:b/>
          <w:bCs/>
        </w:rPr>
        <w:t xml:space="preserve"> </w:t>
      </w:r>
      <w:r w:rsidR="00251C04">
        <w:t>A</w:t>
      </w:r>
      <w:r>
        <w:t xml:space="preserve"> procedure </w:t>
      </w:r>
      <w:r w:rsidR="00251C04">
        <w:t xml:space="preserve">is considered </w:t>
      </w:r>
      <w:r>
        <w:t xml:space="preserve">“overpaid” if the amount paid by the insurance company exceeds the estimated amount for an individual line item. When </w:t>
      </w:r>
      <w:r w:rsidR="00251C04">
        <w:t xml:space="preserve">you are </w:t>
      </w:r>
      <w:r>
        <w:t xml:space="preserve">posting a batch insurance payment, the </w:t>
      </w:r>
      <w:r w:rsidR="00251C04" w:rsidRPr="00251C04">
        <w:rPr>
          <w:b/>
          <w:bCs/>
        </w:rPr>
        <w:t>P</w:t>
      </w:r>
      <w:r w:rsidRPr="00251C04">
        <w:rPr>
          <w:b/>
          <w:bCs/>
        </w:rPr>
        <w:t xml:space="preserve">rocedures </w:t>
      </w:r>
      <w:r w:rsidR="00251C04" w:rsidRPr="00251C04">
        <w:rPr>
          <w:b/>
          <w:bCs/>
        </w:rPr>
        <w:t>U</w:t>
      </w:r>
      <w:r w:rsidRPr="00251C04">
        <w:rPr>
          <w:b/>
          <w:bCs/>
        </w:rPr>
        <w:t xml:space="preserve">ndercharged or </w:t>
      </w:r>
      <w:r w:rsidR="00251C04" w:rsidRPr="00251C04">
        <w:rPr>
          <w:b/>
          <w:bCs/>
        </w:rPr>
        <w:t>O</w:t>
      </w:r>
      <w:r w:rsidRPr="00251C04">
        <w:rPr>
          <w:b/>
          <w:bCs/>
        </w:rPr>
        <w:t>verpaid</w:t>
      </w:r>
      <w:r>
        <w:t xml:space="preserve"> </w:t>
      </w:r>
      <w:r w:rsidR="00251C04">
        <w:t>dialog box appears so you can</w:t>
      </w:r>
      <w:r>
        <w:t xml:space="preserve"> allocate the overpayment. The following actions are available:</w:t>
      </w:r>
    </w:p>
    <w:p w14:paraId="4930B8BE" w14:textId="0105238E" w:rsidR="00B3072B" w:rsidRPr="00AB2B67" w:rsidRDefault="00B3072B" w:rsidP="004F45B6">
      <w:pPr>
        <w:pStyle w:val="BodyText"/>
        <w:numPr>
          <w:ilvl w:val="1"/>
          <w:numId w:val="140"/>
        </w:numPr>
        <w:ind w:left="1080"/>
      </w:pPr>
      <w:r w:rsidRPr="00251C04">
        <w:rPr>
          <w:b/>
          <w:bCs/>
        </w:rPr>
        <w:t xml:space="preserve">Add Charge Adjustment to Claim and </w:t>
      </w:r>
      <w:r w:rsidR="00251C04">
        <w:rPr>
          <w:b/>
          <w:bCs/>
        </w:rPr>
        <w:t>a</w:t>
      </w:r>
      <w:r w:rsidRPr="00251C04">
        <w:rPr>
          <w:b/>
          <w:bCs/>
        </w:rPr>
        <w:t xml:space="preserve">pply </w:t>
      </w:r>
      <w:r w:rsidR="00251C04">
        <w:rPr>
          <w:b/>
          <w:bCs/>
        </w:rPr>
        <w:t>r</w:t>
      </w:r>
      <w:r w:rsidRPr="00251C04">
        <w:rPr>
          <w:b/>
          <w:bCs/>
        </w:rPr>
        <w:t>emaining</w:t>
      </w:r>
      <w:r w:rsidRPr="00AB2B67">
        <w:t xml:space="preserve"> </w:t>
      </w:r>
      <w:r w:rsidR="00251C04">
        <w:t>–</w:t>
      </w:r>
      <w:r w:rsidRPr="00AB2B67">
        <w:t xml:space="preserve"> This option adds a charge adjustment to the claim and applies it to the remaining balance (up to the maximum allowed charge for the procedure).</w:t>
      </w:r>
    </w:p>
    <w:p w14:paraId="6D2C2265" w14:textId="74A5F5CF" w:rsidR="00B3072B" w:rsidRPr="00AB2B67" w:rsidRDefault="00B3072B" w:rsidP="004F45B6">
      <w:pPr>
        <w:pStyle w:val="BodyText"/>
        <w:numPr>
          <w:ilvl w:val="1"/>
          <w:numId w:val="140"/>
        </w:numPr>
        <w:ind w:left="1080"/>
      </w:pPr>
      <w:r w:rsidRPr="00251C04">
        <w:rPr>
          <w:b/>
          <w:bCs/>
        </w:rPr>
        <w:lastRenderedPageBreak/>
        <w:t>Suspend Credit for Refund or Credit to Patient</w:t>
      </w:r>
      <w:r w:rsidRPr="00AB2B67">
        <w:t xml:space="preserve"> </w:t>
      </w:r>
      <w:r w:rsidR="00251C04">
        <w:t>–</w:t>
      </w:r>
      <w:r w:rsidRPr="00AB2B67">
        <w:t xml:space="preserve"> This option adds offsetting adjustments to the claim to remove the balance and posts a suspended credit to the patient’s </w:t>
      </w:r>
      <w:r w:rsidR="00251C04">
        <w:t>l</w:t>
      </w:r>
      <w:r w:rsidRPr="00AB2B67">
        <w:t>edger for a refund or credit.</w:t>
      </w:r>
    </w:p>
    <w:p w14:paraId="51306092" w14:textId="1DD40A73" w:rsidR="00B3072B" w:rsidRPr="00AB2B67" w:rsidRDefault="00B3072B" w:rsidP="004F45B6">
      <w:pPr>
        <w:pStyle w:val="BodyText"/>
        <w:numPr>
          <w:ilvl w:val="1"/>
          <w:numId w:val="140"/>
        </w:numPr>
        <w:ind w:left="1080"/>
      </w:pPr>
      <w:r w:rsidRPr="00251C04">
        <w:rPr>
          <w:b/>
          <w:bCs/>
        </w:rPr>
        <w:t>Allocate to procedure with remaining balance</w:t>
      </w:r>
      <w:r w:rsidR="00251C04">
        <w:t>.</w:t>
      </w:r>
    </w:p>
    <w:p w14:paraId="47F59FD3" w14:textId="6AA1A82E" w:rsidR="00B3072B" w:rsidRPr="00AB2B67" w:rsidRDefault="00B3072B" w:rsidP="004F45B6">
      <w:pPr>
        <w:pStyle w:val="BodyText"/>
        <w:numPr>
          <w:ilvl w:val="1"/>
          <w:numId w:val="140"/>
        </w:numPr>
        <w:ind w:left="1080"/>
      </w:pPr>
      <w:r w:rsidRPr="00251C04">
        <w:rPr>
          <w:b/>
          <w:bCs/>
        </w:rPr>
        <w:t>Allocate charge adjustment to claim and apply remaining</w:t>
      </w:r>
      <w:r w:rsidR="00251C04">
        <w:t>.</w:t>
      </w:r>
    </w:p>
    <w:p w14:paraId="350132E0" w14:textId="56BDD4B6" w:rsidR="00B3072B" w:rsidRDefault="00B3072B" w:rsidP="004F45B6">
      <w:pPr>
        <w:pStyle w:val="BodyText"/>
        <w:numPr>
          <w:ilvl w:val="1"/>
          <w:numId w:val="140"/>
        </w:numPr>
        <w:ind w:left="1080"/>
        <w:rPr>
          <w:b/>
          <w:bCs/>
        </w:rPr>
      </w:pPr>
      <w:r w:rsidRPr="00251C04">
        <w:rPr>
          <w:b/>
          <w:bCs/>
        </w:rPr>
        <w:t>Reduce Guarantor credit amount and apply to procedure</w:t>
      </w:r>
      <w:r w:rsidR="00251C04">
        <w:t>.</w:t>
      </w:r>
    </w:p>
    <w:p w14:paraId="2C18B761" w14:textId="14CE4ED4" w:rsidR="00B3072B" w:rsidRPr="00AB2B67" w:rsidRDefault="00B3072B" w:rsidP="004F45B6">
      <w:pPr>
        <w:pStyle w:val="BodyText"/>
        <w:numPr>
          <w:ilvl w:val="0"/>
          <w:numId w:val="139"/>
        </w:numPr>
        <w:ind w:left="540"/>
        <w:rPr>
          <w:color w:val="000000" w:themeColor="text1"/>
        </w:rPr>
      </w:pPr>
      <w:r>
        <w:rPr>
          <w:b/>
          <w:bCs/>
        </w:rPr>
        <w:t>Insurance U</w:t>
      </w:r>
      <w:r w:rsidRPr="595666BA">
        <w:rPr>
          <w:b/>
          <w:bCs/>
        </w:rPr>
        <w:t>nderpayments</w:t>
      </w:r>
      <w:r>
        <w:rPr>
          <w:b/>
          <w:bCs/>
        </w:rPr>
        <w:t xml:space="preserve"> </w:t>
      </w:r>
      <w:r w:rsidR="00251C04">
        <w:rPr>
          <w:b/>
          <w:bCs/>
        </w:rPr>
        <w:t>–</w:t>
      </w:r>
      <w:r w:rsidRPr="595666BA">
        <w:rPr>
          <w:b/>
          <w:bCs/>
        </w:rPr>
        <w:t xml:space="preserve"> </w:t>
      </w:r>
      <w:r w:rsidR="00251C04">
        <w:t>A procedure is considered</w:t>
      </w:r>
      <w:r w:rsidRPr="595666BA">
        <w:t xml:space="preserve"> “underpa</w:t>
      </w:r>
      <w:r w:rsidR="00251C04">
        <w:t>id</w:t>
      </w:r>
      <w:r w:rsidRPr="595666BA">
        <w:t xml:space="preserve">” </w:t>
      </w:r>
      <w:r w:rsidR="00251C04">
        <w:t>if</w:t>
      </w:r>
      <w:r w:rsidRPr="595666BA">
        <w:t xml:space="preserve"> the amount paid by the insurance payment is less than the estimated amount for an individual line item. When </w:t>
      </w:r>
      <w:r w:rsidR="00251C04">
        <w:t xml:space="preserve">you are </w:t>
      </w:r>
      <w:r w:rsidRPr="595666BA">
        <w:t xml:space="preserve">posting a batch insurance payment, the </w:t>
      </w:r>
      <w:r w:rsidR="00251C04" w:rsidRPr="00251C04">
        <w:rPr>
          <w:b/>
          <w:bCs/>
        </w:rPr>
        <w:t>Procedures Undercharged or Overpaid</w:t>
      </w:r>
      <w:r w:rsidR="00251C04">
        <w:t xml:space="preserve"> dialog box appears so you can</w:t>
      </w:r>
      <w:r>
        <w:t xml:space="preserve"> ad</w:t>
      </w:r>
      <w:r w:rsidRPr="595666BA">
        <w:t>dress the underpayment.</w:t>
      </w:r>
    </w:p>
    <w:p w14:paraId="5E0B9F74" w14:textId="53762A01" w:rsidR="007264E7" w:rsidRPr="007264E7" w:rsidRDefault="00840180" w:rsidP="004267C0">
      <w:pPr>
        <w:pStyle w:val="Heading2"/>
      </w:pPr>
      <w:bookmarkStart w:id="190" w:name="_Toc135416726"/>
      <w:bookmarkStart w:id="191" w:name="_Toc166834373"/>
      <w:r>
        <w:rPr>
          <w:noProof/>
        </w:rPr>
        <w:drawing>
          <wp:anchor distT="0" distB="0" distL="114300" distR="114300" simplePos="0" relativeHeight="252061700" behindDoc="0" locked="0" layoutInCell="1" allowOverlap="1" wp14:anchorId="5C8DB3FF" wp14:editId="77364AD1">
            <wp:simplePos x="0" y="0"/>
            <wp:positionH relativeFrom="column">
              <wp:posOffset>5486400</wp:posOffset>
            </wp:positionH>
            <wp:positionV relativeFrom="paragraph">
              <wp:posOffset>434975</wp:posOffset>
            </wp:positionV>
            <wp:extent cx="365760" cy="365760"/>
            <wp:effectExtent l="0" t="0" r="0" b="0"/>
            <wp:wrapTight wrapText="bothSides">
              <wp:wrapPolygon edited="0">
                <wp:start x="0" y="0"/>
                <wp:lineTo x="0" y="20250"/>
                <wp:lineTo x="20250" y="20250"/>
                <wp:lineTo x="20250" y="0"/>
                <wp:lineTo x="0" y="0"/>
              </wp:wrapPolygon>
            </wp:wrapTight>
            <wp:docPr id="136917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4251" name=""/>
                    <pic:cNvPicPr/>
                  </pic:nvPicPr>
                  <pic:blipFill>
                    <a:blip r:embed="rId62"/>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52099B">
        <w:rPr>
          <w:noProof/>
        </w:rPr>
        <w:drawing>
          <wp:anchor distT="0" distB="0" distL="0" distR="91440" simplePos="0" relativeHeight="251813892" behindDoc="1" locked="0" layoutInCell="1" allowOverlap="1" wp14:anchorId="0A8CFF44" wp14:editId="084D5D09">
            <wp:simplePos x="0" y="0"/>
            <wp:positionH relativeFrom="column">
              <wp:posOffset>-457200</wp:posOffset>
            </wp:positionH>
            <wp:positionV relativeFrom="paragraph">
              <wp:posOffset>638175</wp:posOffset>
            </wp:positionV>
            <wp:extent cx="365760" cy="484505"/>
            <wp:effectExtent l="0" t="0" r="0" b="0"/>
            <wp:wrapTight wrapText="right">
              <wp:wrapPolygon edited="0">
                <wp:start x="0" y="0"/>
                <wp:lineTo x="0" y="20383"/>
                <wp:lineTo x="20250" y="20383"/>
                <wp:lineTo x="20250" y="0"/>
                <wp:lineTo x="0" y="0"/>
              </wp:wrapPolygon>
            </wp:wrapTight>
            <wp:docPr id="905580730"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407AF4">
        <w:t xml:space="preserve">Posting </w:t>
      </w:r>
      <w:r w:rsidR="00B3072B" w:rsidRPr="46812195">
        <w:t>P</w:t>
      </w:r>
      <w:bookmarkEnd w:id="190"/>
      <w:r w:rsidR="00407AF4">
        <w:t>ayments</w:t>
      </w:r>
      <w:bookmarkEnd w:id="191"/>
    </w:p>
    <w:p w14:paraId="4B3FCDBE" w14:textId="3E9ACB4D" w:rsidR="00B3072B" w:rsidRDefault="00251C04" w:rsidP="007264E7">
      <w:pPr>
        <w:pStyle w:val="BodyText"/>
      </w:pPr>
      <w:r>
        <w:t>In Dentrix Enterprise, you can m</w:t>
      </w:r>
      <w:r w:rsidR="00B3072B">
        <w:t>anage patient payment allocation</w:t>
      </w:r>
      <w:r>
        <w:t>s</w:t>
      </w:r>
      <w:r w:rsidR="00B3072B">
        <w:t xml:space="preserve"> and adjustments</w:t>
      </w:r>
      <w:r>
        <w:t>.</w:t>
      </w:r>
    </w:p>
    <w:p w14:paraId="69C4D321" w14:textId="4A64092E" w:rsidR="00B3072B" w:rsidRPr="00AB2B67" w:rsidRDefault="00B3072B" w:rsidP="00AB2B67">
      <w:pPr>
        <w:pStyle w:val="BodyText"/>
      </w:pPr>
      <w:r w:rsidRPr="00454D84">
        <w:rPr>
          <w:color w:val="00B050"/>
        </w:rPr>
        <w:t>&lt;&lt;Insert Patient Payment, Allocations and Credits decision support/SOP/guidance here&gt;&gt;</w:t>
      </w:r>
    </w:p>
    <w:p w14:paraId="5B11F9F7" w14:textId="05A59624" w:rsidR="007264E7" w:rsidRPr="007264E7" w:rsidRDefault="00B3072B" w:rsidP="00D42C5A">
      <w:pPr>
        <w:pStyle w:val="Heading3"/>
      </w:pPr>
      <w:bookmarkStart w:id="192" w:name="_Toc135416727"/>
      <w:bookmarkStart w:id="193" w:name="_Toc166834374"/>
      <w:r>
        <w:t>Patient Payments</w:t>
      </w:r>
      <w:bookmarkEnd w:id="192"/>
      <w:bookmarkEnd w:id="193"/>
    </w:p>
    <w:p w14:paraId="3EE4826A" w14:textId="7B2B35D8" w:rsidR="00B3072B" w:rsidRDefault="00B3072B" w:rsidP="007264E7">
      <w:pPr>
        <w:pStyle w:val="BodyText"/>
        <w:widowControl w:val="0"/>
        <w:autoSpaceDE w:val="0"/>
        <w:autoSpaceDN w:val="0"/>
        <w:spacing w:before="22" w:after="240"/>
        <w:rPr>
          <w:b/>
          <w:bCs/>
          <w:color w:val="000000" w:themeColor="text1"/>
        </w:rPr>
      </w:pPr>
      <w:r w:rsidRPr="2B4022DB">
        <w:t xml:space="preserve">Even if you apply a payment to charges for a family member other than the guarantor, all patient payments are classified as guarantor payments. Guarantor payments always appear in the ledger view, so you can easily see when the last time a payment was made to the account. </w:t>
      </w:r>
    </w:p>
    <w:p w14:paraId="1E45602C" w14:textId="0AB414EA" w:rsidR="00AB2B67" w:rsidRDefault="00B3072B" w:rsidP="00E92EA5">
      <w:pPr>
        <w:pStyle w:val="Heading4"/>
      </w:pPr>
      <w:r>
        <w:t>Payment T</w:t>
      </w:r>
      <w:r w:rsidRPr="2B4022DB">
        <w:t>ypes</w:t>
      </w:r>
    </w:p>
    <w:p w14:paraId="5F6BE5C9" w14:textId="04D22B30" w:rsidR="00B3072B" w:rsidRDefault="00B3072B" w:rsidP="00AB2B67">
      <w:pPr>
        <w:pStyle w:val="BodyText"/>
        <w:rPr>
          <w:b/>
          <w:bCs/>
          <w:color w:val="000000" w:themeColor="text1"/>
        </w:rPr>
      </w:pPr>
      <w:r w:rsidRPr="2B4022DB">
        <w:t xml:space="preserve">There are two general categories in the system for payments: Insurance payments and guarantor payments. Payments </w:t>
      </w:r>
      <w:r w:rsidR="00251C04">
        <w:t xml:space="preserve">that are </w:t>
      </w:r>
      <w:r w:rsidRPr="2B4022DB">
        <w:t xml:space="preserve">attached to an insurance claim generated in Dentrix Enterprise are categorized as insurance payments. Payments </w:t>
      </w:r>
      <w:r w:rsidR="00251C04">
        <w:t xml:space="preserve">that are </w:t>
      </w:r>
      <w:r w:rsidRPr="2B4022DB">
        <w:t xml:space="preserve">received from patients are categorized as guarantor payments. To assist you in classifying the different types of payments received from patients, </w:t>
      </w:r>
      <w:r w:rsidR="00251C04">
        <w:t xml:space="preserve">you can add and customize </w:t>
      </w:r>
      <w:r w:rsidRPr="2B4022DB">
        <w:t>guarantor payment types</w:t>
      </w:r>
      <w:r w:rsidR="00251C04">
        <w:t xml:space="preserve"> in Practice Definitions</w:t>
      </w:r>
      <w:r w:rsidRPr="2B4022DB">
        <w:t xml:space="preserve">. You can define up to 99 payment types.  </w:t>
      </w:r>
    </w:p>
    <w:p w14:paraId="495B4296" w14:textId="6894C41A" w:rsidR="00B3072B" w:rsidRPr="00AB2B67" w:rsidRDefault="00B3072B" w:rsidP="004F45B6">
      <w:pPr>
        <w:pStyle w:val="BodyText"/>
        <w:numPr>
          <w:ilvl w:val="0"/>
          <w:numId w:val="139"/>
        </w:numPr>
        <w:ind w:left="540"/>
      </w:pPr>
      <w:r w:rsidRPr="2B4022DB">
        <w:t>Spelling</w:t>
      </w:r>
      <w:r w:rsidRPr="00AB2B67">
        <w:t xml:space="preserve"> and grammar are important </w:t>
      </w:r>
      <w:r w:rsidR="00251C04">
        <w:t>for</w:t>
      </w:r>
      <w:r w:rsidRPr="00AB2B67">
        <w:t xml:space="preserve"> payment types. Be sure to make payment types understandable and professional as </w:t>
      </w:r>
      <w:r w:rsidR="00251C04">
        <w:t>the description of a payment appears</w:t>
      </w:r>
      <w:r w:rsidRPr="00AB2B67">
        <w:t xml:space="preserve"> on billing and walkout statements.</w:t>
      </w:r>
    </w:p>
    <w:p w14:paraId="4D1643EA" w14:textId="4981AC90" w:rsidR="00B3072B" w:rsidRPr="00AB2B67" w:rsidRDefault="00B3072B" w:rsidP="004F45B6">
      <w:pPr>
        <w:pStyle w:val="BodyText"/>
        <w:numPr>
          <w:ilvl w:val="0"/>
          <w:numId w:val="139"/>
        </w:numPr>
        <w:ind w:left="540"/>
      </w:pPr>
      <w:r w:rsidRPr="00AB2B67">
        <w:t xml:space="preserve">If you want to use a payment type for processing credit cards through Axia, select the </w:t>
      </w:r>
      <w:r w:rsidRPr="00251C04">
        <w:rPr>
          <w:b/>
          <w:bCs/>
        </w:rPr>
        <w:t>Associate with Axia CC Processing</w:t>
      </w:r>
      <w:r w:rsidRPr="00AB2B67">
        <w:t xml:space="preserve"> checkbox. </w:t>
      </w:r>
      <w:r w:rsidR="00251C04">
        <w:t>Also</w:t>
      </w:r>
      <w:r w:rsidRPr="00AB2B67">
        <w:t xml:space="preserve">, if you want a copy of the details from a receipt to be included in the notes of the payment, select the </w:t>
      </w:r>
      <w:r w:rsidRPr="00251C04">
        <w:rPr>
          <w:b/>
          <w:bCs/>
        </w:rPr>
        <w:t>Copy receipt details to the notes</w:t>
      </w:r>
      <w:r w:rsidRPr="00AB2B67">
        <w:t xml:space="preserve"> checkbox. </w:t>
      </w:r>
    </w:p>
    <w:p w14:paraId="6A385686" w14:textId="3717C66B" w:rsidR="00B3072B" w:rsidRDefault="00251C04" w:rsidP="004F45B6">
      <w:pPr>
        <w:pStyle w:val="BodyText"/>
        <w:numPr>
          <w:ilvl w:val="0"/>
          <w:numId w:val="139"/>
        </w:numPr>
        <w:ind w:left="540"/>
        <w:rPr>
          <w:b/>
          <w:bCs/>
          <w:color w:val="000000" w:themeColor="text1"/>
        </w:rPr>
      </w:pPr>
      <w:r>
        <w:t xml:space="preserve">You cannot delete a </w:t>
      </w:r>
      <w:r w:rsidR="00B3072B" w:rsidRPr="00AB2B67">
        <w:t xml:space="preserve">payment type </w:t>
      </w:r>
      <w:r>
        <w:t>definition</w:t>
      </w:r>
      <w:r w:rsidR="00B3072B" w:rsidRPr="00AB2B67">
        <w:t xml:space="preserve"> if </w:t>
      </w:r>
      <w:r>
        <w:t>the payment type</w:t>
      </w:r>
      <w:r w:rsidR="00B3072B" w:rsidRPr="00AB2B67">
        <w:t xml:space="preserve"> </w:t>
      </w:r>
      <w:r>
        <w:t>is</w:t>
      </w:r>
      <w:r w:rsidR="00B3072B" w:rsidRPr="2B4022DB">
        <w:t xml:space="preserve"> associated with a payment that has been posted to any patient’s ledger.  </w:t>
      </w:r>
    </w:p>
    <w:p w14:paraId="1297524C" w14:textId="7A511574" w:rsidR="00AB2B67" w:rsidRDefault="00B3072B" w:rsidP="00253844">
      <w:pPr>
        <w:pStyle w:val="Heading4"/>
      </w:pPr>
      <w:r w:rsidRPr="2B4022DB">
        <w:lastRenderedPageBreak/>
        <w:t>Family /</w:t>
      </w:r>
      <w:r>
        <w:t xml:space="preserve"> </w:t>
      </w:r>
      <w:r w:rsidRPr="2B4022DB">
        <w:t>Patient</w:t>
      </w:r>
    </w:p>
    <w:p w14:paraId="066E9F14" w14:textId="6D850343" w:rsidR="00B3072B" w:rsidRDefault="00E048C2" w:rsidP="00253844">
      <w:pPr>
        <w:pStyle w:val="BodyText"/>
        <w:keepLines/>
        <w:rPr>
          <w:b/>
          <w:bCs/>
          <w:color w:val="000000" w:themeColor="text1"/>
        </w:rPr>
      </w:pPr>
      <w:r>
        <w:t>For payments, t</w:t>
      </w:r>
      <w:r w:rsidR="00251C04">
        <w:t xml:space="preserve">he </w:t>
      </w:r>
      <w:r w:rsidR="00B3072B" w:rsidRPr="2B4022DB">
        <w:t>default</w:t>
      </w:r>
      <w:r w:rsidR="00251C04">
        <w:t xml:space="preserve"> selection for</w:t>
      </w:r>
      <w:r w:rsidR="00B3072B" w:rsidRPr="2B4022DB">
        <w:t xml:space="preserve"> </w:t>
      </w:r>
      <w:r w:rsidR="00B3072B" w:rsidRPr="2B4022DB">
        <w:rPr>
          <w:b/>
          <w:bCs/>
        </w:rPr>
        <w:t xml:space="preserve">Apply to charges for </w:t>
      </w:r>
      <w:r w:rsidR="00B3072B" w:rsidRPr="2B4022DB">
        <w:t xml:space="preserve">can be set to </w:t>
      </w:r>
      <w:r>
        <w:t>the f</w:t>
      </w:r>
      <w:r w:rsidR="00B3072B" w:rsidRPr="2B4022DB">
        <w:t>amily or who</w:t>
      </w:r>
      <w:r w:rsidR="00B3072B">
        <w:t>m</w:t>
      </w:r>
      <w:r w:rsidR="00B3072B" w:rsidRPr="2B4022DB">
        <w:t xml:space="preserve">ever is currently being viewed in </w:t>
      </w:r>
      <w:r>
        <w:t>L</w:t>
      </w:r>
      <w:r w:rsidR="00B3072B" w:rsidRPr="2B4022DB">
        <w:t xml:space="preserve">edger. </w:t>
      </w:r>
      <w:r>
        <w:t>We</w:t>
      </w:r>
      <w:r w:rsidR="00B3072B" w:rsidRPr="2B4022DB">
        <w:t xml:space="preserve"> recommend</w:t>
      </w:r>
      <w:r>
        <w:t xml:space="preserve"> that the </w:t>
      </w:r>
      <w:r w:rsidR="00B3072B" w:rsidRPr="2B4022DB">
        <w:t xml:space="preserve">individual ledger view is used for easily maintaining individual patient balances within the families. </w:t>
      </w:r>
      <w:r>
        <w:t>Allocating the payment to the</w:t>
      </w:r>
      <w:r w:rsidR="00B3072B" w:rsidRPr="2B4022DB">
        <w:t xml:space="preserve"> family</w:t>
      </w:r>
      <w:r>
        <w:t>,</w:t>
      </w:r>
      <w:r w:rsidR="00B3072B" w:rsidRPr="2B4022DB">
        <w:t xml:space="preserve"> allocate</w:t>
      </w:r>
      <w:r>
        <w:t>s</w:t>
      </w:r>
      <w:r w:rsidR="00B3072B" w:rsidRPr="2B4022DB">
        <w:t xml:space="preserve"> the payment using FIFO to all balances for the family</w:t>
      </w:r>
      <w:r>
        <w:t>; i</w:t>
      </w:r>
      <w:r w:rsidR="00B3072B" w:rsidRPr="2B4022DB">
        <w:t xml:space="preserve">f the patient </w:t>
      </w:r>
      <w:r>
        <w:t>should</w:t>
      </w:r>
      <w:r w:rsidR="00B3072B" w:rsidRPr="2B4022DB">
        <w:t xml:space="preserve"> pay for only th</w:t>
      </w:r>
      <w:r>
        <w:t>at</w:t>
      </w:r>
      <w:r w:rsidR="00B3072B" w:rsidRPr="2B4022DB">
        <w:t xml:space="preserve"> individual’s balance</w:t>
      </w:r>
      <w:r>
        <w:t>,</w:t>
      </w:r>
      <w:r w:rsidR="00B3072B" w:rsidRPr="2B4022DB">
        <w:t xml:space="preserve"> </w:t>
      </w:r>
      <w:r>
        <w:t>using the family option</w:t>
      </w:r>
      <w:r w:rsidR="00B3072B" w:rsidRPr="2B4022DB">
        <w:t xml:space="preserve"> could result in the need for manually adjusting allocations.</w:t>
      </w:r>
      <w:r>
        <w:t xml:space="preserve"> When you are entering payments, you can select whether</w:t>
      </w:r>
      <w:r w:rsidR="00B3072B" w:rsidRPr="2B4022DB">
        <w:t xml:space="preserve"> to apply payments to the family or other individual family members as needed.</w:t>
      </w:r>
    </w:p>
    <w:p w14:paraId="6D123B37" w14:textId="001687EB" w:rsidR="00AB2B67" w:rsidRDefault="00B3072B" w:rsidP="00E92EA5">
      <w:pPr>
        <w:pStyle w:val="Heading4"/>
      </w:pPr>
      <w:r w:rsidRPr="2B4022DB">
        <w:t>Integrated</w:t>
      </w:r>
      <w:r>
        <w:t xml:space="preserve"> </w:t>
      </w:r>
      <w:r w:rsidRPr="2B4022DB">
        <w:t>/</w:t>
      </w:r>
      <w:r>
        <w:t xml:space="preserve"> Automated</w:t>
      </w:r>
    </w:p>
    <w:p w14:paraId="5CD984CD" w14:textId="4F56B5CE" w:rsidR="00B3072B" w:rsidRDefault="00B3072B" w:rsidP="000D7FFC">
      <w:pPr>
        <w:pStyle w:val="BodyText"/>
        <w:keepNext/>
        <w:keepLines/>
        <w:rPr>
          <w:b/>
          <w:bCs/>
          <w:color w:val="000000" w:themeColor="text1"/>
        </w:rPr>
      </w:pPr>
      <w:r w:rsidRPr="2B4022DB">
        <w:t xml:space="preserve">If the selected payment type has a </w:t>
      </w:r>
      <w:r w:rsidR="00E048C2">
        <w:t>“</w:t>
      </w:r>
      <w:r w:rsidRPr="2B4022DB">
        <w:t>[cc]</w:t>
      </w:r>
      <w:r w:rsidR="00E048C2">
        <w:t>”</w:t>
      </w:r>
      <w:r w:rsidRPr="2B4022DB">
        <w:t xml:space="preserve"> at the end of the name, you can use Axia to process a credit card</w:t>
      </w:r>
      <w:r w:rsidR="00E048C2">
        <w:t>. S</w:t>
      </w:r>
      <w:r w:rsidRPr="2B4022DB">
        <w:t>elect the credit card terminal that you want to use for this payment (the selection will be saved f</w:t>
      </w:r>
      <w:r>
        <w:t>or the user account</w:t>
      </w:r>
      <w:r w:rsidRPr="2B4022DB">
        <w:t xml:space="preserve"> currently logg</w:t>
      </w:r>
      <w:r>
        <w:t xml:space="preserve">ed </w:t>
      </w:r>
      <w:r w:rsidR="00E048C2">
        <w:t>i</w:t>
      </w:r>
      <w:r>
        <w:t>n to Dentrix Enterprise</w:t>
      </w:r>
      <w:r w:rsidRPr="2B4022DB">
        <w:t xml:space="preserve">). </w:t>
      </w:r>
    </w:p>
    <w:p w14:paraId="1FC891B4" w14:textId="510AB1A7" w:rsidR="00B3072B" w:rsidRDefault="00B3072B" w:rsidP="000D7FFC">
      <w:pPr>
        <w:pStyle w:val="BodyText"/>
        <w:keepNext/>
        <w:keepLines/>
        <w:rPr>
          <w:b/>
          <w:bCs/>
          <w:color w:val="000000" w:themeColor="text1"/>
        </w:rPr>
      </w:pPr>
      <w:r w:rsidRPr="2B4022DB">
        <w:t xml:space="preserve">You can refund a patient’s credit card for the amount of payment that was posted in </w:t>
      </w:r>
      <w:r w:rsidR="00E048C2">
        <w:t>L</w:t>
      </w:r>
      <w:r w:rsidRPr="2B4022DB">
        <w:t xml:space="preserve">edger if the payment is associated with an Axia credit card transaction. If the transaction has not been settled yet by Axia (no money has been transferred yet; this usually happens at the end of the business day), the credit card transaction will not be handled as a refund but will be voided.  </w:t>
      </w:r>
    </w:p>
    <w:p w14:paraId="6C8A6913" w14:textId="5A7D7BBD" w:rsidR="00B3072B" w:rsidRPr="00E048C2" w:rsidRDefault="005D3903" w:rsidP="00AB2B67">
      <w:pPr>
        <w:pStyle w:val="BodyText"/>
        <w:rPr>
          <w:i/>
          <w:iCs/>
          <w:u w:val="single"/>
        </w:rPr>
      </w:pPr>
      <w:r>
        <w:rPr>
          <w:noProof/>
        </w:rPr>
        <w:drawing>
          <wp:anchor distT="0" distB="0" distL="0" distR="91440" simplePos="0" relativeHeight="251815940" behindDoc="1" locked="0" layoutInCell="1" allowOverlap="1" wp14:anchorId="1B00DF53" wp14:editId="5A758119">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444840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E048C2">
        <w:rPr>
          <w:b/>
          <w:bCs/>
          <w:i/>
          <w:iCs/>
        </w:rPr>
        <w:t>Workflow Insight</w:t>
      </w:r>
      <w:r w:rsidR="00B3072B" w:rsidRPr="00E048C2">
        <w:rPr>
          <w:i/>
          <w:iCs/>
        </w:rPr>
        <w:t>: When a patient makes a payment, you can credit the payment to individual patient charges or to the entire family balance (oldest balance first). Also, you can post pre-payments and suspended payments that are not immediately allocated to a charge.</w:t>
      </w:r>
    </w:p>
    <w:p w14:paraId="363F9734" w14:textId="73BF263F" w:rsidR="007264E7" w:rsidRPr="007264E7" w:rsidRDefault="00B3072B" w:rsidP="00D42C5A">
      <w:pPr>
        <w:pStyle w:val="Heading3"/>
      </w:pPr>
      <w:bookmarkStart w:id="194" w:name="_Toc135416728"/>
      <w:bookmarkStart w:id="195" w:name="_Toc166834375"/>
      <w:r w:rsidRPr="2B4022DB">
        <w:t>Adjust</w:t>
      </w:r>
      <w:bookmarkEnd w:id="194"/>
      <w:r w:rsidR="00E048C2">
        <w:t>ments</w:t>
      </w:r>
      <w:bookmarkEnd w:id="195"/>
    </w:p>
    <w:p w14:paraId="14EDF112" w14:textId="3C7D840C" w:rsidR="00B3072B" w:rsidRPr="00A07EE9" w:rsidRDefault="00B3072B" w:rsidP="007264E7">
      <w:pPr>
        <w:pStyle w:val="BodyText"/>
        <w:rPr>
          <w:b/>
          <w:bCs/>
          <w:color w:val="000000" w:themeColor="text1"/>
        </w:rPr>
      </w:pPr>
      <w:r w:rsidRPr="2B4022DB">
        <w:t xml:space="preserve">Dentrix Enterprise aligns itself with generally accepted accounting principles (GAAP), which recommends that you enter adjustments to correct posting errors, record refunds, and offer discounts.  Posting adjustments instead of just editing procedure amounts will allow you to accurately track how those adjustments affect revenue.  </w:t>
      </w:r>
    </w:p>
    <w:p w14:paraId="1632F56E" w14:textId="7A55BF58" w:rsidR="00AB2B67" w:rsidRDefault="00B3072B" w:rsidP="00E92EA5">
      <w:pPr>
        <w:pStyle w:val="Heading4"/>
      </w:pPr>
      <w:r w:rsidRPr="2B4022DB">
        <w:t xml:space="preserve">Production </w:t>
      </w:r>
      <w:r w:rsidR="00E048C2">
        <w:t>Versus</w:t>
      </w:r>
      <w:r w:rsidRPr="2B4022DB">
        <w:t xml:space="preserve"> Collection</w:t>
      </w:r>
    </w:p>
    <w:p w14:paraId="0745FA10" w14:textId="1CE757BB" w:rsidR="00B3072B" w:rsidRPr="00A07EE9" w:rsidRDefault="00B3072B" w:rsidP="00AB2B67">
      <w:pPr>
        <w:pStyle w:val="BodyText"/>
        <w:rPr>
          <w:b/>
          <w:bCs/>
          <w:color w:val="000000" w:themeColor="text1"/>
        </w:rPr>
      </w:pPr>
      <w:r w:rsidRPr="2B4022DB">
        <w:t>For reporting purposes, adjustments can be assigned as either Production adjustments or Collection adjustments. By default, all debit adjustments are in the production adjustments list</w:t>
      </w:r>
      <w:r w:rsidR="00E048C2">
        <w:t>,</w:t>
      </w:r>
      <w:r w:rsidRPr="2B4022DB">
        <w:t xml:space="preserve"> and all credit adjustments are in the collection adjustments list.  </w:t>
      </w:r>
    </w:p>
    <w:p w14:paraId="2296E5F8" w14:textId="1A608D78" w:rsidR="00B3072B" w:rsidRDefault="00B3072B" w:rsidP="00AB2B67">
      <w:pPr>
        <w:pStyle w:val="BodyText"/>
        <w:rPr>
          <w:b/>
          <w:bCs/>
          <w:color w:val="000000" w:themeColor="text1"/>
        </w:rPr>
      </w:pPr>
      <w:r w:rsidRPr="2B4022DB">
        <w:t>When</w:t>
      </w:r>
      <w:r w:rsidR="00E048C2">
        <w:t xml:space="preserve"> you are</w:t>
      </w:r>
      <w:r w:rsidRPr="2B4022DB">
        <w:t xml:space="preserve"> adding adjustments to the system, it is helpful to include some sort of identifier in the nam</w:t>
      </w:r>
      <w:r w:rsidR="00E048C2">
        <w:t>e</w:t>
      </w:r>
      <w:r w:rsidRPr="2B4022DB">
        <w:t xml:space="preserve"> of the adjustments to assist with selecting the correct type of adjustment for adjusting production or collections.</w:t>
      </w:r>
    </w:p>
    <w:p w14:paraId="120130BD" w14:textId="7E373CD5" w:rsidR="00B3072B" w:rsidRPr="00A07EE9" w:rsidRDefault="00B3072B" w:rsidP="00E92EA5">
      <w:pPr>
        <w:pStyle w:val="Heading4"/>
      </w:pPr>
      <w:r>
        <w:t>A</w:t>
      </w:r>
      <w:r w:rsidRPr="2B4022DB">
        <w:t>djustment</w:t>
      </w:r>
      <w:r w:rsidR="00E048C2">
        <w:t xml:space="preserve"> Type</w:t>
      </w:r>
      <w:r w:rsidRPr="2B4022DB">
        <w:t>s</w:t>
      </w:r>
    </w:p>
    <w:p w14:paraId="66C565A6" w14:textId="5C2E540A" w:rsidR="00B3072B" w:rsidRPr="00E048C2" w:rsidRDefault="00B3072B" w:rsidP="004F45B6">
      <w:pPr>
        <w:pStyle w:val="BodyText"/>
        <w:numPr>
          <w:ilvl w:val="0"/>
          <w:numId w:val="141"/>
        </w:numPr>
        <w:ind w:left="540"/>
        <w:rPr>
          <w:b/>
          <w:bCs/>
          <w:color w:val="000000" w:themeColor="text1"/>
        </w:rPr>
      </w:pPr>
      <w:r w:rsidRPr="00E048C2">
        <w:rPr>
          <w:b/>
          <w:bCs/>
        </w:rPr>
        <w:t xml:space="preserve">Credit </w:t>
      </w:r>
      <w:r w:rsidR="00E048C2">
        <w:rPr>
          <w:b/>
          <w:bCs/>
        </w:rPr>
        <w:t>a</w:t>
      </w:r>
      <w:r w:rsidRPr="00E048C2">
        <w:rPr>
          <w:b/>
          <w:bCs/>
        </w:rPr>
        <w:t>djustments</w:t>
      </w:r>
      <w:r>
        <w:t xml:space="preserve"> </w:t>
      </w:r>
      <w:r w:rsidR="00E048C2">
        <w:t>–</w:t>
      </w:r>
      <w:r w:rsidRPr="2B4022DB">
        <w:t xml:space="preserve"> When you enter an amount, </w:t>
      </w:r>
      <w:r>
        <w:t xml:space="preserve">Dentrix </w:t>
      </w:r>
      <w:r w:rsidRPr="2B4022DB">
        <w:t xml:space="preserve">Enterprise automatically allocates the adjustment to the oldest provider balances, according to the charges listed. The amount applied appears in the </w:t>
      </w:r>
      <w:r w:rsidRPr="00E048C2">
        <w:rPr>
          <w:b/>
        </w:rPr>
        <w:t>Applied</w:t>
      </w:r>
      <w:r w:rsidRPr="2B4022DB">
        <w:t xml:space="preserve"> column.</w:t>
      </w:r>
      <w:r w:rsidR="00E048C2">
        <w:t xml:space="preserve"> </w:t>
      </w:r>
      <w:r w:rsidRPr="2B4022DB">
        <w:t>If all or a portion of the adjustment has not been applied to any charges, a message appears and asks if you want to suspend the amount</w:t>
      </w:r>
      <w:r w:rsidR="00E048C2">
        <w:t>; t</w:t>
      </w:r>
      <w:r w:rsidRPr="2B4022DB">
        <w:t xml:space="preserve">he unapplied amount will be suspended but can be applied at a later time.  </w:t>
      </w:r>
    </w:p>
    <w:p w14:paraId="3DD970EA" w14:textId="120BA84E" w:rsidR="00B3072B" w:rsidRPr="00D74F52" w:rsidRDefault="00B3072B" w:rsidP="004F45B6">
      <w:pPr>
        <w:pStyle w:val="BodyText"/>
        <w:numPr>
          <w:ilvl w:val="0"/>
          <w:numId w:val="141"/>
        </w:numPr>
        <w:ind w:left="540"/>
        <w:rPr>
          <w:b/>
          <w:bCs/>
          <w:color w:val="000000" w:themeColor="text1"/>
        </w:rPr>
      </w:pPr>
      <w:r w:rsidRPr="00AB2B67">
        <w:rPr>
          <w:b/>
          <w:bCs/>
        </w:rPr>
        <w:t xml:space="preserve">Charge </w:t>
      </w:r>
      <w:r w:rsidR="00E048C2">
        <w:rPr>
          <w:b/>
          <w:bCs/>
        </w:rPr>
        <w:t>a</w:t>
      </w:r>
      <w:r w:rsidRPr="00AB2B67">
        <w:rPr>
          <w:b/>
          <w:bCs/>
        </w:rPr>
        <w:t>djustments</w:t>
      </w:r>
      <w:r>
        <w:t xml:space="preserve"> </w:t>
      </w:r>
      <w:r w:rsidR="00E048C2">
        <w:t>–</w:t>
      </w:r>
      <w:r w:rsidRPr="2B4022DB">
        <w:t xml:space="preserve"> </w:t>
      </w:r>
      <w:r w:rsidR="00E048C2">
        <w:t>Dentrix Enterprise</w:t>
      </w:r>
      <w:r w:rsidRPr="2B4022DB">
        <w:t xml:space="preserve"> assigns the selected patient’s primary provider as the provider for the adjustment. </w:t>
      </w:r>
      <w:r w:rsidR="00E048C2">
        <w:t>When you are entering</w:t>
      </w:r>
      <w:r w:rsidR="005D72E9">
        <w:t xml:space="preserve"> the adjustment, y</w:t>
      </w:r>
      <w:r w:rsidR="00E048C2">
        <w:t>ou can change the provider</w:t>
      </w:r>
      <w:r w:rsidRPr="2B4022DB">
        <w:t xml:space="preserve"> if necessary. </w:t>
      </w:r>
      <w:r w:rsidR="005D72E9">
        <w:t xml:space="preserve">For </w:t>
      </w:r>
      <w:r w:rsidR="005D72E9" w:rsidRPr="005D72E9">
        <w:rPr>
          <w:b/>
          <w:bCs/>
        </w:rPr>
        <w:t>Apply Charge</w:t>
      </w:r>
      <w:r w:rsidR="005D72E9">
        <w:t>, select whether t</w:t>
      </w:r>
      <w:r w:rsidRPr="2B4022DB">
        <w:t>o apply the charge to the entire family’s balance</w:t>
      </w:r>
      <w:r w:rsidR="005D72E9">
        <w:t xml:space="preserve"> or </w:t>
      </w:r>
      <w:r w:rsidRPr="2B4022DB">
        <w:t xml:space="preserve">to apply the charge to only </w:t>
      </w:r>
      <w:r w:rsidR="005D72E9">
        <w:t xml:space="preserve">the </w:t>
      </w:r>
      <w:r w:rsidRPr="2B4022DB">
        <w:t>balance</w:t>
      </w:r>
      <w:r w:rsidR="005D72E9">
        <w:t xml:space="preserve"> of the patient you specify</w:t>
      </w:r>
      <w:r w:rsidRPr="2B4022DB">
        <w:t xml:space="preserve">.  </w:t>
      </w:r>
    </w:p>
    <w:p w14:paraId="3D48A922" w14:textId="0EC4133F" w:rsidR="007264E7" w:rsidRPr="007264E7" w:rsidRDefault="00B3072B" w:rsidP="00D42C5A">
      <w:pPr>
        <w:pStyle w:val="Heading3"/>
      </w:pPr>
      <w:bookmarkStart w:id="196" w:name="_Toc135416729"/>
      <w:bookmarkStart w:id="197" w:name="_Toc166834376"/>
      <w:r>
        <w:lastRenderedPageBreak/>
        <w:t>Suspended C</w:t>
      </w:r>
      <w:r w:rsidRPr="2B4022DB">
        <w:t>redits</w:t>
      </w:r>
      <w:bookmarkEnd w:id="196"/>
      <w:bookmarkEnd w:id="197"/>
    </w:p>
    <w:p w14:paraId="59CD9227" w14:textId="072AC1A6" w:rsidR="00B3072B" w:rsidRDefault="00B3072B" w:rsidP="000D7FFC">
      <w:pPr>
        <w:pStyle w:val="BodyText"/>
        <w:keepNext/>
        <w:keepLines/>
        <w:rPr>
          <w:b/>
          <w:bCs/>
          <w:color w:val="000000" w:themeColor="text1"/>
        </w:rPr>
      </w:pPr>
      <w:r w:rsidRPr="2B4022DB">
        <w:t xml:space="preserve">Any payments or credits that </w:t>
      </w:r>
      <w:r w:rsidR="005D72E9">
        <w:t>are</w:t>
      </w:r>
      <w:r w:rsidRPr="2B4022DB">
        <w:t xml:space="preserve"> not allocated to a procedure or a debit adjustment </w:t>
      </w:r>
      <w:r w:rsidR="005D72E9">
        <w:t>are</w:t>
      </w:r>
      <w:r w:rsidRPr="2B4022DB">
        <w:t xml:space="preserve"> considered suspended credit</w:t>
      </w:r>
      <w:r w:rsidR="005D72E9">
        <w:t>s</w:t>
      </w:r>
      <w:r w:rsidRPr="2B4022DB">
        <w:t>. This is similar to a “credit balance”</w:t>
      </w:r>
      <w:r w:rsidR="005D72E9">
        <w:t>;</w:t>
      </w:r>
      <w:r>
        <w:t xml:space="preserve"> the difference being that the </w:t>
      </w:r>
      <w:r w:rsidR="005D72E9">
        <w:t>l</w:t>
      </w:r>
      <w:r w:rsidRPr="2B4022DB">
        <w:t>edger can have a balance and a suspended credit, whereas a credit balance is generally an overpayment.</w:t>
      </w:r>
    </w:p>
    <w:p w14:paraId="1BB137A4" w14:textId="69118A10" w:rsidR="00AB2B67" w:rsidRDefault="00B3072B" w:rsidP="00E92EA5">
      <w:pPr>
        <w:pStyle w:val="Heading4"/>
      </w:pPr>
      <w:r w:rsidRPr="2B4022DB">
        <w:t>Patient</w:t>
      </w:r>
    </w:p>
    <w:p w14:paraId="3E6CD782" w14:textId="3B779531" w:rsidR="00B3072B" w:rsidRDefault="00B3072B" w:rsidP="00AB2B67">
      <w:pPr>
        <w:pStyle w:val="BodyText"/>
        <w:rPr>
          <w:b/>
          <w:bCs/>
          <w:color w:val="000000" w:themeColor="text1"/>
        </w:rPr>
      </w:pPr>
      <w:r w:rsidRPr="2B4022DB">
        <w:t xml:space="preserve">If a payment or credit </w:t>
      </w:r>
      <w:r w:rsidR="005D72E9">
        <w:t xml:space="preserve">that is </w:t>
      </w:r>
      <w:r w:rsidRPr="2B4022DB">
        <w:t xml:space="preserve">assigned to an individual patient results in a suspended credit, it is available to </w:t>
      </w:r>
      <w:r w:rsidR="005D72E9">
        <w:t xml:space="preserve">be </w:t>
      </w:r>
      <w:r w:rsidRPr="2B4022DB">
        <w:t>allocate</w:t>
      </w:r>
      <w:r w:rsidR="005D72E9">
        <w:t>d</w:t>
      </w:r>
      <w:r w:rsidRPr="2B4022DB">
        <w:t xml:space="preserve"> to that patient’s balances. To apply a specific patient’s suspended credit to another family member</w:t>
      </w:r>
      <w:r w:rsidR="00CA0DE6" w:rsidRPr="2B4022DB">
        <w:t xml:space="preserve"> with a balance</w:t>
      </w:r>
      <w:r w:rsidR="005D72E9">
        <w:t xml:space="preserve">, in the </w:t>
      </w:r>
      <w:r w:rsidR="005D72E9" w:rsidRPr="2B4022DB">
        <w:rPr>
          <w:b/>
          <w:bCs/>
        </w:rPr>
        <w:t xml:space="preserve">Apply </w:t>
      </w:r>
      <w:r w:rsidR="00CA0DE6">
        <w:rPr>
          <w:b/>
          <w:bCs/>
        </w:rPr>
        <w:t>S</w:t>
      </w:r>
      <w:r w:rsidR="005D72E9" w:rsidRPr="2B4022DB">
        <w:rPr>
          <w:b/>
          <w:bCs/>
        </w:rPr>
        <w:t xml:space="preserve">uspended </w:t>
      </w:r>
      <w:r w:rsidR="00CA0DE6">
        <w:rPr>
          <w:b/>
          <w:bCs/>
        </w:rPr>
        <w:t>C</w:t>
      </w:r>
      <w:r w:rsidR="005D72E9" w:rsidRPr="2B4022DB">
        <w:rPr>
          <w:b/>
          <w:bCs/>
        </w:rPr>
        <w:t>redits</w:t>
      </w:r>
      <w:r w:rsidR="005D72E9" w:rsidRPr="2B4022DB">
        <w:t xml:space="preserve"> </w:t>
      </w:r>
      <w:r w:rsidR="005D72E9">
        <w:t>dialog box</w:t>
      </w:r>
      <w:r w:rsidRPr="2B4022DB">
        <w:t xml:space="preserve"> you can right</w:t>
      </w:r>
      <w:r w:rsidR="005D72E9">
        <w:t>-</w:t>
      </w:r>
      <w:r w:rsidRPr="2B4022DB">
        <w:t xml:space="preserve">click the suspended amount </w:t>
      </w:r>
      <w:r w:rsidR="00CA0DE6">
        <w:t>to</w:t>
      </w:r>
      <w:r w:rsidRPr="2B4022DB">
        <w:t xml:space="preserve"> change it from patient to family.</w:t>
      </w:r>
    </w:p>
    <w:p w14:paraId="13A253A8" w14:textId="1B0C766E" w:rsidR="00AB2B67" w:rsidRDefault="00B3072B" w:rsidP="00E92EA5">
      <w:pPr>
        <w:pStyle w:val="Heading4"/>
      </w:pPr>
      <w:r w:rsidRPr="2B4022DB">
        <w:t>Family</w:t>
      </w:r>
    </w:p>
    <w:p w14:paraId="70945AEF" w14:textId="73446529" w:rsidR="00B3072B" w:rsidRDefault="00B3072B" w:rsidP="00AB2B67">
      <w:pPr>
        <w:pStyle w:val="BodyText"/>
        <w:rPr>
          <w:b/>
          <w:bCs/>
          <w:color w:val="000000" w:themeColor="text1"/>
        </w:rPr>
      </w:pPr>
      <w:r w:rsidRPr="2B4022DB">
        <w:t xml:space="preserve">Payments or credits </w:t>
      </w:r>
      <w:r w:rsidR="0081269D">
        <w:t xml:space="preserve">that are </w:t>
      </w:r>
      <w:r w:rsidRPr="2B4022DB">
        <w:t xml:space="preserve">assigned to family that result in a suspended credit </w:t>
      </w:r>
      <w:r w:rsidR="0081269D">
        <w:t>can</w:t>
      </w:r>
      <w:r w:rsidRPr="2B4022DB">
        <w:t xml:space="preserve"> be </w:t>
      </w:r>
      <w:r w:rsidR="0081269D">
        <w:t>applied</w:t>
      </w:r>
      <w:r w:rsidRPr="2B4022DB">
        <w:t xml:space="preserve"> to any family future balances. If the intent is to suspend the amount for a specific purpose,</w:t>
      </w:r>
      <w:r w:rsidR="0081269D">
        <w:t xml:space="preserve"> you can assign it</w:t>
      </w:r>
      <w:r w:rsidRPr="2B4022DB">
        <w:t xml:space="preserve"> to an individual patient</w:t>
      </w:r>
      <w:r w:rsidR="0081269D">
        <w:t>,</w:t>
      </w:r>
      <w:r w:rsidRPr="2B4022DB">
        <w:t xml:space="preserve"> or </w:t>
      </w:r>
      <w:r w:rsidR="0081269D">
        <w:t xml:space="preserve">you can </w:t>
      </w:r>
      <w:r w:rsidRPr="2B4022DB">
        <w:t>mark</w:t>
      </w:r>
      <w:r w:rsidR="0081269D">
        <w:t xml:space="preserve"> it</w:t>
      </w:r>
      <w:r w:rsidRPr="2B4022DB">
        <w:t xml:space="preserve"> as “do not automatically allocate” </w:t>
      </w:r>
      <w:r w:rsidR="0081269D">
        <w:t>and add</w:t>
      </w:r>
      <w:r w:rsidRPr="2B4022DB">
        <w:t xml:space="preserve"> a note to </w:t>
      </w:r>
      <w:r w:rsidR="0081269D">
        <w:t>communicate</w:t>
      </w:r>
      <w:r w:rsidRPr="2B4022DB">
        <w:t xml:space="preserve"> the intended use of the credit.  </w:t>
      </w:r>
    </w:p>
    <w:p w14:paraId="06717252" w14:textId="06C61377" w:rsidR="00B3072B" w:rsidRPr="0081269D" w:rsidRDefault="005D3903" w:rsidP="00AB2B67">
      <w:pPr>
        <w:pStyle w:val="BodyText"/>
        <w:rPr>
          <w:i/>
          <w:iCs/>
        </w:rPr>
      </w:pPr>
      <w:r>
        <w:rPr>
          <w:noProof/>
        </w:rPr>
        <w:drawing>
          <wp:anchor distT="0" distB="0" distL="0" distR="91440" simplePos="0" relativeHeight="251817988" behindDoc="1" locked="0" layoutInCell="1" allowOverlap="1" wp14:anchorId="77E57D0A" wp14:editId="68E6904B">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44099680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81269D">
        <w:rPr>
          <w:b/>
          <w:bCs/>
          <w:i/>
          <w:iCs/>
        </w:rPr>
        <w:t>Workflow Insight</w:t>
      </w:r>
      <w:r w:rsidR="0081269D" w:rsidRPr="0081269D">
        <w:rPr>
          <w:i/>
          <w:iCs/>
        </w:rPr>
        <w:t>:</w:t>
      </w:r>
      <w:r w:rsidR="00B3072B" w:rsidRPr="0081269D">
        <w:rPr>
          <w:i/>
          <w:iCs/>
        </w:rPr>
        <w:t xml:space="preserve"> If the option to apply </w:t>
      </w:r>
      <w:r w:rsidR="0081269D">
        <w:rPr>
          <w:i/>
          <w:iCs/>
        </w:rPr>
        <w:t>a credit to the</w:t>
      </w:r>
      <w:r w:rsidR="00B3072B" w:rsidRPr="0081269D">
        <w:rPr>
          <w:i/>
          <w:iCs/>
        </w:rPr>
        <w:t xml:space="preserve"> family is </w:t>
      </w:r>
      <w:r w:rsidR="0081269D">
        <w:rPr>
          <w:i/>
          <w:iCs/>
        </w:rPr>
        <w:t>not available</w:t>
      </w:r>
      <w:r w:rsidR="00B3072B" w:rsidRPr="0081269D">
        <w:rPr>
          <w:i/>
          <w:iCs/>
        </w:rPr>
        <w:t xml:space="preserve">, </w:t>
      </w:r>
      <w:r w:rsidR="0081269D">
        <w:rPr>
          <w:i/>
          <w:iCs/>
        </w:rPr>
        <w:t>t</w:t>
      </w:r>
      <w:r w:rsidR="00B3072B" w:rsidRPr="0081269D">
        <w:rPr>
          <w:i/>
          <w:iCs/>
        </w:rPr>
        <w:t xml:space="preserve">he credit is from an insurance overpayment and cannot be applied to </w:t>
      </w:r>
      <w:r w:rsidR="0081269D">
        <w:rPr>
          <w:i/>
          <w:iCs/>
        </w:rPr>
        <w:t xml:space="preserve">the </w:t>
      </w:r>
      <w:r w:rsidR="00B3072B" w:rsidRPr="0081269D">
        <w:rPr>
          <w:i/>
          <w:iCs/>
        </w:rPr>
        <w:t>famil</w:t>
      </w:r>
      <w:r w:rsidR="0081269D">
        <w:rPr>
          <w:i/>
          <w:iCs/>
        </w:rPr>
        <w:t>y. To clear the suspended credit, you must post an</w:t>
      </w:r>
      <w:r w:rsidR="00B3072B" w:rsidRPr="0081269D">
        <w:rPr>
          <w:i/>
          <w:iCs/>
        </w:rPr>
        <w:t xml:space="preserve"> adjustment on that patient</w:t>
      </w:r>
      <w:r w:rsidR="0081269D">
        <w:rPr>
          <w:i/>
          <w:iCs/>
        </w:rPr>
        <w:t>’s</w:t>
      </w:r>
      <w:r w:rsidR="00B3072B" w:rsidRPr="0081269D">
        <w:rPr>
          <w:i/>
          <w:iCs/>
        </w:rPr>
        <w:t xml:space="preserve"> ledger.</w:t>
      </w:r>
    </w:p>
    <w:p w14:paraId="4D05B486" w14:textId="48413406" w:rsidR="00AB2B67" w:rsidRDefault="00B3072B" w:rsidP="00E92EA5">
      <w:pPr>
        <w:pStyle w:val="Heading4"/>
      </w:pPr>
      <w:r w:rsidRPr="2B4022DB">
        <w:t>S</w:t>
      </w:r>
      <w:r>
        <w:t xml:space="preserve">uspended </w:t>
      </w:r>
      <w:r w:rsidRPr="2B4022DB">
        <w:t>C</w:t>
      </w:r>
      <w:r>
        <w:t>redits</w:t>
      </w:r>
      <w:r w:rsidRPr="2B4022DB">
        <w:t xml:space="preserve"> Manager</w:t>
      </w:r>
    </w:p>
    <w:p w14:paraId="493B720E" w14:textId="0FA7FA6B" w:rsidR="00B3072B" w:rsidRDefault="00B3072B" w:rsidP="00AB2B67">
      <w:pPr>
        <w:pStyle w:val="BodyText"/>
        <w:rPr>
          <w:b/>
          <w:bCs/>
          <w:color w:val="000000" w:themeColor="text1"/>
        </w:rPr>
      </w:pPr>
      <w:r w:rsidRPr="2B4022DB">
        <w:t xml:space="preserve">From the Suspended Credits Manager in Dentrix Enterprise, you can apply credits to charges without having to </w:t>
      </w:r>
      <w:r w:rsidR="0081269D">
        <w:t>access</w:t>
      </w:r>
      <w:r w:rsidRPr="2B4022DB">
        <w:t xml:space="preserve"> each patient's </w:t>
      </w:r>
      <w:r w:rsidR="0081269D">
        <w:t>l</w:t>
      </w:r>
      <w:r w:rsidRPr="2B4022DB">
        <w:t xml:space="preserve">edger one at a time. The Suspended Credits Manager provides centralized management of suspended credits for all patients’ accounts. </w:t>
      </w:r>
    </w:p>
    <w:p w14:paraId="08935AC1" w14:textId="2D78045C" w:rsidR="00B3072B" w:rsidRPr="0081269D" w:rsidRDefault="005D3903" w:rsidP="00AB2B67">
      <w:pPr>
        <w:pStyle w:val="BodyText"/>
        <w:rPr>
          <w:b/>
          <w:bCs/>
          <w:i/>
          <w:iCs/>
          <w:color w:val="FF0000"/>
        </w:rPr>
      </w:pPr>
      <w:r>
        <w:rPr>
          <w:noProof/>
        </w:rPr>
        <w:drawing>
          <wp:anchor distT="0" distB="0" distL="0" distR="91440" simplePos="0" relativeHeight="251820036" behindDoc="1" locked="0" layoutInCell="1" allowOverlap="1" wp14:anchorId="704C0F9E" wp14:editId="703A82E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835946839"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81269D">
        <w:rPr>
          <w:b/>
          <w:bCs/>
          <w:i/>
          <w:iCs/>
        </w:rPr>
        <w:t>Workflow Insight</w:t>
      </w:r>
      <w:r w:rsidR="00B3072B" w:rsidRPr="0081269D">
        <w:rPr>
          <w:i/>
          <w:iCs/>
        </w:rPr>
        <w:t xml:space="preserve">: If the payment amount exceeds the guarantor estimate, a dialog box will appear.  Select either </w:t>
      </w:r>
      <w:r w:rsidR="00B3072B" w:rsidRPr="0081269D">
        <w:rPr>
          <w:b/>
          <w:bCs/>
          <w:i/>
          <w:iCs/>
        </w:rPr>
        <w:t xml:space="preserve">Do not apply the remaining amount </w:t>
      </w:r>
      <w:r w:rsidR="00B3072B" w:rsidRPr="0081269D">
        <w:rPr>
          <w:i/>
          <w:iCs/>
        </w:rPr>
        <w:t xml:space="preserve">(to only apply an amount equal to the guarantor estimate) or </w:t>
      </w:r>
      <w:r w:rsidR="00B3072B" w:rsidRPr="0081269D">
        <w:rPr>
          <w:b/>
          <w:bCs/>
          <w:i/>
          <w:iCs/>
        </w:rPr>
        <w:t xml:space="preserve">Apply the remaining amount to the balances </w:t>
      </w:r>
      <w:r w:rsidR="00B3072B" w:rsidRPr="0081269D">
        <w:rPr>
          <w:i/>
          <w:iCs/>
        </w:rPr>
        <w:t xml:space="preserve">(to apply the remaining amount but not exceed the total charge, which can be paid by insurance and will result in overpayment), and then click </w:t>
      </w:r>
      <w:r w:rsidR="00B3072B" w:rsidRPr="0081269D">
        <w:rPr>
          <w:b/>
          <w:bCs/>
          <w:i/>
          <w:iCs/>
        </w:rPr>
        <w:t>OK</w:t>
      </w:r>
      <w:r w:rsidR="00B3072B" w:rsidRPr="0081269D">
        <w:rPr>
          <w:i/>
          <w:iCs/>
        </w:rPr>
        <w:t xml:space="preserve">.  </w:t>
      </w:r>
    </w:p>
    <w:p w14:paraId="54FC7D20" w14:textId="2164C603" w:rsidR="00B3072B" w:rsidRPr="0081269D" w:rsidRDefault="005D3903" w:rsidP="00AB2B67">
      <w:pPr>
        <w:pStyle w:val="BodyText"/>
        <w:rPr>
          <w:i/>
          <w:iCs/>
        </w:rPr>
      </w:pPr>
      <w:r>
        <w:rPr>
          <w:noProof/>
        </w:rPr>
        <w:drawing>
          <wp:anchor distT="0" distB="0" distL="0" distR="91440" simplePos="0" relativeHeight="251822084" behindDoc="1" locked="0" layoutInCell="1" allowOverlap="1" wp14:anchorId="320D2B1F" wp14:editId="0FBBF8B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2974064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81269D">
        <w:rPr>
          <w:b/>
          <w:bCs/>
          <w:i/>
          <w:iCs/>
        </w:rPr>
        <w:t>Operations Insight</w:t>
      </w:r>
      <w:r w:rsidR="00B3072B" w:rsidRPr="0081269D">
        <w:rPr>
          <w:i/>
          <w:iCs/>
        </w:rPr>
        <w:t xml:space="preserve">: </w:t>
      </w:r>
      <w:r w:rsidR="0081269D" w:rsidRPr="0081269D">
        <w:rPr>
          <w:i/>
          <w:iCs/>
        </w:rPr>
        <w:t>You can never purposefully suspend a</w:t>
      </w:r>
      <w:r w:rsidR="00B3072B" w:rsidRPr="0081269D">
        <w:rPr>
          <w:i/>
          <w:iCs/>
        </w:rPr>
        <w:t>n insurance payment</w:t>
      </w:r>
      <w:r w:rsidR="0081269D" w:rsidRPr="0081269D">
        <w:rPr>
          <w:i/>
          <w:iCs/>
        </w:rPr>
        <w:t xml:space="preserve">. </w:t>
      </w:r>
      <w:r w:rsidR="00B3072B" w:rsidRPr="0081269D">
        <w:rPr>
          <w:i/>
          <w:iCs/>
        </w:rPr>
        <w:t xml:space="preserve">If an insurance payment for more than the amount due is applied, a pair of offsetting adjustments </w:t>
      </w:r>
      <w:r w:rsidR="0081269D" w:rsidRPr="0081269D">
        <w:rPr>
          <w:i/>
          <w:iCs/>
        </w:rPr>
        <w:t>are</w:t>
      </w:r>
      <w:r w:rsidR="00B3072B" w:rsidRPr="0081269D">
        <w:rPr>
          <w:i/>
          <w:iCs/>
        </w:rPr>
        <w:t xml:space="preserve"> </w:t>
      </w:r>
      <w:r w:rsidR="0081269D" w:rsidRPr="0081269D">
        <w:rPr>
          <w:i/>
          <w:iCs/>
        </w:rPr>
        <w:t>posted</w:t>
      </w:r>
      <w:r w:rsidR="00B3072B" w:rsidRPr="0081269D">
        <w:rPr>
          <w:i/>
          <w:iCs/>
        </w:rPr>
        <w:t xml:space="preserve">, and the overpayment </w:t>
      </w:r>
      <w:r w:rsidR="0081269D" w:rsidRPr="0081269D">
        <w:rPr>
          <w:i/>
          <w:iCs/>
        </w:rPr>
        <w:t>is</w:t>
      </w:r>
      <w:r w:rsidR="00B3072B" w:rsidRPr="0081269D">
        <w:rPr>
          <w:i/>
          <w:iCs/>
        </w:rPr>
        <w:t xml:space="preserve"> applied to the charge (debit) adjustment, leaving the credit adjustment on the account as a suspended credit. It is important that insurance plan setup is accurate to avoid excessive suspended credits </w:t>
      </w:r>
      <w:r w:rsidR="0081269D" w:rsidRPr="0081269D">
        <w:rPr>
          <w:i/>
          <w:iCs/>
        </w:rPr>
        <w:t xml:space="preserve">being </w:t>
      </w:r>
      <w:r w:rsidR="00B3072B" w:rsidRPr="0081269D">
        <w:rPr>
          <w:i/>
          <w:iCs/>
        </w:rPr>
        <w:t>generated from insurance estimate inaccuracy.</w:t>
      </w:r>
    </w:p>
    <w:p w14:paraId="75591E59" w14:textId="4F7C2F35" w:rsidR="00B3072B" w:rsidRPr="00BC0572" w:rsidRDefault="003F0248" w:rsidP="004267C0">
      <w:pPr>
        <w:pStyle w:val="Heading2"/>
      </w:pPr>
      <w:bookmarkStart w:id="198" w:name="_Toc135416730"/>
      <w:bookmarkStart w:id="199" w:name="_Toc166834377"/>
      <w:r>
        <w:rPr>
          <w:noProof/>
        </w:rPr>
        <w:drawing>
          <wp:anchor distT="0" distB="0" distL="114300" distR="114300" simplePos="0" relativeHeight="252063748" behindDoc="0" locked="0" layoutInCell="1" allowOverlap="1" wp14:anchorId="67AC572A" wp14:editId="6A2BDE3E">
            <wp:simplePos x="0" y="0"/>
            <wp:positionH relativeFrom="column">
              <wp:posOffset>5486400</wp:posOffset>
            </wp:positionH>
            <wp:positionV relativeFrom="paragraph">
              <wp:posOffset>308226</wp:posOffset>
            </wp:positionV>
            <wp:extent cx="365760" cy="365760"/>
            <wp:effectExtent l="0" t="0" r="0" b="0"/>
            <wp:wrapTight wrapText="bothSides">
              <wp:wrapPolygon edited="0">
                <wp:start x="0" y="0"/>
                <wp:lineTo x="0" y="20250"/>
                <wp:lineTo x="20250" y="20250"/>
                <wp:lineTo x="20250" y="0"/>
                <wp:lineTo x="0" y="0"/>
              </wp:wrapPolygon>
            </wp:wrapTight>
            <wp:docPr id="682877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7757" name=""/>
                    <pic:cNvPicPr/>
                  </pic:nvPicPr>
                  <pic:blipFill>
                    <a:blip r:embed="rId54"/>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BC0572">
        <w:t>Maintain</w:t>
      </w:r>
      <w:r w:rsidR="00B3072B">
        <w:t>ing Insurance Database and Fees</w:t>
      </w:r>
      <w:bookmarkEnd w:id="198"/>
      <w:bookmarkEnd w:id="199"/>
    </w:p>
    <w:p w14:paraId="76EE217B" w14:textId="143F7630" w:rsidR="00B3072B" w:rsidRPr="007264E7" w:rsidRDefault="00B3072B" w:rsidP="00D42C5A">
      <w:pPr>
        <w:pStyle w:val="Heading3"/>
      </w:pPr>
      <w:bookmarkStart w:id="200" w:name="_Toc135416731"/>
      <w:bookmarkStart w:id="201" w:name="_Toc166834378"/>
      <w:r w:rsidRPr="007264E7">
        <w:t>Insurance Reference Utilities</w:t>
      </w:r>
      <w:bookmarkEnd w:id="200"/>
      <w:bookmarkEnd w:id="201"/>
    </w:p>
    <w:p w14:paraId="28877448" w14:textId="61A5D93D" w:rsidR="00B3072B" w:rsidRPr="007264E7" w:rsidRDefault="00B3072B" w:rsidP="000D7FFC">
      <w:pPr>
        <w:pStyle w:val="BodyText"/>
        <w:keepNext/>
        <w:keepLines/>
      </w:pPr>
      <w:r w:rsidRPr="007264E7">
        <w:t>A centralized location to manage insurance plans.</w:t>
      </w:r>
    </w:p>
    <w:p w14:paraId="6F84A6B9" w14:textId="77777777" w:rsidR="00B3072B" w:rsidRPr="0081269D" w:rsidRDefault="00B3072B" w:rsidP="000D7FFC">
      <w:pPr>
        <w:pStyle w:val="BodyText"/>
        <w:keepNext/>
        <w:keepLines/>
        <w:rPr>
          <w:b/>
          <w:bCs/>
        </w:rPr>
      </w:pPr>
      <w:r w:rsidRPr="0081269D">
        <w:rPr>
          <w:b/>
          <w:bCs/>
        </w:rPr>
        <w:t xml:space="preserve">Why is it important? </w:t>
      </w:r>
    </w:p>
    <w:p w14:paraId="4EFD0CBB" w14:textId="1B13A3D4" w:rsidR="00B3072B" w:rsidRPr="007264E7" w:rsidRDefault="00B3072B" w:rsidP="004F45B6">
      <w:pPr>
        <w:pStyle w:val="BodyText"/>
        <w:keepNext/>
        <w:keepLines/>
        <w:numPr>
          <w:ilvl w:val="0"/>
          <w:numId w:val="66"/>
        </w:numPr>
        <w:ind w:left="540"/>
      </w:pPr>
      <w:r w:rsidRPr="007264E7">
        <w:t>Eliminates duplicated insurance plans</w:t>
      </w:r>
      <w:r w:rsidR="0081269D">
        <w:t>.</w:t>
      </w:r>
    </w:p>
    <w:p w14:paraId="5CDE2FC8" w14:textId="40C30435" w:rsidR="00B3072B" w:rsidRPr="007264E7" w:rsidRDefault="00B3072B" w:rsidP="004F45B6">
      <w:pPr>
        <w:pStyle w:val="BodyText"/>
        <w:keepNext/>
        <w:keepLines/>
        <w:numPr>
          <w:ilvl w:val="0"/>
          <w:numId w:val="66"/>
        </w:numPr>
        <w:ind w:left="540"/>
      </w:pPr>
      <w:r w:rsidRPr="007264E7">
        <w:t>Reduces operator error of selecting an incorrect plan (</w:t>
      </w:r>
      <w:r w:rsidR="0081269D">
        <w:t>fewer</w:t>
      </w:r>
      <w:r w:rsidRPr="007264E7">
        <w:t xml:space="preserve"> to choose from)</w:t>
      </w:r>
      <w:r w:rsidR="0081269D">
        <w:t>.</w:t>
      </w:r>
    </w:p>
    <w:p w14:paraId="52DC014B" w14:textId="549EE6BD" w:rsidR="00B3072B" w:rsidRPr="00981A7F" w:rsidRDefault="00B3072B" w:rsidP="004F45B6">
      <w:pPr>
        <w:pStyle w:val="BodyText"/>
        <w:numPr>
          <w:ilvl w:val="0"/>
          <w:numId w:val="66"/>
        </w:numPr>
        <w:ind w:left="540"/>
        <w:rPr>
          <w:color w:val="FF0000"/>
        </w:rPr>
      </w:pPr>
      <w:r w:rsidRPr="007264E7">
        <w:t>Ensures more accurate patient out-of-pocket estimated expenses (No Surprise Act)</w:t>
      </w:r>
      <w:r w:rsidR="0081269D">
        <w:t>.</w:t>
      </w:r>
    </w:p>
    <w:p w14:paraId="62E7C518" w14:textId="4F53276E" w:rsidR="007264E7" w:rsidRDefault="00B3072B" w:rsidP="00E92EA5">
      <w:pPr>
        <w:pStyle w:val="Heading4"/>
      </w:pPr>
      <w:r>
        <w:lastRenderedPageBreak/>
        <w:t>Purge P</w:t>
      </w:r>
      <w:r w:rsidRPr="00BC0572">
        <w:t>lans</w:t>
      </w:r>
    </w:p>
    <w:p w14:paraId="23092A4F" w14:textId="706CCF53" w:rsidR="00B3072B" w:rsidRPr="00BC0572" w:rsidRDefault="00B3072B" w:rsidP="007264E7">
      <w:pPr>
        <w:pStyle w:val="BodyText"/>
      </w:pPr>
      <w:r w:rsidRPr="00BC0572">
        <w:t xml:space="preserve">It is vital to have the most updated and accurate insurance plan information. Periodically you should purge your database of outdated or inactive insurance carriers that are no longer attached to any patients in your system. </w:t>
      </w:r>
    </w:p>
    <w:p w14:paraId="31A8E248" w14:textId="4A609CBF" w:rsidR="00B3072B" w:rsidRPr="00BC0572" w:rsidRDefault="00B3072B" w:rsidP="007264E7">
      <w:pPr>
        <w:pStyle w:val="BodyText"/>
      </w:pPr>
      <w:r w:rsidRPr="0081269D">
        <w:rPr>
          <w:b/>
          <w:bCs/>
        </w:rPr>
        <w:t>Operations Insight</w:t>
      </w:r>
      <w:r w:rsidRPr="007264E7">
        <w:t>:</w:t>
      </w:r>
      <w:r w:rsidRPr="00BC0572">
        <w:t xml:space="preserve"> As a safeguard, Dentrix Enterprise allows you to purge </w:t>
      </w:r>
      <w:r w:rsidR="0081269D">
        <w:t xml:space="preserve">only </w:t>
      </w:r>
      <w:r w:rsidRPr="00BC0572">
        <w:t xml:space="preserve">insurance plans that do not have subscribers attached or outstanding claims. </w:t>
      </w:r>
    </w:p>
    <w:p w14:paraId="1E769B3C" w14:textId="2004D274" w:rsidR="007264E7" w:rsidRDefault="00B3072B" w:rsidP="00E92EA5">
      <w:pPr>
        <w:pStyle w:val="Heading4"/>
      </w:pPr>
      <w:r>
        <w:t>Join P</w:t>
      </w:r>
      <w:r w:rsidRPr="00BC0572">
        <w:t>lans</w:t>
      </w:r>
    </w:p>
    <w:p w14:paraId="36FDA5DF" w14:textId="4AC93706" w:rsidR="00B3072B" w:rsidRPr="00BC0572" w:rsidRDefault="00B3072B" w:rsidP="007264E7">
      <w:pPr>
        <w:pStyle w:val="BodyText"/>
      </w:pPr>
      <w:r w:rsidRPr="00BC0572">
        <w:t>Another essential part of insurance maintenance is making sure that you are not cluttering up your insurance carrier database with multiple, identical plans. Joining plans reassign</w:t>
      </w:r>
      <w:r w:rsidR="0081269D">
        <w:t>s</w:t>
      </w:r>
      <w:r w:rsidRPr="00BC0572">
        <w:t xml:space="preserve"> patients between plan</w:t>
      </w:r>
      <w:r w:rsidR="0081269D">
        <w:t>s so you can purge</w:t>
      </w:r>
      <w:r w:rsidRPr="00BC0572">
        <w:t xml:space="preserve"> the </w:t>
      </w:r>
      <w:r w:rsidR="0081269D">
        <w:t>unwanted duplicates</w:t>
      </w:r>
      <w:r w:rsidRPr="00BC0572">
        <w:t xml:space="preserve">.   </w:t>
      </w:r>
    </w:p>
    <w:p w14:paraId="3BD11AF4" w14:textId="516FED34" w:rsidR="00B3072B" w:rsidRPr="0009008A" w:rsidRDefault="00165541" w:rsidP="007264E7">
      <w:pPr>
        <w:pStyle w:val="BodyText"/>
        <w:rPr>
          <w:i/>
          <w:iCs/>
        </w:rPr>
      </w:pPr>
      <w:r>
        <w:rPr>
          <w:noProof/>
        </w:rPr>
        <w:drawing>
          <wp:anchor distT="0" distB="0" distL="0" distR="91440" simplePos="0" relativeHeight="251824132" behindDoc="1" locked="0" layoutInCell="1" allowOverlap="1" wp14:anchorId="4DEBC213" wp14:editId="2A5BC9A0">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873625624"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09008A">
        <w:rPr>
          <w:b/>
          <w:bCs/>
          <w:i/>
          <w:iCs/>
        </w:rPr>
        <w:t>Workflow Insight</w:t>
      </w:r>
      <w:r w:rsidR="00B3072B" w:rsidRPr="0009008A">
        <w:rPr>
          <w:i/>
          <w:iCs/>
        </w:rPr>
        <w:t>: Following the recommended workflows, combined with your organizations guidelines for adding and updating insurance plans, reduce</w:t>
      </w:r>
      <w:r w:rsidR="0009008A" w:rsidRPr="0009008A">
        <w:rPr>
          <w:i/>
          <w:iCs/>
        </w:rPr>
        <w:t>s</w:t>
      </w:r>
      <w:r w:rsidR="00B3072B" w:rsidRPr="0009008A">
        <w:rPr>
          <w:i/>
          <w:iCs/>
        </w:rPr>
        <w:t xml:space="preserve"> </w:t>
      </w:r>
      <w:r w:rsidR="0009008A" w:rsidRPr="0009008A">
        <w:rPr>
          <w:i/>
          <w:iCs/>
        </w:rPr>
        <w:t xml:space="preserve">the </w:t>
      </w:r>
      <w:r w:rsidR="00B3072B" w:rsidRPr="0009008A">
        <w:rPr>
          <w:i/>
          <w:iCs/>
        </w:rPr>
        <w:t xml:space="preserve">duplication </w:t>
      </w:r>
      <w:r w:rsidR="0009008A" w:rsidRPr="0009008A">
        <w:rPr>
          <w:i/>
          <w:iCs/>
        </w:rPr>
        <w:t xml:space="preserve">of </w:t>
      </w:r>
      <w:r w:rsidR="00B3072B" w:rsidRPr="0009008A">
        <w:rPr>
          <w:i/>
          <w:iCs/>
        </w:rPr>
        <w:t>plans in your database.</w:t>
      </w:r>
    </w:p>
    <w:p w14:paraId="6003CC4B" w14:textId="2E780203" w:rsidR="00B3072B" w:rsidRPr="0009008A" w:rsidRDefault="00165541" w:rsidP="007264E7">
      <w:pPr>
        <w:pStyle w:val="BodyText"/>
        <w:rPr>
          <w:i/>
          <w:iCs/>
        </w:rPr>
      </w:pPr>
      <w:r>
        <w:rPr>
          <w:noProof/>
        </w:rPr>
        <w:drawing>
          <wp:anchor distT="0" distB="0" distL="0" distR="91440" simplePos="0" relativeHeight="251826180" behindDoc="0" locked="0" layoutInCell="1" allowOverlap="1" wp14:anchorId="4CF209ED" wp14:editId="1E52BC1E">
            <wp:simplePos x="0" y="0"/>
            <wp:positionH relativeFrom="column">
              <wp:posOffset>-457200</wp:posOffset>
            </wp:positionH>
            <wp:positionV relativeFrom="paragraph">
              <wp:posOffset>0</wp:posOffset>
            </wp:positionV>
            <wp:extent cx="365981" cy="420624"/>
            <wp:effectExtent l="0" t="0" r="0" b="0"/>
            <wp:wrapTight wrapText="right">
              <wp:wrapPolygon edited="0">
                <wp:start x="0" y="0"/>
                <wp:lineTo x="0" y="20556"/>
                <wp:lineTo x="20250" y="20556"/>
                <wp:lineTo x="20250" y="0"/>
                <wp:lineTo x="0" y="0"/>
              </wp:wrapPolygon>
            </wp:wrapTight>
            <wp:docPr id="822044294"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09008A" w:rsidRPr="0009008A">
        <w:rPr>
          <w:b/>
          <w:bCs/>
          <w:i/>
          <w:iCs/>
        </w:rPr>
        <w:t>Note</w:t>
      </w:r>
      <w:r w:rsidR="0009008A" w:rsidRPr="0009008A">
        <w:rPr>
          <w:i/>
          <w:iCs/>
        </w:rPr>
        <w:t>: When you are</w:t>
      </w:r>
      <w:r w:rsidR="00B3072B" w:rsidRPr="0009008A">
        <w:rPr>
          <w:i/>
          <w:iCs/>
        </w:rPr>
        <w:t xml:space="preserve"> joining duplicate plans, sometimes due to outstanding claims, one of the plans cannot be purged from the system right away. Consider internal naming or identifiers to</w:t>
      </w:r>
      <w:r w:rsidR="0009008A" w:rsidRPr="0009008A">
        <w:rPr>
          <w:i/>
          <w:iCs/>
        </w:rPr>
        <w:t xml:space="preserve"> help prevent the </w:t>
      </w:r>
      <w:r w:rsidR="00B3072B" w:rsidRPr="0009008A">
        <w:rPr>
          <w:i/>
          <w:iCs/>
        </w:rPr>
        <w:t xml:space="preserve">plan </w:t>
      </w:r>
      <w:r w:rsidR="0009008A" w:rsidRPr="0009008A">
        <w:rPr>
          <w:i/>
          <w:iCs/>
        </w:rPr>
        <w:t>from being used anymore</w:t>
      </w:r>
      <w:r w:rsidR="00B3072B" w:rsidRPr="0009008A">
        <w:rPr>
          <w:i/>
          <w:iCs/>
        </w:rPr>
        <w:t>.</w:t>
      </w:r>
    </w:p>
    <w:p w14:paraId="54878792" w14:textId="6172ECA1" w:rsidR="007264E7" w:rsidRPr="007264E7" w:rsidRDefault="00B3072B" w:rsidP="00D42C5A">
      <w:pPr>
        <w:pStyle w:val="Heading3"/>
        <w:rPr>
          <w:rFonts w:ascii="Times New Roman" w:hAnsi="Times New Roman"/>
        </w:rPr>
      </w:pPr>
      <w:bookmarkStart w:id="202" w:name="_Toc135416732"/>
      <w:bookmarkStart w:id="203" w:name="_Toc166834379"/>
      <w:r w:rsidRPr="007264E7">
        <w:t>Fee Schedule Maintenance</w:t>
      </w:r>
      <w:bookmarkEnd w:id="202"/>
      <w:bookmarkEnd w:id="203"/>
    </w:p>
    <w:p w14:paraId="0CC1484B" w14:textId="1A21C6B2" w:rsidR="00B3072B" w:rsidRPr="007264E7" w:rsidRDefault="00B3072B" w:rsidP="0009008A">
      <w:pPr>
        <w:pStyle w:val="BodyText"/>
      </w:pPr>
      <w:r w:rsidRPr="007264E7">
        <w:t>There are multiple sources and uses for fee schedules</w:t>
      </w:r>
      <w:r w:rsidR="0009008A">
        <w:t>:</w:t>
      </w:r>
      <w:r w:rsidRPr="007264E7">
        <w:t xml:space="preserve"> </w:t>
      </w:r>
      <w:r w:rsidR="0009008A">
        <w:t>u</w:t>
      </w:r>
      <w:r w:rsidRPr="007264E7">
        <w:t xml:space="preserve">sual and customary rates (UCR), if your site participates and is in-network with insurance companies, specialty services, </w:t>
      </w:r>
      <w:r w:rsidR="0009008A">
        <w:t>d</w:t>
      </w:r>
      <w:r w:rsidRPr="007264E7">
        <w:t xml:space="preserve">ental </w:t>
      </w:r>
      <w:r w:rsidR="0009008A">
        <w:t>d</w:t>
      </w:r>
      <w:r w:rsidRPr="007264E7">
        <w:t xml:space="preserve">iscount </w:t>
      </w:r>
      <w:r w:rsidR="0009008A">
        <w:t>p</w:t>
      </w:r>
      <w:r w:rsidRPr="007264E7">
        <w:t xml:space="preserve">lans, and more. </w:t>
      </w:r>
    </w:p>
    <w:p w14:paraId="6DFF2010" w14:textId="76FB12D2" w:rsidR="00B3072B" w:rsidRPr="007264E7" w:rsidRDefault="00B3072B" w:rsidP="007264E7">
      <w:pPr>
        <w:pStyle w:val="BodyText"/>
      </w:pPr>
      <w:r w:rsidRPr="0009008A">
        <w:rPr>
          <w:b/>
          <w:bCs/>
        </w:rPr>
        <w:t>What is it?</w:t>
      </w:r>
      <w:r w:rsidRPr="007264E7">
        <w:t xml:space="preserve"> A centralized location to manage fee schedules. The </w:t>
      </w:r>
      <w:r w:rsidR="0009008A">
        <w:t>f</w:t>
      </w:r>
      <w:r w:rsidRPr="007264E7">
        <w:t xml:space="preserve">ee </w:t>
      </w:r>
      <w:r w:rsidR="0009008A">
        <w:t>s</w:t>
      </w:r>
      <w:r w:rsidRPr="007264E7">
        <w:t xml:space="preserve">chedule is the basis of </w:t>
      </w:r>
      <w:r w:rsidR="0009008A">
        <w:t>l</w:t>
      </w:r>
      <w:r w:rsidRPr="007264E7">
        <w:t>ine-</w:t>
      </w:r>
      <w:r w:rsidR="0009008A">
        <w:t>i</w:t>
      </w:r>
      <w:r w:rsidRPr="007264E7">
        <w:t xml:space="preserve">tem </w:t>
      </w:r>
      <w:r w:rsidR="0009008A">
        <w:t>a</w:t>
      </w:r>
      <w:r w:rsidRPr="007264E7">
        <w:t xml:space="preserve">ccounting and insurance estimate calculation.  </w:t>
      </w:r>
    </w:p>
    <w:p w14:paraId="6F7DF634" w14:textId="77777777" w:rsidR="00B3072B" w:rsidRPr="0009008A" w:rsidRDefault="00B3072B" w:rsidP="007264E7">
      <w:pPr>
        <w:pStyle w:val="BodyText"/>
        <w:rPr>
          <w:b/>
          <w:bCs/>
        </w:rPr>
      </w:pPr>
      <w:r w:rsidRPr="0009008A">
        <w:rPr>
          <w:b/>
          <w:bCs/>
        </w:rPr>
        <w:t xml:space="preserve">Why is it important? </w:t>
      </w:r>
    </w:p>
    <w:p w14:paraId="4E5B146A" w14:textId="75A3C622" w:rsidR="00B3072B" w:rsidRPr="007264E7" w:rsidRDefault="0009008A" w:rsidP="004F45B6">
      <w:pPr>
        <w:pStyle w:val="BodyText"/>
        <w:numPr>
          <w:ilvl w:val="0"/>
          <w:numId w:val="69"/>
        </w:numPr>
        <w:ind w:left="540"/>
      </w:pPr>
      <w:r>
        <w:t>You can a</w:t>
      </w:r>
      <w:r w:rsidR="00B3072B" w:rsidRPr="007264E7">
        <w:t>utomatically update your fee schedules quickly.</w:t>
      </w:r>
    </w:p>
    <w:p w14:paraId="172AF32A" w14:textId="4C4A7A3D" w:rsidR="00B3072B" w:rsidRPr="007264E7" w:rsidRDefault="0009008A" w:rsidP="004F45B6">
      <w:pPr>
        <w:pStyle w:val="BodyText"/>
        <w:numPr>
          <w:ilvl w:val="0"/>
          <w:numId w:val="69"/>
        </w:numPr>
        <w:ind w:left="540"/>
      </w:pPr>
      <w:r>
        <w:t xml:space="preserve">You can quickly </w:t>
      </w:r>
      <w:r w:rsidR="00B3072B" w:rsidRPr="007264E7">
        <w:t xml:space="preserve">identify the number of patients, insurance plans, and providers </w:t>
      </w:r>
      <w:r>
        <w:t xml:space="preserve">that are </w:t>
      </w:r>
      <w:r w:rsidR="00B3072B" w:rsidRPr="007264E7">
        <w:t xml:space="preserve">assigned to each </w:t>
      </w:r>
      <w:r>
        <w:t>f</w:t>
      </w:r>
      <w:r w:rsidR="00B3072B" w:rsidRPr="007264E7">
        <w:t xml:space="preserve">ee </w:t>
      </w:r>
      <w:r>
        <w:t>s</w:t>
      </w:r>
      <w:r w:rsidR="00B3072B" w:rsidRPr="007264E7">
        <w:t>chedule.</w:t>
      </w:r>
    </w:p>
    <w:p w14:paraId="65BF3EC3" w14:textId="0134D1DD" w:rsidR="00B3072B" w:rsidRPr="00E62DDA" w:rsidRDefault="0009008A" w:rsidP="004F45B6">
      <w:pPr>
        <w:pStyle w:val="BodyText"/>
        <w:numPr>
          <w:ilvl w:val="0"/>
          <w:numId w:val="69"/>
        </w:numPr>
        <w:ind w:left="540"/>
        <w:rPr>
          <w:color w:val="FF0000"/>
        </w:rPr>
      </w:pPr>
      <w:r>
        <w:t>You can u</w:t>
      </w:r>
      <w:r w:rsidR="00B3072B" w:rsidRPr="007264E7">
        <w:t>pdate your treatment plan fees for a patient from Treatment Planner to reflect any fee schedule changes.</w:t>
      </w:r>
    </w:p>
    <w:p w14:paraId="3E920C67" w14:textId="7BC71206" w:rsidR="009473AD" w:rsidRPr="009473AD" w:rsidRDefault="0009008A" w:rsidP="00E92EA5">
      <w:pPr>
        <w:pStyle w:val="Heading4"/>
        <w:rPr>
          <w:rFonts w:cstheme="minorHAnsi"/>
        </w:rPr>
      </w:pPr>
      <w:r>
        <w:t>Editing or Adding F</w:t>
      </w:r>
      <w:r w:rsidR="00B3072B" w:rsidRPr="092CC55B">
        <w:t xml:space="preserve">ee </w:t>
      </w:r>
      <w:r>
        <w:t>S</w:t>
      </w:r>
      <w:r w:rsidR="00B3072B" w:rsidRPr="092CC55B">
        <w:t>chedules</w:t>
      </w:r>
    </w:p>
    <w:p w14:paraId="74D7BAFE" w14:textId="455FC17B" w:rsidR="00B3072B" w:rsidRPr="00BC0572" w:rsidRDefault="00B3072B" w:rsidP="00A0461D">
      <w:pPr>
        <w:pStyle w:val="BodyText"/>
        <w:rPr>
          <w:rFonts w:cstheme="minorHAnsi"/>
        </w:rPr>
      </w:pPr>
      <w:r w:rsidRPr="092CC55B">
        <w:t xml:space="preserve">When </w:t>
      </w:r>
      <w:r w:rsidR="0009008A">
        <w:t xml:space="preserve">you are </w:t>
      </w:r>
      <w:r w:rsidRPr="092CC55B">
        <w:t xml:space="preserve">adding fee schedules, you can enter the fees manually per code, copy from a base fee schedule, or import a fee schedule.  </w:t>
      </w:r>
    </w:p>
    <w:p w14:paraId="132DA1A8" w14:textId="4AB8FE5A" w:rsidR="00B3072B" w:rsidRPr="00BC0572" w:rsidRDefault="00B3072B" w:rsidP="004F45B6">
      <w:pPr>
        <w:pStyle w:val="BodyText"/>
        <w:numPr>
          <w:ilvl w:val="0"/>
          <w:numId w:val="134"/>
        </w:numPr>
        <w:ind w:left="540"/>
        <w:rPr>
          <w:rFonts w:cstheme="minorHAnsi"/>
        </w:rPr>
      </w:pPr>
      <w:r w:rsidRPr="092CC55B">
        <w:rPr>
          <w:b/>
        </w:rPr>
        <w:t xml:space="preserve">Attach </w:t>
      </w:r>
      <w:r w:rsidR="0009008A">
        <w:rPr>
          <w:b/>
        </w:rPr>
        <w:t>–</w:t>
      </w:r>
      <w:r w:rsidRPr="092CC55B">
        <w:rPr>
          <w:b/>
        </w:rPr>
        <w:t xml:space="preserve"> </w:t>
      </w:r>
      <w:r w:rsidRPr="092CC55B">
        <w:t xml:space="preserve">With the fee schedule attached to a clinic, everywhere in the system that you can select a fee schedule, you can filter the list by clinic.  </w:t>
      </w:r>
    </w:p>
    <w:p w14:paraId="589F556A" w14:textId="07D42C0B" w:rsidR="00B3072B" w:rsidRPr="0009008A" w:rsidRDefault="00165541" w:rsidP="00A0461D">
      <w:pPr>
        <w:pStyle w:val="BodyText"/>
        <w:ind w:left="540"/>
        <w:rPr>
          <w:i/>
          <w:iCs/>
        </w:rPr>
      </w:pPr>
      <w:r>
        <w:rPr>
          <w:noProof/>
        </w:rPr>
        <w:drawing>
          <wp:anchor distT="0" distB="0" distL="0" distR="91440" simplePos="0" relativeHeight="251828228" behindDoc="1" locked="0" layoutInCell="1" allowOverlap="1" wp14:anchorId="71AA49B5" wp14:editId="67079F31">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87199954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B3072B" w:rsidRPr="0009008A">
        <w:rPr>
          <w:b/>
          <w:bCs/>
          <w:i/>
          <w:iCs/>
        </w:rPr>
        <w:t>Operations Insight</w:t>
      </w:r>
      <w:r w:rsidR="00B3072B" w:rsidRPr="0009008A">
        <w:rPr>
          <w:i/>
          <w:iCs/>
        </w:rPr>
        <w:t>: Dentrix Enterprise has one centralized database of fee schedules. Attaching fee schedules to a clinic allows you to sort the full list according to the applicable fees for the location. The system will allow 99,999 fee schedules to be entered</w:t>
      </w:r>
      <w:r w:rsidR="0009008A" w:rsidRPr="0009008A">
        <w:rPr>
          <w:i/>
          <w:iCs/>
        </w:rPr>
        <w:t>, so we strongly recommend attaching</w:t>
      </w:r>
      <w:r w:rsidR="00B3072B" w:rsidRPr="0009008A">
        <w:rPr>
          <w:i/>
          <w:iCs/>
        </w:rPr>
        <w:t xml:space="preserve"> fees to the applicable clinics.</w:t>
      </w:r>
    </w:p>
    <w:p w14:paraId="739CA3DD" w14:textId="666016E6" w:rsidR="00B3072B" w:rsidRPr="00BC0572" w:rsidRDefault="00B3072B" w:rsidP="004F45B6">
      <w:pPr>
        <w:pStyle w:val="BodyText"/>
        <w:numPr>
          <w:ilvl w:val="0"/>
          <w:numId w:val="134"/>
        </w:numPr>
        <w:ind w:left="540"/>
        <w:rPr>
          <w:rFonts w:cstheme="minorHAnsi"/>
          <w:b/>
          <w:bCs/>
        </w:rPr>
      </w:pPr>
      <w:r w:rsidRPr="092CC55B">
        <w:rPr>
          <w:b/>
        </w:rPr>
        <w:t xml:space="preserve">Copy </w:t>
      </w:r>
      <w:r w:rsidR="0009008A">
        <w:rPr>
          <w:b/>
        </w:rPr>
        <w:t>–</w:t>
      </w:r>
      <w:r w:rsidRPr="092CC55B">
        <w:rPr>
          <w:b/>
        </w:rPr>
        <w:t xml:space="preserve"> </w:t>
      </w:r>
      <w:r w:rsidR="0009008A">
        <w:t xml:space="preserve">You can </w:t>
      </w:r>
      <w:r w:rsidRPr="092CC55B">
        <w:t>use an existing fee schedule as the basis for a new fee schedule. You can change any of the amounts as needed once the fee</w:t>
      </w:r>
      <w:r w:rsidR="0009008A">
        <w:t xml:space="preserve"> schedule is</w:t>
      </w:r>
      <w:r w:rsidRPr="092CC55B">
        <w:t xml:space="preserve"> copied</w:t>
      </w:r>
      <w:r w:rsidR="0009008A">
        <w:t xml:space="preserve"> over</w:t>
      </w:r>
      <w:r w:rsidRPr="092CC55B">
        <w:t xml:space="preserve">.  </w:t>
      </w:r>
    </w:p>
    <w:p w14:paraId="5B4745C0" w14:textId="78C74623" w:rsidR="00B3072B" w:rsidRPr="00BC0572" w:rsidRDefault="00B3072B" w:rsidP="004F45B6">
      <w:pPr>
        <w:pStyle w:val="BodyText"/>
        <w:numPr>
          <w:ilvl w:val="0"/>
          <w:numId w:val="134"/>
        </w:numPr>
        <w:ind w:left="540"/>
        <w:rPr>
          <w:rFonts w:cstheme="minorHAnsi"/>
          <w:b/>
          <w:bCs/>
        </w:rPr>
      </w:pPr>
      <w:r w:rsidRPr="092CC55B">
        <w:rPr>
          <w:b/>
        </w:rPr>
        <w:t>Import</w:t>
      </w:r>
      <w:r w:rsidRPr="0009008A">
        <w:rPr>
          <w:bCs/>
        </w:rPr>
        <w:t xml:space="preserve"> </w:t>
      </w:r>
      <w:r w:rsidR="0009008A" w:rsidRPr="0009008A">
        <w:rPr>
          <w:bCs/>
        </w:rPr>
        <w:t xml:space="preserve">– </w:t>
      </w:r>
      <w:r w:rsidRPr="092CC55B">
        <w:t xml:space="preserve">Importing </w:t>
      </w:r>
      <w:r w:rsidR="0009008A">
        <w:t xml:space="preserve">a </w:t>
      </w:r>
      <w:r w:rsidRPr="092CC55B">
        <w:t xml:space="preserve">fee schedule is the preferred method to add or update </w:t>
      </w:r>
      <w:r w:rsidR="0009008A">
        <w:t xml:space="preserve">a </w:t>
      </w:r>
      <w:r w:rsidRPr="092CC55B">
        <w:t>fee schedule</w:t>
      </w:r>
      <w:r w:rsidR="0009008A">
        <w:t>. F</w:t>
      </w:r>
      <w:r w:rsidRPr="092CC55B">
        <w:t xml:space="preserve">ee </w:t>
      </w:r>
      <w:r w:rsidR="0009008A">
        <w:t>s</w:t>
      </w:r>
      <w:r w:rsidRPr="092CC55B">
        <w:t xml:space="preserve">chedules must be saved </w:t>
      </w:r>
      <w:r w:rsidR="0009008A">
        <w:t xml:space="preserve">in </w:t>
      </w:r>
      <w:r w:rsidRPr="092CC55B">
        <w:t>.csv, .xls, or .xlsx file</w:t>
      </w:r>
      <w:r w:rsidR="0009008A">
        <w:t>s</w:t>
      </w:r>
      <w:r w:rsidRPr="092CC55B">
        <w:t xml:space="preserve">. </w:t>
      </w:r>
    </w:p>
    <w:p w14:paraId="584BC950" w14:textId="039379F4" w:rsidR="00B3072B" w:rsidRPr="00BC0572" w:rsidRDefault="00B3072B" w:rsidP="004F45B6">
      <w:pPr>
        <w:pStyle w:val="BodyText"/>
        <w:numPr>
          <w:ilvl w:val="0"/>
          <w:numId w:val="134"/>
        </w:numPr>
        <w:ind w:left="540"/>
        <w:rPr>
          <w:rFonts w:cstheme="minorHAnsi"/>
          <w:b/>
          <w:bCs/>
        </w:rPr>
      </w:pPr>
      <w:r w:rsidRPr="092CC55B">
        <w:rPr>
          <w:b/>
        </w:rPr>
        <w:lastRenderedPageBreak/>
        <w:t xml:space="preserve">Viewing Fee Schedule Associations </w:t>
      </w:r>
      <w:r w:rsidR="0009008A">
        <w:rPr>
          <w:b/>
        </w:rPr>
        <w:t>–</w:t>
      </w:r>
      <w:r w:rsidRPr="092CC55B">
        <w:rPr>
          <w:b/>
        </w:rPr>
        <w:t xml:space="preserve"> </w:t>
      </w:r>
      <w:r w:rsidR="0009008A">
        <w:t>In</w:t>
      </w:r>
      <w:r w:rsidRPr="092CC55B">
        <w:t xml:space="preserve"> the </w:t>
      </w:r>
      <w:r w:rsidRPr="0009008A">
        <w:rPr>
          <w:b/>
          <w:bCs/>
        </w:rPr>
        <w:t>Fee Schedule Maintenance</w:t>
      </w:r>
      <w:r w:rsidRPr="092CC55B">
        <w:t xml:space="preserve"> </w:t>
      </w:r>
      <w:r w:rsidR="0009008A">
        <w:t>dialog box</w:t>
      </w:r>
      <w:r w:rsidRPr="092CC55B">
        <w:t xml:space="preserve">, selecting </w:t>
      </w:r>
      <w:r w:rsidRPr="0009008A">
        <w:rPr>
          <w:b/>
          <w:bCs/>
        </w:rPr>
        <w:t>Attachments</w:t>
      </w:r>
      <w:r w:rsidRPr="092CC55B">
        <w:t xml:space="preserve"> </w:t>
      </w:r>
      <w:r w:rsidR="0009008A">
        <w:t>allows</w:t>
      </w:r>
      <w:r w:rsidRPr="092CC55B">
        <w:t xml:space="preserve"> you to view the number of patients, insurance plans, and providers </w:t>
      </w:r>
      <w:r w:rsidR="0009008A">
        <w:t xml:space="preserve">that are </w:t>
      </w:r>
      <w:r w:rsidRPr="092CC55B">
        <w:t>attached to each fee schedule. Right</w:t>
      </w:r>
      <w:r w:rsidR="0009008A">
        <w:t xml:space="preserve">-click in </w:t>
      </w:r>
      <w:r w:rsidRPr="092CC55B">
        <w:t xml:space="preserve">the </w:t>
      </w:r>
      <w:r w:rsidRPr="0009008A">
        <w:rPr>
          <w:b/>
          <w:bCs/>
        </w:rPr>
        <w:t>Provider</w:t>
      </w:r>
      <w:r w:rsidRPr="092CC55B">
        <w:t xml:space="preserve">, </w:t>
      </w:r>
      <w:r w:rsidRPr="0009008A">
        <w:rPr>
          <w:b/>
          <w:bCs/>
        </w:rPr>
        <w:t>Patient</w:t>
      </w:r>
      <w:r w:rsidRPr="092CC55B">
        <w:t xml:space="preserve">, or </w:t>
      </w:r>
      <w:r w:rsidRPr="0009008A">
        <w:rPr>
          <w:b/>
          <w:bCs/>
        </w:rPr>
        <w:t>Insurance</w:t>
      </w:r>
      <w:r w:rsidRPr="092CC55B">
        <w:t xml:space="preserve"> column to view the details.  </w:t>
      </w:r>
    </w:p>
    <w:p w14:paraId="6E76F7D9" w14:textId="0E5BF6A3" w:rsidR="00B3072B" w:rsidRDefault="00165541" w:rsidP="00A0461D">
      <w:pPr>
        <w:pStyle w:val="BodyText"/>
        <w:rPr>
          <w:i/>
          <w:iCs/>
        </w:rPr>
      </w:pPr>
      <w:r>
        <w:rPr>
          <w:noProof/>
        </w:rPr>
        <w:drawing>
          <wp:anchor distT="0" distB="0" distL="0" distR="91440" simplePos="0" relativeHeight="251830276" behindDoc="1" locked="0" layoutInCell="1" allowOverlap="1" wp14:anchorId="791193BE" wp14:editId="2A7301E7">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14104671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B3072B" w:rsidRPr="00AB7939">
        <w:rPr>
          <w:b/>
          <w:bCs/>
          <w:i/>
          <w:iCs/>
        </w:rPr>
        <w:t>Workflow Insight</w:t>
      </w:r>
      <w:r w:rsidR="00B3072B" w:rsidRPr="00AB7939">
        <w:rPr>
          <w:i/>
          <w:iCs/>
        </w:rPr>
        <w:t xml:space="preserve">: Even if fee schedules are not provided in the required format, or any digital format, there are options for scanning </w:t>
      </w:r>
      <w:r w:rsidR="0009008A" w:rsidRPr="00AB7939">
        <w:rPr>
          <w:i/>
          <w:iCs/>
        </w:rPr>
        <w:t>a documen</w:t>
      </w:r>
      <w:r w:rsidR="00AB7939">
        <w:rPr>
          <w:i/>
          <w:iCs/>
        </w:rPr>
        <w:t>t, saving it as a .pdf file,</w:t>
      </w:r>
      <w:r w:rsidR="00AB7939" w:rsidRPr="00AB7939">
        <w:rPr>
          <w:i/>
          <w:iCs/>
        </w:rPr>
        <w:t xml:space="preserve"> and</w:t>
      </w:r>
      <w:r w:rsidR="00B3072B" w:rsidRPr="00AB7939">
        <w:rPr>
          <w:i/>
          <w:iCs/>
        </w:rPr>
        <w:t xml:space="preserve"> then converting the </w:t>
      </w:r>
      <w:r w:rsidR="00AB7939">
        <w:rPr>
          <w:i/>
          <w:iCs/>
        </w:rPr>
        <w:t>.pdf file to a .xlsx file</w:t>
      </w:r>
      <w:r w:rsidR="00B3072B" w:rsidRPr="00AB7939">
        <w:rPr>
          <w:i/>
          <w:iCs/>
        </w:rPr>
        <w:t xml:space="preserve">. Work with your IT to identify options </w:t>
      </w:r>
      <w:r w:rsidR="00AB7939" w:rsidRPr="00AB7939">
        <w:rPr>
          <w:i/>
          <w:iCs/>
        </w:rPr>
        <w:t>for importing fee schedules</w:t>
      </w:r>
      <w:r w:rsidR="00B3072B" w:rsidRPr="00AB7939">
        <w:rPr>
          <w:i/>
          <w:iCs/>
        </w:rPr>
        <w:t>.</w:t>
      </w:r>
    </w:p>
    <w:p w14:paraId="7352F8DC" w14:textId="77777777" w:rsidR="006108B2" w:rsidRDefault="006108B2" w:rsidP="006108B2">
      <w:pPr>
        <w:pStyle w:val="Heading4"/>
      </w:pPr>
      <w:r w:rsidRPr="092CC55B">
        <w:t>Updat</w:t>
      </w:r>
      <w:r>
        <w:t>ing</w:t>
      </w:r>
      <w:r w:rsidRPr="092CC55B">
        <w:t xml:space="preserve"> Treatment Plan Fees </w:t>
      </w:r>
    </w:p>
    <w:p w14:paraId="0BCA84BD" w14:textId="2C2B1A34" w:rsidR="006108B2" w:rsidRPr="006108B2" w:rsidRDefault="006108B2" w:rsidP="00A0461D">
      <w:pPr>
        <w:pStyle w:val="BodyText"/>
      </w:pPr>
      <w:r w:rsidRPr="092CC55B">
        <w:t xml:space="preserve">To maintain the integrity of treatment plan estimates, Dentrix Enterprise does not automatically update the fees for procedures </w:t>
      </w:r>
      <w:r>
        <w:t xml:space="preserve">that are </w:t>
      </w:r>
      <w:r w:rsidRPr="092CC55B">
        <w:t xml:space="preserve">assigned to a treatment plan. If the fees have changed since the time </w:t>
      </w:r>
      <w:r>
        <w:t>a</w:t>
      </w:r>
      <w:r w:rsidRPr="092CC55B">
        <w:t xml:space="preserve"> treatment plan was given to a patient, </w:t>
      </w:r>
      <w:r>
        <w:t xml:space="preserve">you can manually update the fees in </w:t>
      </w:r>
      <w:r w:rsidRPr="092CC55B">
        <w:t xml:space="preserve">the treatment plan for that individual patient or </w:t>
      </w:r>
      <w:r>
        <w:t xml:space="preserve">for </w:t>
      </w:r>
      <w:r w:rsidRPr="092CC55B">
        <w:t xml:space="preserve">all patients from the </w:t>
      </w:r>
      <w:r w:rsidRPr="00AB7939">
        <w:rPr>
          <w:b/>
          <w:bCs/>
        </w:rPr>
        <w:t>Fee Schedule Maintenance</w:t>
      </w:r>
      <w:r w:rsidRPr="092CC55B">
        <w:t xml:space="preserve"> </w:t>
      </w:r>
      <w:r>
        <w:t>dialog box</w:t>
      </w:r>
      <w:r w:rsidRPr="092CC55B">
        <w:t>.</w:t>
      </w:r>
    </w:p>
    <w:p w14:paraId="2FD40FEA" w14:textId="7A7E6F70" w:rsidR="00961B13" w:rsidRPr="00C75161" w:rsidRDefault="00961B13" w:rsidP="00ED6999">
      <w:pPr>
        <w:pStyle w:val="Heading2"/>
        <w:rPr>
          <w:rFonts w:eastAsia="Times New Roman"/>
        </w:rPr>
      </w:pPr>
      <w:bookmarkStart w:id="204" w:name="_Toc166834380"/>
      <w:r w:rsidRPr="00C75161">
        <w:rPr>
          <w:rFonts w:eastAsia="Times New Roman"/>
        </w:rPr>
        <w:t xml:space="preserve">Implementing a </w:t>
      </w:r>
      <w:r w:rsidR="00006665">
        <w:rPr>
          <w:rFonts w:eastAsia="Times New Roman"/>
        </w:rPr>
        <w:t>R</w:t>
      </w:r>
      <w:r w:rsidRPr="00C75161">
        <w:rPr>
          <w:rFonts w:eastAsia="Times New Roman"/>
        </w:rPr>
        <w:t xml:space="preserve">evenue </w:t>
      </w:r>
      <w:r w:rsidR="00006665">
        <w:rPr>
          <w:rFonts w:eastAsia="Times New Roman"/>
        </w:rPr>
        <w:t>C</w:t>
      </w:r>
      <w:r w:rsidRPr="00C75161">
        <w:rPr>
          <w:rFonts w:eastAsia="Times New Roman"/>
        </w:rPr>
        <w:t xml:space="preserve">ycle </w:t>
      </w:r>
      <w:r w:rsidR="00006665">
        <w:rPr>
          <w:rFonts w:eastAsia="Times New Roman"/>
        </w:rPr>
        <w:t>P</w:t>
      </w:r>
      <w:r w:rsidRPr="00C75161">
        <w:rPr>
          <w:rFonts w:eastAsia="Times New Roman"/>
        </w:rPr>
        <w:t>rogram</w:t>
      </w:r>
      <w:bookmarkEnd w:id="204"/>
    </w:p>
    <w:p w14:paraId="6282E66E" w14:textId="068C50CE"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By following the</w:t>
      </w:r>
      <w:r w:rsidR="00ED6999">
        <w:rPr>
          <w:rFonts w:ascii="Times New Roman" w:eastAsia="Times New Roman" w:hAnsi="Times New Roman" w:cs="Times New Roman"/>
          <w:szCs w:val="22"/>
        </w:rPr>
        <w:t>se</w:t>
      </w:r>
      <w:r w:rsidRPr="00C75161">
        <w:rPr>
          <w:rFonts w:ascii="Times New Roman" w:eastAsia="Times New Roman" w:hAnsi="Times New Roman" w:cs="Times New Roman"/>
          <w:szCs w:val="22"/>
        </w:rPr>
        <w:t xml:space="preserve"> </w:t>
      </w:r>
      <w:r w:rsidR="00006665">
        <w:rPr>
          <w:rFonts w:ascii="Times New Roman" w:eastAsia="Times New Roman" w:hAnsi="Times New Roman" w:cs="Times New Roman"/>
          <w:szCs w:val="22"/>
        </w:rPr>
        <w:t xml:space="preserve">key </w:t>
      </w:r>
      <w:r w:rsidRPr="00C75161">
        <w:rPr>
          <w:rFonts w:ascii="Times New Roman" w:eastAsia="Times New Roman" w:hAnsi="Times New Roman" w:cs="Times New Roman"/>
          <w:szCs w:val="22"/>
        </w:rPr>
        <w:t xml:space="preserve">steps, </w:t>
      </w:r>
      <w:r>
        <w:rPr>
          <w:rFonts w:ascii="Times New Roman" w:eastAsia="Times New Roman" w:hAnsi="Times New Roman" w:cs="Times New Roman"/>
          <w:szCs w:val="22"/>
        </w:rPr>
        <w:t>the I/T/U</w:t>
      </w:r>
      <w:r w:rsidRPr="00C75161">
        <w:rPr>
          <w:rFonts w:ascii="Times New Roman" w:eastAsia="Times New Roman" w:hAnsi="Times New Roman" w:cs="Times New Roman"/>
          <w:szCs w:val="22"/>
        </w:rPr>
        <w:t xml:space="preserve"> dental clinic can develop a revenue cycle program with success and ensures the efficient operation of all patient visit lifecycle processes.</w:t>
      </w:r>
    </w:p>
    <w:p w14:paraId="52CEF03D" w14:textId="77777777" w:rsidR="00961B13" w:rsidRPr="00B6246D"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Assessment and Planning:</w:t>
      </w:r>
    </w:p>
    <w:p w14:paraId="67E32BAD" w14:textId="01B846AE" w:rsidR="00961B13" w:rsidRDefault="00961B13" w:rsidP="00B45D88">
      <w:pPr>
        <w:pStyle w:val="BodyText"/>
        <w:numPr>
          <w:ilvl w:val="0"/>
          <w:numId w:val="187"/>
        </w:numPr>
      </w:pPr>
      <w:r w:rsidRPr="00C75161">
        <w:t>Evaluate current revenue cycle processes</w:t>
      </w:r>
      <w:r w:rsidR="00006665">
        <w:t>,</w:t>
      </w:r>
      <w:r w:rsidRPr="00C75161">
        <w:t xml:space="preserve"> and identify areas for improvement.</w:t>
      </w:r>
    </w:p>
    <w:p w14:paraId="110F6BAF" w14:textId="77777777" w:rsidR="00961B13" w:rsidRDefault="00961B13" w:rsidP="00B45D88">
      <w:pPr>
        <w:pStyle w:val="BodyText"/>
        <w:numPr>
          <w:ilvl w:val="0"/>
          <w:numId w:val="187"/>
        </w:numPr>
      </w:pPr>
      <w:r w:rsidRPr="00C75161">
        <w:t>Set clear goals and objectives for the revenue cycle program.</w:t>
      </w:r>
    </w:p>
    <w:p w14:paraId="17A2D844" w14:textId="77777777" w:rsidR="00961B13" w:rsidRDefault="00961B13" w:rsidP="00B45D88">
      <w:pPr>
        <w:pStyle w:val="BodyText"/>
        <w:numPr>
          <w:ilvl w:val="0"/>
          <w:numId w:val="187"/>
        </w:numPr>
      </w:pPr>
      <w:r w:rsidRPr="00C75161">
        <w:t>Develop a comprehensive implementation plan with timelines and milestones.</w:t>
      </w:r>
    </w:p>
    <w:p w14:paraId="5D4F6B50" w14:textId="77777777" w:rsidR="00961B13" w:rsidRPr="00B6246D"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Staff Education and Training:</w:t>
      </w:r>
    </w:p>
    <w:p w14:paraId="4AD4C842" w14:textId="77777777" w:rsidR="00961B13" w:rsidRDefault="00961B13" w:rsidP="00B45D88">
      <w:pPr>
        <w:pStyle w:val="BodyText"/>
        <w:numPr>
          <w:ilvl w:val="0"/>
          <w:numId w:val="188"/>
        </w:numPr>
      </w:pPr>
      <w:r w:rsidRPr="00C75161">
        <w:t xml:space="preserve">Provide </w:t>
      </w:r>
      <w:r>
        <w:t>education</w:t>
      </w:r>
      <w:r w:rsidRPr="00C75161">
        <w:t xml:space="preserve"> to staff members on the new revenue cycle processes, including billing, coding, and collections.</w:t>
      </w:r>
    </w:p>
    <w:p w14:paraId="601370E7" w14:textId="0F6B58EE" w:rsidR="00961B13" w:rsidRDefault="00961B13" w:rsidP="00B45D88">
      <w:pPr>
        <w:pStyle w:val="BodyText"/>
        <w:numPr>
          <w:ilvl w:val="0"/>
          <w:numId w:val="188"/>
        </w:numPr>
      </w:pPr>
      <w:r>
        <w:t xml:space="preserve">Provide </w:t>
      </w:r>
      <w:r w:rsidR="00006665">
        <w:t>p</w:t>
      </w:r>
      <w:r>
        <w:t xml:space="preserve">ractice </w:t>
      </w:r>
      <w:r w:rsidR="00006665">
        <w:t>m</w:t>
      </w:r>
      <w:r>
        <w:t xml:space="preserve">anagement </w:t>
      </w:r>
      <w:r w:rsidR="00006665">
        <w:t>s</w:t>
      </w:r>
      <w:r>
        <w:t>ystem training to staff members, including billing workflows, claim management, account management, payment posting, and financial reporting.</w:t>
      </w:r>
    </w:p>
    <w:p w14:paraId="64DF4175" w14:textId="77777777" w:rsidR="00961B13" w:rsidRDefault="00961B13" w:rsidP="00B45D88">
      <w:pPr>
        <w:pStyle w:val="BodyText"/>
        <w:numPr>
          <w:ilvl w:val="0"/>
          <w:numId w:val="188"/>
        </w:numPr>
      </w:pPr>
      <w:r w:rsidRPr="00C75161">
        <w:t>Ensure that staff understand their roles and responsibilities within the revenue cycle program.</w:t>
      </w:r>
    </w:p>
    <w:p w14:paraId="63DF02CA" w14:textId="77777777" w:rsidR="00961B13" w:rsidRDefault="00961B13" w:rsidP="00B45D88">
      <w:pPr>
        <w:pStyle w:val="BodyText"/>
        <w:numPr>
          <w:ilvl w:val="0"/>
          <w:numId w:val="188"/>
        </w:numPr>
      </w:pPr>
      <w:r w:rsidRPr="00C75161">
        <w:t>Offer ongoing education and support to keep staff updated on changes and best practices.</w:t>
      </w:r>
    </w:p>
    <w:p w14:paraId="7D7ADEB0" w14:textId="77777777" w:rsidR="00961B13" w:rsidRPr="00B6246D"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Technology Integration:</w:t>
      </w:r>
    </w:p>
    <w:p w14:paraId="6DBE07F0" w14:textId="77777777" w:rsidR="00961B13" w:rsidRDefault="00961B13" w:rsidP="00B45D88">
      <w:pPr>
        <w:pStyle w:val="BodyText"/>
        <w:numPr>
          <w:ilvl w:val="0"/>
          <w:numId w:val="189"/>
        </w:numPr>
      </w:pPr>
      <w:r>
        <w:t>I</w:t>
      </w:r>
      <w:r w:rsidRPr="00C75161">
        <w:t>mplement or upgrade revenue cycle management software to streamline processes and improve efficiency</w:t>
      </w:r>
      <w:r>
        <w:t>.</w:t>
      </w:r>
    </w:p>
    <w:p w14:paraId="2E4361B9" w14:textId="77777777" w:rsidR="00961B13" w:rsidRDefault="00961B13" w:rsidP="00B45D88">
      <w:pPr>
        <w:pStyle w:val="BodyText"/>
        <w:numPr>
          <w:ilvl w:val="0"/>
          <w:numId w:val="189"/>
        </w:numPr>
      </w:pPr>
      <w:r w:rsidRPr="00C75161">
        <w:t>Integrate electronic health records (EHR)</w:t>
      </w:r>
      <w:r>
        <w:t xml:space="preserve"> and electronic dental record (EDR)</w:t>
      </w:r>
      <w:r w:rsidRPr="00C75161">
        <w:t xml:space="preserve"> systems with billing and coding systems to reduce errors and improve data accuracy</w:t>
      </w:r>
      <w:r>
        <w:t>.</w:t>
      </w:r>
    </w:p>
    <w:p w14:paraId="6A08C075" w14:textId="77777777" w:rsidR="00961B13" w:rsidRDefault="00961B13" w:rsidP="00B45D88">
      <w:pPr>
        <w:pStyle w:val="BodyText"/>
        <w:numPr>
          <w:ilvl w:val="0"/>
          <w:numId w:val="189"/>
        </w:numPr>
      </w:pPr>
      <w:r w:rsidRPr="00C75161">
        <w:t>Ensure that staff are trained in using new technology effectively.</w:t>
      </w:r>
    </w:p>
    <w:p w14:paraId="6CCC48EE" w14:textId="77777777" w:rsidR="00961B13"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Patient Registration and Scheduling:</w:t>
      </w:r>
    </w:p>
    <w:p w14:paraId="7416B909" w14:textId="13F628F2" w:rsidR="00961B13" w:rsidRPr="00B6246D" w:rsidRDefault="00961B13" w:rsidP="00B45D88">
      <w:pPr>
        <w:pStyle w:val="BodyText"/>
        <w:numPr>
          <w:ilvl w:val="0"/>
          <w:numId w:val="190"/>
        </w:numPr>
        <w:rPr>
          <w:u w:val="single"/>
        </w:rPr>
      </w:pPr>
      <w:r w:rsidRPr="00B6246D">
        <w:t>Improve patient registration processes to collect accurate demographic and insurance information.</w:t>
      </w:r>
    </w:p>
    <w:p w14:paraId="26C581BC" w14:textId="77777777" w:rsidR="00961B13" w:rsidRPr="00B6246D" w:rsidRDefault="00961B13" w:rsidP="00B45D88">
      <w:pPr>
        <w:pStyle w:val="BodyText"/>
        <w:numPr>
          <w:ilvl w:val="0"/>
          <w:numId w:val="190"/>
        </w:numPr>
        <w:rPr>
          <w:u w:val="single"/>
        </w:rPr>
      </w:pPr>
      <w:r w:rsidRPr="00B6246D">
        <w:lastRenderedPageBreak/>
        <w:t>Implement tools for eligibility verification and pre-authorization to minimize claim denials.</w:t>
      </w:r>
    </w:p>
    <w:p w14:paraId="020EDFB1" w14:textId="77777777" w:rsidR="00961B13" w:rsidRPr="00B6246D" w:rsidRDefault="00961B13" w:rsidP="00B45D88">
      <w:pPr>
        <w:pStyle w:val="BodyText"/>
        <w:numPr>
          <w:ilvl w:val="0"/>
          <w:numId w:val="190"/>
        </w:numPr>
        <w:rPr>
          <w:u w:val="single"/>
        </w:rPr>
      </w:pPr>
      <w:r>
        <w:t>Incorporate consistent</w:t>
      </w:r>
      <w:r w:rsidRPr="00B6246D">
        <w:t xml:space="preserve"> appointment scheduling</w:t>
      </w:r>
      <w:r>
        <w:t xml:space="preserve"> and communication processes</w:t>
      </w:r>
      <w:r w:rsidRPr="00B6246D">
        <w:t xml:space="preserve"> to </w:t>
      </w:r>
      <w:r>
        <w:t>optimize the schedule</w:t>
      </w:r>
      <w:r w:rsidRPr="00B6246D">
        <w:t xml:space="preserve"> and minimize no-shows.</w:t>
      </w:r>
    </w:p>
    <w:p w14:paraId="0FA84D57" w14:textId="77777777" w:rsidR="00961B13" w:rsidRDefault="00961B13" w:rsidP="00B45D88">
      <w:pPr>
        <w:pStyle w:val="ListParagraph"/>
        <w:keepNext/>
        <w:keepLines/>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Claims Submission and Coding:</w:t>
      </w:r>
    </w:p>
    <w:p w14:paraId="46ABB363" w14:textId="77777777" w:rsidR="00961B13" w:rsidRPr="00B6246D" w:rsidRDefault="00961B13" w:rsidP="00B45D88">
      <w:pPr>
        <w:pStyle w:val="BodyText"/>
        <w:numPr>
          <w:ilvl w:val="0"/>
          <w:numId w:val="191"/>
        </w:numPr>
        <w:rPr>
          <w:u w:val="single"/>
        </w:rPr>
      </w:pPr>
      <w:r w:rsidRPr="00B6246D">
        <w:t>Standardize coding processes to ensure compliance with billing regulations.</w:t>
      </w:r>
    </w:p>
    <w:p w14:paraId="440DB0F6" w14:textId="77777777" w:rsidR="00961B13" w:rsidRPr="00B6246D" w:rsidRDefault="00961B13" w:rsidP="00B45D88">
      <w:pPr>
        <w:pStyle w:val="BodyText"/>
        <w:numPr>
          <w:ilvl w:val="0"/>
          <w:numId w:val="191"/>
        </w:numPr>
        <w:rPr>
          <w:u w:val="single"/>
        </w:rPr>
      </w:pPr>
      <w:r w:rsidRPr="00B6246D">
        <w:t>Implement a system for tracking claims through the submission process and identifying and addressing issues promptly.</w:t>
      </w:r>
    </w:p>
    <w:p w14:paraId="5C4A9898" w14:textId="77777777" w:rsidR="00961B13" w:rsidRPr="00B6246D" w:rsidRDefault="00961B13" w:rsidP="00B45D88">
      <w:pPr>
        <w:pStyle w:val="BodyText"/>
        <w:numPr>
          <w:ilvl w:val="0"/>
          <w:numId w:val="191"/>
        </w:numPr>
        <w:rPr>
          <w:u w:val="single"/>
        </w:rPr>
      </w:pPr>
      <w:r w:rsidRPr="00B6246D">
        <w:t>Monitor claim denials and implement strategies to reduce their occurrence, such as improving documentation and appeals processes.</w:t>
      </w:r>
    </w:p>
    <w:p w14:paraId="34CCE725" w14:textId="77777777" w:rsidR="00961B13"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Billing and Collections:</w:t>
      </w:r>
    </w:p>
    <w:p w14:paraId="33CC4DCF" w14:textId="77777777" w:rsidR="00961B13" w:rsidRPr="00B6246D" w:rsidRDefault="00961B13" w:rsidP="00B45D88">
      <w:pPr>
        <w:pStyle w:val="BodyText"/>
        <w:numPr>
          <w:ilvl w:val="0"/>
          <w:numId w:val="192"/>
        </w:numPr>
        <w:rPr>
          <w:u w:val="single"/>
        </w:rPr>
      </w:pPr>
      <w:r w:rsidRPr="00B6246D">
        <w:t>Streamline billing processes to reduce errors and speed up reimbursement.</w:t>
      </w:r>
    </w:p>
    <w:p w14:paraId="3FD1D019" w14:textId="77777777" w:rsidR="00961B13" w:rsidRPr="00B6246D" w:rsidRDefault="00961B13" w:rsidP="00B45D88">
      <w:pPr>
        <w:pStyle w:val="BodyText"/>
        <w:numPr>
          <w:ilvl w:val="0"/>
          <w:numId w:val="192"/>
        </w:numPr>
        <w:rPr>
          <w:u w:val="single"/>
        </w:rPr>
      </w:pPr>
      <w:r w:rsidRPr="00B6246D">
        <w:t>Implement a system for monitoring accounts receivable and following up on overdue payments.</w:t>
      </w:r>
    </w:p>
    <w:p w14:paraId="6F291703" w14:textId="77777777" w:rsidR="00961B13" w:rsidRPr="00B6246D" w:rsidRDefault="00961B13" w:rsidP="00B45D88">
      <w:pPr>
        <w:pStyle w:val="BodyText"/>
        <w:numPr>
          <w:ilvl w:val="0"/>
          <w:numId w:val="192"/>
        </w:numPr>
        <w:rPr>
          <w:u w:val="single"/>
        </w:rPr>
      </w:pPr>
      <w:r w:rsidRPr="00B6246D">
        <w:t>Provide clear financial policies to patients.</w:t>
      </w:r>
    </w:p>
    <w:p w14:paraId="1664B651" w14:textId="77777777" w:rsidR="00961B13"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Performance Monitoring and Reporting:</w:t>
      </w:r>
    </w:p>
    <w:p w14:paraId="30B30E61" w14:textId="77777777" w:rsidR="00961B13" w:rsidRPr="00B6246D" w:rsidRDefault="00961B13" w:rsidP="00B45D88">
      <w:pPr>
        <w:pStyle w:val="BodyText"/>
        <w:numPr>
          <w:ilvl w:val="0"/>
          <w:numId w:val="193"/>
        </w:numPr>
        <w:rPr>
          <w:u w:val="single"/>
        </w:rPr>
      </w:pPr>
      <w:r w:rsidRPr="00B6246D">
        <w:t>Establish key performance indicators (KPIs) to measure the effectiveness of the revenue cycle program.</w:t>
      </w:r>
    </w:p>
    <w:p w14:paraId="603B679E" w14:textId="77777777" w:rsidR="00961B13" w:rsidRPr="00B6246D" w:rsidRDefault="00961B13" w:rsidP="00B45D88">
      <w:pPr>
        <w:pStyle w:val="BodyText"/>
        <w:numPr>
          <w:ilvl w:val="0"/>
          <w:numId w:val="193"/>
        </w:numPr>
        <w:rPr>
          <w:u w:val="single"/>
        </w:rPr>
      </w:pPr>
      <w:r w:rsidRPr="00B6246D">
        <w:t>Regularly monitor KPIs and generate reports to identify trends and areas for improvement.</w:t>
      </w:r>
    </w:p>
    <w:p w14:paraId="62030412" w14:textId="77777777" w:rsidR="00961B13" w:rsidRDefault="00961B13" w:rsidP="00B45D88">
      <w:pPr>
        <w:pStyle w:val="ListParagraph"/>
        <w:widowControl/>
        <w:numPr>
          <w:ilvl w:val="0"/>
          <w:numId w:val="178"/>
        </w:numPr>
        <w:autoSpaceDE/>
        <w:autoSpaceDN/>
        <w:spacing w:before="0" w:line="259" w:lineRule="auto"/>
        <w:rPr>
          <w:rFonts w:ascii="Times New Roman" w:eastAsia="Times New Roman" w:hAnsi="Times New Roman" w:cs="Times New Roman"/>
          <w:u w:val="single"/>
        </w:rPr>
      </w:pPr>
      <w:r w:rsidRPr="00B6246D">
        <w:rPr>
          <w:rFonts w:ascii="Times New Roman" w:eastAsia="Times New Roman" w:hAnsi="Times New Roman" w:cs="Times New Roman"/>
          <w:u w:val="single"/>
        </w:rPr>
        <w:t>Continuous Improvement</w:t>
      </w:r>
      <w:r>
        <w:rPr>
          <w:rFonts w:ascii="Times New Roman" w:eastAsia="Times New Roman" w:hAnsi="Times New Roman" w:cs="Times New Roman"/>
          <w:u w:val="single"/>
        </w:rPr>
        <w:t>:</w:t>
      </w:r>
    </w:p>
    <w:p w14:paraId="28C0010E" w14:textId="77777777" w:rsidR="00961B13" w:rsidRPr="00B6246D" w:rsidRDefault="00961B13" w:rsidP="00B45D88">
      <w:pPr>
        <w:pStyle w:val="BodyText"/>
        <w:numPr>
          <w:ilvl w:val="0"/>
          <w:numId w:val="194"/>
        </w:numPr>
        <w:rPr>
          <w:u w:val="single"/>
        </w:rPr>
      </w:pPr>
      <w:r w:rsidRPr="00B6246D">
        <w:t>Foster a culture of continuous improvement and innovation within the organization.</w:t>
      </w:r>
    </w:p>
    <w:p w14:paraId="68F539BE" w14:textId="77777777" w:rsidR="00961B13" w:rsidRPr="00B6246D" w:rsidRDefault="00961B13" w:rsidP="00B45D88">
      <w:pPr>
        <w:pStyle w:val="BodyText"/>
        <w:numPr>
          <w:ilvl w:val="0"/>
          <w:numId w:val="194"/>
        </w:numPr>
        <w:rPr>
          <w:u w:val="single"/>
        </w:rPr>
      </w:pPr>
      <w:r w:rsidRPr="00B6246D">
        <w:t>Solicit feedback from staff and patients to identify opportunities for improvement.</w:t>
      </w:r>
    </w:p>
    <w:p w14:paraId="22B52F0D" w14:textId="77777777" w:rsidR="00961B13" w:rsidRPr="00B6246D" w:rsidRDefault="00961B13" w:rsidP="00B45D88">
      <w:pPr>
        <w:pStyle w:val="BodyText"/>
        <w:numPr>
          <w:ilvl w:val="0"/>
          <w:numId w:val="194"/>
        </w:numPr>
        <w:rPr>
          <w:u w:val="single"/>
        </w:rPr>
      </w:pPr>
      <w:r w:rsidRPr="00B6246D">
        <w:t>Regularly review and update revenue cycle processes and procedures to adapt to changes in regulations, technology, and best practices.</w:t>
      </w:r>
    </w:p>
    <w:p w14:paraId="504E20EC" w14:textId="2E1B0365" w:rsidR="00673129" w:rsidRDefault="00673129" w:rsidP="00ED6999">
      <w:pPr>
        <w:pStyle w:val="Heading2"/>
        <w:rPr>
          <w:rFonts w:eastAsia="Times New Roman"/>
        </w:rPr>
      </w:pPr>
      <w:bookmarkStart w:id="205" w:name="_Toc166834381"/>
      <w:r>
        <w:rPr>
          <w:rFonts w:eastAsia="Times New Roman"/>
        </w:rPr>
        <w:t>Fee Schedule Guidance</w:t>
      </w:r>
      <w:bookmarkEnd w:id="205"/>
    </w:p>
    <w:p w14:paraId="7901A31B" w14:textId="2C8DA05F" w:rsidR="00961B13" w:rsidRPr="00C75161" w:rsidRDefault="00961B13" w:rsidP="00673129">
      <w:pPr>
        <w:pStyle w:val="Heading3"/>
        <w:rPr>
          <w:rFonts w:eastAsia="Times New Roman"/>
        </w:rPr>
      </w:pPr>
      <w:bookmarkStart w:id="206" w:name="_Toc166834382"/>
      <w:r w:rsidRPr="00C75161">
        <w:rPr>
          <w:rFonts w:eastAsia="Times New Roman"/>
        </w:rPr>
        <w:t>UCR vs Master Fee Schedule</w:t>
      </w:r>
      <w:bookmarkEnd w:id="206"/>
    </w:p>
    <w:p w14:paraId="4B19EDAF" w14:textId="65FEE39B"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A fee schedule is a predetermined list of charges </w:t>
      </w:r>
      <w:r>
        <w:rPr>
          <w:rFonts w:ascii="Times New Roman" w:eastAsia="Times New Roman" w:hAnsi="Times New Roman" w:cs="Times New Roman"/>
          <w:szCs w:val="22"/>
        </w:rPr>
        <w:t>(</w:t>
      </w:r>
      <w:r w:rsidRPr="00C75161">
        <w:rPr>
          <w:rFonts w:ascii="Times New Roman" w:eastAsia="Times New Roman" w:hAnsi="Times New Roman" w:cs="Times New Roman"/>
          <w:szCs w:val="22"/>
        </w:rPr>
        <w:t>or prices</w:t>
      </w:r>
      <w:r>
        <w:rPr>
          <w:rFonts w:ascii="Times New Roman" w:eastAsia="Times New Roman" w:hAnsi="Times New Roman" w:cs="Times New Roman"/>
          <w:szCs w:val="22"/>
        </w:rPr>
        <w:t>)</w:t>
      </w:r>
      <w:r w:rsidRPr="00C75161">
        <w:rPr>
          <w:rFonts w:ascii="Times New Roman" w:eastAsia="Times New Roman" w:hAnsi="Times New Roman" w:cs="Times New Roman"/>
          <w:szCs w:val="22"/>
        </w:rPr>
        <w:t xml:space="preserve"> </w:t>
      </w:r>
      <w:r>
        <w:rPr>
          <w:rFonts w:ascii="Times New Roman" w:eastAsia="Times New Roman" w:hAnsi="Times New Roman" w:cs="Times New Roman"/>
          <w:szCs w:val="22"/>
        </w:rPr>
        <w:t>created</w:t>
      </w:r>
      <w:r w:rsidRPr="00C75161">
        <w:rPr>
          <w:rFonts w:ascii="Times New Roman" w:eastAsia="Times New Roman" w:hAnsi="Times New Roman" w:cs="Times New Roman"/>
          <w:szCs w:val="22"/>
        </w:rPr>
        <w:t xml:space="preserve"> by </w:t>
      </w:r>
      <w:r>
        <w:rPr>
          <w:rFonts w:ascii="Times New Roman" w:eastAsia="Times New Roman" w:hAnsi="Times New Roman" w:cs="Times New Roman"/>
          <w:szCs w:val="22"/>
        </w:rPr>
        <w:t>the clinic</w:t>
      </w:r>
      <w:r w:rsidRPr="00C75161">
        <w:rPr>
          <w:rFonts w:ascii="Times New Roman" w:eastAsia="Times New Roman" w:hAnsi="Times New Roman" w:cs="Times New Roman"/>
          <w:szCs w:val="22"/>
        </w:rPr>
        <w:t xml:space="preserve"> or organization for the services they </w:t>
      </w:r>
      <w:r>
        <w:rPr>
          <w:rFonts w:ascii="Times New Roman" w:eastAsia="Times New Roman" w:hAnsi="Times New Roman" w:cs="Times New Roman"/>
          <w:szCs w:val="22"/>
        </w:rPr>
        <w:t>provide</w:t>
      </w:r>
      <w:r w:rsidRPr="00C75161">
        <w:rPr>
          <w:rFonts w:ascii="Times New Roman" w:eastAsia="Times New Roman" w:hAnsi="Times New Roman" w:cs="Times New Roman"/>
          <w:szCs w:val="22"/>
        </w:rPr>
        <w:t xml:space="preserve">. </w:t>
      </w:r>
      <w:r>
        <w:rPr>
          <w:rFonts w:ascii="Times New Roman" w:eastAsia="Times New Roman" w:hAnsi="Times New Roman" w:cs="Times New Roman"/>
          <w:szCs w:val="22"/>
        </w:rPr>
        <w:t>The fee schedule</w:t>
      </w:r>
      <w:r w:rsidRPr="00C75161">
        <w:rPr>
          <w:rFonts w:ascii="Times New Roman" w:eastAsia="Times New Roman" w:hAnsi="Times New Roman" w:cs="Times New Roman"/>
          <w:szCs w:val="22"/>
        </w:rPr>
        <w:t xml:space="preserve"> outlines the fees associated with </w:t>
      </w:r>
      <w:r>
        <w:rPr>
          <w:rFonts w:ascii="Times New Roman" w:eastAsia="Times New Roman" w:hAnsi="Times New Roman" w:cs="Times New Roman"/>
          <w:szCs w:val="22"/>
        </w:rPr>
        <w:t>dental</w:t>
      </w:r>
      <w:r w:rsidRPr="00C75161">
        <w:rPr>
          <w:rFonts w:ascii="Times New Roman" w:eastAsia="Times New Roman" w:hAnsi="Times New Roman" w:cs="Times New Roman"/>
          <w:szCs w:val="22"/>
        </w:rPr>
        <w:t xml:space="preserve"> procedures, treatments, and other services provided to patients. Fee schedules can vary based on factors such as the type of service, provider specialty, geographical location, and payment method (</w:t>
      </w:r>
      <w:r w:rsidR="00006665">
        <w:rPr>
          <w:rFonts w:ascii="Times New Roman" w:eastAsia="Times New Roman" w:hAnsi="Times New Roman" w:cs="Times New Roman"/>
          <w:szCs w:val="22"/>
        </w:rPr>
        <w:t>such as</w:t>
      </w:r>
      <w:r w:rsidRPr="00C75161">
        <w:rPr>
          <w:rFonts w:ascii="Times New Roman" w:eastAsia="Times New Roman" w:hAnsi="Times New Roman" w:cs="Times New Roman"/>
          <w:szCs w:val="22"/>
        </w:rPr>
        <w:t xml:space="preserve"> cash payment</w:t>
      </w:r>
      <w:r w:rsidR="00006665">
        <w:rPr>
          <w:rFonts w:ascii="Times New Roman" w:eastAsia="Times New Roman" w:hAnsi="Times New Roman" w:cs="Times New Roman"/>
          <w:szCs w:val="22"/>
        </w:rPr>
        <w:t xml:space="preserve"> and</w:t>
      </w:r>
      <w:r w:rsidRPr="00C75161">
        <w:rPr>
          <w:rFonts w:ascii="Times New Roman" w:eastAsia="Times New Roman" w:hAnsi="Times New Roman" w:cs="Times New Roman"/>
          <w:szCs w:val="22"/>
        </w:rPr>
        <w:t xml:space="preserve"> insurance reimbursement). </w:t>
      </w:r>
      <w:r>
        <w:rPr>
          <w:rFonts w:ascii="Times New Roman" w:eastAsia="Times New Roman" w:hAnsi="Times New Roman" w:cs="Times New Roman"/>
          <w:szCs w:val="22"/>
        </w:rPr>
        <w:t>A fee schedule</w:t>
      </w:r>
      <w:r w:rsidRPr="00C75161">
        <w:rPr>
          <w:rFonts w:ascii="Times New Roman" w:eastAsia="Times New Roman" w:hAnsi="Times New Roman" w:cs="Times New Roman"/>
          <w:szCs w:val="22"/>
        </w:rPr>
        <w:t xml:space="preserve"> serve</w:t>
      </w:r>
      <w:r>
        <w:rPr>
          <w:rFonts w:ascii="Times New Roman" w:eastAsia="Times New Roman" w:hAnsi="Times New Roman" w:cs="Times New Roman"/>
          <w:szCs w:val="22"/>
        </w:rPr>
        <w:t>s</w:t>
      </w:r>
      <w:r w:rsidRPr="00C75161">
        <w:rPr>
          <w:rFonts w:ascii="Times New Roman" w:eastAsia="Times New Roman" w:hAnsi="Times New Roman" w:cs="Times New Roman"/>
          <w:szCs w:val="22"/>
        </w:rPr>
        <w:t xml:space="preserve"> as a reference point for billing insurance companies,</w:t>
      </w:r>
      <w:r>
        <w:rPr>
          <w:rFonts w:ascii="Times New Roman" w:eastAsia="Times New Roman" w:hAnsi="Times New Roman" w:cs="Times New Roman"/>
          <w:szCs w:val="22"/>
        </w:rPr>
        <w:t xml:space="preserve"> patients,</w:t>
      </w:r>
      <w:r w:rsidRPr="00C75161">
        <w:rPr>
          <w:rFonts w:ascii="Times New Roman" w:eastAsia="Times New Roman" w:hAnsi="Times New Roman" w:cs="Times New Roman"/>
          <w:szCs w:val="22"/>
        </w:rPr>
        <w:t xml:space="preserve"> and other third-party payers.</w:t>
      </w:r>
    </w:p>
    <w:p w14:paraId="336C1092" w14:textId="1402232F"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UCR stands for "Usual, Customary, and Reasonable." In the context of healthcare and dental insurance, UCR refers to the amount that an insurance company considers to be reasonable for a specific medical or </w:t>
      </w:r>
      <w:r w:rsidRPr="00C75161">
        <w:rPr>
          <w:rFonts w:ascii="Times New Roman" w:eastAsia="Times New Roman" w:hAnsi="Times New Roman" w:cs="Times New Roman"/>
          <w:szCs w:val="22"/>
        </w:rPr>
        <w:lastRenderedPageBreak/>
        <w:t xml:space="preserve">dental service based on factors such as geographical location, provider specialty, and prevailing market rates. </w:t>
      </w:r>
    </w:p>
    <w:p w14:paraId="3219F910" w14:textId="7E6EAFDC"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When a patient receives a medical or dental service covered by insurance, the insurance company typically reimburses a portion of the cost based on its UCR fee schedule. I</w:t>
      </w:r>
      <w:r>
        <w:rPr>
          <w:rFonts w:ascii="Times New Roman" w:eastAsia="Times New Roman" w:hAnsi="Times New Roman" w:cs="Times New Roman"/>
          <w:szCs w:val="22"/>
        </w:rPr>
        <w:t>n a commercial billing environment, i</w:t>
      </w:r>
      <w:r w:rsidRPr="00C75161">
        <w:rPr>
          <w:rFonts w:ascii="Times New Roman" w:eastAsia="Times New Roman" w:hAnsi="Times New Roman" w:cs="Times New Roman"/>
          <w:szCs w:val="22"/>
        </w:rPr>
        <w:t>f the provider charges more than the UCR rate, the patient may be responsible for paying the difference in addition to any copayments or deductibles.</w:t>
      </w:r>
    </w:p>
    <w:p w14:paraId="7CBC226A" w14:textId="4793220C"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The UCR amount is determined by the insurance company and may not always align with the actual fees charged by providers. It serves as a guideline for determining reimbursement rates and helping to control costs within the insurance network.</w:t>
      </w:r>
    </w:p>
    <w:p w14:paraId="7139817B" w14:textId="728E067D"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The main difference between a UCR (Usual, Customary, and Reasonable) and a master fee schedule lies in their purpose and how they are used: </w:t>
      </w:r>
    </w:p>
    <w:p w14:paraId="46293170" w14:textId="77777777" w:rsidR="00961B13" w:rsidRPr="00B43E70" w:rsidRDefault="00961B13" w:rsidP="00B45D88">
      <w:pPr>
        <w:pStyle w:val="BodyText"/>
        <w:numPr>
          <w:ilvl w:val="0"/>
          <w:numId w:val="195"/>
        </w:numPr>
      </w:pPr>
      <w:r w:rsidRPr="00B45D88">
        <w:rPr>
          <w:b/>
          <w:bCs/>
        </w:rPr>
        <w:t>UCR (Usual, Customary, and Reasonable)</w:t>
      </w:r>
      <w:r w:rsidRPr="00B43E70">
        <w:t>:</w:t>
      </w:r>
    </w:p>
    <w:p w14:paraId="355A62F1" w14:textId="775D831B" w:rsidR="00961B13" w:rsidRDefault="00961B13" w:rsidP="00B45D88">
      <w:pPr>
        <w:pStyle w:val="BodyText"/>
        <w:numPr>
          <w:ilvl w:val="1"/>
          <w:numId w:val="195"/>
        </w:numPr>
      </w:pPr>
      <w:r w:rsidRPr="00B43E70">
        <w:t xml:space="preserve">UCR refers to the amount that an insurance company considers to be reasonable for a service based on factors such as geographical location </w:t>
      </w:r>
      <w:r>
        <w:t xml:space="preserve">and </w:t>
      </w:r>
      <w:r w:rsidRPr="00B43E70">
        <w:t>provider specialty.</w:t>
      </w:r>
    </w:p>
    <w:p w14:paraId="67927571" w14:textId="77777777" w:rsidR="00961B13" w:rsidRDefault="00961B13" w:rsidP="00B45D88">
      <w:pPr>
        <w:pStyle w:val="BodyText"/>
        <w:numPr>
          <w:ilvl w:val="1"/>
          <w:numId w:val="195"/>
        </w:numPr>
      </w:pPr>
      <w:r w:rsidRPr="00B43E70">
        <w:t>UCR is used as a benchmark for determining reimbursement rates by insurance companies. It helps insurers determine the maximum amount they will reimburse for a service.</w:t>
      </w:r>
    </w:p>
    <w:p w14:paraId="78B04B3C" w14:textId="77777777" w:rsidR="00961B13" w:rsidRDefault="00961B13" w:rsidP="00B45D88">
      <w:pPr>
        <w:pStyle w:val="BodyText"/>
        <w:numPr>
          <w:ilvl w:val="1"/>
          <w:numId w:val="195"/>
        </w:numPr>
      </w:pPr>
      <w:r w:rsidRPr="00B43E70">
        <w:t>UCR rates may vary between insurance companies and are subject to periodic updates to reflect changes in market conditions and healthcare costs.</w:t>
      </w:r>
    </w:p>
    <w:p w14:paraId="1E433F2D" w14:textId="77777777" w:rsidR="00961B13" w:rsidRDefault="00961B13" w:rsidP="00B45D88">
      <w:pPr>
        <w:pStyle w:val="BodyText"/>
        <w:numPr>
          <w:ilvl w:val="0"/>
          <w:numId w:val="195"/>
        </w:numPr>
      </w:pPr>
      <w:r w:rsidRPr="00B45D88">
        <w:rPr>
          <w:b/>
          <w:bCs/>
        </w:rPr>
        <w:t>Master Fee Schedule</w:t>
      </w:r>
      <w:r w:rsidRPr="00B43E70">
        <w:t>:</w:t>
      </w:r>
    </w:p>
    <w:p w14:paraId="14DB56ED" w14:textId="77777777" w:rsidR="00961B13" w:rsidRPr="00B43E70" w:rsidRDefault="00961B13" w:rsidP="00B45D88">
      <w:pPr>
        <w:pStyle w:val="BodyText"/>
        <w:numPr>
          <w:ilvl w:val="1"/>
          <w:numId w:val="195"/>
        </w:numPr>
        <w:rPr>
          <w:u w:val="single"/>
        </w:rPr>
      </w:pPr>
      <w:r w:rsidRPr="00B43E70">
        <w:t xml:space="preserve">A master fee schedule is a predetermined list of charges </w:t>
      </w:r>
      <w:r>
        <w:t>created</w:t>
      </w:r>
      <w:r w:rsidRPr="00B43E70">
        <w:t xml:space="preserve"> by </w:t>
      </w:r>
      <w:r>
        <w:t>the clinic</w:t>
      </w:r>
      <w:r w:rsidRPr="00B43E70">
        <w:t xml:space="preserve"> or organization for the services they </w:t>
      </w:r>
      <w:r>
        <w:t>provide</w:t>
      </w:r>
      <w:r w:rsidRPr="00B43E70">
        <w:t>.</w:t>
      </w:r>
    </w:p>
    <w:p w14:paraId="3DA270B4" w14:textId="77777777" w:rsidR="00961B13" w:rsidRPr="00B43E70" w:rsidRDefault="00961B13" w:rsidP="00B45D88">
      <w:pPr>
        <w:pStyle w:val="BodyText"/>
        <w:numPr>
          <w:ilvl w:val="1"/>
          <w:numId w:val="195"/>
        </w:numPr>
        <w:rPr>
          <w:u w:val="single"/>
        </w:rPr>
      </w:pPr>
      <w:r w:rsidRPr="00B43E70">
        <w:t xml:space="preserve">Unlike UCR rates, which are determined by insurance companies, master fee schedules are set by </w:t>
      </w:r>
      <w:r>
        <w:t>the clinic</w:t>
      </w:r>
      <w:r w:rsidRPr="00B43E70">
        <w:t xml:space="preserve"> or organization.</w:t>
      </w:r>
    </w:p>
    <w:p w14:paraId="1BCA827C" w14:textId="77777777" w:rsidR="00961B13" w:rsidRPr="00B43E70" w:rsidRDefault="00961B13" w:rsidP="00B45D88">
      <w:pPr>
        <w:pStyle w:val="BodyText"/>
        <w:numPr>
          <w:ilvl w:val="1"/>
          <w:numId w:val="195"/>
        </w:numPr>
        <w:rPr>
          <w:u w:val="single"/>
        </w:rPr>
      </w:pPr>
      <w:r w:rsidRPr="00B43E70">
        <w:t xml:space="preserve">Master fee schedules serve as a reference point for billing insurance companies, </w:t>
      </w:r>
      <w:r>
        <w:t xml:space="preserve">patients, </w:t>
      </w:r>
      <w:r w:rsidRPr="00B43E70">
        <w:t>and other third-party payers. They outline the fees associated with services provided.</w:t>
      </w:r>
    </w:p>
    <w:p w14:paraId="20AF418E" w14:textId="0EAFD25A" w:rsidR="00961B13" w:rsidRPr="00961B13" w:rsidRDefault="00961B13" w:rsidP="00B45D88">
      <w:pPr>
        <w:pStyle w:val="BodyText"/>
        <w:numPr>
          <w:ilvl w:val="1"/>
          <w:numId w:val="195"/>
        </w:numPr>
        <w:rPr>
          <w:u w:val="single"/>
        </w:rPr>
      </w:pPr>
      <w:r w:rsidRPr="00B43E70">
        <w:t xml:space="preserve">Master fee schedules may vary based on factors such as the type of service, provider specialty, geographical location, and payment method. </w:t>
      </w:r>
    </w:p>
    <w:p w14:paraId="7E72A180" w14:textId="5D737AE4" w:rsidR="00961B13" w:rsidRPr="00C75161" w:rsidRDefault="00006665" w:rsidP="00673129">
      <w:pPr>
        <w:pStyle w:val="Heading3"/>
        <w:rPr>
          <w:rFonts w:eastAsia="Times New Roman"/>
        </w:rPr>
      </w:pPr>
      <w:bookmarkStart w:id="207" w:name="_Toc166834383"/>
      <w:r>
        <w:rPr>
          <w:rFonts w:eastAsia="Times New Roman"/>
        </w:rPr>
        <w:t xml:space="preserve">Using </w:t>
      </w:r>
      <w:r w:rsidR="00961B13">
        <w:rPr>
          <w:rFonts w:eastAsia="Times New Roman"/>
        </w:rPr>
        <w:t>F</w:t>
      </w:r>
      <w:r w:rsidR="00961B13" w:rsidRPr="00C75161">
        <w:rPr>
          <w:rFonts w:eastAsia="Times New Roman"/>
        </w:rPr>
        <w:t xml:space="preserve">ee </w:t>
      </w:r>
      <w:r w:rsidR="00961B13">
        <w:rPr>
          <w:rFonts w:eastAsia="Times New Roman"/>
        </w:rPr>
        <w:t>S</w:t>
      </w:r>
      <w:r w:rsidR="00961B13" w:rsidRPr="00C75161">
        <w:rPr>
          <w:rFonts w:eastAsia="Times New Roman"/>
        </w:rPr>
        <w:t>chedules in Dentrix Enterprise</w:t>
      </w:r>
      <w:bookmarkEnd w:id="207"/>
      <w:r w:rsidR="00961B13" w:rsidRPr="00C75161">
        <w:rPr>
          <w:rFonts w:eastAsia="Times New Roman"/>
        </w:rPr>
        <w:t xml:space="preserve"> </w:t>
      </w:r>
    </w:p>
    <w:p w14:paraId="42A9DFA9" w14:textId="4D5FAE21"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By following these </w:t>
      </w:r>
      <w:r w:rsidR="00006665">
        <w:rPr>
          <w:rFonts w:ascii="Times New Roman" w:eastAsia="Times New Roman" w:hAnsi="Times New Roman" w:cs="Times New Roman"/>
          <w:szCs w:val="22"/>
        </w:rPr>
        <w:t xml:space="preserve">essential </w:t>
      </w:r>
      <w:r w:rsidRPr="00C75161">
        <w:rPr>
          <w:rFonts w:ascii="Times New Roman" w:eastAsia="Times New Roman" w:hAnsi="Times New Roman" w:cs="Times New Roman"/>
          <w:szCs w:val="22"/>
        </w:rPr>
        <w:t xml:space="preserve">steps, dental </w:t>
      </w:r>
      <w:r>
        <w:rPr>
          <w:rFonts w:ascii="Times New Roman" w:eastAsia="Times New Roman" w:hAnsi="Times New Roman" w:cs="Times New Roman"/>
          <w:szCs w:val="22"/>
        </w:rPr>
        <w:t>clinics</w:t>
      </w:r>
      <w:r w:rsidRPr="00C75161">
        <w:rPr>
          <w:rFonts w:ascii="Times New Roman" w:eastAsia="Times New Roman" w:hAnsi="Times New Roman" w:cs="Times New Roman"/>
          <w:szCs w:val="22"/>
        </w:rPr>
        <w:t xml:space="preserve"> can effectively manage fee schedules within Dentrix Enterprise to ensure accurate billing and reimbursement processes.</w:t>
      </w:r>
    </w:p>
    <w:p w14:paraId="09F62D77" w14:textId="77777777" w:rsidR="00961B13" w:rsidRDefault="00961B13" w:rsidP="00B45D88">
      <w:pPr>
        <w:pStyle w:val="ListParagraph"/>
        <w:widowControl/>
        <w:numPr>
          <w:ilvl w:val="0"/>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u w:val="single"/>
        </w:rPr>
        <w:t>Accessing Fee Schedules:</w:t>
      </w:r>
    </w:p>
    <w:p w14:paraId="443AE441" w14:textId="25F62144"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Log in to </w:t>
      </w:r>
      <w:r w:rsidR="00006665">
        <w:rPr>
          <w:rFonts w:ascii="Times New Roman" w:eastAsia="Times New Roman" w:hAnsi="Times New Roman" w:cs="Times New Roman"/>
        </w:rPr>
        <w:t xml:space="preserve">the </w:t>
      </w:r>
      <w:r w:rsidRPr="00B43E70">
        <w:rPr>
          <w:rFonts w:ascii="Times New Roman" w:eastAsia="Times New Roman" w:hAnsi="Times New Roman" w:cs="Times New Roman"/>
        </w:rPr>
        <w:t xml:space="preserve">Dentrix Enterprise </w:t>
      </w:r>
      <w:r w:rsidR="00006665">
        <w:rPr>
          <w:rFonts w:ascii="Times New Roman" w:eastAsia="Times New Roman" w:hAnsi="Times New Roman" w:cs="Times New Roman"/>
        </w:rPr>
        <w:t xml:space="preserve">Office Manager </w:t>
      </w:r>
      <w:r w:rsidRPr="00B43E70">
        <w:rPr>
          <w:rFonts w:ascii="Times New Roman" w:eastAsia="Times New Roman" w:hAnsi="Times New Roman" w:cs="Times New Roman"/>
        </w:rPr>
        <w:t>with</w:t>
      </w:r>
      <w:r w:rsidR="00006665">
        <w:rPr>
          <w:rFonts w:ascii="Times New Roman" w:eastAsia="Times New Roman" w:hAnsi="Times New Roman" w:cs="Times New Roman"/>
        </w:rPr>
        <w:t xml:space="preserve"> the</w:t>
      </w:r>
      <w:r w:rsidRPr="00B43E70">
        <w:rPr>
          <w:rFonts w:ascii="Times New Roman" w:eastAsia="Times New Roman" w:hAnsi="Times New Roman" w:cs="Times New Roman"/>
        </w:rPr>
        <w:t xml:space="preserve"> </w:t>
      </w:r>
      <w:r w:rsidR="00006665">
        <w:rPr>
          <w:rFonts w:ascii="Times New Roman" w:eastAsia="Times New Roman" w:hAnsi="Times New Roman" w:cs="Times New Roman"/>
        </w:rPr>
        <w:t>correct</w:t>
      </w:r>
      <w:r w:rsidRPr="00B43E70">
        <w:rPr>
          <w:rFonts w:ascii="Times New Roman" w:eastAsia="Times New Roman" w:hAnsi="Times New Roman" w:cs="Times New Roman"/>
        </w:rPr>
        <w:t xml:space="preserve"> credentials.</w:t>
      </w:r>
    </w:p>
    <w:p w14:paraId="22536A08" w14:textId="0D07F62D"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Navigate to </w:t>
      </w:r>
      <w:r w:rsidR="00006665" w:rsidRPr="00006665">
        <w:rPr>
          <w:rFonts w:ascii="Times New Roman" w:eastAsia="Times New Roman" w:hAnsi="Times New Roman" w:cs="Times New Roman"/>
          <w:b/>
          <w:bCs/>
        </w:rPr>
        <w:t>Maintenance</w:t>
      </w:r>
      <w:r w:rsidR="00006665">
        <w:rPr>
          <w:rFonts w:ascii="Times New Roman" w:eastAsia="Times New Roman" w:hAnsi="Times New Roman" w:cs="Times New Roman"/>
        </w:rPr>
        <w:t xml:space="preserve"> &gt; </w:t>
      </w:r>
      <w:r w:rsidRPr="00006665">
        <w:rPr>
          <w:rFonts w:ascii="Times New Roman" w:eastAsia="Times New Roman" w:hAnsi="Times New Roman" w:cs="Times New Roman"/>
          <w:b/>
          <w:bCs/>
        </w:rPr>
        <w:t>Practice Setup</w:t>
      </w:r>
      <w:r w:rsidRPr="00B43E70">
        <w:rPr>
          <w:rFonts w:ascii="Times New Roman" w:eastAsia="Times New Roman" w:hAnsi="Times New Roman" w:cs="Times New Roman"/>
        </w:rPr>
        <w:t xml:space="preserve"> </w:t>
      </w:r>
      <w:r w:rsidR="00006665">
        <w:rPr>
          <w:rFonts w:ascii="Times New Roman" w:eastAsia="Times New Roman" w:hAnsi="Times New Roman" w:cs="Times New Roman"/>
        </w:rPr>
        <w:t xml:space="preserve">&gt; </w:t>
      </w:r>
      <w:r w:rsidR="00006665" w:rsidRPr="00006665">
        <w:rPr>
          <w:rFonts w:ascii="Times New Roman" w:eastAsia="Times New Roman" w:hAnsi="Times New Roman" w:cs="Times New Roman"/>
          <w:b/>
          <w:bCs/>
        </w:rPr>
        <w:t>Fee Schedule Maintenance</w:t>
      </w:r>
      <w:r w:rsidRPr="00B43E70">
        <w:rPr>
          <w:rFonts w:ascii="Times New Roman" w:eastAsia="Times New Roman" w:hAnsi="Times New Roman" w:cs="Times New Roman"/>
        </w:rPr>
        <w:t>.</w:t>
      </w:r>
    </w:p>
    <w:p w14:paraId="75177544" w14:textId="77777777" w:rsidR="00961B13" w:rsidRDefault="00961B13" w:rsidP="00B45D88">
      <w:pPr>
        <w:pStyle w:val="ListParagraph"/>
        <w:widowControl/>
        <w:numPr>
          <w:ilvl w:val="0"/>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u w:val="single"/>
        </w:rPr>
        <w:t>Creating Fee Schedules:</w:t>
      </w:r>
    </w:p>
    <w:p w14:paraId="1FFAB308" w14:textId="42C3BF75"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Click </w:t>
      </w:r>
      <w:r w:rsidR="00006665" w:rsidRPr="00006665">
        <w:rPr>
          <w:rFonts w:ascii="Times New Roman" w:eastAsia="Times New Roman" w:hAnsi="Times New Roman" w:cs="Times New Roman"/>
          <w:b/>
          <w:bCs/>
        </w:rPr>
        <w:t>New</w:t>
      </w:r>
      <w:r w:rsidRPr="00B43E70">
        <w:rPr>
          <w:rFonts w:ascii="Times New Roman" w:eastAsia="Times New Roman" w:hAnsi="Times New Roman" w:cs="Times New Roman"/>
        </w:rPr>
        <w:t xml:space="preserve"> to create a new fee schedule.</w:t>
      </w:r>
    </w:p>
    <w:p w14:paraId="6FB30129" w14:textId="77777777"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Enter a name and description for the fee schedule.</w:t>
      </w:r>
    </w:p>
    <w:p w14:paraId="41407822" w14:textId="77777777" w:rsidR="00961B13" w:rsidRDefault="00961B13" w:rsidP="008130D0">
      <w:pPr>
        <w:pStyle w:val="ListParagraph"/>
        <w:keepNext/>
        <w:keepLines/>
        <w:widowControl/>
        <w:numPr>
          <w:ilvl w:val="0"/>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u w:val="single"/>
        </w:rPr>
        <w:lastRenderedPageBreak/>
        <w:t>Adding</w:t>
      </w:r>
      <w:r>
        <w:rPr>
          <w:rFonts w:ascii="Times New Roman" w:eastAsia="Times New Roman" w:hAnsi="Times New Roman" w:cs="Times New Roman"/>
          <w:u w:val="single"/>
        </w:rPr>
        <w:t>/Editing</w:t>
      </w:r>
      <w:r w:rsidRPr="00B43E70">
        <w:rPr>
          <w:rFonts w:ascii="Times New Roman" w:eastAsia="Times New Roman" w:hAnsi="Times New Roman" w:cs="Times New Roman"/>
          <w:u w:val="single"/>
        </w:rPr>
        <w:t xml:space="preserve"> Fee Items:</w:t>
      </w:r>
    </w:p>
    <w:p w14:paraId="614D7C1A" w14:textId="77777777"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Select the newly created fee schedule.</w:t>
      </w:r>
    </w:p>
    <w:p w14:paraId="749EE3C8" w14:textId="10669260"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Click the </w:t>
      </w:r>
      <w:r>
        <w:rPr>
          <w:rFonts w:ascii="Times New Roman" w:eastAsia="Times New Roman" w:hAnsi="Times New Roman" w:cs="Times New Roman"/>
        </w:rPr>
        <w:t xml:space="preserve">desired </w:t>
      </w:r>
      <w:r w:rsidR="003038F7">
        <w:rPr>
          <w:rFonts w:ascii="Times New Roman" w:eastAsia="Times New Roman" w:hAnsi="Times New Roman" w:cs="Times New Roman"/>
        </w:rPr>
        <w:t xml:space="preserve">procedure </w:t>
      </w:r>
      <w:r>
        <w:rPr>
          <w:rFonts w:ascii="Times New Roman" w:eastAsia="Times New Roman" w:hAnsi="Times New Roman" w:cs="Times New Roman"/>
        </w:rPr>
        <w:t>code</w:t>
      </w:r>
      <w:r w:rsidRPr="00B43E70">
        <w:rPr>
          <w:rFonts w:ascii="Times New Roman" w:eastAsia="Times New Roman" w:hAnsi="Times New Roman" w:cs="Times New Roman"/>
        </w:rPr>
        <w:t xml:space="preserve"> to </w:t>
      </w:r>
      <w:r>
        <w:rPr>
          <w:rFonts w:ascii="Times New Roman" w:eastAsia="Times New Roman" w:hAnsi="Times New Roman" w:cs="Times New Roman"/>
        </w:rPr>
        <w:t>update the fee</w:t>
      </w:r>
      <w:r w:rsidRPr="00B43E70">
        <w:rPr>
          <w:rFonts w:ascii="Times New Roman" w:eastAsia="Times New Roman" w:hAnsi="Times New Roman" w:cs="Times New Roman"/>
        </w:rPr>
        <w:t>.</w:t>
      </w:r>
    </w:p>
    <w:p w14:paraId="0E9576E8" w14:textId="77777777" w:rsidR="00961B13" w:rsidRDefault="00961B13" w:rsidP="00B45D88">
      <w:pPr>
        <w:pStyle w:val="ListParagraph"/>
        <w:keepNext/>
        <w:keepLines/>
        <w:widowControl/>
        <w:numPr>
          <w:ilvl w:val="0"/>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u w:val="single"/>
        </w:rPr>
        <w:t>Deleting Fee Items</w:t>
      </w:r>
      <w:r>
        <w:rPr>
          <w:rFonts w:ascii="Times New Roman" w:eastAsia="Times New Roman" w:hAnsi="Times New Roman" w:cs="Times New Roman"/>
          <w:u w:val="single"/>
        </w:rPr>
        <w:t xml:space="preserve"> (Zero Charge Fee)</w:t>
      </w:r>
      <w:r w:rsidRPr="00B43E70">
        <w:rPr>
          <w:rFonts w:ascii="Times New Roman" w:eastAsia="Times New Roman" w:hAnsi="Times New Roman" w:cs="Times New Roman"/>
          <w:u w:val="single"/>
        </w:rPr>
        <w:t>:</w:t>
      </w:r>
    </w:p>
    <w:p w14:paraId="16FF5084" w14:textId="566AA987"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Select the fee schedule containing the fee item you </w:t>
      </w:r>
      <w:r w:rsidR="003038F7">
        <w:rPr>
          <w:rFonts w:ascii="Times New Roman" w:eastAsia="Times New Roman" w:hAnsi="Times New Roman" w:cs="Times New Roman"/>
        </w:rPr>
        <w:t>want</w:t>
      </w:r>
      <w:r w:rsidRPr="00B43E70">
        <w:rPr>
          <w:rFonts w:ascii="Times New Roman" w:eastAsia="Times New Roman" w:hAnsi="Times New Roman" w:cs="Times New Roman"/>
        </w:rPr>
        <w:t xml:space="preserve"> to delete</w:t>
      </w:r>
      <w:r>
        <w:rPr>
          <w:rFonts w:ascii="Times New Roman" w:eastAsia="Times New Roman" w:hAnsi="Times New Roman" w:cs="Times New Roman"/>
        </w:rPr>
        <w:t>.</w:t>
      </w:r>
    </w:p>
    <w:p w14:paraId="5BC08E33" w14:textId="4A0A25D2"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 xml:space="preserve">Click the </w:t>
      </w:r>
      <w:r>
        <w:rPr>
          <w:rFonts w:ascii="Times New Roman" w:eastAsia="Times New Roman" w:hAnsi="Times New Roman" w:cs="Times New Roman"/>
        </w:rPr>
        <w:t>procedure code line</w:t>
      </w:r>
      <w:r w:rsidRPr="00B43E70">
        <w:rPr>
          <w:rFonts w:ascii="Times New Roman" w:eastAsia="Times New Roman" w:hAnsi="Times New Roman" w:cs="Times New Roman"/>
        </w:rPr>
        <w:t xml:space="preserve"> to highlight it.</w:t>
      </w:r>
    </w:p>
    <w:p w14:paraId="051C27DA" w14:textId="7F3718BD"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Pr>
          <w:rFonts w:ascii="Times New Roman" w:eastAsia="Times New Roman" w:hAnsi="Times New Roman" w:cs="Times New Roman"/>
        </w:rPr>
        <w:t xml:space="preserve">Enter </w:t>
      </w:r>
      <w:r w:rsidRPr="003038F7">
        <w:rPr>
          <w:rFonts w:ascii="Courier New" w:eastAsia="Times New Roman" w:hAnsi="Courier New" w:cs="Courier New"/>
          <w:b/>
          <w:bCs/>
        </w:rPr>
        <w:t>0.00</w:t>
      </w:r>
      <w:r w:rsidR="003038F7">
        <w:rPr>
          <w:rFonts w:ascii="Times New Roman" w:eastAsia="Times New Roman" w:hAnsi="Times New Roman" w:cs="Times New Roman"/>
        </w:rPr>
        <w:t xml:space="preserve"> as</w:t>
      </w:r>
      <w:r>
        <w:rPr>
          <w:rFonts w:ascii="Times New Roman" w:eastAsia="Times New Roman" w:hAnsi="Times New Roman" w:cs="Times New Roman"/>
        </w:rPr>
        <w:t xml:space="preserve"> the fee</w:t>
      </w:r>
      <w:r w:rsidRPr="00B43E70">
        <w:rPr>
          <w:rFonts w:ascii="Times New Roman" w:eastAsia="Times New Roman" w:hAnsi="Times New Roman" w:cs="Times New Roman"/>
        </w:rPr>
        <w:t>.</w:t>
      </w:r>
    </w:p>
    <w:p w14:paraId="24318A33" w14:textId="77777777" w:rsidR="00961B13" w:rsidRDefault="00961B13" w:rsidP="00B45D88">
      <w:pPr>
        <w:pStyle w:val="ListParagraph"/>
        <w:widowControl/>
        <w:numPr>
          <w:ilvl w:val="0"/>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u w:val="single"/>
        </w:rPr>
        <w:t>Assigning Fee Schedules:</w:t>
      </w:r>
    </w:p>
    <w:p w14:paraId="1B8F7C41" w14:textId="77777777" w:rsidR="00961B13" w:rsidRPr="00B43E70"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Assign fee schedules to specific providers</w:t>
      </w:r>
      <w:r>
        <w:rPr>
          <w:rFonts w:ascii="Times New Roman" w:eastAsia="Times New Roman" w:hAnsi="Times New Roman" w:cs="Times New Roman"/>
        </w:rPr>
        <w:t>, patients, and</w:t>
      </w:r>
      <w:r w:rsidRPr="00B43E70">
        <w:rPr>
          <w:rFonts w:ascii="Times New Roman" w:eastAsia="Times New Roman" w:hAnsi="Times New Roman" w:cs="Times New Roman"/>
        </w:rPr>
        <w:t xml:space="preserve"> insurance plans as needed.</w:t>
      </w:r>
    </w:p>
    <w:p w14:paraId="6A9E8627" w14:textId="77777777" w:rsidR="00961B13" w:rsidRPr="003B6E37"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B43E70">
        <w:rPr>
          <w:rFonts w:ascii="Times New Roman" w:eastAsia="Times New Roman" w:hAnsi="Times New Roman" w:cs="Times New Roman"/>
        </w:rPr>
        <w:t>Navigate to the Provider Setup or Insurance Plan Setup to assign fee schedules.</w:t>
      </w:r>
    </w:p>
    <w:p w14:paraId="5E8D7D61" w14:textId="77777777" w:rsidR="00961B13" w:rsidRDefault="00961B13" w:rsidP="00B45D88">
      <w:pPr>
        <w:pStyle w:val="ListParagraph"/>
        <w:widowControl/>
        <w:numPr>
          <w:ilvl w:val="0"/>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u w:val="single"/>
        </w:rPr>
        <w:t>Updating Fee Schedules:</w:t>
      </w:r>
    </w:p>
    <w:p w14:paraId="750FCBB3" w14:textId="77777777" w:rsidR="00961B13" w:rsidRPr="003B6E37"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Regularly review fee schedules to ensure they reflect current pricing and reimbursement rates.</w:t>
      </w:r>
    </w:p>
    <w:p w14:paraId="7A068D95" w14:textId="77777777" w:rsidR="00961B13" w:rsidRPr="003B6E37"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Make updates or adjustments to fee schedules as necessary.</w:t>
      </w:r>
    </w:p>
    <w:p w14:paraId="68727B32" w14:textId="77777777" w:rsidR="00961B13" w:rsidRDefault="00961B13" w:rsidP="00B45D88">
      <w:pPr>
        <w:pStyle w:val="ListParagraph"/>
        <w:widowControl/>
        <w:numPr>
          <w:ilvl w:val="0"/>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u w:val="single"/>
        </w:rPr>
        <w:t>Testing Fee Schedule Changes:</w:t>
      </w:r>
    </w:p>
    <w:p w14:paraId="0AED26ED" w14:textId="77777777" w:rsidR="00961B13" w:rsidRPr="003B6E37"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Before implementing changes to fee schedules, it's advisable to test them in a sandbox environment to ensure accuracy and avoid disruptions to billing processes.</w:t>
      </w:r>
    </w:p>
    <w:p w14:paraId="46FB0BF1" w14:textId="77777777" w:rsidR="00961B13" w:rsidRDefault="00961B13" w:rsidP="00B45D88">
      <w:pPr>
        <w:pStyle w:val="ListParagraph"/>
        <w:keepNext/>
        <w:keepLines/>
        <w:widowControl/>
        <w:numPr>
          <w:ilvl w:val="0"/>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u w:val="single"/>
        </w:rPr>
        <w:t>Training Staff:</w:t>
      </w:r>
    </w:p>
    <w:p w14:paraId="2805FF15" w14:textId="77777777" w:rsidR="00961B13" w:rsidRPr="003B6E37"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Provide training to staff members on how to use fee schedules effectively within Dentrix Enterprise.</w:t>
      </w:r>
    </w:p>
    <w:p w14:paraId="7DE6EAD7" w14:textId="38926E67" w:rsidR="00961B13" w:rsidRPr="00961B13" w:rsidRDefault="00961B13" w:rsidP="00B45D88">
      <w:pPr>
        <w:pStyle w:val="ListParagraph"/>
        <w:widowControl/>
        <w:numPr>
          <w:ilvl w:val="1"/>
          <w:numId w:val="180"/>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Ensure that staff understand how fee schedules impact billing and reimbursement processes.</w:t>
      </w:r>
    </w:p>
    <w:p w14:paraId="2C3B32FA" w14:textId="72AC4343" w:rsidR="00961B13" w:rsidRPr="00C75161" w:rsidRDefault="00961B13" w:rsidP="008130D0">
      <w:pPr>
        <w:pStyle w:val="Heading3"/>
        <w:rPr>
          <w:rFonts w:eastAsia="Times New Roman"/>
        </w:rPr>
      </w:pPr>
      <w:bookmarkStart w:id="208" w:name="_Toc166834384"/>
      <w:r>
        <w:rPr>
          <w:rFonts w:eastAsia="Times New Roman"/>
        </w:rPr>
        <w:t>Considerations and Factors for Creating</w:t>
      </w:r>
      <w:r w:rsidRPr="00C75161">
        <w:rPr>
          <w:rFonts w:eastAsia="Times New Roman"/>
        </w:rPr>
        <w:t xml:space="preserve"> a </w:t>
      </w:r>
      <w:r>
        <w:rPr>
          <w:rFonts w:eastAsia="Times New Roman"/>
        </w:rPr>
        <w:t>Master F</w:t>
      </w:r>
      <w:r w:rsidRPr="00C75161">
        <w:rPr>
          <w:rFonts w:eastAsia="Times New Roman"/>
        </w:rPr>
        <w:t xml:space="preserve">ee </w:t>
      </w:r>
      <w:r>
        <w:rPr>
          <w:rFonts w:eastAsia="Times New Roman"/>
        </w:rPr>
        <w:t>S</w:t>
      </w:r>
      <w:r w:rsidRPr="00C75161">
        <w:rPr>
          <w:rFonts w:eastAsia="Times New Roman"/>
        </w:rPr>
        <w:t>chedule</w:t>
      </w:r>
      <w:bookmarkEnd w:id="208"/>
    </w:p>
    <w:p w14:paraId="2BA9B102" w14:textId="64A24373"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This outline provides a structured approach to </w:t>
      </w:r>
      <w:r>
        <w:rPr>
          <w:rFonts w:ascii="Times New Roman" w:eastAsia="Times New Roman" w:hAnsi="Times New Roman" w:cs="Times New Roman"/>
          <w:szCs w:val="22"/>
        </w:rPr>
        <w:t>creating</w:t>
      </w:r>
      <w:r w:rsidRPr="00C75161">
        <w:rPr>
          <w:rFonts w:ascii="Times New Roman" w:eastAsia="Times New Roman" w:hAnsi="Times New Roman" w:cs="Times New Roman"/>
          <w:szCs w:val="22"/>
        </w:rPr>
        <w:t xml:space="preserve"> a fee schedule that considers both internal costs and external factors while ensuring compliance with regulations.</w:t>
      </w:r>
    </w:p>
    <w:p w14:paraId="27F851B3" w14:textId="00BEAC6E" w:rsidR="00961B13" w:rsidRPr="003B6E37" w:rsidRDefault="003038F7" w:rsidP="00B45D88">
      <w:pPr>
        <w:pStyle w:val="ListParagraph"/>
        <w:widowControl/>
        <w:numPr>
          <w:ilvl w:val="0"/>
          <w:numId w:val="181"/>
        </w:numPr>
        <w:autoSpaceDE/>
        <w:autoSpaceDN/>
        <w:spacing w:before="0" w:line="259" w:lineRule="auto"/>
        <w:ind w:left="720" w:hanging="360"/>
        <w:rPr>
          <w:rFonts w:ascii="Times New Roman" w:eastAsia="Times New Roman" w:hAnsi="Times New Roman" w:cs="Times New Roman"/>
          <w:u w:val="single"/>
        </w:rPr>
      </w:pPr>
      <w:r>
        <w:rPr>
          <w:rFonts w:ascii="Times New Roman" w:eastAsia="Times New Roman" w:hAnsi="Times New Roman" w:cs="Times New Roman"/>
          <w:u w:val="single"/>
        </w:rPr>
        <w:t>Cost A</w:t>
      </w:r>
      <w:r w:rsidR="00961B13" w:rsidRPr="003B6E37">
        <w:rPr>
          <w:rFonts w:ascii="Times New Roman" w:eastAsia="Times New Roman" w:hAnsi="Times New Roman" w:cs="Times New Roman"/>
          <w:u w:val="single"/>
        </w:rPr>
        <w:t>ssess</w:t>
      </w:r>
      <w:r>
        <w:rPr>
          <w:rFonts w:ascii="Times New Roman" w:eastAsia="Times New Roman" w:hAnsi="Times New Roman" w:cs="Times New Roman"/>
          <w:u w:val="single"/>
        </w:rPr>
        <w:t>ment</w:t>
      </w:r>
      <w:r>
        <w:rPr>
          <w:rFonts w:ascii="Times New Roman" w:eastAsia="Times New Roman" w:hAnsi="Times New Roman" w:cs="Times New Roman"/>
        </w:rPr>
        <w:t>:</w:t>
      </w:r>
    </w:p>
    <w:p w14:paraId="7C630DCD" w14:textId="19745484" w:rsidR="00961B13"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rPr>
      </w:pPr>
      <w:r w:rsidRPr="003B6E37">
        <w:rPr>
          <w:rFonts w:ascii="Times New Roman" w:eastAsia="Times New Roman" w:hAnsi="Times New Roman" w:cs="Times New Roman"/>
        </w:rPr>
        <w:t>Fixed costs</w:t>
      </w:r>
      <w:r>
        <w:rPr>
          <w:rFonts w:ascii="Times New Roman" w:eastAsia="Times New Roman" w:hAnsi="Times New Roman" w:cs="Times New Roman"/>
        </w:rPr>
        <w:t xml:space="preserve"> (</w:t>
      </w:r>
      <w:r w:rsidR="003038F7">
        <w:rPr>
          <w:rFonts w:ascii="Times New Roman" w:eastAsia="Times New Roman" w:hAnsi="Times New Roman" w:cs="Times New Roman"/>
        </w:rPr>
        <w:t>r</w:t>
      </w:r>
      <w:r w:rsidRPr="003B6E37">
        <w:rPr>
          <w:rFonts w:ascii="Times New Roman" w:eastAsia="Times New Roman" w:hAnsi="Times New Roman" w:cs="Times New Roman"/>
        </w:rPr>
        <w:t>ent/mortgage</w:t>
      </w:r>
      <w:r>
        <w:rPr>
          <w:rFonts w:ascii="Times New Roman" w:eastAsia="Times New Roman" w:hAnsi="Times New Roman" w:cs="Times New Roman"/>
        </w:rPr>
        <w:t>, s</w:t>
      </w:r>
      <w:r w:rsidRPr="003B6E37">
        <w:rPr>
          <w:rFonts w:ascii="Times New Roman" w:eastAsia="Times New Roman" w:hAnsi="Times New Roman" w:cs="Times New Roman"/>
        </w:rPr>
        <w:t>alaries and benefits</w:t>
      </w:r>
      <w:r>
        <w:rPr>
          <w:rFonts w:ascii="Times New Roman" w:eastAsia="Times New Roman" w:hAnsi="Times New Roman" w:cs="Times New Roman"/>
        </w:rPr>
        <w:t>, u</w:t>
      </w:r>
      <w:r w:rsidRPr="003B6E37">
        <w:rPr>
          <w:rFonts w:ascii="Times New Roman" w:eastAsia="Times New Roman" w:hAnsi="Times New Roman" w:cs="Times New Roman"/>
        </w:rPr>
        <w:t>tilities</w:t>
      </w:r>
      <w:r>
        <w:rPr>
          <w:rFonts w:ascii="Times New Roman" w:eastAsia="Times New Roman" w:hAnsi="Times New Roman" w:cs="Times New Roman"/>
        </w:rPr>
        <w:t>, e</w:t>
      </w:r>
      <w:r w:rsidRPr="003B6E37">
        <w:rPr>
          <w:rFonts w:ascii="Times New Roman" w:eastAsia="Times New Roman" w:hAnsi="Times New Roman" w:cs="Times New Roman"/>
        </w:rPr>
        <w:t>quipment maintenance</w:t>
      </w:r>
      <w:r>
        <w:rPr>
          <w:rFonts w:ascii="Times New Roman" w:eastAsia="Times New Roman" w:hAnsi="Times New Roman" w:cs="Times New Roman"/>
        </w:rPr>
        <w:t xml:space="preserve">, </w:t>
      </w:r>
      <w:r w:rsidR="003038F7">
        <w:rPr>
          <w:rFonts w:ascii="Times New Roman" w:eastAsia="Times New Roman" w:hAnsi="Times New Roman" w:cs="Times New Roman"/>
        </w:rPr>
        <w:t>and so forth</w:t>
      </w:r>
      <w:r>
        <w:rPr>
          <w:rFonts w:ascii="Times New Roman" w:eastAsia="Times New Roman" w:hAnsi="Times New Roman" w:cs="Times New Roman"/>
        </w:rPr>
        <w:t>)</w:t>
      </w:r>
      <w:r w:rsidR="003038F7">
        <w:rPr>
          <w:rFonts w:ascii="Times New Roman" w:eastAsia="Times New Roman" w:hAnsi="Times New Roman" w:cs="Times New Roman"/>
        </w:rPr>
        <w:t>.</w:t>
      </w:r>
    </w:p>
    <w:p w14:paraId="7F156023" w14:textId="2232FF2E" w:rsidR="00961B13"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rPr>
      </w:pPr>
      <w:r w:rsidRPr="003B6E37">
        <w:rPr>
          <w:rFonts w:ascii="Times New Roman" w:eastAsia="Times New Roman" w:hAnsi="Times New Roman" w:cs="Times New Roman"/>
        </w:rPr>
        <w:t>Variable costs</w:t>
      </w:r>
      <w:r>
        <w:rPr>
          <w:rFonts w:ascii="Times New Roman" w:eastAsia="Times New Roman" w:hAnsi="Times New Roman" w:cs="Times New Roman"/>
        </w:rPr>
        <w:t xml:space="preserve"> (</w:t>
      </w:r>
      <w:r w:rsidR="003038F7">
        <w:rPr>
          <w:rFonts w:ascii="Times New Roman" w:eastAsia="Times New Roman" w:hAnsi="Times New Roman" w:cs="Times New Roman"/>
        </w:rPr>
        <w:t>s</w:t>
      </w:r>
      <w:r w:rsidRPr="003B6E37">
        <w:rPr>
          <w:rFonts w:ascii="Times New Roman" w:eastAsia="Times New Roman" w:hAnsi="Times New Roman" w:cs="Times New Roman"/>
        </w:rPr>
        <w:t>upplies</w:t>
      </w:r>
      <w:r>
        <w:rPr>
          <w:rFonts w:ascii="Times New Roman" w:eastAsia="Times New Roman" w:hAnsi="Times New Roman" w:cs="Times New Roman"/>
        </w:rPr>
        <w:t>, l</w:t>
      </w:r>
      <w:r w:rsidRPr="003B6E37">
        <w:rPr>
          <w:rFonts w:ascii="Times New Roman" w:eastAsia="Times New Roman" w:hAnsi="Times New Roman" w:cs="Times New Roman"/>
        </w:rPr>
        <w:t>ab fees</w:t>
      </w:r>
      <w:r>
        <w:rPr>
          <w:rFonts w:ascii="Times New Roman" w:eastAsia="Times New Roman" w:hAnsi="Times New Roman" w:cs="Times New Roman"/>
        </w:rPr>
        <w:t>, i</w:t>
      </w:r>
      <w:r w:rsidRPr="003B6E37">
        <w:rPr>
          <w:rFonts w:ascii="Times New Roman" w:eastAsia="Times New Roman" w:hAnsi="Times New Roman" w:cs="Times New Roman"/>
        </w:rPr>
        <w:t>nsurance premiums</w:t>
      </w:r>
      <w:r>
        <w:rPr>
          <w:rFonts w:ascii="Times New Roman" w:eastAsia="Times New Roman" w:hAnsi="Times New Roman" w:cs="Times New Roman"/>
        </w:rPr>
        <w:t xml:space="preserve">, </w:t>
      </w:r>
      <w:r w:rsidR="003038F7">
        <w:rPr>
          <w:rFonts w:ascii="Times New Roman" w:eastAsia="Times New Roman" w:hAnsi="Times New Roman" w:cs="Times New Roman"/>
        </w:rPr>
        <w:t>and so forth</w:t>
      </w:r>
      <w:r>
        <w:rPr>
          <w:rFonts w:ascii="Times New Roman" w:eastAsia="Times New Roman" w:hAnsi="Times New Roman" w:cs="Times New Roman"/>
        </w:rPr>
        <w:t>)</w:t>
      </w:r>
      <w:r w:rsidR="003038F7">
        <w:rPr>
          <w:rFonts w:ascii="Times New Roman" w:eastAsia="Times New Roman" w:hAnsi="Times New Roman" w:cs="Times New Roman"/>
        </w:rPr>
        <w:t>.</w:t>
      </w:r>
    </w:p>
    <w:p w14:paraId="721629DB" w14:textId="116366DE" w:rsidR="00961B13" w:rsidRDefault="00961B13" w:rsidP="00B45D88">
      <w:pPr>
        <w:pStyle w:val="ListParagraph"/>
        <w:widowControl/>
        <w:numPr>
          <w:ilvl w:val="0"/>
          <w:numId w:val="181"/>
        </w:numPr>
        <w:autoSpaceDE/>
        <w:autoSpaceDN/>
        <w:spacing w:before="0" w:line="259" w:lineRule="auto"/>
        <w:ind w:left="720" w:hanging="360"/>
        <w:rPr>
          <w:rFonts w:ascii="Times New Roman" w:eastAsia="Times New Roman" w:hAnsi="Times New Roman" w:cs="Times New Roman"/>
          <w:u w:val="single"/>
        </w:rPr>
      </w:pPr>
      <w:r w:rsidRPr="003B6E37">
        <w:rPr>
          <w:rFonts w:ascii="Times New Roman" w:eastAsia="Times New Roman" w:hAnsi="Times New Roman" w:cs="Times New Roman"/>
          <w:u w:val="single"/>
        </w:rPr>
        <w:t>Pricing Strategies</w:t>
      </w:r>
      <w:r w:rsidR="003038F7">
        <w:rPr>
          <w:rFonts w:ascii="Times New Roman" w:eastAsia="Times New Roman" w:hAnsi="Times New Roman" w:cs="Times New Roman"/>
        </w:rPr>
        <w:t>:</w:t>
      </w:r>
    </w:p>
    <w:p w14:paraId="57509C3C" w14:textId="188C6F18"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Cost-plus pricing</w:t>
      </w:r>
      <w:r w:rsidR="003038F7">
        <w:rPr>
          <w:rFonts w:ascii="Times New Roman" w:eastAsia="Times New Roman" w:hAnsi="Times New Roman" w:cs="Times New Roman"/>
        </w:rPr>
        <w:t>.</w:t>
      </w:r>
    </w:p>
    <w:p w14:paraId="4A86965E" w14:textId="5E8EAA95"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Market-based pricing</w:t>
      </w:r>
      <w:r w:rsidR="003038F7">
        <w:rPr>
          <w:rFonts w:ascii="Times New Roman" w:eastAsia="Times New Roman" w:hAnsi="Times New Roman" w:cs="Times New Roman"/>
        </w:rPr>
        <w:t>.</w:t>
      </w:r>
    </w:p>
    <w:p w14:paraId="2843758F" w14:textId="1EDB0666"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Value-based pricin</w:t>
      </w:r>
      <w:r>
        <w:rPr>
          <w:rFonts w:ascii="Times New Roman" w:eastAsia="Times New Roman" w:hAnsi="Times New Roman" w:cs="Times New Roman"/>
        </w:rPr>
        <w:t>g</w:t>
      </w:r>
      <w:r w:rsidR="003038F7">
        <w:rPr>
          <w:rFonts w:ascii="Times New Roman" w:eastAsia="Times New Roman" w:hAnsi="Times New Roman" w:cs="Times New Roman"/>
        </w:rPr>
        <w:t>.</w:t>
      </w:r>
    </w:p>
    <w:p w14:paraId="3F01A785" w14:textId="5391449B"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Discounting strategies</w:t>
      </w:r>
      <w:r w:rsidR="003038F7">
        <w:rPr>
          <w:rFonts w:ascii="Times New Roman" w:eastAsia="Times New Roman" w:hAnsi="Times New Roman" w:cs="Times New Roman"/>
        </w:rPr>
        <w:t>.</w:t>
      </w:r>
    </w:p>
    <w:p w14:paraId="3D84787A" w14:textId="2D6E0CF2" w:rsidR="00961B13" w:rsidRDefault="00961B13" w:rsidP="006108B2">
      <w:pPr>
        <w:pStyle w:val="ListParagraph"/>
        <w:keepNext/>
        <w:keepLines/>
        <w:widowControl/>
        <w:numPr>
          <w:ilvl w:val="0"/>
          <w:numId w:val="181"/>
        </w:numPr>
        <w:autoSpaceDE/>
        <w:autoSpaceDN/>
        <w:spacing w:before="0" w:line="259" w:lineRule="auto"/>
        <w:ind w:left="720" w:hanging="360"/>
        <w:rPr>
          <w:rFonts w:ascii="Times New Roman" w:eastAsia="Times New Roman" w:hAnsi="Times New Roman" w:cs="Times New Roman"/>
          <w:u w:val="single"/>
        </w:rPr>
      </w:pPr>
      <w:r w:rsidRPr="003B6E37">
        <w:rPr>
          <w:rFonts w:ascii="Times New Roman" w:eastAsia="Times New Roman" w:hAnsi="Times New Roman" w:cs="Times New Roman"/>
          <w:u w:val="single"/>
        </w:rPr>
        <w:lastRenderedPageBreak/>
        <w:t>Regulatory Compliance</w:t>
      </w:r>
      <w:r w:rsidR="003038F7">
        <w:rPr>
          <w:rFonts w:ascii="Times New Roman" w:eastAsia="Times New Roman" w:hAnsi="Times New Roman" w:cs="Times New Roman"/>
        </w:rPr>
        <w:t>:</w:t>
      </w:r>
    </w:p>
    <w:p w14:paraId="1E0EAE06" w14:textId="0701C814"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Review of relevant laws and regulations</w:t>
      </w:r>
      <w:r w:rsidR="003038F7">
        <w:rPr>
          <w:rFonts w:ascii="Times New Roman" w:eastAsia="Times New Roman" w:hAnsi="Times New Roman" w:cs="Times New Roman"/>
        </w:rPr>
        <w:t>.</w:t>
      </w:r>
    </w:p>
    <w:p w14:paraId="3436DD85" w14:textId="6A654B9B"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Insurance reimbursement rate</w:t>
      </w:r>
      <w:r>
        <w:rPr>
          <w:rFonts w:ascii="Times New Roman" w:eastAsia="Times New Roman" w:hAnsi="Times New Roman" w:cs="Times New Roman"/>
        </w:rPr>
        <w:t>s</w:t>
      </w:r>
      <w:r w:rsidR="003038F7">
        <w:rPr>
          <w:rFonts w:ascii="Times New Roman" w:eastAsia="Times New Roman" w:hAnsi="Times New Roman" w:cs="Times New Roman"/>
        </w:rPr>
        <w:t>.</w:t>
      </w:r>
    </w:p>
    <w:p w14:paraId="37DCF9C7" w14:textId="4B1256D2"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Compliance with healthcare pricing transparency laws</w:t>
      </w:r>
      <w:r w:rsidR="003038F7">
        <w:rPr>
          <w:rFonts w:ascii="Times New Roman" w:eastAsia="Times New Roman" w:hAnsi="Times New Roman" w:cs="Times New Roman"/>
        </w:rPr>
        <w:t>.</w:t>
      </w:r>
    </w:p>
    <w:p w14:paraId="3367258E" w14:textId="6E0322E7" w:rsidR="00961B13" w:rsidRDefault="00961B13" w:rsidP="00B45D88">
      <w:pPr>
        <w:pStyle w:val="ListParagraph"/>
        <w:widowControl/>
        <w:numPr>
          <w:ilvl w:val="0"/>
          <w:numId w:val="181"/>
        </w:numPr>
        <w:autoSpaceDE/>
        <w:autoSpaceDN/>
        <w:spacing w:before="0" w:line="259" w:lineRule="auto"/>
        <w:ind w:left="720" w:hanging="360"/>
        <w:rPr>
          <w:rFonts w:ascii="Times New Roman" w:eastAsia="Times New Roman" w:hAnsi="Times New Roman" w:cs="Times New Roman"/>
          <w:u w:val="single"/>
        </w:rPr>
      </w:pPr>
      <w:r w:rsidRPr="003B6E37">
        <w:rPr>
          <w:rFonts w:ascii="Times New Roman" w:eastAsia="Times New Roman" w:hAnsi="Times New Roman" w:cs="Times New Roman"/>
          <w:u w:val="single"/>
        </w:rPr>
        <w:t>Fee Schedule Development</w:t>
      </w:r>
      <w:r w:rsidR="00A84099">
        <w:rPr>
          <w:rFonts w:ascii="Times New Roman" w:eastAsia="Times New Roman" w:hAnsi="Times New Roman" w:cs="Times New Roman"/>
        </w:rPr>
        <w:t>:</w:t>
      </w:r>
    </w:p>
    <w:p w14:paraId="17187F65" w14:textId="2CCFB6BD"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Categorization of services (</w:t>
      </w:r>
      <w:r w:rsidR="003038F7">
        <w:rPr>
          <w:rFonts w:ascii="Times New Roman" w:eastAsia="Times New Roman" w:hAnsi="Times New Roman" w:cs="Times New Roman"/>
        </w:rPr>
        <w:t xml:space="preserve">such as </w:t>
      </w:r>
      <w:r w:rsidRPr="003B6E37">
        <w:rPr>
          <w:rFonts w:ascii="Times New Roman" w:eastAsia="Times New Roman" w:hAnsi="Times New Roman" w:cs="Times New Roman"/>
        </w:rPr>
        <w:t>exams, cleanings, fillings, crowns)</w:t>
      </w:r>
      <w:r w:rsidR="003038F7">
        <w:rPr>
          <w:rFonts w:ascii="Times New Roman" w:eastAsia="Times New Roman" w:hAnsi="Times New Roman" w:cs="Times New Roman"/>
        </w:rPr>
        <w:t>.</w:t>
      </w:r>
    </w:p>
    <w:p w14:paraId="21DC121F" w14:textId="37A23299"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Pricing methodology for each category</w:t>
      </w:r>
      <w:r w:rsidR="003038F7">
        <w:rPr>
          <w:rFonts w:ascii="Times New Roman" w:eastAsia="Times New Roman" w:hAnsi="Times New Roman" w:cs="Times New Roman"/>
        </w:rPr>
        <w:t>.</w:t>
      </w:r>
    </w:p>
    <w:p w14:paraId="12AFED3B" w14:textId="647BEB6D"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Inclusion of bundled services</w:t>
      </w:r>
      <w:r w:rsidR="003038F7">
        <w:rPr>
          <w:rFonts w:ascii="Times New Roman" w:eastAsia="Times New Roman" w:hAnsi="Times New Roman" w:cs="Times New Roman"/>
        </w:rPr>
        <w:t>.</w:t>
      </w:r>
    </w:p>
    <w:p w14:paraId="022CAC3B" w14:textId="01039842"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Consideration of insurance negotiations</w:t>
      </w:r>
      <w:r w:rsidR="003038F7">
        <w:rPr>
          <w:rFonts w:ascii="Times New Roman" w:eastAsia="Times New Roman" w:hAnsi="Times New Roman" w:cs="Times New Roman"/>
        </w:rPr>
        <w:t>.</w:t>
      </w:r>
    </w:p>
    <w:p w14:paraId="06D804F7" w14:textId="095EE278" w:rsidR="00961B13" w:rsidRDefault="00961B13" w:rsidP="00B45D88">
      <w:pPr>
        <w:pStyle w:val="ListParagraph"/>
        <w:widowControl/>
        <w:numPr>
          <w:ilvl w:val="0"/>
          <w:numId w:val="181"/>
        </w:numPr>
        <w:autoSpaceDE/>
        <w:autoSpaceDN/>
        <w:spacing w:before="0" w:line="259" w:lineRule="auto"/>
        <w:ind w:left="720" w:hanging="360"/>
        <w:rPr>
          <w:rFonts w:ascii="Times New Roman" w:eastAsia="Times New Roman" w:hAnsi="Times New Roman" w:cs="Times New Roman"/>
          <w:u w:val="single"/>
        </w:rPr>
      </w:pPr>
      <w:r w:rsidRPr="003B6E37">
        <w:rPr>
          <w:rFonts w:ascii="Times New Roman" w:eastAsia="Times New Roman" w:hAnsi="Times New Roman" w:cs="Times New Roman"/>
          <w:u w:val="single"/>
        </w:rPr>
        <w:t>Review and Adjustment</w:t>
      </w:r>
      <w:r w:rsidR="00A84099">
        <w:rPr>
          <w:rFonts w:ascii="Times New Roman" w:eastAsia="Times New Roman" w:hAnsi="Times New Roman" w:cs="Times New Roman"/>
        </w:rPr>
        <w:t>:</w:t>
      </w:r>
    </w:p>
    <w:p w14:paraId="28432DAF" w14:textId="01F4BF6C"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Regular review of fee schedule effectiveness</w:t>
      </w:r>
      <w:r w:rsidR="003038F7">
        <w:rPr>
          <w:rFonts w:ascii="Times New Roman" w:eastAsia="Times New Roman" w:hAnsi="Times New Roman" w:cs="Times New Roman"/>
        </w:rPr>
        <w:t>.</w:t>
      </w:r>
    </w:p>
    <w:p w14:paraId="343C54A7" w14:textId="527B5578"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Adjustment based on financial performance</w:t>
      </w:r>
      <w:r w:rsidR="003038F7">
        <w:rPr>
          <w:rFonts w:ascii="Times New Roman" w:eastAsia="Times New Roman" w:hAnsi="Times New Roman" w:cs="Times New Roman"/>
        </w:rPr>
        <w:t>.</w:t>
      </w:r>
    </w:p>
    <w:p w14:paraId="09885D35" w14:textId="608AAFEA"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Soliciting feedback from patients and staff</w:t>
      </w:r>
      <w:r w:rsidR="003038F7">
        <w:rPr>
          <w:rFonts w:ascii="Times New Roman" w:eastAsia="Times New Roman" w:hAnsi="Times New Roman" w:cs="Times New Roman"/>
        </w:rPr>
        <w:t>.</w:t>
      </w:r>
    </w:p>
    <w:p w14:paraId="4F6C5D82" w14:textId="1822D476" w:rsidR="00961B13" w:rsidRDefault="00961B13" w:rsidP="00B45D88">
      <w:pPr>
        <w:pStyle w:val="ListParagraph"/>
        <w:widowControl/>
        <w:numPr>
          <w:ilvl w:val="0"/>
          <w:numId w:val="181"/>
        </w:numPr>
        <w:autoSpaceDE/>
        <w:autoSpaceDN/>
        <w:spacing w:before="0" w:line="259" w:lineRule="auto"/>
        <w:ind w:left="720" w:hanging="360"/>
        <w:rPr>
          <w:rFonts w:ascii="Times New Roman" w:eastAsia="Times New Roman" w:hAnsi="Times New Roman" w:cs="Times New Roman"/>
          <w:u w:val="single"/>
        </w:rPr>
      </w:pPr>
      <w:r w:rsidRPr="003B6E37">
        <w:rPr>
          <w:rFonts w:ascii="Times New Roman" w:eastAsia="Times New Roman" w:hAnsi="Times New Roman" w:cs="Times New Roman"/>
          <w:u w:val="single"/>
        </w:rPr>
        <w:t>Implementation</w:t>
      </w:r>
      <w:r w:rsidR="00A84099">
        <w:rPr>
          <w:rFonts w:ascii="Times New Roman" w:eastAsia="Times New Roman" w:hAnsi="Times New Roman" w:cs="Times New Roman"/>
        </w:rPr>
        <w:t>:</w:t>
      </w:r>
    </w:p>
    <w:p w14:paraId="0B4C1C9C" w14:textId="438B7D3F"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Training staff on the new fee schedule</w:t>
      </w:r>
      <w:r w:rsidR="003038F7">
        <w:rPr>
          <w:rFonts w:ascii="Times New Roman" w:eastAsia="Times New Roman" w:hAnsi="Times New Roman" w:cs="Times New Roman"/>
        </w:rPr>
        <w:t>.</w:t>
      </w:r>
    </w:p>
    <w:p w14:paraId="01F23656" w14:textId="5950C08A"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Updating billing and invoicing systems</w:t>
      </w:r>
      <w:r w:rsidR="003038F7">
        <w:rPr>
          <w:rFonts w:ascii="Times New Roman" w:eastAsia="Times New Roman" w:hAnsi="Times New Roman" w:cs="Times New Roman"/>
        </w:rPr>
        <w:t>.</w:t>
      </w:r>
    </w:p>
    <w:p w14:paraId="441B346B" w14:textId="09F74222" w:rsidR="00961B13" w:rsidRPr="003B6E37" w:rsidRDefault="00961B13" w:rsidP="00B45D88">
      <w:pPr>
        <w:pStyle w:val="ListParagraph"/>
        <w:widowControl/>
        <w:numPr>
          <w:ilvl w:val="1"/>
          <w:numId w:val="181"/>
        </w:numPr>
        <w:autoSpaceDE/>
        <w:autoSpaceDN/>
        <w:spacing w:before="0" w:line="259" w:lineRule="auto"/>
        <w:rPr>
          <w:rFonts w:ascii="Times New Roman" w:eastAsia="Times New Roman" w:hAnsi="Times New Roman" w:cs="Times New Roman"/>
          <w:u w:val="single"/>
        </w:rPr>
      </w:pPr>
      <w:r w:rsidRPr="003B6E37">
        <w:rPr>
          <w:rFonts w:ascii="Times New Roman" w:eastAsia="Times New Roman" w:hAnsi="Times New Roman" w:cs="Times New Roman"/>
        </w:rPr>
        <w:t>Communicating changes to patients</w:t>
      </w:r>
      <w:r>
        <w:rPr>
          <w:rFonts w:ascii="Times New Roman" w:eastAsia="Times New Roman" w:hAnsi="Times New Roman" w:cs="Times New Roman"/>
        </w:rPr>
        <w:t xml:space="preserve"> (as needed)</w:t>
      </w:r>
      <w:r w:rsidR="003038F7">
        <w:rPr>
          <w:rFonts w:ascii="Times New Roman" w:eastAsia="Times New Roman" w:hAnsi="Times New Roman" w:cs="Times New Roman"/>
        </w:rPr>
        <w:t>.</w:t>
      </w:r>
    </w:p>
    <w:p w14:paraId="56C7314F" w14:textId="4BBF6EA7" w:rsidR="00961B13" w:rsidRPr="00C75161" w:rsidRDefault="00961B13" w:rsidP="00382F85">
      <w:pPr>
        <w:pStyle w:val="Heading3"/>
        <w:rPr>
          <w:rFonts w:eastAsia="Times New Roman"/>
        </w:rPr>
      </w:pPr>
      <w:bookmarkStart w:id="209" w:name="_Toc166834385"/>
      <w:r w:rsidRPr="00C75161">
        <w:rPr>
          <w:rFonts w:eastAsia="Times New Roman"/>
        </w:rPr>
        <w:t xml:space="preserve">Reasons </w:t>
      </w:r>
      <w:r>
        <w:rPr>
          <w:rFonts w:eastAsia="Times New Roman"/>
        </w:rPr>
        <w:t>W</w:t>
      </w:r>
      <w:r w:rsidRPr="00C75161">
        <w:rPr>
          <w:rFonts w:eastAsia="Times New Roman"/>
        </w:rPr>
        <w:t xml:space="preserve">hy </w:t>
      </w:r>
      <w:r>
        <w:rPr>
          <w:rFonts w:eastAsia="Times New Roman"/>
        </w:rPr>
        <w:t>the</w:t>
      </w:r>
      <w:r w:rsidRPr="00C75161">
        <w:rPr>
          <w:rFonts w:eastAsia="Times New Roman"/>
        </w:rPr>
        <w:t xml:space="preserve"> </w:t>
      </w:r>
      <w:r>
        <w:rPr>
          <w:rFonts w:eastAsia="Times New Roman"/>
        </w:rPr>
        <w:t>D</w:t>
      </w:r>
      <w:r w:rsidRPr="00C75161">
        <w:rPr>
          <w:rFonts w:eastAsia="Times New Roman"/>
        </w:rPr>
        <w:t xml:space="preserve">ental </w:t>
      </w:r>
      <w:r>
        <w:rPr>
          <w:rFonts w:eastAsia="Times New Roman"/>
        </w:rPr>
        <w:t>C</w:t>
      </w:r>
      <w:r w:rsidRPr="00C75161">
        <w:rPr>
          <w:rFonts w:eastAsia="Times New Roman"/>
        </w:rPr>
        <w:t xml:space="preserve">linic </w:t>
      </w:r>
      <w:r>
        <w:rPr>
          <w:rFonts w:eastAsia="Times New Roman"/>
        </w:rPr>
        <w:t>M</w:t>
      </w:r>
      <w:r w:rsidRPr="00C75161">
        <w:rPr>
          <w:rFonts w:eastAsia="Times New Roman"/>
        </w:rPr>
        <w:t xml:space="preserve">ight </w:t>
      </w:r>
      <w:r>
        <w:rPr>
          <w:rFonts w:eastAsia="Times New Roman"/>
        </w:rPr>
        <w:t>Use</w:t>
      </w:r>
      <w:r w:rsidRPr="00C75161">
        <w:rPr>
          <w:rFonts w:eastAsia="Times New Roman"/>
        </w:rPr>
        <w:t xml:space="preserve"> </w:t>
      </w:r>
      <w:r>
        <w:rPr>
          <w:rFonts w:eastAsia="Times New Roman"/>
        </w:rPr>
        <w:t>O</w:t>
      </w:r>
      <w:r w:rsidRPr="00C75161">
        <w:rPr>
          <w:rFonts w:eastAsia="Times New Roman"/>
        </w:rPr>
        <w:t xml:space="preserve">ne </w:t>
      </w:r>
      <w:r>
        <w:rPr>
          <w:rFonts w:eastAsia="Times New Roman"/>
        </w:rPr>
        <w:t>F</w:t>
      </w:r>
      <w:r w:rsidRPr="00C75161">
        <w:rPr>
          <w:rFonts w:eastAsia="Times New Roman"/>
        </w:rPr>
        <w:t xml:space="preserve">ee </w:t>
      </w:r>
      <w:r>
        <w:rPr>
          <w:rFonts w:eastAsia="Times New Roman"/>
        </w:rPr>
        <w:t>S</w:t>
      </w:r>
      <w:r w:rsidRPr="00C75161">
        <w:rPr>
          <w:rFonts w:eastAsia="Times New Roman"/>
        </w:rPr>
        <w:t>chedule</w:t>
      </w:r>
      <w:bookmarkEnd w:id="209"/>
    </w:p>
    <w:p w14:paraId="60108EAE" w14:textId="40029168"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These reasons highlight the advantages of using one fee schedule for a dental clinic, emphasizing simplicity, consistency, efficiency, and compliance.</w:t>
      </w:r>
    </w:p>
    <w:p w14:paraId="763E8E23" w14:textId="0A04E891"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Simplicity: Having one fee schedule simplifies administrative tasks</w:t>
      </w:r>
      <w:r w:rsidR="00A84099">
        <w:rPr>
          <w:rFonts w:ascii="Times New Roman" w:eastAsia="Times New Roman" w:hAnsi="Times New Roman" w:cs="Times New Roman"/>
        </w:rPr>
        <w:t>,</w:t>
      </w:r>
      <w:r w:rsidRPr="000D6FA5">
        <w:rPr>
          <w:rFonts w:ascii="Times New Roman" w:eastAsia="Times New Roman" w:hAnsi="Times New Roman" w:cs="Times New Roman"/>
        </w:rPr>
        <w:t xml:space="preserve"> such as billing and invoicing.</w:t>
      </w:r>
    </w:p>
    <w:p w14:paraId="58DFC841" w14:textId="77777777"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Consistency: Patients appreciate consistency in pricing, which fosters trust and loyalty to the clinic.</w:t>
      </w:r>
    </w:p>
    <w:p w14:paraId="1C12430D" w14:textId="77777777"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Efficiency: Maintaining one fee schedule streamlines staff training and reduces the likelihood of errors.</w:t>
      </w:r>
    </w:p>
    <w:p w14:paraId="03A3109C" w14:textId="77777777"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 xml:space="preserve">Transparency: One fee schedule promotes transparency, making it easier for patients to understand </w:t>
      </w:r>
      <w:r>
        <w:rPr>
          <w:rFonts w:ascii="Times New Roman" w:eastAsia="Times New Roman" w:hAnsi="Times New Roman" w:cs="Times New Roman"/>
        </w:rPr>
        <w:t>value</w:t>
      </w:r>
      <w:r w:rsidRPr="000D6FA5">
        <w:rPr>
          <w:rFonts w:ascii="Times New Roman" w:eastAsia="Times New Roman" w:hAnsi="Times New Roman" w:cs="Times New Roman"/>
        </w:rPr>
        <w:t>.</w:t>
      </w:r>
    </w:p>
    <w:p w14:paraId="21C0DDB5" w14:textId="77777777"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Cost Management: It's easier to manage costs and track financial performance with a single pricing structure.</w:t>
      </w:r>
    </w:p>
    <w:p w14:paraId="7F062298" w14:textId="77777777" w:rsidR="00961B13" w:rsidRDefault="00961B13" w:rsidP="00B45D88">
      <w:pPr>
        <w:pStyle w:val="ListParagraph"/>
        <w:widowControl/>
        <w:numPr>
          <w:ilvl w:val="0"/>
          <w:numId w:val="184"/>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Compliance: One fee schedule ensures compliance with regulatory requirements and reduces the risk of legal</w:t>
      </w:r>
      <w:r>
        <w:rPr>
          <w:rFonts w:ascii="Times New Roman" w:eastAsia="Times New Roman" w:hAnsi="Times New Roman" w:cs="Times New Roman"/>
        </w:rPr>
        <w:t xml:space="preserve"> challenges</w:t>
      </w:r>
      <w:r w:rsidRPr="000D6FA5">
        <w:rPr>
          <w:rFonts w:ascii="Times New Roman" w:eastAsia="Times New Roman" w:hAnsi="Times New Roman" w:cs="Times New Roman"/>
        </w:rPr>
        <w:t>.</w:t>
      </w:r>
    </w:p>
    <w:p w14:paraId="68DE6EFA" w14:textId="168D8468" w:rsidR="00961B13" w:rsidRPr="00C75161" w:rsidRDefault="00961B13" w:rsidP="00382F85">
      <w:pPr>
        <w:pStyle w:val="Heading3"/>
        <w:rPr>
          <w:rFonts w:eastAsia="Times New Roman"/>
        </w:rPr>
      </w:pPr>
      <w:bookmarkStart w:id="210" w:name="_Toc166834386"/>
      <w:r>
        <w:rPr>
          <w:rFonts w:eastAsia="Times New Roman"/>
        </w:rPr>
        <w:lastRenderedPageBreak/>
        <w:t>D</w:t>
      </w:r>
      <w:r w:rsidRPr="00C75161">
        <w:rPr>
          <w:rFonts w:eastAsia="Times New Roman"/>
        </w:rPr>
        <w:t>etermin</w:t>
      </w:r>
      <w:r>
        <w:rPr>
          <w:rFonts w:eastAsia="Times New Roman"/>
        </w:rPr>
        <w:t>ing</w:t>
      </w:r>
      <w:r w:rsidRPr="00C75161">
        <w:rPr>
          <w:rFonts w:eastAsia="Times New Roman"/>
        </w:rPr>
        <w:t xml:space="preserve"> </w:t>
      </w:r>
      <w:r>
        <w:rPr>
          <w:rFonts w:eastAsia="Times New Roman"/>
        </w:rPr>
        <w:t>If One or M</w:t>
      </w:r>
      <w:r w:rsidRPr="00C75161">
        <w:rPr>
          <w:rFonts w:eastAsia="Times New Roman"/>
        </w:rPr>
        <w:t xml:space="preserve">ore </w:t>
      </w:r>
      <w:r>
        <w:rPr>
          <w:rFonts w:eastAsia="Times New Roman"/>
        </w:rPr>
        <w:t>F</w:t>
      </w:r>
      <w:r w:rsidRPr="00C75161">
        <w:rPr>
          <w:rFonts w:eastAsia="Times New Roman"/>
        </w:rPr>
        <w:t xml:space="preserve">ee </w:t>
      </w:r>
      <w:r>
        <w:rPr>
          <w:rFonts w:eastAsia="Times New Roman"/>
        </w:rPr>
        <w:t>S</w:t>
      </w:r>
      <w:r w:rsidRPr="00C75161">
        <w:rPr>
          <w:rFonts w:eastAsia="Times New Roman"/>
        </w:rPr>
        <w:t>chedule</w:t>
      </w:r>
      <w:r>
        <w:rPr>
          <w:rFonts w:eastAsia="Times New Roman"/>
        </w:rPr>
        <w:t>s is Needed to Support Clinic Billin</w:t>
      </w:r>
      <w:r w:rsidR="00A84099">
        <w:rPr>
          <w:rFonts w:eastAsia="Times New Roman"/>
        </w:rPr>
        <w:t>g</w:t>
      </w:r>
      <w:bookmarkEnd w:id="210"/>
    </w:p>
    <w:p w14:paraId="183B0420" w14:textId="3D911B92"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Answering these questions can help the clinic assess whether implementing multiple fee schedules would better meet the needs of their patients, staff, and business operations.</w:t>
      </w:r>
    </w:p>
    <w:p w14:paraId="2B19F2E1"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Do we offer specialized services that require different pricing structures?</w:t>
      </w:r>
    </w:p>
    <w:p w14:paraId="1D875E82"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Are there significant variations in the costs associated with different types of treatments or procedures?</w:t>
      </w:r>
    </w:p>
    <w:p w14:paraId="6D41609D"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Do we serve different patient demographics with varying ability to pay?</w:t>
      </w:r>
    </w:p>
    <w:p w14:paraId="00245A81"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Are there specific insurance networks or plans with which we contract that have different reimbursement rates?</w:t>
      </w:r>
    </w:p>
    <w:p w14:paraId="0DB0B6E5"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Are there geographical differences in the cost of living or market demand that would warrant adjusting prices for different locations?</w:t>
      </w:r>
    </w:p>
    <w:p w14:paraId="4F65333A"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Do we offer discounts or promotions for certain groups or events that necessitate a separate fee schedule?</w:t>
      </w:r>
    </w:p>
    <w:p w14:paraId="786B1D94"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Are there regulatory or contractual requirements that mandate different pricing for certain services or patient groups?</w:t>
      </w:r>
    </w:p>
    <w:p w14:paraId="405A9D31"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Do we have separate departments or divisions within the clinic that operate independently and require distinct pricing structures?</w:t>
      </w:r>
    </w:p>
    <w:p w14:paraId="6F4D4653" w14:textId="77777777" w:rsidR="00961B13" w:rsidRDefault="00961B13" w:rsidP="006108B2">
      <w:pPr>
        <w:pStyle w:val="ListParagraph"/>
        <w:widowControl/>
        <w:numPr>
          <w:ilvl w:val="0"/>
          <w:numId w:val="183"/>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rPr>
        <w:t>Are there unique considerations for pricing related to emergency or after-hours services?</w:t>
      </w:r>
    </w:p>
    <w:p w14:paraId="3D8EC59A" w14:textId="77777777" w:rsidR="00961B13" w:rsidRDefault="00961B13" w:rsidP="00382F85">
      <w:pPr>
        <w:pStyle w:val="Heading3"/>
        <w:rPr>
          <w:rFonts w:eastAsia="Times New Roman"/>
        </w:rPr>
      </w:pPr>
      <w:bookmarkStart w:id="211" w:name="_Toc166834387"/>
      <w:r>
        <w:rPr>
          <w:rFonts w:eastAsia="Times New Roman"/>
        </w:rPr>
        <w:t>Determining the Need for Procedure Fee Charges in the Encounter Rate Billing Workflow</w:t>
      </w:r>
      <w:bookmarkEnd w:id="211"/>
    </w:p>
    <w:p w14:paraId="06093E83" w14:textId="27389701" w:rsidR="00961B13" w:rsidRPr="00C75161" w:rsidRDefault="00961B13" w:rsidP="00961B13">
      <w:pPr>
        <w:rPr>
          <w:rFonts w:ascii="Times New Roman" w:eastAsia="Times New Roman" w:hAnsi="Times New Roman" w:cs="Times New Roman"/>
          <w:szCs w:val="22"/>
        </w:rPr>
      </w:pPr>
      <w:r w:rsidRPr="000D6FA5">
        <w:rPr>
          <w:rFonts w:ascii="Times New Roman" w:eastAsia="Times New Roman" w:hAnsi="Times New Roman" w:cs="Times New Roman"/>
          <w:szCs w:val="22"/>
        </w:rPr>
        <w:t xml:space="preserve">Posting individual procedure fees when billing an encounter rate depends on several factors, including your billing practices, payer requirements, and patient expectations. Here are some considerations: </w:t>
      </w:r>
    </w:p>
    <w:p w14:paraId="2BAFD73F" w14:textId="77777777" w:rsidR="00961B13" w:rsidRDefault="00961B13" w:rsidP="006108B2">
      <w:pPr>
        <w:pStyle w:val="ListParagraph"/>
        <w:widowControl/>
        <w:numPr>
          <w:ilvl w:val="0"/>
          <w:numId w:val="182"/>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u w:val="single"/>
        </w:rPr>
        <w:t>Payer Requirements:</w:t>
      </w:r>
      <w:r w:rsidRPr="000D6FA5">
        <w:rPr>
          <w:rFonts w:ascii="Times New Roman" w:eastAsia="Times New Roman" w:hAnsi="Times New Roman" w:cs="Times New Roman"/>
        </w:rPr>
        <w:t xml:space="preserve"> Some insurance payers require detailed itemization of services rendered, even when billing an encounter rate. In such cases, it may be necessary to post individual procedure fees to ensure compliance with payer guidelines.</w:t>
      </w:r>
    </w:p>
    <w:p w14:paraId="13E15372" w14:textId="77777777" w:rsidR="00961B13" w:rsidRDefault="00961B13" w:rsidP="006108B2">
      <w:pPr>
        <w:pStyle w:val="ListParagraph"/>
        <w:widowControl/>
        <w:numPr>
          <w:ilvl w:val="0"/>
          <w:numId w:val="182"/>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u w:val="single"/>
        </w:rPr>
        <w:t>Patient Transparency:</w:t>
      </w:r>
      <w:r w:rsidRPr="000D6FA5">
        <w:rPr>
          <w:rFonts w:ascii="Times New Roman" w:eastAsia="Times New Roman" w:hAnsi="Times New Roman" w:cs="Times New Roman"/>
        </w:rPr>
        <w:t xml:space="preserve"> Posting individual procedure fees can enhance transparency for patients, allowing them to understand the breakdown of services provided and associated costs. This transparency may improve patient satisfaction and trust in the billing process.</w:t>
      </w:r>
    </w:p>
    <w:p w14:paraId="464B01CC" w14:textId="77777777" w:rsidR="00961B13" w:rsidRDefault="00961B13" w:rsidP="006108B2">
      <w:pPr>
        <w:pStyle w:val="ListParagraph"/>
        <w:widowControl/>
        <w:numPr>
          <w:ilvl w:val="0"/>
          <w:numId w:val="182"/>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u w:val="single"/>
        </w:rPr>
        <w:t>Billing Efficiency:</w:t>
      </w:r>
      <w:r w:rsidRPr="000D6FA5">
        <w:rPr>
          <w:rFonts w:ascii="Times New Roman" w:eastAsia="Times New Roman" w:hAnsi="Times New Roman" w:cs="Times New Roman"/>
        </w:rPr>
        <w:t xml:space="preserve"> Posting individual procedure fees can add complexity to the billing process, particularly if there are numerous procedures involved in an encounter. If billing efficiency is a priority, you may choose to bill using encounter rates without itemizing individual fees.</w:t>
      </w:r>
    </w:p>
    <w:p w14:paraId="4690D097" w14:textId="77777777" w:rsidR="00961B13" w:rsidRDefault="00961B13" w:rsidP="006108B2">
      <w:pPr>
        <w:pStyle w:val="ListParagraph"/>
        <w:widowControl/>
        <w:numPr>
          <w:ilvl w:val="0"/>
          <w:numId w:val="182"/>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u w:val="single"/>
        </w:rPr>
        <w:t>Reimbursement Consideration:</w:t>
      </w:r>
      <w:r w:rsidRPr="000D6FA5">
        <w:rPr>
          <w:rFonts w:ascii="Times New Roman" w:eastAsia="Times New Roman" w:hAnsi="Times New Roman" w:cs="Times New Roman"/>
        </w:rPr>
        <w:t xml:space="preserve"> Some payers may reimburse based on encounter rates, while others may reimburse based on individual procedure fees. Consider how your payer contracts and fee schedules align with your billing practices.</w:t>
      </w:r>
    </w:p>
    <w:p w14:paraId="3C9F16C2" w14:textId="77777777" w:rsidR="00961B13" w:rsidRPr="000D6FA5" w:rsidRDefault="00961B13" w:rsidP="006108B2">
      <w:pPr>
        <w:pStyle w:val="ListParagraph"/>
        <w:widowControl/>
        <w:numPr>
          <w:ilvl w:val="0"/>
          <w:numId w:val="182"/>
        </w:numPr>
        <w:autoSpaceDE/>
        <w:autoSpaceDN/>
        <w:spacing w:before="0" w:line="259" w:lineRule="auto"/>
        <w:rPr>
          <w:rFonts w:ascii="Times New Roman" w:eastAsia="Times New Roman" w:hAnsi="Times New Roman" w:cs="Times New Roman"/>
        </w:rPr>
      </w:pPr>
      <w:r w:rsidRPr="000D6FA5">
        <w:rPr>
          <w:rFonts w:ascii="Times New Roman" w:eastAsia="Times New Roman" w:hAnsi="Times New Roman" w:cs="Times New Roman"/>
          <w:u w:val="single"/>
        </w:rPr>
        <w:t>Legal and Regulatory Compliance:</w:t>
      </w:r>
      <w:r w:rsidRPr="000D6FA5">
        <w:rPr>
          <w:rFonts w:ascii="Times New Roman" w:eastAsia="Times New Roman" w:hAnsi="Times New Roman" w:cs="Times New Roman"/>
        </w:rPr>
        <w:t xml:space="preserve"> Ensure that your billing practices comply with legal and regulatory requirements, including healthcare pricing transparency laws and payer contract provisions.</w:t>
      </w:r>
    </w:p>
    <w:p w14:paraId="3E38EB84" w14:textId="77777777" w:rsidR="00961B13" w:rsidRPr="00C75161" w:rsidRDefault="00961B13" w:rsidP="00961B13">
      <w:pPr>
        <w:rPr>
          <w:rFonts w:ascii="Times New Roman" w:eastAsia="Times New Roman" w:hAnsi="Times New Roman" w:cs="Times New Roman"/>
          <w:szCs w:val="22"/>
        </w:rPr>
      </w:pPr>
      <w:r>
        <w:rPr>
          <w:rFonts w:ascii="Times New Roman" w:eastAsia="Times New Roman" w:hAnsi="Times New Roman" w:cs="Times New Roman"/>
          <w:szCs w:val="22"/>
        </w:rPr>
        <w:lastRenderedPageBreak/>
        <w:t>T</w:t>
      </w:r>
      <w:r w:rsidRPr="00C75161">
        <w:rPr>
          <w:rFonts w:ascii="Times New Roman" w:eastAsia="Times New Roman" w:hAnsi="Times New Roman" w:cs="Times New Roman"/>
          <w:szCs w:val="22"/>
        </w:rPr>
        <w:t xml:space="preserve">he decision to post individual procedure fees when billing an encounter rate depends on factors such as payer requirements, patient preferences, and billing efficiency. It may be helpful to consult with your </w:t>
      </w:r>
      <w:r>
        <w:rPr>
          <w:rFonts w:ascii="Times New Roman" w:eastAsia="Times New Roman" w:hAnsi="Times New Roman" w:cs="Times New Roman"/>
          <w:szCs w:val="22"/>
        </w:rPr>
        <w:t xml:space="preserve">payer representatives, </w:t>
      </w:r>
      <w:r w:rsidRPr="00C75161">
        <w:rPr>
          <w:rFonts w:ascii="Times New Roman" w:eastAsia="Times New Roman" w:hAnsi="Times New Roman" w:cs="Times New Roman"/>
          <w:szCs w:val="22"/>
        </w:rPr>
        <w:t xml:space="preserve">billing team, </w:t>
      </w:r>
      <w:r>
        <w:rPr>
          <w:rFonts w:ascii="Times New Roman" w:eastAsia="Times New Roman" w:hAnsi="Times New Roman" w:cs="Times New Roman"/>
          <w:szCs w:val="22"/>
        </w:rPr>
        <w:t xml:space="preserve">and/or </w:t>
      </w:r>
      <w:r w:rsidRPr="00C75161">
        <w:rPr>
          <w:rFonts w:ascii="Times New Roman" w:eastAsia="Times New Roman" w:hAnsi="Times New Roman" w:cs="Times New Roman"/>
          <w:szCs w:val="22"/>
        </w:rPr>
        <w:t xml:space="preserve">legal counsel to determine the best approach for your </w:t>
      </w:r>
      <w:r>
        <w:rPr>
          <w:rFonts w:ascii="Times New Roman" w:eastAsia="Times New Roman" w:hAnsi="Times New Roman" w:cs="Times New Roman"/>
          <w:szCs w:val="22"/>
        </w:rPr>
        <w:t>clinic</w:t>
      </w:r>
      <w:r w:rsidRPr="00C75161">
        <w:rPr>
          <w:rFonts w:ascii="Times New Roman" w:eastAsia="Times New Roman" w:hAnsi="Times New Roman" w:cs="Times New Roman"/>
          <w:szCs w:val="22"/>
        </w:rPr>
        <w:t>.</w:t>
      </w:r>
    </w:p>
    <w:p w14:paraId="73712926" w14:textId="71E20344" w:rsidR="00961B13" w:rsidRDefault="00961B13" w:rsidP="00614227">
      <w:pPr>
        <w:pStyle w:val="Heading3"/>
        <w:rPr>
          <w:rFonts w:eastAsia="Times New Roman"/>
        </w:rPr>
      </w:pPr>
      <w:bookmarkStart w:id="212" w:name="_Toc166834388"/>
      <w:r>
        <w:rPr>
          <w:rFonts w:eastAsia="Times New Roman"/>
        </w:rPr>
        <w:t xml:space="preserve">Clinic Manager </w:t>
      </w:r>
      <w:r w:rsidRPr="00C75161">
        <w:rPr>
          <w:rFonts w:eastAsia="Times New Roman"/>
        </w:rPr>
        <w:t>Worksheet: Determining the Need for Multiple Fee Schedules</w:t>
      </w:r>
      <w:bookmarkEnd w:id="212"/>
    </w:p>
    <w:p w14:paraId="3D26A2E2" w14:textId="043B323E" w:rsidR="00961B13" w:rsidRPr="00C75161" w:rsidRDefault="00961B13" w:rsidP="00961B13">
      <w:pPr>
        <w:rPr>
          <w:rFonts w:ascii="Times New Roman" w:eastAsia="Times New Roman" w:hAnsi="Times New Roman" w:cs="Times New Roman"/>
          <w:szCs w:val="22"/>
        </w:rPr>
      </w:pPr>
      <w:r w:rsidRPr="00C75161">
        <w:rPr>
          <w:rFonts w:ascii="Times New Roman" w:eastAsia="Times New Roman" w:hAnsi="Times New Roman" w:cs="Times New Roman"/>
          <w:szCs w:val="22"/>
        </w:rPr>
        <w:t xml:space="preserve">Based on the answers to these questions, determine whether </w:t>
      </w:r>
      <w:r w:rsidR="00A84099">
        <w:rPr>
          <w:rFonts w:ascii="Times New Roman" w:eastAsia="Times New Roman" w:hAnsi="Times New Roman" w:cs="Times New Roman"/>
          <w:szCs w:val="22"/>
        </w:rPr>
        <w:t xml:space="preserve">using </w:t>
      </w:r>
      <w:r w:rsidRPr="00C75161">
        <w:rPr>
          <w:rFonts w:ascii="Times New Roman" w:eastAsia="Times New Roman" w:hAnsi="Times New Roman" w:cs="Times New Roman"/>
          <w:szCs w:val="22"/>
        </w:rPr>
        <w:t xml:space="preserve">a single fee schedule adequately meets the needs of your dental clinic or implementing multiple fee schedules would be beneficial to better serve your patients and achieve your </w:t>
      </w:r>
      <w:r>
        <w:rPr>
          <w:rFonts w:ascii="Times New Roman" w:eastAsia="Times New Roman" w:hAnsi="Times New Roman" w:cs="Times New Roman"/>
          <w:szCs w:val="22"/>
        </w:rPr>
        <w:t>clinic</w:t>
      </w:r>
      <w:r w:rsidRPr="00C75161">
        <w:rPr>
          <w:rFonts w:ascii="Times New Roman" w:eastAsia="Times New Roman" w:hAnsi="Times New Roman" w:cs="Times New Roman"/>
          <w:szCs w:val="22"/>
        </w:rPr>
        <w:t xml:space="preserve"> objectives.</w:t>
      </w:r>
    </w:p>
    <w:p w14:paraId="57448612"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Patient Demographics:</w:t>
      </w:r>
    </w:p>
    <w:p w14:paraId="7AD856B3"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What is the demographic makeup of your patient base?</w:t>
      </w:r>
    </w:p>
    <w:p w14:paraId="5882FC06"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 xml:space="preserve">Do you serve a diverse range of patients in terms of </w:t>
      </w:r>
      <w:r>
        <w:rPr>
          <w:rFonts w:ascii="Times New Roman" w:eastAsia="Times New Roman" w:hAnsi="Times New Roman" w:cs="Times New Roman"/>
        </w:rPr>
        <w:t xml:space="preserve">tribal benefit eligibility, </w:t>
      </w:r>
      <w:r w:rsidRPr="006F60C0">
        <w:rPr>
          <w:rFonts w:ascii="Times New Roman" w:eastAsia="Times New Roman" w:hAnsi="Times New Roman" w:cs="Times New Roman"/>
        </w:rPr>
        <w:t>income levels, insurance coverage, and treatment needs?</w:t>
      </w:r>
    </w:p>
    <w:p w14:paraId="340B5AB5"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Insurance Coverage:</w:t>
      </w:r>
    </w:p>
    <w:p w14:paraId="32A39424"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How many different insurance providers do your patients have?</w:t>
      </w:r>
    </w:p>
    <w:p w14:paraId="4877005F"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Do these insurance providers have different reimbursement rates for the same procedures?</w:t>
      </w:r>
    </w:p>
    <w:p w14:paraId="18560771"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Are there specific insurance plans that require separate fee schedules?</w:t>
      </w:r>
    </w:p>
    <w:p w14:paraId="3768461B"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Treatment Types:</w:t>
      </w:r>
    </w:p>
    <w:p w14:paraId="36563B4C"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Do you offer a wide range of dental treatments and procedures?</w:t>
      </w:r>
    </w:p>
    <w:p w14:paraId="252DA302"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Are there certain procedures that are more commonly performed than others?</w:t>
      </w:r>
    </w:p>
    <w:p w14:paraId="62D359BE"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Are there specialized treatments that require unique pricing considerations?</w:t>
      </w:r>
    </w:p>
    <w:p w14:paraId="6126BBF1"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Pr>
          <w:rFonts w:ascii="Times New Roman" w:eastAsia="Times New Roman" w:hAnsi="Times New Roman" w:cs="Times New Roman"/>
          <w:u w:val="single"/>
        </w:rPr>
        <w:t>Clinic Financial Goal &amp;</w:t>
      </w:r>
      <w:r w:rsidRPr="006F60C0">
        <w:rPr>
          <w:rFonts w:ascii="Times New Roman" w:eastAsia="Times New Roman" w:hAnsi="Times New Roman" w:cs="Times New Roman"/>
          <w:u w:val="single"/>
        </w:rPr>
        <w:t xml:space="preserve"> Objectives:</w:t>
      </w:r>
    </w:p>
    <w:p w14:paraId="2604F84D"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What are your financial goals for the practice?</w:t>
      </w:r>
    </w:p>
    <w:p w14:paraId="27B65D18"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Are you aiming to maximize revenue from certain procedures?</w:t>
      </w:r>
    </w:p>
    <w:p w14:paraId="1A1E2143"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Do you want to attract a specific demographic or expand into new patient markets?</w:t>
      </w:r>
    </w:p>
    <w:p w14:paraId="10EEBC05"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Administrative Efficiency:</w:t>
      </w:r>
    </w:p>
    <w:p w14:paraId="31AFB388"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How much time and resources are currently spent managing fee schedules</w:t>
      </w:r>
      <w:r>
        <w:rPr>
          <w:rFonts w:ascii="Times New Roman" w:eastAsia="Times New Roman" w:hAnsi="Times New Roman" w:cs="Times New Roman"/>
        </w:rPr>
        <w:t>?</w:t>
      </w:r>
    </w:p>
    <w:p w14:paraId="3C872639"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Would having multiple fee schedules streamline administrative processes or add complexity?</w:t>
      </w:r>
    </w:p>
    <w:p w14:paraId="27D22CEE"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Patient Satisfaction:</w:t>
      </w:r>
    </w:p>
    <w:p w14:paraId="4512603B"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How do patients perceive your pricing structure?</w:t>
      </w:r>
    </w:p>
    <w:p w14:paraId="6D0292FE"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Would offering multiple fee schedules improve transparency and satisfaction among patients?</w:t>
      </w:r>
    </w:p>
    <w:p w14:paraId="16CE1921"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Regulatory Compliance:</w:t>
      </w:r>
    </w:p>
    <w:p w14:paraId="7BA6CE64"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Are there any regulatory requirements or restrictions that impact your fee schedule(s)?</w:t>
      </w:r>
    </w:p>
    <w:p w14:paraId="4948D680"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t>Do different fee schedules comply with relevant regulations and industry standards?</w:t>
      </w:r>
    </w:p>
    <w:p w14:paraId="0A59D63A"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Flexibility and Adaptability:</w:t>
      </w:r>
    </w:p>
    <w:p w14:paraId="337C2DDC"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How flexible do you need your fee schedule(s) to be in response to market changes or shifts in patient demographics?</w:t>
      </w:r>
    </w:p>
    <w:p w14:paraId="3DF83301" w14:textId="77777777" w:rsidR="00961B13" w:rsidRPr="006F60C0" w:rsidRDefault="00961B13" w:rsidP="00961B13">
      <w:pPr>
        <w:pStyle w:val="ListParagraph"/>
        <w:widowControl/>
        <w:numPr>
          <w:ilvl w:val="1"/>
          <w:numId w:val="185"/>
        </w:numPr>
        <w:autoSpaceDE/>
        <w:autoSpaceDN/>
        <w:spacing w:before="0" w:after="160" w:line="259" w:lineRule="auto"/>
        <w:rPr>
          <w:rFonts w:ascii="Times New Roman" w:eastAsia="Times New Roman" w:hAnsi="Times New Roman" w:cs="Times New Roman"/>
          <w:u w:val="single"/>
        </w:rPr>
      </w:pPr>
      <w:r w:rsidRPr="006F60C0">
        <w:rPr>
          <w:rFonts w:ascii="Times New Roman" w:eastAsia="Times New Roman" w:hAnsi="Times New Roman" w:cs="Times New Roman"/>
        </w:rPr>
        <w:lastRenderedPageBreak/>
        <w:t>Would having multiple fee schedules allow for greater adaptability to changing circumstances?</w:t>
      </w:r>
    </w:p>
    <w:p w14:paraId="75C97E48" w14:textId="77777777" w:rsidR="00961B13" w:rsidRDefault="00961B13" w:rsidP="00961B13">
      <w:pPr>
        <w:pStyle w:val="ListParagraph"/>
        <w:widowControl/>
        <w:numPr>
          <w:ilvl w:val="0"/>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u w:val="single"/>
        </w:rPr>
        <w:t>Financial Analysis:</w:t>
      </w:r>
    </w:p>
    <w:p w14:paraId="4DFE96F4"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What are the potential financial implications of implementing multiple fee schedules?</w:t>
      </w:r>
    </w:p>
    <w:p w14:paraId="3AF1DFCA" w14:textId="77777777" w:rsidR="00961B13" w:rsidRPr="006F60C0" w:rsidRDefault="00961B13" w:rsidP="00961B13">
      <w:pPr>
        <w:pStyle w:val="ListParagraph"/>
        <w:widowControl/>
        <w:numPr>
          <w:ilvl w:val="1"/>
          <w:numId w:val="185"/>
        </w:numPr>
        <w:autoSpaceDE/>
        <w:autoSpaceDN/>
        <w:spacing w:before="0" w:after="160" w:line="259" w:lineRule="auto"/>
        <w:contextualSpacing/>
        <w:rPr>
          <w:rFonts w:ascii="Times New Roman" w:eastAsia="Times New Roman" w:hAnsi="Times New Roman" w:cs="Times New Roman"/>
          <w:u w:val="single"/>
        </w:rPr>
      </w:pPr>
      <w:r w:rsidRPr="006F60C0">
        <w:rPr>
          <w:rFonts w:ascii="Times New Roman" w:eastAsia="Times New Roman" w:hAnsi="Times New Roman" w:cs="Times New Roman"/>
        </w:rPr>
        <w:t>How do the projected revenues and costs compare to maintaining a single fee schedule?</w:t>
      </w:r>
    </w:p>
    <w:p w14:paraId="11837CDC" w14:textId="77777777" w:rsidR="009473AD" w:rsidRDefault="009473AD" w:rsidP="00B3072B">
      <w:pPr>
        <w:sectPr w:rsidR="009473AD" w:rsidSect="00C616BD">
          <w:pgSz w:w="12240" w:h="15840"/>
          <w:pgMar w:top="1440" w:right="1440" w:bottom="1440" w:left="1440" w:header="360" w:footer="360" w:gutter="0"/>
          <w:cols w:space="720"/>
          <w:docGrid w:linePitch="299"/>
        </w:sectPr>
      </w:pPr>
    </w:p>
    <w:p w14:paraId="3666EE1E" w14:textId="77777777" w:rsidR="009473AD" w:rsidRPr="003A572D" w:rsidRDefault="009473AD" w:rsidP="004D3D1C">
      <w:pPr>
        <w:pStyle w:val="Heading1"/>
        <w:rPr>
          <w:lang w:val="en"/>
        </w:rPr>
      </w:pPr>
      <w:bookmarkStart w:id="213" w:name="_Toc135416597"/>
      <w:bookmarkStart w:id="214" w:name="_Toc135416733"/>
      <w:bookmarkStart w:id="215" w:name="_Toc166834389"/>
      <w:r w:rsidRPr="003A572D">
        <w:rPr>
          <w:lang w:val="en"/>
        </w:rPr>
        <w:lastRenderedPageBreak/>
        <w:t>Database Design</w:t>
      </w:r>
      <w:bookmarkEnd w:id="213"/>
      <w:bookmarkEnd w:id="214"/>
      <w:bookmarkEnd w:id="215"/>
    </w:p>
    <w:p w14:paraId="47D6B3CF" w14:textId="061A5CFD" w:rsidR="009473AD" w:rsidRDefault="003F0248" w:rsidP="004D3D1C">
      <w:pPr>
        <w:pStyle w:val="BodyText"/>
      </w:pPr>
      <w:r>
        <w:rPr>
          <w:noProof/>
        </w:rPr>
        <w:drawing>
          <wp:anchor distT="0" distB="0" distL="114300" distR="114300" simplePos="0" relativeHeight="252065796" behindDoc="0" locked="0" layoutInCell="1" allowOverlap="1" wp14:anchorId="3C6E093D" wp14:editId="609960B9">
            <wp:simplePos x="0" y="0"/>
            <wp:positionH relativeFrom="column">
              <wp:posOffset>5486400</wp:posOffset>
            </wp:positionH>
            <wp:positionV relativeFrom="paragraph">
              <wp:posOffset>9894</wp:posOffset>
            </wp:positionV>
            <wp:extent cx="365760" cy="365760"/>
            <wp:effectExtent l="0" t="0" r="0" b="0"/>
            <wp:wrapTight wrapText="bothSides">
              <wp:wrapPolygon edited="0">
                <wp:start x="0" y="0"/>
                <wp:lineTo x="0" y="20250"/>
                <wp:lineTo x="20250" y="20250"/>
                <wp:lineTo x="20250" y="0"/>
                <wp:lineTo x="0" y="0"/>
              </wp:wrapPolygon>
            </wp:wrapTight>
            <wp:docPr id="188661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4106" name=""/>
                    <pic:cNvPicPr/>
                  </pic:nvPicPr>
                  <pic:blipFill>
                    <a:blip r:embed="rId54"/>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AB7939">
        <w:t xml:space="preserve">You can configure </w:t>
      </w:r>
      <w:r w:rsidR="009473AD" w:rsidRPr="00821A05">
        <w:t xml:space="preserve">Dentrix Enterprise </w:t>
      </w:r>
      <w:r w:rsidR="00AB7939">
        <w:t>to meet</w:t>
      </w:r>
      <w:r w:rsidR="009473AD" w:rsidRPr="00821A05">
        <w:t xml:space="preserve"> your organization’s specific needs. </w:t>
      </w:r>
      <w:r w:rsidR="00AB7939">
        <w:t>This section</w:t>
      </w:r>
      <w:r w:rsidR="009473AD" w:rsidRPr="00821A05">
        <w:t xml:space="preserve"> reviews the foundational </w:t>
      </w:r>
      <w:r w:rsidR="00A66ABB">
        <w:t>setup</w:t>
      </w:r>
      <w:r w:rsidR="009473AD" w:rsidRPr="00821A05">
        <w:t xml:space="preserve"> for </w:t>
      </w:r>
      <w:r w:rsidR="00A66ABB">
        <w:t>your</w:t>
      </w:r>
      <w:r w:rsidR="009473AD" w:rsidRPr="00821A05">
        <w:t xml:space="preserve"> </w:t>
      </w:r>
      <w:r w:rsidR="00A66ABB" w:rsidRPr="348AB196">
        <w:t>organization</w:t>
      </w:r>
      <w:r w:rsidR="00A66ABB">
        <w:t xml:space="preserve">’s </w:t>
      </w:r>
      <w:r w:rsidR="00A66ABB" w:rsidRPr="348AB196">
        <w:t>database</w:t>
      </w:r>
      <w:r w:rsidR="00DD173F">
        <w:t xml:space="preserve"> and the configuration of</w:t>
      </w:r>
      <w:r w:rsidR="009473AD" w:rsidRPr="00821A05">
        <w:t xml:space="preserve"> individual modules</w:t>
      </w:r>
      <w:r w:rsidR="00DD173F">
        <w:t xml:space="preserve"> to</w:t>
      </w:r>
      <w:r w:rsidR="00A66ABB" w:rsidRPr="348AB196">
        <w:t xml:space="preserve"> best support your workflows</w:t>
      </w:r>
      <w:r w:rsidR="00DD173F">
        <w:t xml:space="preserve"> (</w:t>
      </w:r>
      <w:r w:rsidR="00A66ABB" w:rsidRPr="348AB196">
        <w:t>centralized, location</w:t>
      </w:r>
      <w:r w:rsidR="00DD173F">
        <w:t xml:space="preserve"> based</w:t>
      </w:r>
      <w:r w:rsidR="00A66ABB" w:rsidRPr="348AB196">
        <w:t xml:space="preserve">, or a blend of </w:t>
      </w:r>
      <w:r w:rsidR="00DD173F">
        <w:t>both types)</w:t>
      </w:r>
      <w:r w:rsidR="00A66ABB" w:rsidRPr="348AB196">
        <w:t>.</w:t>
      </w:r>
    </w:p>
    <w:p w14:paraId="7BA251F1" w14:textId="53EA58E3" w:rsidR="00042795" w:rsidRDefault="00AB7939" w:rsidP="004D3D1C">
      <w:pPr>
        <w:pStyle w:val="BodyText"/>
      </w:pPr>
      <w:r>
        <w:t>The following table lists the c</w:t>
      </w:r>
      <w:r w:rsidR="00042795" w:rsidRPr="00F96135">
        <w:t xml:space="preserve">omponents of </w:t>
      </w:r>
      <w:r w:rsidR="00042795">
        <w:t>database design</w:t>
      </w:r>
      <w:r>
        <w:t>.</w:t>
      </w:r>
    </w:p>
    <w:tbl>
      <w:tblPr>
        <w:tblStyle w:val="TableGrid"/>
        <w:tblW w:w="0" w:type="auto"/>
        <w:tblLook w:val="04A0" w:firstRow="1" w:lastRow="0" w:firstColumn="1" w:lastColumn="0" w:noHBand="0" w:noVBand="1"/>
      </w:tblPr>
      <w:tblGrid>
        <w:gridCol w:w="3116"/>
        <w:gridCol w:w="3117"/>
        <w:gridCol w:w="3117"/>
      </w:tblGrid>
      <w:tr w:rsidR="00E745C2" w14:paraId="69678C36" w14:textId="77777777" w:rsidTr="00AB7939">
        <w:trPr>
          <w:trHeight w:val="611"/>
        </w:trPr>
        <w:tc>
          <w:tcPr>
            <w:tcW w:w="3116" w:type="dxa"/>
          </w:tcPr>
          <w:p w14:paraId="710B77B3" w14:textId="77777777" w:rsidR="00E745C2" w:rsidRPr="004D3D1C" w:rsidRDefault="00E745C2" w:rsidP="00AB7939">
            <w:pPr>
              <w:pStyle w:val="BodyText"/>
              <w:spacing w:after="0"/>
              <w:rPr>
                <w:rFonts w:ascii="Arial" w:hAnsi="Arial"/>
                <w:b/>
                <w:bCs/>
              </w:rPr>
            </w:pPr>
            <w:r w:rsidRPr="004D3D1C">
              <w:rPr>
                <w:rFonts w:ascii="Arial" w:hAnsi="Arial"/>
                <w:b/>
                <w:bCs/>
              </w:rPr>
              <w:t xml:space="preserve">Step 1: </w:t>
            </w:r>
            <w:r>
              <w:rPr>
                <w:rFonts w:ascii="Arial" w:hAnsi="Arial"/>
                <w:b/>
                <w:bCs/>
              </w:rPr>
              <w:t>Enterprise</w:t>
            </w:r>
            <w:r w:rsidRPr="004D3D1C">
              <w:rPr>
                <w:rFonts w:ascii="Arial" w:hAnsi="Arial"/>
                <w:b/>
                <w:bCs/>
              </w:rPr>
              <w:t xml:space="preserve"> Setup</w:t>
            </w:r>
          </w:p>
        </w:tc>
        <w:tc>
          <w:tcPr>
            <w:tcW w:w="3117" w:type="dxa"/>
          </w:tcPr>
          <w:p w14:paraId="5FFBF833" w14:textId="77777777" w:rsidR="00E745C2" w:rsidRPr="004D3D1C" w:rsidRDefault="00E745C2" w:rsidP="00AB7939">
            <w:pPr>
              <w:pStyle w:val="BodyText"/>
              <w:spacing w:after="0"/>
              <w:rPr>
                <w:rFonts w:ascii="Arial" w:hAnsi="Arial"/>
                <w:b/>
                <w:bCs/>
              </w:rPr>
            </w:pPr>
            <w:r w:rsidRPr="004D3D1C">
              <w:rPr>
                <w:rFonts w:ascii="Arial" w:hAnsi="Arial"/>
                <w:b/>
                <w:bCs/>
              </w:rPr>
              <w:t>Step 2: Clinic Resource Setup</w:t>
            </w:r>
          </w:p>
        </w:tc>
        <w:tc>
          <w:tcPr>
            <w:tcW w:w="3117" w:type="dxa"/>
          </w:tcPr>
          <w:p w14:paraId="606DA533" w14:textId="77777777" w:rsidR="00E745C2" w:rsidRPr="004D3D1C" w:rsidRDefault="00E745C2" w:rsidP="00AB7939">
            <w:pPr>
              <w:pStyle w:val="BodyText"/>
              <w:spacing w:after="0"/>
              <w:rPr>
                <w:rFonts w:ascii="Arial" w:hAnsi="Arial"/>
                <w:b/>
                <w:bCs/>
              </w:rPr>
            </w:pPr>
            <w:r w:rsidRPr="004D3D1C">
              <w:rPr>
                <w:rFonts w:ascii="Arial" w:hAnsi="Arial"/>
                <w:b/>
                <w:bCs/>
              </w:rPr>
              <w:t>Step 3: Dentrix Enterprise Configuration</w:t>
            </w:r>
          </w:p>
        </w:tc>
      </w:tr>
      <w:tr w:rsidR="00E745C2" w14:paraId="6D9577FD" w14:textId="77777777" w:rsidTr="009F357F">
        <w:tc>
          <w:tcPr>
            <w:tcW w:w="3116" w:type="dxa"/>
          </w:tcPr>
          <w:p w14:paraId="447AE908" w14:textId="4EFF2719" w:rsidR="00E745C2" w:rsidRDefault="00E745C2" w:rsidP="004F45B6">
            <w:pPr>
              <w:pStyle w:val="BodyText"/>
              <w:numPr>
                <w:ilvl w:val="0"/>
                <w:numId w:val="71"/>
              </w:numPr>
              <w:ind w:left="216" w:hanging="245"/>
            </w:pPr>
            <w:r>
              <w:t>Creat</w:t>
            </w:r>
            <w:r w:rsidR="00AB7939">
              <w:t>ing</w:t>
            </w:r>
            <w:r>
              <w:t xml:space="preserve"> Clinic</w:t>
            </w:r>
            <w:r w:rsidR="00AB7939">
              <w:t>s</w:t>
            </w:r>
          </w:p>
          <w:p w14:paraId="3A4AA396" w14:textId="59E2D489" w:rsidR="00E745C2" w:rsidRDefault="00E745C2" w:rsidP="004F45B6">
            <w:pPr>
              <w:pStyle w:val="BodyText"/>
              <w:numPr>
                <w:ilvl w:val="0"/>
                <w:numId w:val="71"/>
              </w:numPr>
              <w:ind w:left="216" w:hanging="245"/>
            </w:pPr>
            <w:r>
              <w:t>Configur</w:t>
            </w:r>
            <w:r w:rsidR="00AB7939">
              <w:t>ing</w:t>
            </w:r>
            <w:r>
              <w:t xml:space="preserve"> Clinic Information</w:t>
            </w:r>
          </w:p>
        </w:tc>
        <w:tc>
          <w:tcPr>
            <w:tcW w:w="3117" w:type="dxa"/>
          </w:tcPr>
          <w:p w14:paraId="72266763" w14:textId="77777777" w:rsidR="00AB7939" w:rsidRDefault="00E745C2" w:rsidP="004F45B6">
            <w:pPr>
              <w:pStyle w:val="BodyText"/>
              <w:numPr>
                <w:ilvl w:val="0"/>
                <w:numId w:val="71"/>
              </w:numPr>
              <w:ind w:left="245" w:hanging="245"/>
            </w:pPr>
            <w:r>
              <w:t>Provider</w:t>
            </w:r>
            <w:r w:rsidR="00AB7939">
              <w:t xml:space="preserve"> Setup</w:t>
            </w:r>
          </w:p>
          <w:p w14:paraId="5C727680" w14:textId="1872E176" w:rsidR="00E745C2" w:rsidRDefault="00E745C2" w:rsidP="004F45B6">
            <w:pPr>
              <w:pStyle w:val="BodyText"/>
              <w:numPr>
                <w:ilvl w:val="0"/>
                <w:numId w:val="71"/>
              </w:numPr>
              <w:ind w:left="245" w:hanging="245"/>
            </w:pPr>
            <w:r>
              <w:t>Staff</w:t>
            </w:r>
            <w:r w:rsidR="00AB7939">
              <w:t xml:space="preserve"> Setup</w:t>
            </w:r>
          </w:p>
          <w:p w14:paraId="5995B602" w14:textId="4F71D4D3" w:rsidR="00F3166B" w:rsidRDefault="00E745C2" w:rsidP="004F45B6">
            <w:pPr>
              <w:pStyle w:val="BodyText"/>
              <w:numPr>
                <w:ilvl w:val="0"/>
                <w:numId w:val="71"/>
              </w:numPr>
              <w:ind w:left="245" w:hanging="245"/>
            </w:pPr>
            <w:r>
              <w:t>Operator</w:t>
            </w:r>
            <w:r w:rsidR="00AB7939">
              <w:t>y Setup</w:t>
            </w:r>
          </w:p>
        </w:tc>
        <w:tc>
          <w:tcPr>
            <w:tcW w:w="3117" w:type="dxa"/>
          </w:tcPr>
          <w:p w14:paraId="6F3D9ACF" w14:textId="53A36B5C" w:rsidR="00F3166B" w:rsidRDefault="005A5AC4" w:rsidP="004F45B6">
            <w:pPr>
              <w:pStyle w:val="BodyText"/>
              <w:numPr>
                <w:ilvl w:val="0"/>
                <w:numId w:val="71"/>
              </w:numPr>
              <w:ind w:left="245" w:hanging="245"/>
            </w:pPr>
            <w:r>
              <w:t>S</w:t>
            </w:r>
            <w:r w:rsidR="00F3166B">
              <w:t xml:space="preserve">ecurity </w:t>
            </w:r>
            <w:r>
              <w:t>Setup</w:t>
            </w:r>
          </w:p>
          <w:p w14:paraId="5F7443E4" w14:textId="76B0947E" w:rsidR="00E745C2" w:rsidRDefault="00E745C2" w:rsidP="004F45B6">
            <w:pPr>
              <w:pStyle w:val="BodyText"/>
              <w:numPr>
                <w:ilvl w:val="0"/>
                <w:numId w:val="71"/>
              </w:numPr>
              <w:ind w:left="245" w:hanging="245"/>
            </w:pPr>
            <w:r>
              <w:t>Definitions</w:t>
            </w:r>
          </w:p>
          <w:p w14:paraId="0A5D6184" w14:textId="77777777" w:rsidR="00E745C2" w:rsidRDefault="00E745C2" w:rsidP="004F45B6">
            <w:pPr>
              <w:pStyle w:val="BodyText"/>
              <w:numPr>
                <w:ilvl w:val="0"/>
                <w:numId w:val="71"/>
              </w:numPr>
              <w:ind w:left="245" w:hanging="245"/>
            </w:pPr>
            <w:r>
              <w:t>Procedure Code Setup</w:t>
            </w:r>
          </w:p>
          <w:p w14:paraId="3243CEBC" w14:textId="77777777" w:rsidR="005A5AC4" w:rsidRDefault="005A5AC4" w:rsidP="004F45B6">
            <w:pPr>
              <w:pStyle w:val="BodyText"/>
              <w:numPr>
                <w:ilvl w:val="0"/>
                <w:numId w:val="71"/>
              </w:numPr>
              <w:ind w:left="245" w:hanging="245"/>
            </w:pPr>
            <w:r>
              <w:t>Continuing Care Setup</w:t>
            </w:r>
          </w:p>
          <w:p w14:paraId="3B72B6B5" w14:textId="7B276B14" w:rsidR="00E745C2" w:rsidRDefault="00E745C2" w:rsidP="004F45B6">
            <w:pPr>
              <w:pStyle w:val="BodyText"/>
              <w:numPr>
                <w:ilvl w:val="0"/>
                <w:numId w:val="71"/>
              </w:numPr>
              <w:ind w:left="245" w:hanging="245"/>
            </w:pPr>
            <w:r>
              <w:t>Appointment Book Setup</w:t>
            </w:r>
          </w:p>
          <w:p w14:paraId="3AD8089C" w14:textId="6E5ECE7F" w:rsidR="00E745C2" w:rsidRDefault="00E745C2" w:rsidP="004F45B6">
            <w:pPr>
              <w:pStyle w:val="BodyText"/>
              <w:numPr>
                <w:ilvl w:val="0"/>
                <w:numId w:val="71"/>
              </w:numPr>
              <w:ind w:left="245" w:hanging="245"/>
            </w:pPr>
            <w:r>
              <w:t>Clinical Setup</w:t>
            </w:r>
          </w:p>
          <w:p w14:paraId="4624D3ED" w14:textId="62E9BA19" w:rsidR="005A5AC4" w:rsidRDefault="005A5AC4" w:rsidP="004F45B6">
            <w:pPr>
              <w:pStyle w:val="BodyText"/>
              <w:numPr>
                <w:ilvl w:val="0"/>
                <w:numId w:val="71"/>
              </w:numPr>
              <w:ind w:left="245" w:hanging="245"/>
            </w:pPr>
            <w:r>
              <w:t>Prescriptions</w:t>
            </w:r>
            <w:r w:rsidR="00AB7939">
              <w:t xml:space="preserve"> Setup</w:t>
            </w:r>
          </w:p>
          <w:p w14:paraId="0CCF0DC2" w14:textId="77777777" w:rsidR="00E745C2" w:rsidRDefault="00E745C2" w:rsidP="004F45B6">
            <w:pPr>
              <w:pStyle w:val="BodyText"/>
              <w:numPr>
                <w:ilvl w:val="0"/>
                <w:numId w:val="71"/>
              </w:numPr>
              <w:ind w:left="245" w:hanging="245"/>
            </w:pPr>
            <w:r>
              <w:t>Ledger Setup</w:t>
            </w:r>
          </w:p>
          <w:p w14:paraId="7E4F9115" w14:textId="77777777" w:rsidR="00E745C2" w:rsidRDefault="00E745C2" w:rsidP="004F45B6">
            <w:pPr>
              <w:pStyle w:val="BodyText"/>
              <w:numPr>
                <w:ilvl w:val="0"/>
                <w:numId w:val="71"/>
              </w:numPr>
              <w:ind w:left="245" w:hanging="245"/>
            </w:pPr>
            <w:r>
              <w:t>Document Center Setup</w:t>
            </w:r>
          </w:p>
          <w:p w14:paraId="4D7DC904" w14:textId="16FA9A6A" w:rsidR="00E745C2" w:rsidRDefault="00E745C2" w:rsidP="004F45B6">
            <w:pPr>
              <w:pStyle w:val="BodyText"/>
              <w:numPr>
                <w:ilvl w:val="0"/>
                <w:numId w:val="71"/>
              </w:numPr>
              <w:ind w:left="245" w:hanging="245"/>
            </w:pPr>
            <w:r>
              <w:t xml:space="preserve">Customize Individual Modules </w:t>
            </w:r>
            <w:r w:rsidR="00AB7939">
              <w:t>and</w:t>
            </w:r>
            <w:r>
              <w:t xml:space="preserve"> </w:t>
            </w:r>
            <w:r w:rsidR="00AB7939">
              <w:t xml:space="preserve">the </w:t>
            </w:r>
            <w:r>
              <w:t>Registry</w:t>
            </w:r>
          </w:p>
        </w:tc>
      </w:tr>
    </w:tbl>
    <w:p w14:paraId="51C27288" w14:textId="39BFA5FC" w:rsidR="004D3D1C" w:rsidRPr="004D3D1C" w:rsidRDefault="00E745C2" w:rsidP="004F45B6">
      <w:pPr>
        <w:pStyle w:val="Heading2"/>
        <w:numPr>
          <w:ilvl w:val="0"/>
          <w:numId w:val="70"/>
        </w:numPr>
      </w:pPr>
      <w:bookmarkStart w:id="216" w:name="_Toc135416598"/>
      <w:bookmarkStart w:id="217" w:name="_Toc135416734"/>
      <w:bookmarkStart w:id="218" w:name="PracticeSetup"/>
      <w:bookmarkStart w:id="219" w:name="_Toc166834390"/>
      <w:r w:rsidRPr="004267C0">
        <w:rPr>
          <w:rStyle w:val="Heading1Char"/>
          <w:rFonts w:eastAsiaTheme="majorEastAsia"/>
          <w:b/>
          <w:bCs w:val="0"/>
          <w:kern w:val="0"/>
          <w:sz w:val="36"/>
          <w:szCs w:val="26"/>
        </w:rPr>
        <w:t>Enterprise</w:t>
      </w:r>
      <w:r w:rsidR="009473AD" w:rsidRPr="004267C0">
        <w:rPr>
          <w:rStyle w:val="Heading1Char"/>
          <w:rFonts w:eastAsiaTheme="majorEastAsia"/>
          <w:b/>
          <w:bCs w:val="0"/>
          <w:kern w:val="0"/>
          <w:sz w:val="36"/>
          <w:szCs w:val="26"/>
        </w:rPr>
        <w:t xml:space="preserve"> S</w:t>
      </w:r>
      <w:r w:rsidR="004D3D1C" w:rsidRPr="004267C0">
        <w:rPr>
          <w:rStyle w:val="Heading1Char"/>
          <w:rFonts w:eastAsiaTheme="majorEastAsia"/>
          <w:b/>
          <w:bCs w:val="0"/>
          <w:kern w:val="0"/>
          <w:sz w:val="36"/>
          <w:szCs w:val="26"/>
        </w:rPr>
        <w:t>etup</w:t>
      </w:r>
      <w:bookmarkEnd w:id="216"/>
      <w:bookmarkEnd w:id="217"/>
      <w:bookmarkEnd w:id="219"/>
    </w:p>
    <w:bookmarkEnd w:id="218"/>
    <w:p w14:paraId="7747434D" w14:textId="6CDCFECB" w:rsidR="009473AD" w:rsidRPr="004D3D1C" w:rsidRDefault="00A66ABB" w:rsidP="004D3D1C">
      <w:pPr>
        <w:pStyle w:val="BodyText"/>
      </w:pPr>
      <w:r w:rsidRPr="004D3D1C">
        <w:t>Customization</w:t>
      </w:r>
      <w:r w:rsidR="00DD173F">
        <w:t>s</w:t>
      </w:r>
      <w:r w:rsidRPr="004D3D1C">
        <w:t xml:space="preserve"> </w:t>
      </w:r>
      <w:r>
        <w:t xml:space="preserve">to meet </w:t>
      </w:r>
      <w:r w:rsidR="00DD173F">
        <w:t xml:space="preserve">your </w:t>
      </w:r>
      <w:r w:rsidRPr="004D3D1C">
        <w:t>organizational needs start with defining the dental location</w:t>
      </w:r>
      <w:r>
        <w:t xml:space="preserve">s, so </w:t>
      </w:r>
      <w:r w:rsidR="00DD173F" w:rsidRPr="004D3D1C">
        <w:t xml:space="preserve">the Dentrix Enterprise setup </w:t>
      </w:r>
      <w:r w:rsidR="00DD173F">
        <w:t xml:space="preserve">process </w:t>
      </w:r>
      <w:r w:rsidR="00DD173F" w:rsidRPr="004D3D1C">
        <w:t>begins</w:t>
      </w:r>
      <w:r w:rsidR="00DD173F">
        <w:t xml:space="preserve"> in </w:t>
      </w:r>
      <w:r>
        <w:t xml:space="preserve">the </w:t>
      </w:r>
      <w:r w:rsidRPr="00A66ABB">
        <w:rPr>
          <w:b/>
          <w:bCs/>
        </w:rPr>
        <w:t>Enterprise Setup</w:t>
      </w:r>
      <w:r w:rsidRPr="0030168F">
        <w:t xml:space="preserve"> </w:t>
      </w:r>
      <w:r>
        <w:t>dialog box</w:t>
      </w:r>
      <w:r w:rsidRPr="004D3D1C">
        <w:t>.</w:t>
      </w:r>
      <w:r>
        <w:t xml:space="preserve"> In the </w:t>
      </w:r>
      <w:r w:rsidR="009473AD" w:rsidRPr="00A66ABB">
        <w:rPr>
          <w:b/>
          <w:bCs/>
        </w:rPr>
        <w:t>Enterprise Setup</w:t>
      </w:r>
      <w:r w:rsidR="009473AD" w:rsidRPr="0030168F">
        <w:t xml:space="preserve"> </w:t>
      </w:r>
      <w:r>
        <w:t xml:space="preserve">dialog box, </w:t>
      </w:r>
      <w:r w:rsidR="009473AD" w:rsidRPr="0030168F">
        <w:t xml:space="preserve">you </w:t>
      </w:r>
      <w:r>
        <w:t xml:space="preserve">can </w:t>
      </w:r>
      <w:r w:rsidR="009473AD" w:rsidRPr="0030168F">
        <w:t xml:space="preserve">create </w:t>
      </w:r>
      <w:r>
        <w:t xml:space="preserve">a clinic </w:t>
      </w:r>
      <w:r w:rsidR="009473AD" w:rsidRPr="0030168F">
        <w:t xml:space="preserve">and </w:t>
      </w:r>
      <w:r>
        <w:t xml:space="preserve">configure that clinic’s </w:t>
      </w:r>
      <w:r w:rsidR="009473AD" w:rsidRPr="0030168F">
        <w:t xml:space="preserve">information for operations and reporting. </w:t>
      </w:r>
      <w:r w:rsidR="009473AD" w:rsidRPr="004D3D1C">
        <w:t>You must be logged in</w:t>
      </w:r>
      <w:r>
        <w:t xml:space="preserve"> </w:t>
      </w:r>
      <w:r w:rsidR="009473AD" w:rsidRPr="004D3D1C">
        <w:t>to the C</w:t>
      </w:r>
      <w:r w:rsidR="00E07E85">
        <w:t>entral</w:t>
      </w:r>
      <w:r w:rsidR="009473AD" w:rsidRPr="004D3D1C">
        <w:t xml:space="preserve"> clinic to set up a clinic.</w:t>
      </w:r>
    </w:p>
    <w:p w14:paraId="03EDD7BD" w14:textId="4119AD29" w:rsidR="009473AD" w:rsidRPr="00DD173F" w:rsidRDefault="00165541" w:rsidP="004D3D1C">
      <w:pPr>
        <w:pStyle w:val="BodyText"/>
        <w:rPr>
          <w:i/>
          <w:iCs/>
        </w:rPr>
      </w:pPr>
      <w:r>
        <w:rPr>
          <w:noProof/>
        </w:rPr>
        <w:drawing>
          <wp:anchor distT="0" distB="0" distL="0" distR="91440" simplePos="0" relativeHeight="251832324" behindDoc="1" locked="0" layoutInCell="1" allowOverlap="1" wp14:anchorId="1114E526" wp14:editId="10219198">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79268950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D173F">
        <w:rPr>
          <w:b/>
          <w:bCs/>
          <w:i/>
          <w:iCs/>
        </w:rPr>
        <w:t>Operations Insight</w:t>
      </w:r>
      <w:r w:rsidR="00E07E85" w:rsidRPr="00DD173F">
        <w:rPr>
          <w:i/>
          <w:iCs/>
        </w:rPr>
        <w:t>:</w:t>
      </w:r>
      <w:r w:rsidR="009473AD" w:rsidRPr="00DD173F">
        <w:rPr>
          <w:i/>
          <w:iCs/>
        </w:rPr>
        <w:t xml:space="preserve"> Add each dental location as a clinic. </w:t>
      </w:r>
      <w:r w:rsidR="00DD173F" w:rsidRPr="00DD173F">
        <w:rPr>
          <w:i/>
          <w:iCs/>
        </w:rPr>
        <w:t xml:space="preserve">You can </w:t>
      </w:r>
      <w:r w:rsidR="009473AD" w:rsidRPr="00DD173F">
        <w:rPr>
          <w:i/>
          <w:iCs/>
        </w:rPr>
        <w:t>filter reports for data output at the individual clinic level or grouped with other clinics. Additionally, the creation of clinics provides the opportunity to develop a unique Appointment Book for scheduling patients at each clinic.</w:t>
      </w:r>
    </w:p>
    <w:p w14:paraId="448BB9D2" w14:textId="306D0A6E" w:rsidR="009473AD" w:rsidRPr="00DD173F" w:rsidRDefault="00165541" w:rsidP="00F57732">
      <w:pPr>
        <w:pStyle w:val="BodyText"/>
        <w:rPr>
          <w:i/>
          <w:iCs/>
        </w:rPr>
      </w:pPr>
      <w:r>
        <w:rPr>
          <w:noProof/>
        </w:rPr>
        <w:drawing>
          <wp:anchor distT="0" distB="0" distL="0" distR="91440" simplePos="0" relativeHeight="251834372" behindDoc="1" locked="0" layoutInCell="1" allowOverlap="1" wp14:anchorId="6235E032" wp14:editId="72DB2A8A">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1818975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D173F">
        <w:rPr>
          <w:b/>
          <w:bCs/>
          <w:i/>
          <w:iCs/>
        </w:rPr>
        <w:t>Operations Insight</w:t>
      </w:r>
      <w:r w:rsidR="00E07E85" w:rsidRPr="00DD173F">
        <w:rPr>
          <w:i/>
          <w:iCs/>
        </w:rPr>
        <w:t>:</w:t>
      </w:r>
      <w:r w:rsidR="009473AD" w:rsidRPr="00DD173F">
        <w:rPr>
          <w:i/>
          <w:iCs/>
        </w:rPr>
        <w:t xml:space="preserve"> Adding a new clinic in an HL7 interface environment will require updates to the HL7 messaging with the Electronic Medical Record (EMR, such as RPMS).</w:t>
      </w:r>
    </w:p>
    <w:p w14:paraId="3F648F25" w14:textId="062AC9CB" w:rsidR="009473AD" w:rsidRPr="004D3D1C" w:rsidRDefault="009473AD" w:rsidP="004D3D1C">
      <w:pPr>
        <w:pStyle w:val="BodyText"/>
      </w:pPr>
      <w:r w:rsidRPr="00E07E85">
        <w:rPr>
          <w:b/>
          <w:bCs/>
        </w:rPr>
        <w:t>What is a Clinic?</w:t>
      </w:r>
      <w:r w:rsidRPr="004D3D1C">
        <w:rPr>
          <w:b/>
          <w:bCs/>
        </w:rPr>
        <w:t xml:space="preserve"> </w:t>
      </w:r>
      <w:r w:rsidRPr="004D3D1C">
        <w:t xml:space="preserve">Clinics are physical dental locations. A clinic could also be non-physical, such as </w:t>
      </w:r>
      <w:r w:rsidR="00DD173F">
        <w:t xml:space="preserve">a </w:t>
      </w:r>
      <w:r w:rsidRPr="004D3D1C">
        <w:t>department. In Dentrix Enterprise, a clinic provides a space for unique data entry and tracking and should be considered anytime separation (or filtering) of data is desired.</w:t>
      </w:r>
    </w:p>
    <w:p w14:paraId="0FD460D3" w14:textId="14ABF608" w:rsidR="009473AD" w:rsidRPr="004D3D1C" w:rsidRDefault="009473AD" w:rsidP="004D3D1C">
      <w:pPr>
        <w:pStyle w:val="BodyText"/>
      </w:pPr>
      <w:r w:rsidRPr="00E07E85">
        <w:rPr>
          <w:b/>
          <w:bCs/>
        </w:rPr>
        <w:t>Why is Clinic Information Important?</w:t>
      </w:r>
      <w:r w:rsidRPr="004D3D1C">
        <w:t xml:space="preserve"> Clinics are the key to allocation, or the assignment of resources to a location. For example, clinics are used to </w:t>
      </w:r>
      <w:r w:rsidR="00DD173F">
        <w:t>manage patient</w:t>
      </w:r>
      <w:r w:rsidRPr="004D3D1C">
        <w:t>s, services, staffing, and security assignments. A clinic can be reported on separately or in a group with other clinics. A clinic can have its own setup, including an Appointment Book for scheduling patients.</w:t>
      </w:r>
    </w:p>
    <w:p w14:paraId="61934515" w14:textId="11663F0D" w:rsidR="009473AD" w:rsidRPr="004D3D1C" w:rsidRDefault="00DD173F" w:rsidP="000D7FFC">
      <w:pPr>
        <w:pStyle w:val="BodyText"/>
        <w:keepNext/>
        <w:keepLines/>
      </w:pPr>
      <w:r>
        <w:lastRenderedPageBreak/>
        <w:t>Because</w:t>
      </w:r>
      <w:r w:rsidR="009473AD" w:rsidRPr="004D3D1C">
        <w:t xml:space="preserve"> clinic</w:t>
      </w:r>
      <w:r>
        <w:t>s are</w:t>
      </w:r>
      <w:r w:rsidR="009473AD" w:rsidRPr="004D3D1C">
        <w:t xml:space="preserve"> the base structure for many </w:t>
      </w:r>
      <w:r w:rsidR="005D4E8A">
        <w:t xml:space="preserve">areas of </w:t>
      </w:r>
      <w:r w:rsidR="009473AD" w:rsidRPr="004D3D1C">
        <w:t>Dentrix Enterprise</w:t>
      </w:r>
      <w:r w:rsidR="005D4E8A">
        <w:t xml:space="preserve"> </w:t>
      </w:r>
      <w:r w:rsidR="009473AD" w:rsidRPr="004D3D1C">
        <w:t>configuration</w:t>
      </w:r>
      <w:r>
        <w:t>s</w:t>
      </w:r>
      <w:r w:rsidR="009473AD" w:rsidRPr="004D3D1C">
        <w:t xml:space="preserve"> and workflows</w:t>
      </w:r>
      <w:r w:rsidR="005D4E8A">
        <w:t xml:space="preserve">, be aware of how the following areas are dependent upon </w:t>
      </w:r>
      <w:r w:rsidR="000D2421">
        <w:t xml:space="preserve">your </w:t>
      </w:r>
      <w:r w:rsidR="005D4E8A">
        <w:t>clinics</w:t>
      </w:r>
      <w:r>
        <w:t>:</w:t>
      </w:r>
    </w:p>
    <w:p w14:paraId="69CE2CF0" w14:textId="7CAE62ED" w:rsidR="009473AD" w:rsidRPr="004D3D1C" w:rsidRDefault="009473AD" w:rsidP="004F45B6">
      <w:pPr>
        <w:pStyle w:val="BodyText"/>
        <w:numPr>
          <w:ilvl w:val="0"/>
          <w:numId w:val="72"/>
        </w:numPr>
        <w:ind w:left="540"/>
      </w:pPr>
      <w:r w:rsidRPr="004D3D1C">
        <w:t>Users</w:t>
      </w:r>
      <w:r w:rsidR="00E07E85">
        <w:t xml:space="preserve"> (</w:t>
      </w:r>
      <w:r w:rsidRPr="004D3D1C">
        <w:t>providers and staff</w:t>
      </w:r>
      <w:r w:rsidR="00E07E85">
        <w:t>).</w:t>
      </w:r>
    </w:p>
    <w:p w14:paraId="259EEC20" w14:textId="49682FE4" w:rsidR="009473AD" w:rsidRPr="004D3D1C" w:rsidRDefault="009473AD" w:rsidP="004F45B6">
      <w:pPr>
        <w:pStyle w:val="BodyText"/>
        <w:numPr>
          <w:ilvl w:val="0"/>
          <w:numId w:val="72"/>
        </w:numPr>
        <w:ind w:left="540"/>
      </w:pPr>
      <w:r w:rsidRPr="004D3D1C">
        <w:t>Security rights</w:t>
      </w:r>
      <w:r w:rsidR="00E07E85">
        <w:t xml:space="preserve"> (for restricting</w:t>
      </w:r>
      <w:r w:rsidRPr="004D3D1C">
        <w:t xml:space="preserve"> access</w:t>
      </w:r>
      <w:r w:rsidR="00E07E85">
        <w:t>).</w:t>
      </w:r>
    </w:p>
    <w:p w14:paraId="5CD5418B" w14:textId="6E7E4C81" w:rsidR="009473AD" w:rsidRPr="004D3D1C" w:rsidRDefault="009473AD" w:rsidP="004F45B6">
      <w:pPr>
        <w:pStyle w:val="BodyText"/>
        <w:numPr>
          <w:ilvl w:val="0"/>
          <w:numId w:val="72"/>
        </w:numPr>
        <w:ind w:left="540"/>
      </w:pPr>
      <w:r w:rsidRPr="004D3D1C">
        <w:t xml:space="preserve">Operatories </w:t>
      </w:r>
      <w:r w:rsidR="00A66ABB">
        <w:t>(</w:t>
      </w:r>
      <w:r w:rsidRPr="004D3D1C">
        <w:t>for scheduling</w:t>
      </w:r>
      <w:r w:rsidR="00A66ABB">
        <w:t>)</w:t>
      </w:r>
      <w:r w:rsidR="00E07E85">
        <w:t>.</w:t>
      </w:r>
    </w:p>
    <w:p w14:paraId="7C405AFE" w14:textId="7E49E42D" w:rsidR="009473AD" w:rsidRPr="004D3D1C" w:rsidRDefault="009473AD" w:rsidP="004F45B6">
      <w:pPr>
        <w:pStyle w:val="BodyText"/>
        <w:numPr>
          <w:ilvl w:val="0"/>
          <w:numId w:val="72"/>
        </w:numPr>
        <w:ind w:left="540"/>
      </w:pPr>
      <w:r w:rsidRPr="004D3D1C">
        <w:t>HL7 interface messages</w:t>
      </w:r>
      <w:r w:rsidR="00A66ABB">
        <w:t>.</w:t>
      </w:r>
    </w:p>
    <w:p w14:paraId="4694A49F" w14:textId="73C3812A" w:rsidR="009473AD" w:rsidRPr="004D3D1C" w:rsidRDefault="009473AD" w:rsidP="004F45B6">
      <w:pPr>
        <w:pStyle w:val="BodyText"/>
        <w:numPr>
          <w:ilvl w:val="0"/>
          <w:numId w:val="72"/>
        </w:numPr>
        <w:ind w:left="540"/>
      </w:pPr>
      <w:r w:rsidRPr="004D3D1C">
        <w:t>Reporting</w:t>
      </w:r>
      <w:r w:rsidR="00A66ABB">
        <w:t>.</w:t>
      </w:r>
    </w:p>
    <w:p w14:paraId="113A2A93" w14:textId="3991CC0C" w:rsidR="00F57732" w:rsidRDefault="00F57732" w:rsidP="00D42C5A">
      <w:pPr>
        <w:pStyle w:val="Heading3"/>
      </w:pPr>
      <w:bookmarkStart w:id="220" w:name="GeneralTab"/>
      <w:bookmarkStart w:id="221" w:name="_Toc135416735"/>
      <w:bookmarkStart w:id="222" w:name="_Toc166834391"/>
      <w:r>
        <w:t xml:space="preserve">Clinic Information </w:t>
      </w:r>
      <w:r w:rsidR="00660280">
        <w:t>–</w:t>
      </w:r>
      <w:r>
        <w:t xml:space="preserve"> </w:t>
      </w:r>
      <w:r w:rsidR="00660280">
        <w:t>Clinic Settings</w:t>
      </w:r>
      <w:r w:rsidR="009473AD" w:rsidRPr="00E20C66">
        <w:t xml:space="preserve"> Tab</w:t>
      </w:r>
      <w:bookmarkEnd w:id="220"/>
      <w:bookmarkEnd w:id="221"/>
      <w:bookmarkEnd w:id="222"/>
    </w:p>
    <w:p w14:paraId="6C77A7EB" w14:textId="3004ACC4" w:rsidR="009473AD" w:rsidRPr="00024B83" w:rsidRDefault="000D2421" w:rsidP="00024B83">
      <w:pPr>
        <w:pStyle w:val="BodyText"/>
      </w:pPr>
      <w:r>
        <w:t>On th</w:t>
      </w:r>
      <w:r w:rsidR="00660280">
        <w:t xml:space="preserve">e </w:t>
      </w:r>
      <w:r w:rsidR="00660280" w:rsidRPr="00660280">
        <w:rPr>
          <w:b/>
          <w:bCs/>
        </w:rPr>
        <w:t>Clinic Settings</w:t>
      </w:r>
      <w:r>
        <w:t xml:space="preserve"> tab</w:t>
      </w:r>
      <w:r w:rsidR="00660280">
        <w:t xml:space="preserve"> of the </w:t>
      </w:r>
      <w:r w:rsidR="00660280" w:rsidRPr="00660280">
        <w:rPr>
          <w:b/>
          <w:bCs/>
        </w:rPr>
        <w:t>Clinic Information</w:t>
      </w:r>
      <w:r w:rsidR="00660280">
        <w:t xml:space="preserve"> dialog box</w:t>
      </w:r>
      <w:r>
        <w:t>, you enter</w:t>
      </w:r>
      <w:r w:rsidR="009473AD">
        <w:t xml:space="preserve"> clinic</w:t>
      </w:r>
      <w:r>
        <w:t>-</w:t>
      </w:r>
      <w:r w:rsidR="009473AD">
        <w:t>specific information. Combining these details with</w:t>
      </w:r>
      <w:r w:rsidR="009473AD" w:rsidRPr="00E20C66">
        <w:t xml:space="preserve"> </w:t>
      </w:r>
      <w:r w:rsidR="009473AD">
        <w:t>other settings throughout</w:t>
      </w:r>
      <w:r w:rsidR="009473AD" w:rsidRPr="00E20C66">
        <w:t xml:space="preserve"> the system</w:t>
      </w:r>
      <w:r>
        <w:t xml:space="preserve"> allows you</w:t>
      </w:r>
      <w:r w:rsidR="009473AD">
        <w:t xml:space="preserve"> to customize where </w:t>
      </w:r>
      <w:r>
        <w:t>a</w:t>
      </w:r>
      <w:r w:rsidR="009473AD">
        <w:t xml:space="preserve"> clinic</w:t>
      </w:r>
      <w:r>
        <w:t>’s</w:t>
      </w:r>
      <w:r w:rsidR="009473AD">
        <w:t xml:space="preserve"> information will </w:t>
      </w:r>
      <w:r>
        <w:t>appear</w:t>
      </w:r>
      <w:r w:rsidR="009473AD">
        <w:t>.</w:t>
      </w:r>
      <w:r>
        <w:t xml:space="preserve"> </w:t>
      </w:r>
      <w:r w:rsidR="009473AD">
        <w:t>The details alone do not establish</w:t>
      </w:r>
      <w:r w:rsidR="009473AD" w:rsidRPr="00E20C66">
        <w:t xml:space="preserve"> </w:t>
      </w:r>
      <w:r w:rsidR="009473AD" w:rsidRPr="000D2421">
        <w:rPr>
          <w:iCs/>
          <w:u w:val="single"/>
        </w:rPr>
        <w:t>how</w:t>
      </w:r>
      <w:r w:rsidR="009473AD">
        <w:t xml:space="preserve"> the information is used in Dentrix Enterprise</w:t>
      </w:r>
      <w:r w:rsidR="009473AD" w:rsidRPr="00E20C66">
        <w:t xml:space="preserve">.  </w:t>
      </w:r>
    </w:p>
    <w:p w14:paraId="4571CB45" w14:textId="5F1E354F" w:rsidR="009473AD" w:rsidRPr="00C7738D" w:rsidRDefault="009473AD" w:rsidP="004F45B6">
      <w:pPr>
        <w:pStyle w:val="BodyText"/>
        <w:numPr>
          <w:ilvl w:val="0"/>
          <w:numId w:val="73"/>
        </w:numPr>
        <w:ind w:left="540"/>
      </w:pPr>
      <w:r w:rsidRPr="050847E4">
        <w:rPr>
          <w:b/>
          <w:bCs/>
        </w:rPr>
        <w:t xml:space="preserve">Descriptive ID </w:t>
      </w:r>
      <w:r w:rsidRPr="050847E4">
        <w:t xml:space="preserve">– This Internal ID is a reference name for the clinic in Dentrix Enterprise and on reports. This is the </w:t>
      </w:r>
      <w:r w:rsidRPr="004D3D1C">
        <w:t xml:space="preserve">site’s </w:t>
      </w:r>
      <w:r w:rsidRPr="050847E4">
        <w:t xml:space="preserve">short name or </w:t>
      </w:r>
      <w:r w:rsidR="000D2421">
        <w:t xml:space="preserve">the </w:t>
      </w:r>
      <w:r w:rsidRPr="050847E4">
        <w:t xml:space="preserve">abbreviated name for the clinic. The Descriptive ID </w:t>
      </w:r>
      <w:r w:rsidR="000D2421">
        <w:t>can be</w:t>
      </w:r>
      <w:r w:rsidRPr="050847E4">
        <w:t xml:space="preserve"> a maximum of 11 characters </w:t>
      </w:r>
      <w:r w:rsidR="000D2421">
        <w:t>long</w:t>
      </w:r>
      <w:r w:rsidRPr="050847E4">
        <w:t xml:space="preserve">, </w:t>
      </w:r>
      <w:r w:rsidR="000D2421">
        <w:t xml:space="preserve">and </w:t>
      </w:r>
      <w:r w:rsidRPr="050847E4">
        <w:t>no spaces</w:t>
      </w:r>
      <w:r w:rsidR="000D2421">
        <w:t xml:space="preserve"> are</w:t>
      </w:r>
      <w:r w:rsidRPr="050847E4">
        <w:t xml:space="preserve"> allowed. </w:t>
      </w:r>
    </w:p>
    <w:p w14:paraId="398FFB4C" w14:textId="7579384F" w:rsidR="009473AD" w:rsidRDefault="009473AD" w:rsidP="004F45B6">
      <w:pPr>
        <w:pStyle w:val="BodyText"/>
        <w:numPr>
          <w:ilvl w:val="0"/>
          <w:numId w:val="73"/>
        </w:numPr>
        <w:ind w:left="540"/>
      </w:pPr>
      <w:r w:rsidRPr="092CC55B">
        <w:rPr>
          <w:b/>
          <w:bCs/>
        </w:rPr>
        <w:t xml:space="preserve">Clinic TIN </w:t>
      </w:r>
      <w:r w:rsidRPr="092CC55B">
        <w:t xml:space="preserve">– </w:t>
      </w:r>
      <w:r w:rsidR="000D2421">
        <w:t>You can link t</w:t>
      </w:r>
      <w:r w:rsidRPr="092CC55B">
        <w:t xml:space="preserve">he Clinic TIN to a </w:t>
      </w:r>
      <w:r w:rsidR="000D2421">
        <w:t>p</w:t>
      </w:r>
      <w:r w:rsidRPr="092CC55B">
        <w:t xml:space="preserve">rovider in the </w:t>
      </w:r>
      <w:r w:rsidR="000D2421">
        <w:t>Clinic Resource Setup</w:t>
      </w:r>
      <w:r w:rsidRPr="092CC55B">
        <w:t xml:space="preserve">.    </w:t>
      </w:r>
    </w:p>
    <w:p w14:paraId="63A8554B" w14:textId="7531C57B" w:rsidR="009473AD" w:rsidRPr="00F57732" w:rsidRDefault="009473AD" w:rsidP="00024B83">
      <w:pPr>
        <w:pStyle w:val="BodyText"/>
        <w:ind w:left="540"/>
      </w:pPr>
      <w:r w:rsidRPr="000D2421">
        <w:rPr>
          <w:b/>
          <w:bCs/>
        </w:rPr>
        <w:t>What is a TIN?</w:t>
      </w:r>
      <w:r w:rsidRPr="00F57732">
        <w:t xml:space="preserve"> A Taxpayer Identification Number (Tax ID, or TIN) is a generic term used by the Internal Revenue Service to designate the types of numbers that it allows to be used for tax and identification purposes. It is primarily used to track payments for tax purposes. The Internal Revenue Service assigns a Tax Identifier Number (TIN) to each practice for tax purposes. A TIN can be assigned to the billing dentist if </w:t>
      </w:r>
      <w:r w:rsidR="000D2421">
        <w:t>he or she is</w:t>
      </w:r>
      <w:r w:rsidRPr="00F57732">
        <w:t xml:space="preserve"> unincorporated.</w:t>
      </w:r>
    </w:p>
    <w:p w14:paraId="4BDD1169" w14:textId="608EA473" w:rsidR="009473AD" w:rsidRPr="00024B83" w:rsidRDefault="009473AD" w:rsidP="00024B83">
      <w:pPr>
        <w:pStyle w:val="BodyText"/>
        <w:ind w:left="540"/>
      </w:pPr>
      <w:r w:rsidRPr="000D2421">
        <w:rPr>
          <w:b/>
          <w:bCs/>
        </w:rPr>
        <w:t>Who needs a TIN?</w:t>
      </w:r>
      <w:r w:rsidRPr="00F57732">
        <w:rPr>
          <w:b/>
          <w:bCs/>
        </w:rPr>
        <w:t xml:space="preserve"> </w:t>
      </w:r>
      <w:r w:rsidRPr="00F57732">
        <w:t xml:space="preserve">A </w:t>
      </w:r>
      <w:r w:rsidR="000D2421">
        <w:t>TIN</w:t>
      </w:r>
      <w:r w:rsidRPr="00024B83">
        <w:t xml:space="preserve"> is not required if you operate a sole proprietorship or an LLC with no employees. This </w:t>
      </w:r>
      <w:r w:rsidR="000D2421">
        <w:t>person</w:t>
      </w:r>
      <w:r w:rsidRPr="00024B83">
        <w:t xml:space="preserve"> would simply use </w:t>
      </w:r>
      <w:r w:rsidR="000D2421">
        <w:t>his or her</w:t>
      </w:r>
      <w:r w:rsidRPr="00024B83">
        <w:t xml:space="preserve"> own Social Security Number as a tax ID. </w:t>
      </w:r>
      <w:r w:rsidR="000D2421">
        <w:t>A company getting a</w:t>
      </w:r>
      <w:r w:rsidRPr="00024B83">
        <w:t xml:space="preserve"> TIN is based on whether </w:t>
      </w:r>
      <w:r w:rsidR="000D2421">
        <w:t>there are</w:t>
      </w:r>
      <w:r w:rsidRPr="00024B83">
        <w:t xml:space="preserve"> employees</w:t>
      </w:r>
      <w:r w:rsidR="000D2421">
        <w:t xml:space="preserve"> or not</w:t>
      </w:r>
      <w:r w:rsidRPr="00024B83">
        <w:t>.</w:t>
      </w:r>
    </w:p>
    <w:p w14:paraId="59D5CFB0" w14:textId="77777777" w:rsidR="000D2421" w:rsidRDefault="009473AD" w:rsidP="00024B83">
      <w:pPr>
        <w:pStyle w:val="BodyText"/>
        <w:ind w:left="540"/>
      </w:pPr>
      <w:r w:rsidRPr="000D2421">
        <w:rPr>
          <w:b/>
          <w:bCs/>
        </w:rPr>
        <w:t>Why is it important?</w:t>
      </w:r>
      <w:r w:rsidRPr="00024B83">
        <w:t xml:space="preserve"> </w:t>
      </w:r>
      <w:r w:rsidR="000D2421">
        <w:t>A TIN</w:t>
      </w:r>
      <w:r w:rsidRPr="00024B83">
        <w:t xml:space="preserve"> is important for several reasons</w:t>
      </w:r>
      <w:r w:rsidR="000D2421">
        <w:t>. I</w:t>
      </w:r>
      <w:r w:rsidRPr="00024B83">
        <w:t xml:space="preserve">t is how the IRS track payments made to agencies, and it is how </w:t>
      </w:r>
      <w:r w:rsidR="000D2421">
        <w:t>agencies</w:t>
      </w:r>
      <w:r w:rsidRPr="00024B83">
        <w:t xml:space="preserve"> a</w:t>
      </w:r>
      <w:r w:rsidRPr="00F57732">
        <w:t>re identified on claim forms. More information on reporting the TIN on the ADA 2019 Claim Form can be found in the ADA Dental Claim Form Completion Instructio</w:t>
      </w:r>
      <w:r w:rsidRPr="00024B83">
        <w:t>ns</w:t>
      </w:r>
      <w:r w:rsidR="000D2421">
        <w:t xml:space="preserve"> document.</w:t>
      </w:r>
    </w:p>
    <w:p w14:paraId="7AF1C9F3" w14:textId="1E43A04F" w:rsidR="009473AD" w:rsidRPr="00024B83" w:rsidRDefault="00000000" w:rsidP="00660280">
      <w:pPr>
        <w:pStyle w:val="BodyText"/>
        <w:ind w:left="720"/>
      </w:pPr>
      <w:hyperlink r:id="rId63" w:history="1">
        <w:r w:rsidR="009473AD" w:rsidRPr="00660280">
          <w:rPr>
            <w:rStyle w:val="Hyperlink"/>
            <w:color w:val="0070C0"/>
          </w:rPr>
          <w:t>https://www.ada.org/-/media/project/ada-organization/ada/ada-org/files/publications/cdt/</w:t>
        </w:r>
        <w:r w:rsidR="000D2421" w:rsidRPr="00660280">
          <w:rPr>
            <w:rStyle w:val="Hyperlink"/>
            <w:color w:val="0070C0"/>
          </w:rPr>
          <w:br/>
        </w:r>
        <w:r w:rsidR="009473AD" w:rsidRPr="00660280">
          <w:rPr>
            <w:rStyle w:val="Hyperlink"/>
            <w:color w:val="0070C0"/>
          </w:rPr>
          <w:t>v2019adadentalclaimcompletioninstructions_v3_2022feb.pdf</w:t>
        </w:r>
      </w:hyperlink>
    </w:p>
    <w:p w14:paraId="503328A4" w14:textId="662CB9A6" w:rsidR="009473AD" w:rsidRPr="00660280" w:rsidRDefault="006321F8" w:rsidP="00024B83">
      <w:pPr>
        <w:pStyle w:val="BodyText"/>
        <w:ind w:left="540"/>
        <w:rPr>
          <w:i/>
          <w:iCs/>
        </w:rPr>
      </w:pPr>
      <w:r>
        <w:rPr>
          <w:noProof/>
        </w:rPr>
        <w:drawing>
          <wp:anchor distT="0" distB="0" distL="0" distR="91440" simplePos="0" relativeHeight="251836420" behindDoc="1" locked="0" layoutInCell="1" allowOverlap="1" wp14:anchorId="5CDB01A6" wp14:editId="7DF99C0C">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912575828"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660280">
        <w:rPr>
          <w:b/>
          <w:bCs/>
          <w:i/>
          <w:iCs/>
        </w:rPr>
        <w:t>Operations</w:t>
      </w:r>
      <w:r w:rsidR="00660280" w:rsidRPr="00660280">
        <w:rPr>
          <w:b/>
          <w:bCs/>
          <w:i/>
          <w:iCs/>
        </w:rPr>
        <w:t xml:space="preserve"> I</w:t>
      </w:r>
      <w:r w:rsidR="009473AD" w:rsidRPr="00660280">
        <w:rPr>
          <w:b/>
          <w:bCs/>
          <w:i/>
          <w:iCs/>
        </w:rPr>
        <w:t>nsight</w:t>
      </w:r>
      <w:r w:rsidR="00660280" w:rsidRPr="00660280">
        <w:rPr>
          <w:i/>
          <w:iCs/>
        </w:rPr>
        <w:t>:</w:t>
      </w:r>
      <w:r w:rsidR="009473AD" w:rsidRPr="00660280">
        <w:rPr>
          <w:i/>
          <w:iCs/>
        </w:rPr>
        <w:t xml:space="preserve"> </w:t>
      </w:r>
      <w:r w:rsidR="00660280" w:rsidRPr="00660280">
        <w:rPr>
          <w:i/>
          <w:iCs/>
        </w:rPr>
        <w:t>Specifying t</w:t>
      </w:r>
      <w:r w:rsidR="009473AD" w:rsidRPr="00660280">
        <w:rPr>
          <w:i/>
          <w:iCs/>
        </w:rPr>
        <w:t>he TIN</w:t>
      </w:r>
      <w:r w:rsidR="00660280" w:rsidRPr="00660280">
        <w:rPr>
          <w:i/>
          <w:iCs/>
        </w:rPr>
        <w:t xml:space="preserve"> and </w:t>
      </w:r>
      <w:r w:rsidR="009473AD" w:rsidRPr="00660280">
        <w:rPr>
          <w:i/>
          <w:iCs/>
        </w:rPr>
        <w:t xml:space="preserve">NPI for claims </w:t>
      </w:r>
      <w:r w:rsidR="00660280" w:rsidRPr="00660280">
        <w:rPr>
          <w:i/>
          <w:iCs/>
        </w:rPr>
        <w:t>is part of</w:t>
      </w:r>
      <w:r w:rsidR="009473AD" w:rsidRPr="00660280">
        <w:rPr>
          <w:i/>
          <w:iCs/>
        </w:rPr>
        <w:t xml:space="preserve"> the Revenue Cycle Management workflow.</w:t>
      </w:r>
    </w:p>
    <w:p w14:paraId="55AAED40" w14:textId="251527BC" w:rsidR="009473AD" w:rsidRPr="00F57732" w:rsidRDefault="009473AD" w:rsidP="004F45B6">
      <w:pPr>
        <w:pStyle w:val="BodyText"/>
        <w:keepNext/>
        <w:keepLines/>
        <w:numPr>
          <w:ilvl w:val="0"/>
          <w:numId w:val="73"/>
        </w:numPr>
        <w:ind w:left="540"/>
      </w:pPr>
      <w:r w:rsidRPr="00F57732">
        <w:rPr>
          <w:b/>
          <w:bCs/>
        </w:rPr>
        <w:lastRenderedPageBreak/>
        <w:t>Clinic NPI</w:t>
      </w:r>
      <w:r w:rsidR="00660280" w:rsidRPr="00660280">
        <w:t xml:space="preserve"> </w:t>
      </w:r>
      <w:r w:rsidR="00660280">
        <w:t>–</w:t>
      </w:r>
      <w:r w:rsidRPr="00660280">
        <w:t xml:space="preserve"> </w:t>
      </w:r>
      <w:r w:rsidRPr="00F57732">
        <w:t xml:space="preserve">The </w:t>
      </w:r>
      <w:r w:rsidR="00660280">
        <w:t>c</w:t>
      </w:r>
      <w:r w:rsidRPr="00F57732">
        <w:t>linic</w:t>
      </w:r>
      <w:r w:rsidR="00660280">
        <w:t>’s</w:t>
      </w:r>
      <w:r w:rsidRPr="00F57732">
        <w:t xml:space="preserve"> NPI</w:t>
      </w:r>
      <w:r w:rsidR="00660280">
        <w:t>. You can specify an NPI for a provider as explained in the “Provider Setup” section</w:t>
      </w:r>
      <w:r w:rsidRPr="00F57732">
        <w:t>.</w:t>
      </w:r>
    </w:p>
    <w:p w14:paraId="195C89A4" w14:textId="5C307791" w:rsidR="009473AD" w:rsidRPr="00F57732" w:rsidRDefault="009473AD" w:rsidP="000D7FFC">
      <w:pPr>
        <w:pStyle w:val="BodyText"/>
        <w:keepNext/>
        <w:keepLines/>
        <w:ind w:left="540"/>
      </w:pPr>
      <w:r w:rsidRPr="00660280">
        <w:rPr>
          <w:b/>
          <w:bCs/>
        </w:rPr>
        <w:t>What is an NPI?</w:t>
      </w:r>
      <w:r w:rsidRPr="00F57732">
        <w:t xml:space="preserve"> A National Provider Identifier, or NPI, is a unique identification number for health care agencies and/or providers. All health care providers must apply for an NPI if they </w:t>
      </w:r>
      <w:r w:rsidR="00660280">
        <w:t>want</w:t>
      </w:r>
      <w:r w:rsidRPr="00F57732">
        <w:t xml:space="preserve"> to be reimbursed by insurance companies, refer patients to others, or write prescriptions.</w:t>
      </w:r>
    </w:p>
    <w:p w14:paraId="0E1926CE" w14:textId="3F17BEB1" w:rsidR="009473AD" w:rsidRPr="00F57732" w:rsidRDefault="009473AD" w:rsidP="004F45B6">
      <w:pPr>
        <w:pStyle w:val="BodyText"/>
        <w:keepNext/>
        <w:keepLines/>
        <w:numPr>
          <w:ilvl w:val="1"/>
          <w:numId w:val="73"/>
        </w:numPr>
        <w:ind w:left="1080"/>
        <w:rPr>
          <w:b/>
          <w:bCs/>
        </w:rPr>
      </w:pPr>
      <w:r w:rsidRPr="00F57732">
        <w:rPr>
          <w:b/>
          <w:bCs/>
        </w:rPr>
        <w:t>Type</w:t>
      </w:r>
      <w:r w:rsidR="001F12D4">
        <w:rPr>
          <w:b/>
          <w:bCs/>
        </w:rPr>
        <w:t>s of NPIs</w:t>
      </w:r>
      <w:r w:rsidRPr="00F57732">
        <w:rPr>
          <w:b/>
          <w:bCs/>
        </w:rPr>
        <w:t xml:space="preserve">: </w:t>
      </w:r>
    </w:p>
    <w:p w14:paraId="75F27896" w14:textId="34B89937" w:rsidR="009473AD" w:rsidRPr="00F57732" w:rsidRDefault="009473AD" w:rsidP="004F45B6">
      <w:pPr>
        <w:pStyle w:val="BodyText"/>
        <w:keepNext/>
        <w:keepLines/>
        <w:numPr>
          <w:ilvl w:val="2"/>
          <w:numId w:val="74"/>
        </w:numPr>
        <w:ind w:left="1620"/>
      </w:pPr>
      <w:r w:rsidRPr="00F57732">
        <w:rPr>
          <w:b/>
          <w:bCs/>
        </w:rPr>
        <w:t>Type 1 (Individual) NPI</w:t>
      </w:r>
      <w:r w:rsidR="00660280" w:rsidRPr="00660280">
        <w:t xml:space="preserve"> </w:t>
      </w:r>
      <w:r w:rsidR="00660280">
        <w:t>–</w:t>
      </w:r>
      <w:r w:rsidR="00660280" w:rsidRPr="00660280">
        <w:t xml:space="preserve"> </w:t>
      </w:r>
      <w:r w:rsidR="001F12D4">
        <w:t>An</w:t>
      </w:r>
      <w:r w:rsidR="00660280">
        <w:t xml:space="preserve"> </w:t>
      </w:r>
      <w:r w:rsidRPr="00F57732">
        <w:t xml:space="preserve">NPI assigned to </w:t>
      </w:r>
      <w:r w:rsidR="001F12D4">
        <w:t>an</w:t>
      </w:r>
      <w:r w:rsidRPr="00F57732">
        <w:t xml:space="preserve"> individual healthcare provider</w:t>
      </w:r>
      <w:r w:rsidR="00660280">
        <w:t>.</w:t>
      </w:r>
      <w:r w:rsidRPr="00F57732">
        <w:t xml:space="preserve"> </w:t>
      </w:r>
    </w:p>
    <w:p w14:paraId="720904D4" w14:textId="4BD16467" w:rsidR="009473AD" w:rsidRPr="00F57732" w:rsidRDefault="009473AD" w:rsidP="004F45B6">
      <w:pPr>
        <w:pStyle w:val="BodyText"/>
        <w:numPr>
          <w:ilvl w:val="2"/>
          <w:numId w:val="74"/>
        </w:numPr>
        <w:ind w:left="1620"/>
      </w:pPr>
      <w:r w:rsidRPr="00F57732">
        <w:rPr>
          <w:b/>
          <w:bCs/>
        </w:rPr>
        <w:t>Type 2 (Group) NPI</w:t>
      </w:r>
      <w:r w:rsidR="00660280" w:rsidRPr="00660280">
        <w:t xml:space="preserve"> </w:t>
      </w:r>
      <w:r w:rsidR="00660280">
        <w:t>–</w:t>
      </w:r>
      <w:r w:rsidR="00660280" w:rsidRPr="00660280">
        <w:t xml:space="preserve"> </w:t>
      </w:r>
      <w:r w:rsidR="001F12D4">
        <w:t xml:space="preserve">An </w:t>
      </w:r>
      <w:r w:rsidRPr="00F57732">
        <w:t>NPI assigned to a healthcare provider group or organization</w:t>
      </w:r>
      <w:r w:rsidR="00660280">
        <w:t>.</w:t>
      </w:r>
    </w:p>
    <w:p w14:paraId="5F0B4069" w14:textId="57D20669" w:rsidR="009473AD" w:rsidRPr="00F57732" w:rsidRDefault="009473AD" w:rsidP="00F57732">
      <w:pPr>
        <w:pStyle w:val="BodyText"/>
        <w:ind w:left="540"/>
      </w:pPr>
      <w:r w:rsidRPr="001F12D4">
        <w:rPr>
          <w:b/>
          <w:bCs/>
        </w:rPr>
        <w:t>When does an agency need both?</w:t>
      </w:r>
      <w:r w:rsidRPr="00F57732">
        <w:t xml:space="preserve"> The purpose of the two types of NPIs is when a patient receives treatment from a large clinic. The insurance company not only wants to know which clinic the patient visited but also which of the many providers within the large clinic treated the patient.</w:t>
      </w:r>
    </w:p>
    <w:p w14:paraId="62156737" w14:textId="08023A1E" w:rsidR="009473AD" w:rsidRPr="00F57732" w:rsidRDefault="009473AD" w:rsidP="00F57732">
      <w:pPr>
        <w:pStyle w:val="BodyText"/>
        <w:ind w:left="540"/>
        <w:rPr>
          <w:color w:val="FF0000"/>
        </w:rPr>
      </w:pPr>
      <w:r w:rsidRPr="001F12D4">
        <w:rPr>
          <w:b/>
          <w:bCs/>
        </w:rPr>
        <w:t>Why is it important?</w:t>
      </w:r>
      <w:r w:rsidRPr="00F57732">
        <w:t xml:space="preserve"> Without an NPI</w:t>
      </w:r>
      <w:r w:rsidR="001F12D4">
        <w:t>, a</w:t>
      </w:r>
      <w:r w:rsidRPr="00F57732">
        <w:t xml:space="preserve">gencies and their providers will not be able to be reimbursed by insurance companies. If </w:t>
      </w:r>
      <w:r w:rsidR="001F12D4">
        <w:t>a provider</w:t>
      </w:r>
      <w:r w:rsidRPr="00F57732">
        <w:t xml:space="preserve"> </w:t>
      </w:r>
      <w:r w:rsidR="001F12D4">
        <w:t>refers a</w:t>
      </w:r>
      <w:r w:rsidRPr="00F57732">
        <w:t xml:space="preserve"> patient to </w:t>
      </w:r>
      <w:r w:rsidR="001F12D4">
        <w:t>an</w:t>
      </w:r>
      <w:r w:rsidRPr="00F57732">
        <w:t xml:space="preserve">other provider who </w:t>
      </w:r>
      <w:r w:rsidR="001F12D4">
        <w:t>is</w:t>
      </w:r>
      <w:r w:rsidRPr="00F57732">
        <w:t xml:space="preserve"> paid by insurance companies, th</w:t>
      </w:r>
      <w:r w:rsidR="001F12D4">
        <w:t>at referred provider</w:t>
      </w:r>
      <w:r w:rsidRPr="00F57732">
        <w:t xml:space="preserve"> need</w:t>
      </w:r>
      <w:r w:rsidR="001F12D4">
        <w:t>s</w:t>
      </w:r>
      <w:r w:rsidRPr="00F57732">
        <w:t xml:space="preserve"> </w:t>
      </w:r>
      <w:r w:rsidR="001F12D4">
        <w:t>the referring provider’s</w:t>
      </w:r>
      <w:r w:rsidRPr="00F57732">
        <w:t xml:space="preserve"> NPI to get paid by insurance companies. </w:t>
      </w:r>
      <w:r w:rsidR="001F12D4">
        <w:t>A r</w:t>
      </w:r>
      <w:r w:rsidRPr="00F57732">
        <w:t xml:space="preserve">eferred provider must report </w:t>
      </w:r>
      <w:r w:rsidR="001F12D4">
        <w:t>the referring provider’s</w:t>
      </w:r>
      <w:r w:rsidRPr="00F57732">
        <w:t xml:space="preserve"> name and NPI number on </w:t>
      </w:r>
      <w:r w:rsidR="001F12D4">
        <w:t>a</w:t>
      </w:r>
      <w:r w:rsidRPr="00F57732">
        <w:t xml:space="preserve"> claim form. Pharmacies will no longer fill prescriptions without the NPI number of the referring provider.</w:t>
      </w:r>
    </w:p>
    <w:p w14:paraId="3F20A10B" w14:textId="6BE48107" w:rsidR="009473AD" w:rsidRPr="00D16799" w:rsidRDefault="006321F8" w:rsidP="001F12D4">
      <w:pPr>
        <w:pStyle w:val="BodyText"/>
        <w:ind w:left="540"/>
        <w:rPr>
          <w:i/>
          <w:iCs/>
        </w:rPr>
      </w:pPr>
      <w:r>
        <w:rPr>
          <w:noProof/>
        </w:rPr>
        <w:drawing>
          <wp:anchor distT="0" distB="0" distL="0" distR="91440" simplePos="0" relativeHeight="251838468" behindDoc="1" locked="0" layoutInCell="1" allowOverlap="1" wp14:anchorId="3836CF5F" wp14:editId="2CF084E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0977815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16799">
        <w:rPr>
          <w:b/>
          <w:bCs/>
          <w:i/>
          <w:iCs/>
        </w:rPr>
        <w:t>Operations Insight</w:t>
      </w:r>
      <w:r w:rsidR="009473AD" w:rsidRPr="00D16799">
        <w:rPr>
          <w:i/>
          <w:iCs/>
        </w:rPr>
        <w:t>:</w:t>
      </w:r>
      <w:r w:rsidR="009473AD" w:rsidRPr="00D16799">
        <w:rPr>
          <w:b/>
          <w:bCs/>
          <w:i/>
          <w:iCs/>
        </w:rPr>
        <w:t xml:space="preserve"> </w:t>
      </w:r>
      <w:r w:rsidR="009473AD" w:rsidRPr="00D16799">
        <w:rPr>
          <w:i/>
          <w:iCs/>
        </w:rPr>
        <w:t>In short</w:t>
      </w:r>
      <w:r w:rsidR="001F12D4" w:rsidRPr="00D16799">
        <w:rPr>
          <w:i/>
          <w:iCs/>
        </w:rPr>
        <w:t>,</w:t>
      </w:r>
      <w:r w:rsidR="009473AD" w:rsidRPr="00D16799">
        <w:rPr>
          <w:i/>
          <w:iCs/>
        </w:rPr>
        <w:t xml:space="preserve"> </w:t>
      </w:r>
      <w:r w:rsidR="001F12D4" w:rsidRPr="00D16799">
        <w:rPr>
          <w:i/>
          <w:iCs/>
        </w:rPr>
        <w:t>t</w:t>
      </w:r>
      <w:r w:rsidR="009473AD" w:rsidRPr="00D16799">
        <w:rPr>
          <w:i/>
          <w:iCs/>
        </w:rPr>
        <w:t xml:space="preserve">he </w:t>
      </w:r>
      <w:r w:rsidR="001F12D4" w:rsidRPr="00D16799">
        <w:rPr>
          <w:i/>
          <w:iCs/>
        </w:rPr>
        <w:t>TIN</w:t>
      </w:r>
      <w:r w:rsidR="009473AD" w:rsidRPr="00D16799">
        <w:rPr>
          <w:i/>
          <w:iCs/>
        </w:rPr>
        <w:t xml:space="preserve"> is the number the IRS uses to track money and identify a group with employees</w:t>
      </w:r>
      <w:r w:rsidR="001F12D4" w:rsidRPr="00D16799">
        <w:rPr>
          <w:i/>
          <w:iCs/>
        </w:rPr>
        <w:t>. T</w:t>
      </w:r>
      <w:r w:rsidR="009473AD" w:rsidRPr="00D16799">
        <w:rPr>
          <w:i/>
          <w:iCs/>
        </w:rPr>
        <w:t xml:space="preserve">he NPI is an ID number issued to physicians and others that provide medical/dental services. The TIN ensures </w:t>
      </w:r>
      <w:r w:rsidR="001F12D4" w:rsidRPr="00D16799">
        <w:rPr>
          <w:i/>
          <w:iCs/>
        </w:rPr>
        <w:t xml:space="preserve">that </w:t>
      </w:r>
      <w:r w:rsidR="009473AD" w:rsidRPr="00D16799">
        <w:rPr>
          <w:i/>
          <w:iCs/>
        </w:rPr>
        <w:t xml:space="preserve">you receive accurate reporting of payments for tax purposes, and the NPI assures </w:t>
      </w:r>
      <w:r w:rsidR="001F12D4" w:rsidRPr="00D16799">
        <w:rPr>
          <w:i/>
          <w:iCs/>
        </w:rPr>
        <w:t xml:space="preserve">others </w:t>
      </w:r>
      <w:r w:rsidR="009473AD" w:rsidRPr="00D16799">
        <w:rPr>
          <w:i/>
          <w:iCs/>
        </w:rPr>
        <w:t>that your credentials are legitimate.</w:t>
      </w:r>
    </w:p>
    <w:p w14:paraId="61CEFC3C" w14:textId="4D5973ED" w:rsidR="009473AD" w:rsidRPr="00C7738D" w:rsidRDefault="009473AD" w:rsidP="004F45B6">
      <w:pPr>
        <w:pStyle w:val="BodyText"/>
        <w:numPr>
          <w:ilvl w:val="0"/>
          <w:numId w:val="73"/>
        </w:numPr>
        <w:ind w:left="540"/>
      </w:pPr>
      <w:r w:rsidRPr="050847E4">
        <w:rPr>
          <w:b/>
          <w:bCs/>
        </w:rPr>
        <w:t xml:space="preserve">Title </w:t>
      </w:r>
      <w:r w:rsidRPr="050847E4">
        <w:t xml:space="preserve">– </w:t>
      </w:r>
      <w:r w:rsidR="001F12D4">
        <w:t>The official</w:t>
      </w:r>
      <w:r w:rsidRPr="050847E4">
        <w:t xml:space="preserve"> practice name. The title will </w:t>
      </w:r>
      <w:r w:rsidR="001F12D4">
        <w:t>appear</w:t>
      </w:r>
      <w:r w:rsidRPr="050847E4">
        <w:t xml:space="preserve"> </w:t>
      </w:r>
      <w:r w:rsidR="001F12D4">
        <w:t xml:space="preserve">wherever </w:t>
      </w:r>
      <w:r w:rsidRPr="050847E4">
        <w:t>specific clinic</w:t>
      </w:r>
      <w:r w:rsidR="001F12D4">
        <w:t>s can be selected</w:t>
      </w:r>
      <w:r w:rsidRPr="050847E4">
        <w:t xml:space="preserve"> or </w:t>
      </w:r>
      <w:r w:rsidR="001F12D4">
        <w:t xml:space="preserve">wherever </w:t>
      </w:r>
      <w:r w:rsidRPr="050847E4">
        <w:t>practice</w:t>
      </w:r>
      <w:r w:rsidR="001F12D4">
        <w:t xml:space="preserve"> or </w:t>
      </w:r>
      <w:r w:rsidRPr="050847E4">
        <w:t>clinic information</w:t>
      </w:r>
      <w:r w:rsidR="001F12D4">
        <w:t xml:space="preserve"> is displayed</w:t>
      </w:r>
      <w:r w:rsidRPr="050847E4">
        <w:t xml:space="preserve">. </w:t>
      </w:r>
    </w:p>
    <w:p w14:paraId="5CAF7072" w14:textId="1BBD8F89" w:rsidR="009473AD" w:rsidRDefault="009473AD" w:rsidP="004F45B6">
      <w:pPr>
        <w:pStyle w:val="BodyText"/>
        <w:numPr>
          <w:ilvl w:val="0"/>
          <w:numId w:val="73"/>
        </w:numPr>
        <w:ind w:left="540"/>
      </w:pPr>
      <w:r w:rsidRPr="050847E4">
        <w:rPr>
          <w:b/>
          <w:bCs/>
        </w:rPr>
        <w:t xml:space="preserve">Address </w:t>
      </w:r>
      <w:r w:rsidRPr="050847E4">
        <w:t xml:space="preserve">– </w:t>
      </w:r>
      <w:r w:rsidR="001F12D4">
        <w:t>The p</w:t>
      </w:r>
      <w:r w:rsidRPr="050847E4">
        <w:t xml:space="preserve">hysical or mailing address of the individual clinic. </w:t>
      </w:r>
    </w:p>
    <w:p w14:paraId="22C41875" w14:textId="3980A60B" w:rsidR="009473AD" w:rsidRDefault="006321F8" w:rsidP="00F57732">
      <w:pPr>
        <w:pStyle w:val="BodyText"/>
        <w:ind w:left="540"/>
        <w:rPr>
          <w:i/>
          <w:iCs/>
        </w:rPr>
      </w:pPr>
      <w:r>
        <w:rPr>
          <w:noProof/>
        </w:rPr>
        <w:drawing>
          <wp:anchor distT="0" distB="0" distL="0" distR="91440" simplePos="0" relativeHeight="251840516" behindDoc="1" locked="0" layoutInCell="1" allowOverlap="1" wp14:anchorId="176EB603" wp14:editId="22269A42">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41254471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16799">
        <w:rPr>
          <w:b/>
          <w:bCs/>
          <w:i/>
          <w:iCs/>
        </w:rPr>
        <w:t>Operations Insight</w:t>
      </w:r>
      <w:r w:rsidR="001F12D4" w:rsidRPr="00D16799">
        <w:rPr>
          <w:i/>
          <w:iCs/>
        </w:rPr>
        <w:t xml:space="preserve">: A </w:t>
      </w:r>
      <w:r w:rsidR="009473AD" w:rsidRPr="00D16799">
        <w:rPr>
          <w:i/>
          <w:iCs/>
        </w:rPr>
        <w:t>P.O. Box</w:t>
      </w:r>
      <w:r w:rsidR="001F12D4" w:rsidRPr="00D16799">
        <w:rPr>
          <w:i/>
          <w:iCs/>
        </w:rPr>
        <w:t xml:space="preserve"> </w:t>
      </w:r>
      <w:r w:rsidR="009473AD" w:rsidRPr="00D16799">
        <w:rPr>
          <w:i/>
          <w:iCs/>
        </w:rPr>
        <w:t xml:space="preserve">or lock box address </w:t>
      </w:r>
      <w:r w:rsidR="001F12D4" w:rsidRPr="00D16799">
        <w:rPr>
          <w:i/>
          <w:iCs/>
        </w:rPr>
        <w:t>is</w:t>
      </w:r>
      <w:r w:rsidR="009473AD" w:rsidRPr="00D16799">
        <w:rPr>
          <w:i/>
          <w:iCs/>
        </w:rPr>
        <w:t xml:space="preserve"> </w:t>
      </w:r>
      <w:r w:rsidR="00D16799">
        <w:rPr>
          <w:i/>
          <w:iCs/>
        </w:rPr>
        <w:t xml:space="preserve">not </w:t>
      </w:r>
      <w:r w:rsidR="009473AD" w:rsidRPr="00D16799">
        <w:rPr>
          <w:i/>
          <w:iCs/>
        </w:rPr>
        <w:t>acceptable in th</w:t>
      </w:r>
      <w:r w:rsidR="001F12D4" w:rsidRPr="00D16799">
        <w:rPr>
          <w:i/>
          <w:iCs/>
        </w:rPr>
        <w:t>ese boxes because</w:t>
      </w:r>
      <w:r w:rsidR="009473AD" w:rsidRPr="00D16799">
        <w:rPr>
          <w:i/>
          <w:iCs/>
        </w:rPr>
        <w:t xml:space="preserve"> </w:t>
      </w:r>
      <w:r w:rsidR="001F12D4" w:rsidRPr="00D16799">
        <w:rPr>
          <w:i/>
          <w:iCs/>
        </w:rPr>
        <w:t xml:space="preserve">you can select an </w:t>
      </w:r>
      <w:r w:rsidR="009473AD" w:rsidRPr="00D16799">
        <w:rPr>
          <w:i/>
          <w:iCs/>
        </w:rPr>
        <w:t xml:space="preserve">alternate address </w:t>
      </w:r>
      <w:r w:rsidR="001F12D4" w:rsidRPr="00D16799">
        <w:rPr>
          <w:i/>
          <w:iCs/>
        </w:rPr>
        <w:t>as an</w:t>
      </w:r>
      <w:r w:rsidR="009473AD" w:rsidRPr="00D16799">
        <w:rPr>
          <w:i/>
          <w:iCs/>
        </w:rPr>
        <w:t xml:space="preserve"> insurance claim provider</w:t>
      </w:r>
      <w:r w:rsidR="00D16799" w:rsidRPr="00D16799">
        <w:rPr>
          <w:i/>
          <w:iCs/>
        </w:rPr>
        <w:t>’s</w:t>
      </w:r>
      <w:r w:rsidR="009473AD" w:rsidRPr="00D16799">
        <w:rPr>
          <w:i/>
          <w:iCs/>
        </w:rPr>
        <w:t xml:space="preserve"> address.</w:t>
      </w:r>
    </w:p>
    <w:p w14:paraId="66ABCDF6" w14:textId="216D4EA6" w:rsidR="00D16799" w:rsidRPr="00D16799" w:rsidRDefault="00D16799" w:rsidP="004F45B6">
      <w:pPr>
        <w:pStyle w:val="BodyText"/>
        <w:numPr>
          <w:ilvl w:val="0"/>
          <w:numId w:val="75"/>
        </w:numPr>
        <w:ind w:left="540"/>
        <w:rPr>
          <w:b/>
          <w:bCs/>
        </w:rPr>
      </w:pPr>
      <w:r w:rsidRPr="59EE75BD">
        <w:rPr>
          <w:b/>
          <w:bCs/>
        </w:rPr>
        <w:t xml:space="preserve">Time Zone- </w:t>
      </w:r>
      <w:r w:rsidR="00A3320E">
        <w:t>E</w:t>
      </w:r>
      <w:r w:rsidRPr="59EE75BD">
        <w:t>ach clinic in your organization</w:t>
      </w:r>
      <w:r w:rsidR="00A3320E">
        <w:t xml:space="preserve"> can be in a different time zone</w:t>
      </w:r>
      <w:r w:rsidRPr="59EE75BD">
        <w:t xml:space="preserve">. </w:t>
      </w:r>
      <w:r w:rsidR="00A3320E">
        <w:t xml:space="preserve">Access to ePrescribe from this clinic </w:t>
      </w:r>
      <w:r w:rsidRPr="59EE75BD">
        <w:t>require</w:t>
      </w:r>
      <w:r w:rsidR="00A3320E">
        <w:t>s</w:t>
      </w:r>
      <w:r w:rsidRPr="59EE75BD">
        <w:t xml:space="preserve"> </w:t>
      </w:r>
      <w:r w:rsidR="00A3320E">
        <w:t xml:space="preserve">that </w:t>
      </w:r>
      <w:r w:rsidRPr="59EE75BD">
        <w:t xml:space="preserve">the clinic </w:t>
      </w:r>
      <w:r w:rsidR="00A3320E">
        <w:t>have a time zone selected. C</w:t>
      </w:r>
      <w:r w:rsidRPr="59EE75BD">
        <w:t>onverting data into Dentrix Enterprise</w:t>
      </w:r>
      <w:r w:rsidR="00A3320E">
        <w:t xml:space="preserve"> for this clinic </w:t>
      </w:r>
      <w:r w:rsidR="00A3320E" w:rsidRPr="59EE75BD">
        <w:t>require</w:t>
      </w:r>
      <w:r w:rsidR="00A3320E">
        <w:t>s</w:t>
      </w:r>
      <w:r w:rsidR="00A3320E" w:rsidRPr="59EE75BD">
        <w:t xml:space="preserve"> </w:t>
      </w:r>
      <w:r w:rsidR="00A3320E">
        <w:t xml:space="preserve">that </w:t>
      </w:r>
      <w:r w:rsidR="00A3320E" w:rsidRPr="59EE75BD">
        <w:t xml:space="preserve">the clinic </w:t>
      </w:r>
      <w:r w:rsidR="00A3320E">
        <w:t>have a time zone selected</w:t>
      </w:r>
      <w:r w:rsidRPr="59EE75BD">
        <w:t xml:space="preserve">.  </w:t>
      </w:r>
    </w:p>
    <w:p w14:paraId="45A48C25" w14:textId="5DB61FAF" w:rsidR="00D16799" w:rsidRPr="00F57732" w:rsidRDefault="00D16799" w:rsidP="004F45B6">
      <w:pPr>
        <w:pStyle w:val="BodyText"/>
        <w:numPr>
          <w:ilvl w:val="0"/>
          <w:numId w:val="75"/>
        </w:numPr>
        <w:ind w:left="540"/>
      </w:pPr>
      <w:r w:rsidRPr="71EB9571">
        <w:rPr>
          <w:b/>
          <w:bCs/>
        </w:rPr>
        <w:t xml:space="preserve">Show/Hide/Mask SSN </w:t>
      </w:r>
      <w:r w:rsidRPr="71EB9571">
        <w:t xml:space="preserve">– Select how </w:t>
      </w:r>
      <w:r w:rsidR="00A3320E">
        <w:t>S</w:t>
      </w:r>
      <w:r w:rsidRPr="71EB9571">
        <w:t xml:space="preserve">ocial </w:t>
      </w:r>
      <w:r w:rsidR="00A3320E">
        <w:t>S</w:t>
      </w:r>
      <w:r w:rsidRPr="71EB9571">
        <w:t xml:space="preserve">ecurity </w:t>
      </w:r>
      <w:r w:rsidR="00A3320E">
        <w:t>N</w:t>
      </w:r>
      <w:r w:rsidRPr="71EB9571">
        <w:t xml:space="preserve">umbers (SSN) </w:t>
      </w:r>
      <w:r w:rsidR="00A3320E">
        <w:t>appear</w:t>
      </w:r>
      <w:r w:rsidRPr="71EB9571">
        <w:t xml:space="preserve"> throughout </w:t>
      </w:r>
      <w:r w:rsidR="00A3320E">
        <w:t>areas of Dentrix Enterprise</w:t>
      </w:r>
      <w:r w:rsidRPr="71EB9571">
        <w:t xml:space="preserve">, </w:t>
      </w:r>
      <w:r w:rsidR="00A3320E">
        <w:t>such as</w:t>
      </w:r>
      <w:r w:rsidRPr="71EB9571">
        <w:t xml:space="preserve"> reports, route slips, pati</w:t>
      </w:r>
      <w:r>
        <w:t>ent lists, and clinical charts.</w:t>
      </w:r>
      <w:r w:rsidRPr="00F57732">
        <w:t xml:space="preserve"> </w:t>
      </w:r>
    </w:p>
    <w:p w14:paraId="54A146C0" w14:textId="4F281524" w:rsidR="00D16799" w:rsidRDefault="00D16799" w:rsidP="00D16799">
      <w:pPr>
        <w:pStyle w:val="BodyText"/>
        <w:ind w:left="540"/>
      </w:pPr>
      <w:r w:rsidRPr="00D16799">
        <w:rPr>
          <w:b/>
          <w:bCs/>
        </w:rPr>
        <w:t>Operations Insight</w:t>
      </w:r>
      <w:r>
        <w:t xml:space="preserve">: </w:t>
      </w:r>
      <w:r w:rsidR="00A3320E">
        <w:t>By default, the Central clinic will mask all but the last four numbers</w:t>
      </w:r>
      <w:r w:rsidR="00E10B35">
        <w:t>, but other clinics that you add will show all the numbers, so change this setting so</w:t>
      </w:r>
      <w:r w:rsidR="00A3320E">
        <w:t xml:space="preserve"> that the</w:t>
      </w:r>
      <w:r w:rsidRPr="71EB9571">
        <w:t xml:space="preserve"> clinic will mask all but the last four numbers. This setting is recommended to ensure that patient information is secure and removed</w:t>
      </w:r>
      <w:r w:rsidR="00A3320E">
        <w:t xml:space="preserve"> from or </w:t>
      </w:r>
      <w:r w:rsidRPr="71EB9571">
        <w:t xml:space="preserve">masked </w:t>
      </w:r>
      <w:r w:rsidR="00A3320E">
        <w:t>on</w:t>
      </w:r>
      <w:r w:rsidRPr="71EB9571">
        <w:t xml:space="preserve"> reports</w:t>
      </w:r>
      <w:r w:rsidR="00A3320E">
        <w:t>, such as</w:t>
      </w:r>
      <w:r w:rsidRPr="71EB9571">
        <w:t xml:space="preserve"> route slips, and </w:t>
      </w:r>
      <w:r>
        <w:t>computers</w:t>
      </w:r>
      <w:r w:rsidR="00A3320E">
        <w:t xml:space="preserve"> that are visible to patients</w:t>
      </w:r>
      <w:r>
        <w:t>.</w:t>
      </w:r>
      <w:r w:rsidRPr="71EB9571">
        <w:t xml:space="preserve"> </w:t>
      </w:r>
    </w:p>
    <w:p w14:paraId="4A240F63" w14:textId="0CF83F47" w:rsidR="00D16799" w:rsidRPr="00D16799" w:rsidRDefault="006321F8" w:rsidP="00D16799">
      <w:pPr>
        <w:pStyle w:val="BodyText"/>
        <w:ind w:left="540"/>
        <w:rPr>
          <w:i/>
          <w:iCs/>
        </w:rPr>
      </w:pPr>
      <w:r>
        <w:rPr>
          <w:noProof/>
        </w:rPr>
        <w:drawing>
          <wp:anchor distT="0" distB="0" distL="0" distR="91440" simplePos="0" relativeHeight="251842564" behindDoc="0" locked="0" layoutInCell="1" allowOverlap="1" wp14:anchorId="2AA04163" wp14:editId="3DF8ACBE">
            <wp:simplePos x="0" y="0"/>
            <wp:positionH relativeFrom="column">
              <wp:posOffset>-457200</wp:posOffset>
            </wp:positionH>
            <wp:positionV relativeFrom="paragraph">
              <wp:posOffset>0</wp:posOffset>
            </wp:positionV>
            <wp:extent cx="365981" cy="420624"/>
            <wp:effectExtent l="0" t="0" r="0" b="0"/>
            <wp:wrapTight wrapText="right">
              <wp:wrapPolygon edited="0">
                <wp:start x="0" y="0"/>
                <wp:lineTo x="0" y="20556"/>
                <wp:lineTo x="20250" y="20556"/>
                <wp:lineTo x="20250" y="0"/>
                <wp:lineTo x="0" y="0"/>
              </wp:wrapPolygon>
            </wp:wrapTight>
            <wp:docPr id="601673796"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D16799" w:rsidRPr="00D16799">
        <w:rPr>
          <w:b/>
          <w:bCs/>
          <w:i/>
          <w:iCs/>
        </w:rPr>
        <w:t>Note</w:t>
      </w:r>
      <w:r w:rsidR="00D16799" w:rsidRPr="00D16799">
        <w:rPr>
          <w:i/>
          <w:iCs/>
        </w:rPr>
        <w:t xml:space="preserve">: The SS# </w:t>
      </w:r>
      <w:r w:rsidR="00A3320E">
        <w:rPr>
          <w:i/>
          <w:iCs/>
        </w:rPr>
        <w:t>and</w:t>
      </w:r>
      <w:r w:rsidR="00D16799" w:rsidRPr="00D16799">
        <w:rPr>
          <w:i/>
          <w:iCs/>
        </w:rPr>
        <w:t xml:space="preserve"> Subscriber ID# box</w:t>
      </w:r>
      <w:r w:rsidR="00A3320E">
        <w:rPr>
          <w:i/>
          <w:iCs/>
        </w:rPr>
        <w:t>es in Family File</w:t>
      </w:r>
      <w:r w:rsidR="00D16799" w:rsidRPr="00D16799">
        <w:rPr>
          <w:i/>
          <w:iCs/>
        </w:rPr>
        <w:t xml:space="preserve"> and some audit reports ignore the show/mask/hide selection.</w:t>
      </w:r>
    </w:p>
    <w:p w14:paraId="646F286C" w14:textId="02BE73DF" w:rsidR="00D16799" w:rsidRPr="00024B83" w:rsidRDefault="00D16799" w:rsidP="000D7FFC">
      <w:pPr>
        <w:pStyle w:val="BodyText"/>
        <w:keepNext/>
        <w:keepLines/>
        <w:ind w:left="547"/>
      </w:pPr>
      <w:r w:rsidRPr="00024B83">
        <w:lastRenderedPageBreak/>
        <w:t>The </w:t>
      </w:r>
      <w:hyperlink r:id="rId64" w:history="1">
        <w:r w:rsidRPr="00024B83">
          <w:rPr>
            <w:rStyle w:val="Hyperlink"/>
            <w:color w:val="auto"/>
            <w:u w:val="none"/>
          </w:rPr>
          <w:t>Social Security Number Fraud Prevention Act of 2017</w:t>
        </w:r>
      </w:hyperlink>
      <w:r w:rsidRPr="00024B83">
        <w:t> (Pub. L. 115-59; 42 U.S.C. § 405 note) (the Act), prohibits federal agencies from mailing an unredacted Social Security Number (SSN) through regular USPS mail. This includes truncated SSN (last 4).</w:t>
      </w:r>
    </w:p>
    <w:p w14:paraId="176EA0D0" w14:textId="38106B34" w:rsidR="00D16799" w:rsidRPr="00024B83" w:rsidRDefault="00D16799" w:rsidP="004F45B6">
      <w:pPr>
        <w:pStyle w:val="BodyText"/>
        <w:numPr>
          <w:ilvl w:val="1"/>
          <w:numId w:val="75"/>
        </w:numPr>
        <w:ind w:left="1080"/>
      </w:pPr>
      <w:r w:rsidRPr="00024B83">
        <w:t>To ensure that IHS personnel do not unwittingly violate the Act, it is required that effective September 15, 2022, any record released in response to any request or business function that contains an SSN and that will be sent by mail (meaning, through the U.S. Postal Service without delivery confirmation) must have the SSN redacted. “Mail” does not include an overnight delivery service, such as USPS Priority Mail® with Delivery Confirmation (DelCon). “Redacted” means fully redacted</w:t>
      </w:r>
      <w:r>
        <w:t xml:space="preserve"> </w:t>
      </w:r>
      <w:r w:rsidRPr="00024B83">
        <w:t>because truncation would require a regulation.</w:t>
      </w:r>
    </w:p>
    <w:p w14:paraId="0A1BFC6B" w14:textId="06AE96AE" w:rsidR="00D16799" w:rsidRPr="00024B83" w:rsidRDefault="00D16799" w:rsidP="004F45B6">
      <w:pPr>
        <w:pStyle w:val="BodyText"/>
        <w:numPr>
          <w:ilvl w:val="1"/>
          <w:numId w:val="75"/>
        </w:numPr>
        <w:ind w:left="1080"/>
      </w:pPr>
      <w:r w:rsidRPr="00024B83">
        <w:t xml:space="preserve">All IHS clinics should configure Dentrix Enterprise to </w:t>
      </w:r>
      <w:r w:rsidRPr="00D16799">
        <w:rPr>
          <w:u w:val="single"/>
        </w:rPr>
        <w:t>not</w:t>
      </w:r>
      <w:r w:rsidRPr="00024B83">
        <w:t xml:space="preserve"> display the entire SSN. The setting should be set to either </w:t>
      </w:r>
      <w:r>
        <w:t>not</w:t>
      </w:r>
      <w:r w:rsidRPr="00024B83">
        <w:t xml:space="preserve"> display</w:t>
      </w:r>
      <w:r>
        <w:t xml:space="preserve"> the SSN</w:t>
      </w:r>
      <w:r w:rsidRPr="00024B83">
        <w:t xml:space="preserve"> or only display a portion of the SSN. If you are unsure how to verify or change the setting, </w:t>
      </w:r>
      <w:r>
        <w:t>search for “</w:t>
      </w:r>
      <w:r w:rsidRPr="00024B83">
        <w:t>changing clinic settings</w:t>
      </w:r>
      <w:r>
        <w:t>”</w:t>
      </w:r>
      <w:r w:rsidRPr="00024B83">
        <w:t xml:space="preserve"> or </w:t>
      </w:r>
      <w:r>
        <w:t>“</w:t>
      </w:r>
      <w:r w:rsidRPr="00024B83">
        <w:t>SSN</w:t>
      </w:r>
      <w:r>
        <w:t>”</w:t>
      </w:r>
      <w:r w:rsidRPr="00024B83">
        <w:t xml:space="preserve"> </w:t>
      </w:r>
      <w:r>
        <w:t>in</w:t>
      </w:r>
      <w:r w:rsidRPr="00024B83">
        <w:t xml:space="preserve"> the Dentrix Enterprise Help, or contact Dentrix Enterprise Support at </w:t>
      </w:r>
      <w:r w:rsidRPr="00D16799">
        <w:rPr>
          <w:u w:val="single"/>
        </w:rPr>
        <w:t>1-800-459-8067, Option 2, then Option 3</w:t>
      </w:r>
      <w:r w:rsidRPr="00024B83">
        <w:t xml:space="preserve">.  When </w:t>
      </w:r>
      <w:r>
        <w:t xml:space="preserve">you </w:t>
      </w:r>
      <w:r w:rsidRPr="00024B83">
        <w:t>contact</w:t>
      </w:r>
      <w:r>
        <w:t xml:space="preserve"> Support</w:t>
      </w:r>
      <w:r w:rsidRPr="00024B83">
        <w:t xml:space="preserve">, you will be asked for the Dentrix Customer ID </w:t>
      </w:r>
      <w:r>
        <w:t>the ZIP Code</w:t>
      </w:r>
      <w:r w:rsidRPr="00024B83">
        <w:t xml:space="preserve"> for the clinic. </w:t>
      </w:r>
    </w:p>
    <w:p w14:paraId="6EAF58D4" w14:textId="410839E2" w:rsidR="00D16799" w:rsidRDefault="00D16799" w:rsidP="004F45B6">
      <w:pPr>
        <w:pStyle w:val="BodyText"/>
        <w:numPr>
          <w:ilvl w:val="1"/>
          <w:numId w:val="75"/>
        </w:numPr>
        <w:ind w:left="1080"/>
      </w:pPr>
      <w:r w:rsidRPr="00024B83">
        <w:t xml:space="preserve">We all need to be aware </w:t>
      </w:r>
      <w:r>
        <w:t xml:space="preserve">that </w:t>
      </w:r>
      <w:r w:rsidRPr="00024B83">
        <w:t>this prohibition on displaying/sharing SSNs includes any previously existing document that displays an SSN</w:t>
      </w:r>
      <w:r>
        <w:t>,</w:t>
      </w:r>
      <w:r w:rsidRPr="00024B83">
        <w:t xml:space="preserve"> and </w:t>
      </w:r>
      <w:r>
        <w:t xml:space="preserve">you must </w:t>
      </w:r>
      <w:r w:rsidRPr="00024B83">
        <w:t>communicate th</w:t>
      </w:r>
      <w:r>
        <w:t>is guideline</w:t>
      </w:r>
      <w:r w:rsidRPr="00024B83">
        <w:t xml:space="preserve"> to all personnel in your office, including contractor personnel, on an ongoing basis.</w:t>
      </w:r>
    </w:p>
    <w:p w14:paraId="4342583A" w14:textId="68E7230A" w:rsidR="00D16799" w:rsidRDefault="00D16799" w:rsidP="004F45B6">
      <w:pPr>
        <w:pStyle w:val="BodyText"/>
        <w:numPr>
          <w:ilvl w:val="0"/>
          <w:numId w:val="75"/>
        </w:numPr>
        <w:ind w:left="540"/>
      </w:pPr>
      <w:r w:rsidRPr="050847E4">
        <w:rPr>
          <w:b/>
          <w:bCs/>
        </w:rPr>
        <w:t xml:space="preserve">Administrative Contact </w:t>
      </w:r>
      <w:r w:rsidRPr="050847E4">
        <w:t xml:space="preserve">– The </w:t>
      </w:r>
      <w:r w:rsidR="00E10B35">
        <w:t>a</w:t>
      </w:r>
      <w:r w:rsidRPr="050847E4">
        <w:t xml:space="preserve">dministrative </w:t>
      </w:r>
      <w:r w:rsidR="00E10B35">
        <w:t>c</w:t>
      </w:r>
      <w:r w:rsidRPr="050847E4">
        <w:t xml:space="preserve">ontact is used for electronic service communication. Only primary providers entered into Dentrix Enterprise with a 10-digit phone number are available for selection. </w:t>
      </w:r>
    </w:p>
    <w:p w14:paraId="6661FBF0" w14:textId="77777777" w:rsidR="00D16799" w:rsidRDefault="00D16799" w:rsidP="004F45B6">
      <w:pPr>
        <w:pStyle w:val="BodyText"/>
        <w:numPr>
          <w:ilvl w:val="0"/>
          <w:numId w:val="75"/>
        </w:numPr>
        <w:ind w:left="540"/>
      </w:pPr>
      <w:r w:rsidRPr="71EB9571">
        <w:rPr>
          <w:b/>
          <w:bCs/>
        </w:rPr>
        <w:t xml:space="preserve">Fiscal year’s beginning month (1-12) </w:t>
      </w:r>
      <w:r w:rsidRPr="71EB9571">
        <w:t xml:space="preserve">– The selected month applies to year-to-date (YTD) totals on reports. </w:t>
      </w:r>
    </w:p>
    <w:p w14:paraId="059DCA45" w14:textId="562B3D18" w:rsidR="00D16799" w:rsidRDefault="006321F8" w:rsidP="00D16799">
      <w:pPr>
        <w:pStyle w:val="BodyText"/>
        <w:ind w:left="540"/>
        <w:rPr>
          <w:i/>
          <w:iCs/>
        </w:rPr>
      </w:pPr>
      <w:r>
        <w:rPr>
          <w:noProof/>
        </w:rPr>
        <w:drawing>
          <wp:anchor distT="0" distB="0" distL="0" distR="91440" simplePos="0" relativeHeight="251844612" behindDoc="1" locked="0" layoutInCell="1" allowOverlap="1" wp14:anchorId="53D394D0" wp14:editId="06E5C308">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321368020"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D16799" w:rsidRPr="00D16799">
        <w:rPr>
          <w:b/>
          <w:bCs/>
          <w:i/>
          <w:iCs/>
        </w:rPr>
        <w:t>Operations Insight</w:t>
      </w:r>
      <w:r w:rsidR="00D16799" w:rsidRPr="00D16799">
        <w:rPr>
          <w:i/>
          <w:iCs/>
        </w:rPr>
        <w:t xml:space="preserve">: Each clinic can have a unique individual fiscal year beginning month if needed. To align with the federal fiscal year, the beginning month should be set to </w:t>
      </w:r>
      <w:r w:rsidR="00D16799" w:rsidRPr="00D16799">
        <w:rPr>
          <w:b/>
          <w:bCs/>
          <w:i/>
          <w:iCs/>
        </w:rPr>
        <w:t>10</w:t>
      </w:r>
      <w:r w:rsidR="00D16799" w:rsidRPr="00D16799">
        <w:rPr>
          <w:i/>
          <w:iCs/>
        </w:rPr>
        <w:t xml:space="preserve"> (October).</w:t>
      </w:r>
    </w:p>
    <w:p w14:paraId="6072EA11" w14:textId="30210808" w:rsidR="001D7AFC" w:rsidRDefault="00253844" w:rsidP="004F45B6">
      <w:pPr>
        <w:pStyle w:val="BodyText"/>
        <w:numPr>
          <w:ilvl w:val="0"/>
          <w:numId w:val="77"/>
        </w:numPr>
        <w:ind w:left="540"/>
        <w:rPr>
          <w:b/>
          <w:bCs/>
        </w:rPr>
      </w:pPr>
      <w:r>
        <w:rPr>
          <w:noProof/>
        </w:rPr>
        <w:drawing>
          <wp:anchor distT="0" distB="0" distL="0" distR="91440" simplePos="0" relativeHeight="251848708" behindDoc="1" locked="0" layoutInCell="1" allowOverlap="1" wp14:anchorId="5BA3E613" wp14:editId="46C17FB7">
            <wp:simplePos x="0" y="0"/>
            <wp:positionH relativeFrom="column">
              <wp:posOffset>-457200</wp:posOffset>
            </wp:positionH>
            <wp:positionV relativeFrom="paragraph">
              <wp:posOffset>737708</wp:posOffset>
            </wp:positionV>
            <wp:extent cx="365760" cy="484505"/>
            <wp:effectExtent l="0" t="0" r="0" b="0"/>
            <wp:wrapTight wrapText="right">
              <wp:wrapPolygon edited="0">
                <wp:start x="0" y="0"/>
                <wp:lineTo x="0" y="20383"/>
                <wp:lineTo x="20250" y="20383"/>
                <wp:lineTo x="20250" y="0"/>
                <wp:lineTo x="0" y="0"/>
              </wp:wrapPolygon>
            </wp:wrapTight>
            <wp:docPr id="724617173"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1D7AFC" w:rsidRPr="71EB9571">
        <w:rPr>
          <w:b/>
          <w:bCs/>
        </w:rPr>
        <w:t xml:space="preserve">Appointment Book “Late Appt” Tracking </w:t>
      </w:r>
      <w:r w:rsidR="001D7AFC" w:rsidRPr="71EB9571">
        <w:t xml:space="preserve">– To enable late appointment tracking, you must first identify the appointment status and number of minutes before your organization considers </w:t>
      </w:r>
      <w:r w:rsidR="00E10B35">
        <w:t>a</w:t>
      </w:r>
      <w:r w:rsidR="001D7AFC" w:rsidRPr="71EB9571">
        <w:t xml:space="preserve"> patient late for </w:t>
      </w:r>
      <w:r w:rsidR="00E10B35">
        <w:t>an</w:t>
      </w:r>
      <w:r w:rsidR="001D7AFC" w:rsidRPr="71EB9571">
        <w:t xml:space="preserve"> appointment. A “late appointment” will be indicated by a red dot in the upper-right corner of the scheduled appointment when the specified appointment status to watch for remains unchanged for more than the specified number of minutes.</w:t>
      </w:r>
    </w:p>
    <w:p w14:paraId="338A877C" w14:textId="04FB19FF" w:rsidR="001D7AFC" w:rsidRPr="005944F1" w:rsidRDefault="001D7AFC" w:rsidP="001D7AFC">
      <w:pPr>
        <w:pStyle w:val="BodyText"/>
        <w:ind w:left="540"/>
      </w:pPr>
      <w:r w:rsidRPr="00454D84">
        <w:rPr>
          <w:color w:val="00B050"/>
        </w:rPr>
        <w:t>&lt;&lt;Insert late appointment and appointment status SOP/guideline here&gt;&gt;</w:t>
      </w:r>
    </w:p>
    <w:p w14:paraId="41547756" w14:textId="3FFCF68D" w:rsidR="001D7AFC" w:rsidRPr="00E10B35" w:rsidRDefault="00253844" w:rsidP="001D7AFC">
      <w:pPr>
        <w:pStyle w:val="BodyText"/>
        <w:ind w:left="540"/>
        <w:rPr>
          <w:i/>
          <w:iCs/>
        </w:rPr>
      </w:pPr>
      <w:r>
        <w:rPr>
          <w:noProof/>
        </w:rPr>
        <w:drawing>
          <wp:anchor distT="0" distB="0" distL="0" distR="91440" simplePos="0" relativeHeight="251846660" behindDoc="1" locked="0" layoutInCell="1" allowOverlap="1" wp14:anchorId="5BF8AA50" wp14:editId="18600FB8">
            <wp:simplePos x="0" y="0"/>
            <wp:positionH relativeFrom="column">
              <wp:posOffset>-457200</wp:posOffset>
            </wp:positionH>
            <wp:positionV relativeFrom="paragraph">
              <wp:posOffset>183353</wp:posOffset>
            </wp:positionV>
            <wp:extent cx="365760" cy="365760"/>
            <wp:effectExtent l="0" t="0" r="0" b="0"/>
            <wp:wrapTight wrapText="right">
              <wp:wrapPolygon edited="0">
                <wp:start x="0" y="0"/>
                <wp:lineTo x="0" y="20250"/>
                <wp:lineTo x="20250" y="20250"/>
                <wp:lineTo x="20250" y="0"/>
                <wp:lineTo x="0" y="0"/>
              </wp:wrapPolygon>
            </wp:wrapTight>
            <wp:docPr id="99508665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D7AFC" w:rsidRPr="00E10B35">
        <w:rPr>
          <w:b/>
          <w:bCs/>
          <w:i/>
          <w:iCs/>
        </w:rPr>
        <w:t>Workflow Insight</w:t>
      </w:r>
      <w:r w:rsidR="001D7AFC" w:rsidRPr="00E10B35">
        <w:rPr>
          <w:i/>
          <w:iCs/>
        </w:rPr>
        <w:t xml:space="preserve">: This option will only identify “late appointments” for a single appointment status used as the starting point for tracking. You </w:t>
      </w:r>
      <w:r w:rsidR="00E10B35" w:rsidRPr="00E10B35">
        <w:rPr>
          <w:i/>
          <w:iCs/>
        </w:rPr>
        <w:t>should</w:t>
      </w:r>
      <w:r w:rsidR="001D7AFC" w:rsidRPr="00E10B35">
        <w:rPr>
          <w:i/>
          <w:iCs/>
        </w:rPr>
        <w:t xml:space="preserve"> use the status that is most commonly applied to confirmed appointments, or </w:t>
      </w:r>
      <w:r w:rsidR="00E10B35" w:rsidRPr="00E10B35">
        <w:rPr>
          <w:i/>
          <w:iCs/>
        </w:rPr>
        <w:t xml:space="preserve">you can use a </w:t>
      </w:r>
      <w:r w:rsidR="001D7AFC" w:rsidRPr="00E10B35">
        <w:rPr>
          <w:i/>
          <w:iCs/>
        </w:rPr>
        <w:t>reduce</w:t>
      </w:r>
      <w:r w:rsidR="00E10B35" w:rsidRPr="00E10B35">
        <w:rPr>
          <w:i/>
          <w:iCs/>
        </w:rPr>
        <w:t>d</w:t>
      </w:r>
      <w:r w:rsidR="001D7AFC" w:rsidRPr="00E10B35">
        <w:rPr>
          <w:i/>
          <w:iCs/>
        </w:rPr>
        <w:t xml:space="preserve"> </w:t>
      </w:r>
      <w:r w:rsidR="00E10B35" w:rsidRPr="00E10B35">
        <w:rPr>
          <w:i/>
          <w:iCs/>
        </w:rPr>
        <w:t>number of</w:t>
      </w:r>
      <w:r w:rsidR="001D7AFC" w:rsidRPr="00E10B35">
        <w:rPr>
          <w:i/>
          <w:iCs/>
        </w:rPr>
        <w:t xml:space="preserve"> statuses </w:t>
      </w:r>
      <w:r w:rsidR="00E10B35" w:rsidRPr="00E10B35">
        <w:rPr>
          <w:i/>
          <w:iCs/>
        </w:rPr>
        <w:t>that are applied to confirmed appointments</w:t>
      </w:r>
      <w:r w:rsidR="001D7AFC" w:rsidRPr="00E10B35">
        <w:rPr>
          <w:i/>
          <w:iCs/>
        </w:rPr>
        <w:t>.</w:t>
      </w:r>
    </w:p>
    <w:p w14:paraId="6F8B15F4" w14:textId="67D7359C" w:rsidR="00D16799" w:rsidRDefault="00D16799" w:rsidP="004F45B6">
      <w:pPr>
        <w:pStyle w:val="BodyText"/>
        <w:keepNext/>
        <w:keepLines/>
        <w:numPr>
          <w:ilvl w:val="0"/>
          <w:numId w:val="75"/>
        </w:numPr>
        <w:ind w:left="540"/>
      </w:pPr>
      <w:r w:rsidRPr="59EE75BD">
        <w:rPr>
          <w:b/>
          <w:bCs/>
        </w:rPr>
        <w:lastRenderedPageBreak/>
        <w:t xml:space="preserve">Billing Statements </w:t>
      </w:r>
      <w:r w:rsidRPr="59EE75BD">
        <w:t xml:space="preserve">– </w:t>
      </w:r>
      <w:r w:rsidR="00E10B35">
        <w:t>T</w:t>
      </w:r>
      <w:r w:rsidR="00E10B35" w:rsidRPr="00E10B35">
        <w:t>he information you want to have appear on printed billing statements</w:t>
      </w:r>
      <w:r w:rsidR="00E10B35">
        <w:t xml:space="preserve"> and walkouts:</w:t>
      </w:r>
    </w:p>
    <w:p w14:paraId="43C51338" w14:textId="77777777" w:rsidR="00E10B35" w:rsidRDefault="00E10B35" w:rsidP="004F45B6">
      <w:pPr>
        <w:pStyle w:val="BodyText"/>
        <w:keepNext/>
        <w:keepLines/>
        <w:numPr>
          <w:ilvl w:val="0"/>
          <w:numId w:val="75"/>
        </w:numPr>
        <w:ind w:left="1080"/>
      </w:pPr>
      <w:r w:rsidRPr="00E10B35">
        <w:rPr>
          <w:b/>
          <w:bCs/>
        </w:rPr>
        <w:t>Use Central Office Info on Statements</w:t>
      </w:r>
      <w:r>
        <w:t xml:space="preserve"> – To print the name and address of the Central clinic on a statement that is sent to a patient of this clinic.</w:t>
      </w:r>
    </w:p>
    <w:p w14:paraId="7C185E5A" w14:textId="77777777" w:rsidR="00E10B35" w:rsidRDefault="00E10B35" w:rsidP="004F45B6">
      <w:pPr>
        <w:pStyle w:val="BodyText"/>
        <w:keepNext/>
        <w:keepLines/>
        <w:numPr>
          <w:ilvl w:val="0"/>
          <w:numId w:val="75"/>
        </w:numPr>
        <w:ind w:left="1080"/>
      </w:pPr>
      <w:r w:rsidRPr="00E10B35">
        <w:rPr>
          <w:b/>
          <w:bCs/>
        </w:rPr>
        <w:t>Use Clinic Info on Statements</w:t>
      </w:r>
      <w:r>
        <w:t xml:space="preserve"> – To print this clinic's name and address on a statement that is sent to a patient of this clinic.</w:t>
      </w:r>
    </w:p>
    <w:p w14:paraId="71EED597" w14:textId="2D8F33AD" w:rsidR="00E10B35" w:rsidRDefault="00E10B35" w:rsidP="004F45B6">
      <w:pPr>
        <w:pStyle w:val="BodyText"/>
        <w:keepNext/>
        <w:keepLines/>
        <w:numPr>
          <w:ilvl w:val="0"/>
          <w:numId w:val="75"/>
        </w:numPr>
        <w:ind w:left="1080"/>
      </w:pPr>
      <w:r w:rsidRPr="00E10B35">
        <w:rPr>
          <w:b/>
          <w:bCs/>
        </w:rPr>
        <w:t>Use Provider Info on Statements</w:t>
      </w:r>
      <w:r>
        <w:t xml:space="preserve"> – To print the name and address of the patient's primary provider (</w:t>
      </w:r>
      <w:r w:rsidRPr="00E10B35">
        <w:rPr>
          <w:b/>
          <w:bCs/>
        </w:rPr>
        <w:t>Prov1</w:t>
      </w:r>
      <w:r>
        <w:t>) on a statement that is sent to a patient of this clinic.</w:t>
      </w:r>
    </w:p>
    <w:p w14:paraId="46309EA7" w14:textId="5C02E87A" w:rsidR="00E10B35" w:rsidRPr="00672268" w:rsidRDefault="00E10B35" w:rsidP="004F45B6">
      <w:pPr>
        <w:pStyle w:val="BodyText"/>
        <w:numPr>
          <w:ilvl w:val="0"/>
          <w:numId w:val="75"/>
        </w:numPr>
        <w:ind w:left="1080"/>
      </w:pPr>
      <w:r w:rsidRPr="00E10B35">
        <w:rPr>
          <w:b/>
          <w:bCs/>
        </w:rPr>
        <w:t>Use Custom Settings on Statements</w:t>
      </w:r>
      <w:r>
        <w:t xml:space="preserve"> – To print a specified name, address, phone number, and message on a statement that is sent to a patient of this clinic. This option is available only if a certain global setting has been enabled by Support. With </w:t>
      </w:r>
      <w:r w:rsidRPr="00E10B35">
        <w:rPr>
          <w:b/>
          <w:bCs/>
        </w:rPr>
        <w:t>Use Custom Settings on Statements</w:t>
      </w:r>
      <w:r>
        <w:t xml:space="preserve"> selected, you can specify the clinic or provider name, clinic address, clinic phone number, and statement message separately, and each clinic can have different settings.</w:t>
      </w:r>
    </w:p>
    <w:p w14:paraId="546BD14F" w14:textId="3CEA7002" w:rsidR="00D16799" w:rsidRPr="00E10B35" w:rsidRDefault="006321F8" w:rsidP="00D16799">
      <w:pPr>
        <w:pStyle w:val="BodyText"/>
        <w:ind w:left="720"/>
        <w:rPr>
          <w:i/>
          <w:iCs/>
        </w:rPr>
      </w:pPr>
      <w:r>
        <w:rPr>
          <w:noProof/>
        </w:rPr>
        <w:drawing>
          <wp:anchor distT="0" distB="0" distL="0" distR="91440" simplePos="0" relativeHeight="251850756" behindDoc="1" locked="0" layoutInCell="1" allowOverlap="1" wp14:anchorId="08D7C15D" wp14:editId="0ABABFF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818634528"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D16799" w:rsidRPr="00E10B35">
        <w:rPr>
          <w:b/>
          <w:bCs/>
          <w:i/>
          <w:iCs/>
        </w:rPr>
        <w:t>Operations Insight</w:t>
      </w:r>
      <w:r w:rsidR="001D7AFC" w:rsidRPr="00E10B35">
        <w:rPr>
          <w:i/>
          <w:iCs/>
        </w:rPr>
        <w:t>:</w:t>
      </w:r>
      <w:r w:rsidR="00D16799" w:rsidRPr="00E10B35">
        <w:rPr>
          <w:i/>
          <w:iCs/>
        </w:rPr>
        <w:t xml:space="preserve"> This setting supports both centralized and de-centralized billing options.  The </w:t>
      </w:r>
      <w:r w:rsidR="00E10B35" w:rsidRPr="00E10B35">
        <w:rPr>
          <w:i/>
          <w:iCs/>
        </w:rPr>
        <w:t>b</w:t>
      </w:r>
      <w:r w:rsidR="00D16799" w:rsidRPr="00E10B35">
        <w:rPr>
          <w:i/>
          <w:iCs/>
        </w:rPr>
        <w:t xml:space="preserve">illing </w:t>
      </w:r>
      <w:r w:rsidR="00E10B35" w:rsidRPr="00E10B35">
        <w:rPr>
          <w:i/>
          <w:iCs/>
        </w:rPr>
        <w:t>s</w:t>
      </w:r>
      <w:r w:rsidR="00D16799" w:rsidRPr="00E10B35">
        <w:rPr>
          <w:i/>
          <w:iCs/>
        </w:rPr>
        <w:t>tatement</w:t>
      </w:r>
      <w:r w:rsidR="00E10B35" w:rsidRPr="00E10B35">
        <w:rPr>
          <w:i/>
          <w:iCs/>
        </w:rPr>
        <w:t>’s</w:t>
      </w:r>
      <w:r w:rsidR="00D16799" w:rsidRPr="00E10B35">
        <w:rPr>
          <w:i/>
          <w:iCs/>
        </w:rPr>
        <w:t xml:space="preserve"> return address is clinic specific and can be set up with a central return address for all locations</w:t>
      </w:r>
      <w:r w:rsidR="00E10B35" w:rsidRPr="00E10B35">
        <w:rPr>
          <w:i/>
          <w:iCs/>
        </w:rPr>
        <w:t>,</w:t>
      </w:r>
      <w:r w:rsidR="00D16799" w:rsidRPr="00E10B35">
        <w:rPr>
          <w:i/>
          <w:iCs/>
        </w:rPr>
        <w:t xml:space="preserve"> with individual clinic information</w:t>
      </w:r>
      <w:r w:rsidR="00E10B35" w:rsidRPr="00E10B35">
        <w:rPr>
          <w:i/>
          <w:iCs/>
        </w:rPr>
        <w:t>,</w:t>
      </w:r>
      <w:r w:rsidR="00D16799" w:rsidRPr="00E10B35">
        <w:rPr>
          <w:i/>
          <w:iCs/>
        </w:rPr>
        <w:t xml:space="preserve"> or </w:t>
      </w:r>
      <w:r w:rsidR="00E10B35" w:rsidRPr="00E10B35">
        <w:rPr>
          <w:i/>
          <w:iCs/>
        </w:rPr>
        <w:t xml:space="preserve">with </w:t>
      </w:r>
      <w:r w:rsidR="00D16799" w:rsidRPr="00E10B35">
        <w:rPr>
          <w:i/>
          <w:iCs/>
        </w:rPr>
        <w:t>a blend of the options using the global setting.</w:t>
      </w:r>
    </w:p>
    <w:p w14:paraId="4749A987" w14:textId="695C319A" w:rsidR="00D16799" w:rsidRDefault="006321F8" w:rsidP="00D16799">
      <w:pPr>
        <w:pStyle w:val="BodyText"/>
        <w:ind w:left="720"/>
        <w:rPr>
          <w:i/>
          <w:iCs/>
        </w:rPr>
      </w:pPr>
      <w:r>
        <w:rPr>
          <w:noProof/>
        </w:rPr>
        <w:drawing>
          <wp:anchor distT="0" distB="0" distL="0" distR="91440" simplePos="0" relativeHeight="251852804" behindDoc="1" locked="0" layoutInCell="1" allowOverlap="1" wp14:anchorId="10E7DCCE" wp14:editId="396257EB">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135703187"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D16799" w:rsidRPr="003F444C">
        <w:rPr>
          <w:b/>
          <w:bCs/>
          <w:i/>
          <w:iCs/>
        </w:rPr>
        <w:t xml:space="preserve">Workflow </w:t>
      </w:r>
      <w:r w:rsidR="001D7AFC" w:rsidRPr="003F444C">
        <w:rPr>
          <w:b/>
          <w:bCs/>
          <w:i/>
          <w:iCs/>
        </w:rPr>
        <w:t>I</w:t>
      </w:r>
      <w:r w:rsidR="00D16799" w:rsidRPr="003F444C">
        <w:rPr>
          <w:b/>
          <w:bCs/>
          <w:i/>
          <w:iCs/>
        </w:rPr>
        <w:t>nsight</w:t>
      </w:r>
      <w:r w:rsidR="001D7AFC" w:rsidRPr="003F444C">
        <w:rPr>
          <w:i/>
          <w:iCs/>
        </w:rPr>
        <w:t>:</w:t>
      </w:r>
      <w:r w:rsidR="00D16799" w:rsidRPr="003F444C">
        <w:rPr>
          <w:i/>
          <w:iCs/>
        </w:rPr>
        <w:t xml:space="preserve"> When </w:t>
      </w:r>
      <w:r w:rsidR="00E10B35" w:rsidRPr="003F444C">
        <w:rPr>
          <w:i/>
          <w:iCs/>
        </w:rPr>
        <w:t>you are generating</w:t>
      </w:r>
      <w:r w:rsidR="00D16799" w:rsidRPr="003F444C">
        <w:rPr>
          <w:i/>
          <w:iCs/>
        </w:rPr>
        <w:t xml:space="preserve"> statements, there is an option to use </w:t>
      </w:r>
      <w:r w:rsidR="003F444C" w:rsidRPr="003F444C">
        <w:rPr>
          <w:i/>
          <w:iCs/>
        </w:rPr>
        <w:t xml:space="preserve">either </w:t>
      </w:r>
      <w:r w:rsidR="00D16799" w:rsidRPr="003F444C">
        <w:rPr>
          <w:i/>
          <w:iCs/>
        </w:rPr>
        <w:t>the default</w:t>
      </w:r>
      <w:r w:rsidR="003F444C" w:rsidRPr="003F444C">
        <w:rPr>
          <w:i/>
          <w:iCs/>
        </w:rPr>
        <w:t xml:space="preserve"> settings</w:t>
      </w:r>
      <w:r w:rsidR="00D16799" w:rsidRPr="003F444C">
        <w:rPr>
          <w:i/>
          <w:iCs/>
        </w:rPr>
        <w:t xml:space="preserve"> </w:t>
      </w:r>
      <w:r w:rsidR="003F444C" w:rsidRPr="003F444C">
        <w:rPr>
          <w:i/>
          <w:iCs/>
        </w:rPr>
        <w:t>from</w:t>
      </w:r>
      <w:r w:rsidR="00D16799" w:rsidRPr="003F444C">
        <w:rPr>
          <w:i/>
          <w:iCs/>
        </w:rPr>
        <w:t xml:space="preserve"> the clinics selected or the settings </w:t>
      </w:r>
      <w:r w:rsidR="003F444C" w:rsidRPr="003F444C">
        <w:rPr>
          <w:i/>
          <w:iCs/>
        </w:rPr>
        <w:t>from</w:t>
      </w:r>
      <w:r w:rsidR="00D16799" w:rsidRPr="003F444C">
        <w:rPr>
          <w:i/>
          <w:iCs/>
        </w:rPr>
        <w:t xml:space="preserve"> the logged in</w:t>
      </w:r>
      <w:r w:rsidR="003F444C" w:rsidRPr="003F444C">
        <w:rPr>
          <w:i/>
          <w:iCs/>
        </w:rPr>
        <w:t xml:space="preserve"> clinic</w:t>
      </w:r>
      <w:r w:rsidR="00D16799" w:rsidRPr="003F444C">
        <w:rPr>
          <w:i/>
          <w:iCs/>
        </w:rPr>
        <w:t xml:space="preserve"> for all statements being </w:t>
      </w:r>
      <w:r w:rsidR="003F444C" w:rsidRPr="003F444C">
        <w:rPr>
          <w:i/>
          <w:iCs/>
        </w:rPr>
        <w:t>generated</w:t>
      </w:r>
      <w:r w:rsidR="00D16799" w:rsidRPr="003F444C">
        <w:rPr>
          <w:i/>
          <w:iCs/>
        </w:rPr>
        <w:t>.</w:t>
      </w:r>
    </w:p>
    <w:p w14:paraId="07015C2C" w14:textId="38EDA51F" w:rsidR="00A8381D" w:rsidRPr="009A0502" w:rsidRDefault="00A8381D" w:rsidP="00A8381D">
      <w:pPr>
        <w:pStyle w:val="BodyText"/>
        <w:ind w:left="720"/>
        <w:rPr>
          <w:i/>
          <w:iCs/>
        </w:rPr>
      </w:pPr>
      <w:r w:rsidRPr="009A0502">
        <w:rPr>
          <w:b/>
          <w:bCs/>
          <w:i/>
          <w:iCs/>
          <w:noProof/>
        </w:rPr>
        <w:drawing>
          <wp:anchor distT="0" distB="0" distL="0" distR="91440" simplePos="0" relativeHeight="252083204" behindDoc="1" locked="0" layoutInCell="1" allowOverlap="1" wp14:anchorId="402381A5" wp14:editId="5D78C561">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208369797"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9A0502">
        <w:rPr>
          <w:b/>
          <w:bCs/>
          <w:i/>
          <w:iCs/>
        </w:rPr>
        <w:t>*NEW* Workflow Insight</w:t>
      </w:r>
      <w:r w:rsidRPr="009A0502">
        <w:rPr>
          <w:i/>
          <w:iCs/>
        </w:rPr>
        <w:t xml:space="preserve">: </w:t>
      </w:r>
      <w:r w:rsidR="00B317CA" w:rsidRPr="009A0502">
        <w:rPr>
          <w:i/>
          <w:iCs/>
        </w:rPr>
        <w:t>In version 11.0.20, billing statements that were printed can be previewed from the Billing tab in the More Information window.</w:t>
      </w:r>
    </w:p>
    <w:p w14:paraId="6FF9741C" w14:textId="3CAD6869" w:rsidR="00D16799" w:rsidRDefault="00D16799" w:rsidP="004F45B6">
      <w:pPr>
        <w:pStyle w:val="BodyText"/>
        <w:numPr>
          <w:ilvl w:val="0"/>
          <w:numId w:val="75"/>
        </w:numPr>
        <w:ind w:left="540"/>
      </w:pPr>
      <w:r w:rsidRPr="59EE75BD">
        <w:rPr>
          <w:b/>
          <w:bCs/>
        </w:rPr>
        <w:t xml:space="preserve">Change Provider Completion Options </w:t>
      </w:r>
      <w:r w:rsidRPr="59EE75BD">
        <w:t xml:space="preserve">– This setting </w:t>
      </w:r>
      <w:r w:rsidR="003F444C">
        <w:t>a</w:t>
      </w:r>
      <w:r w:rsidRPr="59EE75BD">
        <w:t>utomate</w:t>
      </w:r>
      <w:r w:rsidR="003F444C">
        <w:t>s</w:t>
      </w:r>
      <w:r w:rsidRPr="59EE75BD">
        <w:t xml:space="preserve"> the process for changing the rendering provider </w:t>
      </w:r>
      <w:r w:rsidR="003F444C">
        <w:t>in</w:t>
      </w:r>
      <w:r w:rsidRPr="59EE75BD">
        <w:t xml:space="preserve"> circumstances when </w:t>
      </w:r>
      <w:r w:rsidR="003F444C">
        <w:t>that provider is</w:t>
      </w:r>
      <w:r w:rsidRPr="59EE75BD">
        <w:t xml:space="preserve"> not the treatment-planning provider. You can specify </w:t>
      </w:r>
      <w:r w:rsidR="003F444C">
        <w:t>whether</w:t>
      </w:r>
      <w:r w:rsidRPr="59EE75BD">
        <w:t xml:space="preserve"> the provider selected will be per patient or the provider selection should be retained until the user logs out. </w:t>
      </w:r>
    </w:p>
    <w:p w14:paraId="4FE84EBB" w14:textId="0B216A17" w:rsidR="00D16799" w:rsidRPr="003F444C" w:rsidRDefault="006321F8" w:rsidP="00D16799">
      <w:pPr>
        <w:pStyle w:val="BodyText"/>
        <w:ind w:left="540"/>
        <w:rPr>
          <w:i/>
          <w:iCs/>
        </w:rPr>
      </w:pPr>
      <w:r>
        <w:rPr>
          <w:noProof/>
        </w:rPr>
        <w:drawing>
          <wp:anchor distT="0" distB="0" distL="0" distR="91440" simplePos="0" relativeHeight="251856900" behindDoc="1" locked="0" layoutInCell="1" allowOverlap="1" wp14:anchorId="1BEF9AB9" wp14:editId="0CD3A44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30790769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D16799" w:rsidRPr="003F444C">
        <w:rPr>
          <w:b/>
          <w:bCs/>
          <w:i/>
          <w:iCs/>
        </w:rPr>
        <w:t>Operations Insight</w:t>
      </w:r>
      <w:r w:rsidR="001D7AFC" w:rsidRPr="003F444C">
        <w:rPr>
          <w:i/>
          <w:iCs/>
        </w:rPr>
        <w:t>:</w:t>
      </w:r>
      <w:r w:rsidR="00D16799" w:rsidRPr="003F444C">
        <w:rPr>
          <w:i/>
          <w:iCs/>
        </w:rPr>
        <w:t xml:space="preserve"> If the completing provider for procedures is often different from the treatment-planning provider, automating the provider override options will reduce the manual process for changing providers on procedures. Even if the current process does not need this setting in place, it is good to think about future growth in the organization and having the setting support multiple providers treating common patients in the future.</w:t>
      </w:r>
    </w:p>
    <w:p w14:paraId="1E213FD1" w14:textId="32702CA9" w:rsidR="00D16799" w:rsidRPr="003F444C" w:rsidRDefault="00FE6313" w:rsidP="00D16799">
      <w:pPr>
        <w:pStyle w:val="BodyText"/>
        <w:ind w:left="540"/>
        <w:rPr>
          <w:i/>
          <w:iCs/>
        </w:rPr>
      </w:pPr>
      <w:r>
        <w:rPr>
          <w:noProof/>
        </w:rPr>
        <w:drawing>
          <wp:anchor distT="0" distB="0" distL="0" distR="91440" simplePos="0" relativeHeight="251858948" behindDoc="1" locked="0" layoutInCell="1" allowOverlap="1" wp14:anchorId="3949882E" wp14:editId="22F25C09">
            <wp:simplePos x="0" y="0"/>
            <wp:positionH relativeFrom="column">
              <wp:posOffset>-457200</wp:posOffset>
            </wp:positionH>
            <wp:positionV relativeFrom="paragraph">
              <wp:posOffset>411066</wp:posOffset>
            </wp:positionV>
            <wp:extent cx="365856" cy="484632"/>
            <wp:effectExtent l="0" t="0" r="0" b="0"/>
            <wp:wrapTight wrapText="right">
              <wp:wrapPolygon edited="0">
                <wp:start x="0" y="0"/>
                <wp:lineTo x="0" y="20383"/>
                <wp:lineTo x="20250" y="20383"/>
                <wp:lineTo x="20250" y="0"/>
                <wp:lineTo x="0" y="0"/>
              </wp:wrapPolygon>
            </wp:wrapTight>
            <wp:docPr id="2007213754"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6321F8">
        <w:rPr>
          <w:noProof/>
        </w:rPr>
        <w:drawing>
          <wp:anchor distT="0" distB="0" distL="0" distR="91440" simplePos="0" relativeHeight="251854852" behindDoc="1" locked="0" layoutInCell="1" allowOverlap="1" wp14:anchorId="68A2C6AB" wp14:editId="03C2EAF5">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44537564"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D16799" w:rsidRPr="003F444C">
        <w:rPr>
          <w:b/>
          <w:bCs/>
          <w:i/>
          <w:iCs/>
        </w:rPr>
        <w:t>Workflow Insight</w:t>
      </w:r>
      <w:r w:rsidR="001D7AFC" w:rsidRPr="003F444C">
        <w:rPr>
          <w:i/>
          <w:iCs/>
        </w:rPr>
        <w:t>:</w:t>
      </w:r>
      <w:r w:rsidR="00D16799" w:rsidRPr="003F444C">
        <w:rPr>
          <w:i/>
          <w:iCs/>
        </w:rPr>
        <w:t xml:space="preserve"> This setting works in conjunction with the </w:t>
      </w:r>
      <w:r w:rsidR="00D16799" w:rsidRPr="003F444C">
        <w:rPr>
          <w:b/>
          <w:bCs/>
          <w:i/>
          <w:iCs/>
        </w:rPr>
        <w:t>Default Chart Provider</w:t>
      </w:r>
      <w:r w:rsidR="003F444C" w:rsidRPr="003F444C">
        <w:rPr>
          <w:i/>
          <w:iCs/>
        </w:rPr>
        <w:t xml:space="preserve"> and</w:t>
      </w:r>
      <w:r w:rsidR="00D16799" w:rsidRPr="003F444C">
        <w:rPr>
          <w:i/>
          <w:iCs/>
        </w:rPr>
        <w:t xml:space="preserve"> </w:t>
      </w:r>
      <w:r w:rsidR="00D16799" w:rsidRPr="003F444C">
        <w:rPr>
          <w:b/>
          <w:bCs/>
          <w:i/>
          <w:iCs/>
        </w:rPr>
        <w:t>Provider from Selected Appointment</w:t>
      </w:r>
      <w:r w:rsidR="00D16799" w:rsidRPr="003F444C">
        <w:rPr>
          <w:i/>
          <w:iCs/>
        </w:rPr>
        <w:t xml:space="preserve"> setting</w:t>
      </w:r>
      <w:r w:rsidR="003F444C" w:rsidRPr="003F444C">
        <w:rPr>
          <w:i/>
          <w:iCs/>
        </w:rPr>
        <w:t>s</w:t>
      </w:r>
      <w:r w:rsidR="00D16799" w:rsidRPr="003F444C">
        <w:rPr>
          <w:i/>
          <w:iCs/>
        </w:rPr>
        <w:t xml:space="preserve"> in </w:t>
      </w:r>
      <w:r w:rsidR="003F444C" w:rsidRPr="003F444C">
        <w:rPr>
          <w:i/>
          <w:iCs/>
        </w:rPr>
        <w:t xml:space="preserve">the </w:t>
      </w:r>
      <w:r w:rsidR="00D16799" w:rsidRPr="003F444C">
        <w:rPr>
          <w:i/>
          <w:iCs/>
        </w:rPr>
        <w:t>Practice Defaults. Combining these two options eliminates the need to select the chart provider per patient or session.</w:t>
      </w:r>
    </w:p>
    <w:p w14:paraId="09830EFE" w14:textId="404F0499" w:rsidR="00D16799" w:rsidRDefault="00D16799" w:rsidP="00D16799">
      <w:pPr>
        <w:pStyle w:val="BodyText"/>
        <w:ind w:left="540"/>
        <w:rPr>
          <w:color w:val="00B050"/>
        </w:rPr>
      </w:pPr>
      <w:r w:rsidRPr="00454D84">
        <w:rPr>
          <w:color w:val="00B050"/>
        </w:rPr>
        <w:t>&lt;&lt;Insert Change Provider Completion Options SOP/guideline here&gt;&gt;</w:t>
      </w:r>
    </w:p>
    <w:p w14:paraId="291A4D0F" w14:textId="27C77BDE" w:rsidR="00E61596" w:rsidRPr="009A0502" w:rsidRDefault="00E61596" w:rsidP="004F45B6">
      <w:pPr>
        <w:pStyle w:val="BodyText"/>
        <w:numPr>
          <w:ilvl w:val="0"/>
          <w:numId w:val="75"/>
        </w:numPr>
        <w:ind w:left="540"/>
      </w:pPr>
      <w:r w:rsidRPr="009A0502">
        <w:rPr>
          <w:b/>
          <w:bCs/>
        </w:rPr>
        <w:t xml:space="preserve">Electronic Collection </w:t>
      </w:r>
      <w:r w:rsidRPr="009A0502">
        <w:t xml:space="preserve">– This setting is available with a specific global setting. With the checkbox selected for Screening Data, there will be two icons available in the Chart module for Screening Forms and Screening Data Report. </w:t>
      </w:r>
    </w:p>
    <w:p w14:paraId="55AEAC71" w14:textId="1EE64A73" w:rsidR="00E61596" w:rsidRPr="009A0502" w:rsidRDefault="00E61596" w:rsidP="004F45B6">
      <w:pPr>
        <w:pStyle w:val="BodyText"/>
        <w:numPr>
          <w:ilvl w:val="0"/>
          <w:numId w:val="75"/>
        </w:numPr>
        <w:ind w:left="540"/>
      </w:pPr>
      <w:r w:rsidRPr="009A0502">
        <w:rPr>
          <w:b/>
          <w:bCs/>
        </w:rPr>
        <w:t xml:space="preserve">Insurance Automated Resolution for Over/Under Chrgs </w:t>
      </w:r>
      <w:r w:rsidRPr="009A0502">
        <w:t xml:space="preserve">– This setting is available when a specific global setting for 835/ERA is enabled. With the </w:t>
      </w:r>
      <w:r w:rsidR="00F8646C" w:rsidRPr="009A0502">
        <w:t>check</w:t>
      </w:r>
      <w:r w:rsidRPr="009A0502">
        <w:t xml:space="preserve">box </w:t>
      </w:r>
      <w:r w:rsidR="00F8646C" w:rsidRPr="009A0502">
        <w:t>selected</w:t>
      </w:r>
      <w:r w:rsidRPr="009A0502">
        <w:t xml:space="preserve"> for ERA Auto Calculate, </w:t>
      </w:r>
      <w:r w:rsidR="00DA6CE5" w:rsidRPr="009A0502">
        <w:t xml:space="preserve">in </w:t>
      </w:r>
      <w:r w:rsidRPr="009A0502">
        <w:t xml:space="preserve">the Undercharged and Overpaid Payments </w:t>
      </w:r>
      <w:r w:rsidR="00DA6CE5" w:rsidRPr="009A0502">
        <w:t>dialog box</w:t>
      </w:r>
      <w:r w:rsidRPr="009A0502">
        <w:t xml:space="preserve"> the adjustments </w:t>
      </w:r>
      <w:r w:rsidR="00DA6CE5" w:rsidRPr="009A0502">
        <w:t xml:space="preserve">will be </w:t>
      </w:r>
      <w:r w:rsidR="00DA1D58" w:rsidRPr="009A0502">
        <w:t xml:space="preserve">determined automatically </w:t>
      </w:r>
      <w:r w:rsidRPr="009A0502">
        <w:t>for an insurance claim based on the information provided within the insurance carrier</w:t>
      </w:r>
      <w:r w:rsidR="00DA1D58" w:rsidRPr="009A0502">
        <w:t>’s</w:t>
      </w:r>
      <w:r w:rsidRPr="009A0502">
        <w:t xml:space="preserve"> eEOB (electronic Explanation of Benefits). </w:t>
      </w:r>
    </w:p>
    <w:p w14:paraId="3E1A5DC4" w14:textId="48ADF80B" w:rsidR="00F57732" w:rsidRDefault="00F57732" w:rsidP="00D42C5A">
      <w:pPr>
        <w:pStyle w:val="Heading3"/>
      </w:pPr>
      <w:bookmarkStart w:id="223" w:name="SettingsTab"/>
      <w:bookmarkStart w:id="224" w:name="_Toc135416736"/>
      <w:bookmarkStart w:id="225" w:name="_Toc166834392"/>
      <w:r>
        <w:lastRenderedPageBreak/>
        <w:t xml:space="preserve">Clinic Information </w:t>
      </w:r>
      <w:r w:rsidR="000426D9">
        <w:t>–</w:t>
      </w:r>
      <w:r>
        <w:t xml:space="preserve"> </w:t>
      </w:r>
      <w:r w:rsidR="000426D9">
        <w:t xml:space="preserve">Organization </w:t>
      </w:r>
      <w:r w:rsidR="009473AD" w:rsidRPr="71EB9571">
        <w:t>Settings Tab</w:t>
      </w:r>
      <w:bookmarkEnd w:id="223"/>
      <w:bookmarkEnd w:id="224"/>
      <w:bookmarkEnd w:id="225"/>
    </w:p>
    <w:p w14:paraId="70FF97E8" w14:textId="72D9B71B" w:rsidR="009473AD" w:rsidRDefault="000426D9" w:rsidP="000D7FFC">
      <w:pPr>
        <w:pStyle w:val="BodyText"/>
        <w:keepNext/>
        <w:keepLines/>
      </w:pPr>
      <w:r w:rsidRPr="000426D9">
        <w:t xml:space="preserve">On the </w:t>
      </w:r>
      <w:r>
        <w:rPr>
          <w:b/>
          <w:bCs/>
        </w:rPr>
        <w:t>Organization S</w:t>
      </w:r>
      <w:r w:rsidRPr="000426D9">
        <w:rPr>
          <w:b/>
          <w:bCs/>
        </w:rPr>
        <w:t>ettings</w:t>
      </w:r>
      <w:r w:rsidRPr="000426D9">
        <w:t xml:space="preserve"> tab of the </w:t>
      </w:r>
      <w:r w:rsidRPr="000426D9">
        <w:rPr>
          <w:b/>
          <w:bCs/>
        </w:rPr>
        <w:t>Clinic Information</w:t>
      </w:r>
      <w:r w:rsidRPr="000426D9">
        <w:t xml:space="preserve"> dialog box, you enter </w:t>
      </w:r>
      <w:r>
        <w:t>organization</w:t>
      </w:r>
      <w:r w:rsidRPr="000426D9">
        <w:t>-specific information</w:t>
      </w:r>
      <w:r>
        <w:t xml:space="preserve"> (t</w:t>
      </w:r>
      <w:r w:rsidR="009473AD" w:rsidRPr="71EB9571">
        <w:t>he settings affect all clinics</w:t>
      </w:r>
      <w:r>
        <w:t>)</w:t>
      </w:r>
      <w:r w:rsidR="001D7AFC">
        <w:t xml:space="preserve"> if you are logged in to the Central clinic</w:t>
      </w:r>
      <w:r w:rsidR="009473AD" w:rsidRPr="71EB9571">
        <w:t>.</w:t>
      </w:r>
    </w:p>
    <w:p w14:paraId="25526EBC" w14:textId="3C02C16E" w:rsidR="00843A61" w:rsidRPr="00843A61" w:rsidRDefault="006321F8" w:rsidP="000D7FFC">
      <w:pPr>
        <w:pStyle w:val="BodyText"/>
        <w:keepNext/>
        <w:keepLines/>
        <w:rPr>
          <w:i/>
          <w:iCs/>
        </w:rPr>
      </w:pPr>
      <w:r>
        <w:rPr>
          <w:noProof/>
        </w:rPr>
        <w:drawing>
          <wp:anchor distT="0" distB="0" distL="0" distR="91440" simplePos="0" relativeHeight="251860996" behindDoc="1" locked="0" layoutInCell="1" allowOverlap="1" wp14:anchorId="50C3763F" wp14:editId="46713073">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03969244"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843A61" w:rsidRPr="00843A61">
        <w:rPr>
          <w:b/>
          <w:bCs/>
          <w:i/>
          <w:iCs/>
        </w:rPr>
        <w:t>Operations Insight</w:t>
      </w:r>
      <w:r w:rsidR="00843A61" w:rsidRPr="00843A61">
        <w:rPr>
          <w:i/>
          <w:iCs/>
        </w:rPr>
        <w:t>: These settings are available only if you are logged in to the Central clinic, and these setting apply to all clinics.</w:t>
      </w:r>
    </w:p>
    <w:p w14:paraId="73249A7C" w14:textId="43CC6245" w:rsidR="001D7AFC" w:rsidRDefault="001D7AFC" w:rsidP="004F45B6">
      <w:pPr>
        <w:pStyle w:val="BodyText"/>
        <w:keepNext/>
        <w:keepLines/>
        <w:numPr>
          <w:ilvl w:val="0"/>
          <w:numId w:val="77"/>
        </w:numPr>
        <w:ind w:left="540"/>
        <w:rPr>
          <w:b/>
          <w:bCs/>
        </w:rPr>
      </w:pPr>
      <w:r w:rsidRPr="71EB9571">
        <w:rPr>
          <w:b/>
          <w:bCs/>
        </w:rPr>
        <w:t xml:space="preserve">Enable Patient Access Logging </w:t>
      </w:r>
      <w:r w:rsidRPr="71EB9571">
        <w:t xml:space="preserve">– </w:t>
      </w:r>
      <w:r>
        <w:rPr>
          <w:rFonts w:eastAsiaTheme="minorEastAsia"/>
        </w:rPr>
        <w:t>To enable the tracking of</w:t>
      </w:r>
      <w:r w:rsidRPr="71EB9571">
        <w:rPr>
          <w:rFonts w:eastAsiaTheme="minorEastAsia"/>
          <w:color w:val="FF0000"/>
        </w:rPr>
        <w:t xml:space="preserve"> </w:t>
      </w:r>
      <w:r w:rsidRPr="71EB9571">
        <w:rPr>
          <w:rFonts w:eastAsiaTheme="minorEastAsia"/>
        </w:rPr>
        <w:t>access to patient information</w:t>
      </w:r>
      <w:r w:rsidR="003F444C">
        <w:rPr>
          <w:rFonts w:eastAsiaTheme="minorEastAsia"/>
        </w:rPr>
        <w:t>,</w:t>
      </w:r>
      <w:r w:rsidRPr="71EB9571">
        <w:rPr>
          <w:rFonts w:eastAsiaTheme="minorEastAsia"/>
        </w:rPr>
        <w:t xml:space="preserve"> select the checkbox. When </w:t>
      </w:r>
      <w:r w:rsidR="003F444C">
        <w:rPr>
          <w:rFonts w:eastAsiaTheme="minorEastAsia"/>
        </w:rPr>
        <w:t xml:space="preserve">you are </w:t>
      </w:r>
      <w:r w:rsidRPr="71EB9571">
        <w:rPr>
          <w:rFonts w:eastAsiaTheme="minorEastAsia"/>
        </w:rPr>
        <w:t xml:space="preserve">accessing a patient record multiple times the same way (in the same module, at the same clinic, on the same date, and by the same user) within the number of minutes specified in the </w:t>
      </w:r>
      <w:r w:rsidRPr="003F444C">
        <w:rPr>
          <w:rFonts w:eastAsiaTheme="minorEastAsia"/>
          <w:b/>
          <w:bCs/>
        </w:rPr>
        <w:t>Minutes between identical records</w:t>
      </w:r>
      <w:r w:rsidRPr="71EB9571">
        <w:rPr>
          <w:rFonts w:eastAsiaTheme="minorEastAsia"/>
        </w:rPr>
        <w:t xml:space="preserve"> </w:t>
      </w:r>
      <w:r w:rsidR="003F444C">
        <w:rPr>
          <w:rFonts w:eastAsiaTheme="minorEastAsia"/>
        </w:rPr>
        <w:t>box</w:t>
      </w:r>
      <w:r w:rsidRPr="71EB9571">
        <w:rPr>
          <w:rFonts w:eastAsiaTheme="minorEastAsia"/>
        </w:rPr>
        <w:t xml:space="preserve">, Dentrix Enterprise will create only one entry for the Patient Information Accessed Report. </w:t>
      </w:r>
    </w:p>
    <w:p w14:paraId="5E476B4D" w14:textId="4CE1DF57" w:rsidR="001D7AFC" w:rsidRPr="003F444C" w:rsidRDefault="006321F8" w:rsidP="001D7AFC">
      <w:pPr>
        <w:pStyle w:val="BodyText"/>
        <w:ind w:left="540"/>
        <w:rPr>
          <w:i/>
          <w:iCs/>
          <w:color w:val="FF0000"/>
        </w:rPr>
      </w:pPr>
      <w:r>
        <w:rPr>
          <w:noProof/>
        </w:rPr>
        <w:drawing>
          <wp:anchor distT="0" distB="0" distL="0" distR="91440" simplePos="0" relativeHeight="251863044" behindDoc="1" locked="0" layoutInCell="1" allowOverlap="1" wp14:anchorId="1041E3C0" wp14:editId="7F5C7906">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45146704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1D7AFC" w:rsidRPr="003F444C">
        <w:rPr>
          <w:b/>
          <w:bCs/>
          <w:i/>
          <w:iCs/>
        </w:rPr>
        <w:t>Operations Insight</w:t>
      </w:r>
      <w:r w:rsidR="001D7AFC" w:rsidRPr="003F444C">
        <w:rPr>
          <w:i/>
          <w:iCs/>
        </w:rPr>
        <w:t>: The number of minutes between identical records can be a value from 5 to 1440</w:t>
      </w:r>
      <w:r w:rsidR="003F444C">
        <w:rPr>
          <w:i/>
          <w:iCs/>
        </w:rPr>
        <w:t>.</w:t>
      </w:r>
    </w:p>
    <w:p w14:paraId="74EC444F" w14:textId="653133EC" w:rsidR="001D7AFC" w:rsidRDefault="00DB5737" w:rsidP="004F45B6">
      <w:pPr>
        <w:pStyle w:val="BodyText"/>
        <w:numPr>
          <w:ilvl w:val="0"/>
          <w:numId w:val="77"/>
        </w:numPr>
        <w:ind w:left="540"/>
        <w:rPr>
          <w:b/>
          <w:bCs/>
        </w:rPr>
      </w:pPr>
      <w:r>
        <w:rPr>
          <w:noProof/>
        </w:rPr>
        <w:drawing>
          <wp:anchor distT="0" distB="0" distL="0" distR="91440" simplePos="0" relativeHeight="251869188" behindDoc="1" locked="0" layoutInCell="1" allowOverlap="1" wp14:anchorId="61BBB478" wp14:editId="3F330277">
            <wp:simplePos x="0" y="0"/>
            <wp:positionH relativeFrom="column">
              <wp:posOffset>-457200</wp:posOffset>
            </wp:positionH>
            <wp:positionV relativeFrom="paragraph">
              <wp:posOffset>900799</wp:posOffset>
            </wp:positionV>
            <wp:extent cx="365856" cy="484632"/>
            <wp:effectExtent l="0" t="0" r="0" b="0"/>
            <wp:wrapTight wrapText="right">
              <wp:wrapPolygon edited="0">
                <wp:start x="0" y="0"/>
                <wp:lineTo x="0" y="20383"/>
                <wp:lineTo x="20250" y="20383"/>
                <wp:lineTo x="20250" y="0"/>
                <wp:lineTo x="0" y="0"/>
              </wp:wrapPolygon>
            </wp:wrapTight>
            <wp:docPr id="745175306"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1D7AFC" w:rsidRPr="71EB9571">
        <w:rPr>
          <w:rFonts w:eastAsiaTheme="minorEastAsia"/>
          <w:b/>
          <w:bCs/>
        </w:rPr>
        <w:t>Enable Patient Print Logging</w:t>
      </w:r>
      <w:r w:rsidR="001D7AFC" w:rsidRPr="71EB9571">
        <w:rPr>
          <w:rFonts w:eastAsiaTheme="minorEastAsia"/>
        </w:rPr>
        <w:t xml:space="preserve"> </w:t>
      </w:r>
      <w:r w:rsidR="001D7AFC">
        <w:rPr>
          <w:rFonts w:eastAsiaTheme="minorEastAsia"/>
        </w:rPr>
        <w:t>–</w:t>
      </w:r>
      <w:r w:rsidR="001D7AFC" w:rsidRPr="71EB9571">
        <w:rPr>
          <w:rFonts w:eastAsiaTheme="minorEastAsia"/>
        </w:rPr>
        <w:t xml:space="preserve"> </w:t>
      </w:r>
      <w:r w:rsidR="003F444C">
        <w:rPr>
          <w:rFonts w:eastAsiaTheme="minorEastAsia"/>
        </w:rPr>
        <w:t>S</w:t>
      </w:r>
      <w:r w:rsidR="003F444C" w:rsidRPr="71EB9571">
        <w:rPr>
          <w:rFonts w:eastAsiaTheme="minorEastAsia"/>
        </w:rPr>
        <w:t>elect this check box</w:t>
      </w:r>
      <w:r w:rsidR="003F444C">
        <w:rPr>
          <w:rFonts w:eastAsiaTheme="minorEastAsia"/>
        </w:rPr>
        <w:t xml:space="preserve"> t</w:t>
      </w:r>
      <w:r w:rsidR="001D7AFC" w:rsidRPr="71EB9571">
        <w:rPr>
          <w:rFonts w:eastAsiaTheme="minorEastAsia"/>
        </w:rPr>
        <w:t xml:space="preserve">o enable the tracking of the following: </w:t>
      </w:r>
      <w:r w:rsidR="003F444C">
        <w:rPr>
          <w:rFonts w:eastAsiaTheme="minorEastAsia"/>
        </w:rPr>
        <w:t>w</w:t>
      </w:r>
      <w:r w:rsidR="001D7AFC" w:rsidRPr="71EB9571">
        <w:rPr>
          <w:rFonts w:eastAsiaTheme="minorEastAsia"/>
        </w:rPr>
        <w:t xml:space="preserve">hen reports that contain patient information are generated (including the printing of </w:t>
      </w:r>
      <w:r w:rsidR="003F444C">
        <w:rPr>
          <w:rFonts w:eastAsiaTheme="minorEastAsia"/>
        </w:rPr>
        <w:t xml:space="preserve">the </w:t>
      </w:r>
      <w:r w:rsidR="001D7AFC" w:rsidRPr="71EB9571">
        <w:rPr>
          <w:rFonts w:eastAsiaTheme="minorEastAsia"/>
        </w:rPr>
        <w:t>chart and the like)</w:t>
      </w:r>
      <w:r w:rsidR="003F444C">
        <w:rPr>
          <w:rFonts w:eastAsiaTheme="minorEastAsia"/>
        </w:rPr>
        <w:t>; w</w:t>
      </w:r>
      <w:r w:rsidR="001D7AFC" w:rsidRPr="71EB9571">
        <w:rPr>
          <w:rFonts w:eastAsiaTheme="minorEastAsia"/>
        </w:rPr>
        <w:t>hen patient records are accessed; additions, deletions, and modifications of patient information</w:t>
      </w:r>
      <w:r w:rsidR="003F444C">
        <w:rPr>
          <w:rFonts w:eastAsiaTheme="minorEastAsia"/>
        </w:rPr>
        <w:t>; and w</w:t>
      </w:r>
      <w:r w:rsidR="001D7AFC" w:rsidRPr="71EB9571">
        <w:rPr>
          <w:rFonts w:eastAsiaTheme="minorEastAsia"/>
        </w:rPr>
        <w:t>hen</w:t>
      </w:r>
      <w:r w:rsidR="001D7AFC">
        <w:rPr>
          <w:rFonts w:eastAsiaTheme="minorEastAsia"/>
        </w:rPr>
        <w:t xml:space="preserve"> patient health information is </w:t>
      </w:r>
      <w:r w:rsidR="001D7AFC" w:rsidRPr="71EB9571">
        <w:rPr>
          <w:rFonts w:eastAsiaTheme="minorEastAsia"/>
        </w:rPr>
        <w:t>exported to a patient's portal</w:t>
      </w:r>
      <w:r w:rsidR="001D7AFC">
        <w:rPr>
          <w:rFonts w:eastAsiaTheme="minorEastAsia"/>
        </w:rPr>
        <w:t>.</w:t>
      </w:r>
      <w:r w:rsidR="001D7AFC" w:rsidRPr="71EB9571">
        <w:rPr>
          <w:rFonts w:eastAsiaTheme="minorEastAsia"/>
        </w:rPr>
        <w:t xml:space="preserve">  This audit information appears on the Audit - Combined Report. If you change this setting, the change is logged in the Audit - Audit Log Status Report.</w:t>
      </w:r>
    </w:p>
    <w:p w14:paraId="270574A6" w14:textId="39F77430" w:rsidR="001D7AFC" w:rsidRPr="005944F1" w:rsidRDefault="001D7AFC" w:rsidP="001D7AFC">
      <w:pPr>
        <w:pStyle w:val="BodyText"/>
        <w:ind w:left="540"/>
      </w:pPr>
      <w:r w:rsidRPr="00454D84">
        <w:rPr>
          <w:color w:val="00B050"/>
        </w:rPr>
        <w:t>&lt;&lt;Insert Security Setting Options SOP/guideline here&gt;&gt;</w:t>
      </w:r>
    </w:p>
    <w:p w14:paraId="30B0366C" w14:textId="0049DBE2" w:rsidR="001D7AFC" w:rsidRDefault="001D7AFC" w:rsidP="004F45B6">
      <w:pPr>
        <w:pStyle w:val="BodyText"/>
        <w:numPr>
          <w:ilvl w:val="0"/>
          <w:numId w:val="77"/>
        </w:numPr>
        <w:ind w:left="540"/>
        <w:rPr>
          <w:b/>
          <w:bCs/>
        </w:rPr>
      </w:pPr>
      <w:r w:rsidRPr="71EB9571">
        <w:rPr>
          <w:b/>
          <w:bCs/>
        </w:rPr>
        <w:t xml:space="preserve">Patient Birthdate/Age on Title Bar </w:t>
      </w:r>
      <w:r w:rsidRPr="71EB9571">
        <w:t xml:space="preserve">– </w:t>
      </w:r>
      <w:r w:rsidR="003F444C">
        <w:t>Select this checkbox to have a patient’s</w:t>
      </w:r>
      <w:r w:rsidRPr="71EB9571">
        <w:t xml:space="preserve"> birth</w:t>
      </w:r>
      <w:r w:rsidR="003F444C">
        <w:t xml:space="preserve"> date</w:t>
      </w:r>
      <w:r w:rsidRPr="71EB9571">
        <w:t xml:space="preserve"> and age </w:t>
      </w:r>
      <w:r w:rsidR="003F444C">
        <w:t xml:space="preserve">appear </w:t>
      </w:r>
      <w:r w:rsidRPr="71EB9571">
        <w:t xml:space="preserve">on the title bar </w:t>
      </w:r>
      <w:r w:rsidR="003F444C">
        <w:t>of windows in Dentrix Enterprise when a patient is selected</w:t>
      </w:r>
      <w:r w:rsidRPr="71EB9571">
        <w:t xml:space="preserve">. This assists with confirmation of patient </w:t>
      </w:r>
      <w:r w:rsidR="003F444C">
        <w:t>identification</w:t>
      </w:r>
      <w:r w:rsidRPr="71EB9571">
        <w:t>, especially in areas of scheduling and treatment.</w:t>
      </w:r>
    </w:p>
    <w:p w14:paraId="082BD0E3" w14:textId="022C1D77" w:rsidR="000426D9" w:rsidRPr="00320B15" w:rsidRDefault="000426D9" w:rsidP="004F45B6">
      <w:pPr>
        <w:pStyle w:val="BodyText"/>
        <w:numPr>
          <w:ilvl w:val="0"/>
          <w:numId w:val="77"/>
        </w:numPr>
        <w:ind w:left="540"/>
        <w:rPr>
          <w:b/>
          <w:bCs/>
        </w:rPr>
      </w:pPr>
      <w:r w:rsidRPr="71EB9571">
        <w:rPr>
          <w:b/>
          <w:bCs/>
        </w:rPr>
        <w:t xml:space="preserve">Automatic Log Off </w:t>
      </w:r>
      <w:r w:rsidRPr="71EB9571">
        <w:t xml:space="preserve">– These settings control the amount of </w:t>
      </w:r>
      <w:r w:rsidR="00843A61">
        <w:t>“</w:t>
      </w:r>
      <w:r w:rsidRPr="71EB9571">
        <w:t>inactive</w:t>
      </w:r>
      <w:r w:rsidR="00843A61">
        <w:t>”</w:t>
      </w:r>
      <w:r w:rsidRPr="71EB9571">
        <w:t xml:space="preserve"> time </w:t>
      </w:r>
      <w:r w:rsidR="00843A61">
        <w:t xml:space="preserve">that is </w:t>
      </w:r>
      <w:r w:rsidRPr="71EB9571">
        <w:t xml:space="preserve">allowed before a user is logged out of Dentrix Enterprise with the overall goal of securing patient data if a user is not actively engaged in the program. By default, the </w:t>
      </w:r>
      <w:r w:rsidR="00843A61">
        <w:t>Dentrix Enterprise</w:t>
      </w:r>
      <w:r w:rsidRPr="71EB9571">
        <w:t xml:space="preserve"> is set to automatically log off all users after 60 minutes of idle time. The warning message will </w:t>
      </w:r>
      <w:r w:rsidR="00843A61">
        <w:t>appear</w:t>
      </w:r>
      <w:r w:rsidRPr="71EB9571">
        <w:t xml:space="preserve"> 60 seconds prior </w:t>
      </w:r>
      <w:r w:rsidR="00843A61">
        <w:t xml:space="preserve">to </w:t>
      </w:r>
      <w:r w:rsidRPr="71EB9571">
        <w:t xml:space="preserve">the user </w:t>
      </w:r>
      <w:r w:rsidR="00843A61">
        <w:t xml:space="preserve">being logged </w:t>
      </w:r>
      <w:r w:rsidRPr="71EB9571">
        <w:t xml:space="preserve">out. </w:t>
      </w:r>
    </w:p>
    <w:p w14:paraId="13F94300" w14:textId="483129BF" w:rsidR="000426D9" w:rsidRPr="00843A61" w:rsidRDefault="00DB5737" w:rsidP="000426D9">
      <w:pPr>
        <w:pStyle w:val="BodyText"/>
        <w:ind w:left="540"/>
        <w:rPr>
          <w:b/>
          <w:bCs/>
          <w:i/>
          <w:iCs/>
        </w:rPr>
      </w:pPr>
      <w:r>
        <w:rPr>
          <w:noProof/>
        </w:rPr>
        <w:drawing>
          <wp:anchor distT="0" distB="0" distL="0" distR="91440" simplePos="0" relativeHeight="251871236" behindDoc="1" locked="0" layoutInCell="1" allowOverlap="1" wp14:anchorId="5BC166E9" wp14:editId="3090D473">
            <wp:simplePos x="0" y="0"/>
            <wp:positionH relativeFrom="column">
              <wp:posOffset>-457200</wp:posOffset>
            </wp:positionH>
            <wp:positionV relativeFrom="paragraph">
              <wp:posOffset>466725</wp:posOffset>
            </wp:positionV>
            <wp:extent cx="365856" cy="484632"/>
            <wp:effectExtent l="0" t="0" r="0" b="0"/>
            <wp:wrapTight wrapText="right">
              <wp:wrapPolygon edited="0">
                <wp:start x="0" y="0"/>
                <wp:lineTo x="0" y="20383"/>
                <wp:lineTo x="20250" y="20383"/>
                <wp:lineTo x="20250" y="0"/>
                <wp:lineTo x="0" y="0"/>
              </wp:wrapPolygon>
            </wp:wrapTight>
            <wp:docPr id="1996490298"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6321F8">
        <w:rPr>
          <w:noProof/>
        </w:rPr>
        <w:drawing>
          <wp:anchor distT="0" distB="0" distL="0" distR="91440" simplePos="0" relativeHeight="251865092" behindDoc="1" locked="0" layoutInCell="1" allowOverlap="1" wp14:anchorId="1BF21BF3" wp14:editId="2BA1C073">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871172268"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0426D9" w:rsidRPr="00843A61">
        <w:rPr>
          <w:b/>
          <w:bCs/>
          <w:i/>
          <w:iCs/>
        </w:rPr>
        <w:t>Operations Insight</w:t>
      </w:r>
      <w:r w:rsidR="000426D9" w:rsidRPr="00843A61">
        <w:rPr>
          <w:i/>
          <w:iCs/>
        </w:rPr>
        <w:t xml:space="preserve">: This setting is recommended to enhance the security of your system and </w:t>
      </w:r>
      <w:r w:rsidR="00843A61" w:rsidRPr="00843A61">
        <w:rPr>
          <w:i/>
          <w:iCs/>
        </w:rPr>
        <w:t xml:space="preserve">the </w:t>
      </w:r>
      <w:r w:rsidR="000426D9" w:rsidRPr="00843A61">
        <w:rPr>
          <w:i/>
          <w:iCs/>
        </w:rPr>
        <w:t xml:space="preserve">integrity of the audit reporting by reducing the potential for someone to leave a </w:t>
      </w:r>
      <w:r w:rsidR="00843A61" w:rsidRPr="00843A61">
        <w:rPr>
          <w:i/>
          <w:iCs/>
        </w:rPr>
        <w:t>computer</w:t>
      </w:r>
      <w:r w:rsidR="000426D9" w:rsidRPr="00843A61">
        <w:rPr>
          <w:i/>
          <w:iCs/>
        </w:rPr>
        <w:t xml:space="preserve"> unsecured.</w:t>
      </w:r>
    </w:p>
    <w:p w14:paraId="439D64AB" w14:textId="3242CFF8" w:rsidR="000426D9" w:rsidRPr="000426D9" w:rsidRDefault="000426D9" w:rsidP="000426D9">
      <w:pPr>
        <w:pStyle w:val="BodyText"/>
        <w:ind w:left="540"/>
        <w:rPr>
          <w:color w:val="00B050"/>
        </w:rPr>
      </w:pPr>
      <w:r w:rsidRPr="00454D84">
        <w:rPr>
          <w:color w:val="00B050"/>
        </w:rPr>
        <w:t>&lt;&lt; Insert Automatic Log Off security decision support/SOP/guideline here&gt;&gt;</w:t>
      </w:r>
    </w:p>
    <w:p w14:paraId="743D79A8" w14:textId="3A06CE8E" w:rsidR="009473AD" w:rsidRDefault="009473AD" w:rsidP="004F45B6">
      <w:pPr>
        <w:pStyle w:val="BodyText"/>
        <w:numPr>
          <w:ilvl w:val="0"/>
          <w:numId w:val="75"/>
        </w:numPr>
        <w:ind w:left="540"/>
      </w:pPr>
      <w:r w:rsidRPr="59EE75BD">
        <w:rPr>
          <w:b/>
          <w:bCs/>
        </w:rPr>
        <w:t xml:space="preserve">Clinical Note Naming </w:t>
      </w:r>
      <w:r w:rsidRPr="59EE75BD">
        <w:t xml:space="preserve">– Clinical notes are organized by date in a “tree” format. </w:t>
      </w:r>
      <w:r w:rsidR="00843A61">
        <w:t>Using</w:t>
      </w:r>
      <w:r w:rsidRPr="59EE75BD">
        <w:t xml:space="preserve"> </w:t>
      </w:r>
      <w:r w:rsidR="00843A61">
        <w:t>c</w:t>
      </w:r>
      <w:r w:rsidRPr="59EE75BD">
        <w:t xml:space="preserve">linical </w:t>
      </w:r>
      <w:r w:rsidR="00843A61">
        <w:t>n</w:t>
      </w:r>
      <w:r w:rsidRPr="59EE75BD">
        <w:t xml:space="preserve">ote </w:t>
      </w:r>
      <w:r w:rsidR="00843A61">
        <w:t>n</w:t>
      </w:r>
      <w:r w:rsidRPr="59EE75BD">
        <w:t xml:space="preserve">aming allows for easy identification of a note origin by placing the template category and clinical note template names next to the note stamp in the tree. </w:t>
      </w:r>
    </w:p>
    <w:p w14:paraId="06197E0D" w14:textId="15EA9730" w:rsidR="009473AD" w:rsidRPr="00024B83" w:rsidRDefault="006321F8" w:rsidP="00024B83">
      <w:pPr>
        <w:pStyle w:val="BodyText"/>
        <w:ind w:left="540"/>
      </w:pPr>
      <w:r>
        <w:rPr>
          <w:noProof/>
        </w:rPr>
        <w:drawing>
          <wp:anchor distT="0" distB="0" distL="0" distR="91440" simplePos="0" relativeHeight="251867140" behindDoc="1" locked="0" layoutInCell="1" allowOverlap="1" wp14:anchorId="63B6BFD6" wp14:editId="211B574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54075518"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0426D9">
        <w:rPr>
          <w:b/>
          <w:bCs/>
        </w:rPr>
        <w:t>Workflow Insight</w:t>
      </w:r>
      <w:r w:rsidR="000426D9">
        <w:t>:</w:t>
      </w:r>
      <w:r w:rsidR="009473AD" w:rsidRPr="00024B83">
        <w:t xml:space="preserve"> The </w:t>
      </w:r>
      <w:r w:rsidR="00843A61">
        <w:t>c</w:t>
      </w:r>
      <w:r w:rsidR="009473AD" w:rsidRPr="00024B83">
        <w:t xml:space="preserve">linical </w:t>
      </w:r>
      <w:r w:rsidR="00843A61">
        <w:t>n</w:t>
      </w:r>
      <w:r w:rsidR="009473AD" w:rsidRPr="00024B83">
        <w:t xml:space="preserve">ote </w:t>
      </w:r>
      <w:r w:rsidR="00843A61">
        <w:t>n</w:t>
      </w:r>
      <w:r w:rsidR="009473AD" w:rsidRPr="00024B83">
        <w:t>aming occur</w:t>
      </w:r>
      <w:r w:rsidR="00843A61">
        <w:t>s only</w:t>
      </w:r>
      <w:r w:rsidR="009473AD" w:rsidRPr="00024B83">
        <w:t xml:space="preserve"> when </w:t>
      </w:r>
      <w:r w:rsidR="00843A61">
        <w:t xml:space="preserve">a </w:t>
      </w:r>
      <w:r w:rsidR="009473AD" w:rsidRPr="00024B83">
        <w:t xml:space="preserve">clinical note </w:t>
      </w:r>
      <w:r w:rsidR="00843A61">
        <w:t>is created</w:t>
      </w:r>
      <w:r w:rsidR="009473AD" w:rsidRPr="00024B83">
        <w:t xml:space="preserve"> from a template and only appl</w:t>
      </w:r>
      <w:r w:rsidR="00843A61">
        <w:t>ies to</w:t>
      </w:r>
      <w:r w:rsidR="009473AD" w:rsidRPr="00024B83">
        <w:t xml:space="preserve"> the first template name. If </w:t>
      </w:r>
      <w:r w:rsidR="00843A61">
        <w:t xml:space="preserve">you start a </w:t>
      </w:r>
      <w:r w:rsidR="009473AD" w:rsidRPr="00024B83">
        <w:t xml:space="preserve">clinical note from </w:t>
      </w:r>
      <w:r w:rsidR="00843A61">
        <w:t xml:space="preserve">the </w:t>
      </w:r>
      <w:r w:rsidR="009473AD" w:rsidRPr="00843A61">
        <w:rPr>
          <w:b/>
          <w:bCs/>
        </w:rPr>
        <w:t xml:space="preserve">Medical History </w:t>
      </w:r>
      <w:r w:rsidR="00843A61" w:rsidRPr="00843A61">
        <w:rPr>
          <w:b/>
          <w:bCs/>
        </w:rPr>
        <w:t>R</w:t>
      </w:r>
      <w:r w:rsidR="009473AD" w:rsidRPr="00843A61">
        <w:rPr>
          <w:b/>
          <w:bCs/>
        </w:rPr>
        <w:t>eview</w:t>
      </w:r>
      <w:r w:rsidR="00843A61">
        <w:t xml:space="preserve"> dialog box</w:t>
      </w:r>
      <w:r w:rsidR="009473AD" w:rsidRPr="00024B83">
        <w:t xml:space="preserve"> or </w:t>
      </w:r>
      <w:r w:rsidR="00843A61">
        <w:t xml:space="preserve">by clicking the </w:t>
      </w:r>
      <w:r w:rsidR="009473AD" w:rsidRPr="00843A61">
        <w:rPr>
          <w:b/>
          <w:bCs/>
        </w:rPr>
        <w:t>New Clinical Note</w:t>
      </w:r>
      <w:r w:rsidR="00843A61">
        <w:t xml:space="preserve"> button</w:t>
      </w:r>
      <w:r w:rsidR="009473AD" w:rsidRPr="00024B83">
        <w:t xml:space="preserve">, the </w:t>
      </w:r>
      <w:r w:rsidR="00843A61">
        <w:t>c</w:t>
      </w:r>
      <w:r w:rsidR="009473AD" w:rsidRPr="00024B83">
        <w:t xml:space="preserve">linical </w:t>
      </w:r>
      <w:r w:rsidR="00843A61">
        <w:t>n</w:t>
      </w:r>
      <w:r w:rsidR="009473AD" w:rsidRPr="00024B83">
        <w:t xml:space="preserve">ote </w:t>
      </w:r>
      <w:r w:rsidR="00843A61">
        <w:t>n</w:t>
      </w:r>
      <w:r w:rsidR="009473AD" w:rsidRPr="00024B83">
        <w:t xml:space="preserve">aming </w:t>
      </w:r>
      <w:r w:rsidR="00843A61">
        <w:t>does</w:t>
      </w:r>
      <w:r w:rsidR="009473AD" w:rsidRPr="00024B83">
        <w:t xml:space="preserve"> not apply to that note.</w:t>
      </w:r>
    </w:p>
    <w:p w14:paraId="45D61FDE" w14:textId="1376A342" w:rsidR="001D7AFC" w:rsidRPr="0020718F" w:rsidRDefault="001D7AFC" w:rsidP="004F45B6">
      <w:pPr>
        <w:pStyle w:val="BodyText"/>
        <w:keepNext/>
        <w:keepLines/>
        <w:numPr>
          <w:ilvl w:val="0"/>
          <w:numId w:val="77"/>
        </w:numPr>
        <w:ind w:left="540"/>
        <w:rPr>
          <w:b/>
          <w:bCs/>
        </w:rPr>
      </w:pPr>
      <w:r w:rsidRPr="59EE75BD">
        <w:rPr>
          <w:b/>
          <w:bCs/>
        </w:rPr>
        <w:lastRenderedPageBreak/>
        <w:t xml:space="preserve">Copy to Clinical Notes </w:t>
      </w:r>
      <w:r w:rsidRPr="59EE75BD">
        <w:t xml:space="preserve">– These options determine the information that will automatically </w:t>
      </w:r>
      <w:r w:rsidR="00843A61">
        <w:t xml:space="preserve">be </w:t>
      </w:r>
      <w:r w:rsidRPr="59EE75BD">
        <w:t>cop</w:t>
      </w:r>
      <w:r w:rsidR="00843A61">
        <w:t>ied</w:t>
      </w:r>
      <w:r w:rsidRPr="59EE75BD">
        <w:t xml:space="preserve"> to </w:t>
      </w:r>
      <w:r w:rsidR="00843A61">
        <w:t>a</w:t>
      </w:r>
      <w:r w:rsidRPr="59EE75BD">
        <w:t xml:space="preserve"> clinical note. </w:t>
      </w:r>
    </w:p>
    <w:p w14:paraId="4291659C" w14:textId="61C7DD62" w:rsidR="001D7AFC" w:rsidRPr="00941C5B" w:rsidRDefault="001D7AFC" w:rsidP="004F45B6">
      <w:pPr>
        <w:pStyle w:val="BodyText"/>
        <w:keepNext/>
        <w:keepLines/>
        <w:numPr>
          <w:ilvl w:val="1"/>
          <w:numId w:val="78"/>
        </w:numPr>
        <w:ind w:left="1080"/>
      </w:pPr>
      <w:r w:rsidRPr="71EB9571">
        <w:rPr>
          <w:b/>
          <w:bCs/>
        </w:rPr>
        <w:t xml:space="preserve">Patient Health Assessment (Vitals) </w:t>
      </w:r>
      <w:r>
        <w:rPr>
          <w:b/>
          <w:bCs/>
        </w:rPr>
        <w:t>–</w:t>
      </w:r>
      <w:r w:rsidRPr="71EB9571">
        <w:rPr>
          <w:b/>
          <w:bCs/>
        </w:rPr>
        <w:t xml:space="preserve"> </w:t>
      </w:r>
      <w:r w:rsidRPr="71EB9571">
        <w:t xml:space="preserve">The summary of </w:t>
      </w:r>
      <w:r w:rsidR="00843A61">
        <w:t>a</w:t>
      </w:r>
      <w:r w:rsidRPr="71EB9571">
        <w:t xml:space="preserve"> </w:t>
      </w:r>
      <w:r w:rsidR="00843A61">
        <w:t>h</w:t>
      </w:r>
      <w:r w:rsidRPr="71EB9571">
        <w:t xml:space="preserve">ealth </w:t>
      </w:r>
      <w:r w:rsidR="00843A61">
        <w:t>a</w:t>
      </w:r>
      <w:r w:rsidRPr="71EB9571">
        <w:t>ssessment</w:t>
      </w:r>
      <w:r>
        <w:t xml:space="preserve">. </w:t>
      </w:r>
      <w:r w:rsidRPr="71EB9571">
        <w:t xml:space="preserve">The full assessment data is outlined even if some of the information is not entered.  </w:t>
      </w:r>
    </w:p>
    <w:p w14:paraId="5EF3E2F8" w14:textId="52A5BF35" w:rsidR="001D7AFC" w:rsidRPr="00941C5B" w:rsidRDefault="001D7AFC" w:rsidP="004F45B6">
      <w:pPr>
        <w:pStyle w:val="BodyText"/>
        <w:numPr>
          <w:ilvl w:val="1"/>
          <w:numId w:val="78"/>
        </w:numPr>
        <w:ind w:left="1080"/>
      </w:pPr>
      <w:r w:rsidRPr="71EB9571">
        <w:rPr>
          <w:b/>
          <w:bCs/>
        </w:rPr>
        <w:t xml:space="preserve">Prescriptions – </w:t>
      </w:r>
      <w:r w:rsidR="00843A61">
        <w:t>The d</w:t>
      </w:r>
      <w:r w:rsidRPr="71EB9571">
        <w:t>etails (name, dosage, dispense, refill count, provider, clinic, sig</w:t>
      </w:r>
      <w:r w:rsidR="00843A61">
        <w:t>,</w:t>
      </w:r>
      <w:r w:rsidRPr="71EB9571">
        <w:t xml:space="preserve"> and notes) </w:t>
      </w:r>
      <w:r w:rsidR="00843A61">
        <w:t>of a</w:t>
      </w:r>
      <w:r w:rsidRPr="71EB9571">
        <w:t xml:space="preserve"> prescription.</w:t>
      </w:r>
    </w:p>
    <w:p w14:paraId="4D572101" w14:textId="76E8A81D" w:rsidR="001D7AFC" w:rsidRPr="0020718F" w:rsidRDefault="001D7AFC" w:rsidP="004F45B6">
      <w:pPr>
        <w:pStyle w:val="BodyText"/>
        <w:numPr>
          <w:ilvl w:val="1"/>
          <w:numId w:val="78"/>
        </w:numPr>
        <w:ind w:left="1080"/>
      </w:pPr>
      <w:r w:rsidRPr="71EB9571">
        <w:rPr>
          <w:b/>
          <w:bCs/>
        </w:rPr>
        <w:t xml:space="preserve">Medical Alerts – </w:t>
      </w:r>
      <w:r w:rsidRPr="71EB9571">
        <w:t>Any changes made to a patient’s medical alerts</w:t>
      </w:r>
      <w:r w:rsidR="00843A61">
        <w:t>,</w:t>
      </w:r>
      <w:r w:rsidRPr="71EB9571">
        <w:t xml:space="preserve"> includ</w:t>
      </w:r>
      <w:r w:rsidR="00843A61">
        <w:t>ing</w:t>
      </w:r>
      <w:r w:rsidRPr="71EB9571">
        <w:t xml:space="preserve"> the alert, type of change, origi</w:t>
      </w:r>
      <w:r w:rsidR="00843A61">
        <w:t>n</w:t>
      </w:r>
      <w:r w:rsidRPr="71EB9571">
        <w:t xml:space="preserve"> date, and notes.  </w:t>
      </w:r>
    </w:p>
    <w:p w14:paraId="229A0632" w14:textId="06C4FD05" w:rsidR="001D7AFC" w:rsidRDefault="00DB5737" w:rsidP="001D7AFC">
      <w:pPr>
        <w:pStyle w:val="BodyText"/>
        <w:ind w:left="1080"/>
        <w:rPr>
          <w:i/>
          <w:iCs/>
        </w:rPr>
      </w:pPr>
      <w:r>
        <w:rPr>
          <w:noProof/>
        </w:rPr>
        <w:drawing>
          <wp:anchor distT="0" distB="0" distL="0" distR="91440" simplePos="0" relativeHeight="251875332" behindDoc="1" locked="0" layoutInCell="1" allowOverlap="1" wp14:anchorId="61108FDD" wp14:editId="19890FCB">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47579051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D7AFC" w:rsidRPr="003046E4">
        <w:rPr>
          <w:b/>
          <w:bCs/>
          <w:i/>
          <w:iCs/>
        </w:rPr>
        <w:t>Workflow Insight</w:t>
      </w:r>
      <w:r w:rsidR="001D7AFC" w:rsidRPr="003046E4">
        <w:rPr>
          <w:i/>
          <w:iCs/>
        </w:rPr>
        <w:t xml:space="preserve">: </w:t>
      </w:r>
      <w:r w:rsidR="003046E4" w:rsidRPr="003046E4">
        <w:rPr>
          <w:i/>
          <w:iCs/>
        </w:rPr>
        <w:t xml:space="preserve">The summary of a </w:t>
      </w:r>
      <w:r w:rsidR="001D7AFC" w:rsidRPr="003046E4">
        <w:rPr>
          <w:i/>
          <w:iCs/>
        </w:rPr>
        <w:t xml:space="preserve">medical history review is automatically copied to </w:t>
      </w:r>
      <w:r w:rsidR="003046E4" w:rsidRPr="003046E4">
        <w:rPr>
          <w:i/>
          <w:iCs/>
        </w:rPr>
        <w:t>a</w:t>
      </w:r>
      <w:r w:rsidR="001D7AFC" w:rsidRPr="003046E4">
        <w:rPr>
          <w:i/>
          <w:iCs/>
        </w:rPr>
        <w:t xml:space="preserve"> clinical note</w:t>
      </w:r>
      <w:r w:rsidR="003046E4" w:rsidRPr="003046E4">
        <w:rPr>
          <w:i/>
          <w:iCs/>
        </w:rPr>
        <w:t xml:space="preserve"> and</w:t>
      </w:r>
      <w:r w:rsidR="001D7AFC" w:rsidRPr="003046E4">
        <w:rPr>
          <w:i/>
          <w:iCs/>
        </w:rPr>
        <w:t xml:space="preserve"> </w:t>
      </w:r>
      <w:r w:rsidR="003046E4" w:rsidRPr="003046E4">
        <w:rPr>
          <w:i/>
          <w:iCs/>
        </w:rPr>
        <w:t>includes</w:t>
      </w:r>
      <w:r w:rsidR="001D7AFC" w:rsidRPr="003046E4">
        <w:rPr>
          <w:i/>
          <w:iCs/>
        </w:rPr>
        <w:t xml:space="preserve"> the full list of active medical alerts </w:t>
      </w:r>
      <w:r w:rsidR="00843A61" w:rsidRPr="003046E4">
        <w:rPr>
          <w:i/>
          <w:iCs/>
        </w:rPr>
        <w:t xml:space="preserve">that are </w:t>
      </w:r>
      <w:r w:rsidR="001D7AFC" w:rsidRPr="003046E4">
        <w:rPr>
          <w:i/>
          <w:iCs/>
        </w:rPr>
        <w:t xml:space="preserve">recorded for a patient and a summary </w:t>
      </w:r>
      <w:r w:rsidR="003046E4" w:rsidRPr="003046E4">
        <w:rPr>
          <w:i/>
          <w:iCs/>
        </w:rPr>
        <w:t>of</w:t>
      </w:r>
      <w:r w:rsidR="001D7AFC" w:rsidRPr="003046E4">
        <w:rPr>
          <w:i/>
          <w:iCs/>
        </w:rPr>
        <w:t xml:space="preserve"> any changes </w:t>
      </w:r>
      <w:r w:rsidR="003046E4" w:rsidRPr="003046E4">
        <w:rPr>
          <w:i/>
          <w:iCs/>
        </w:rPr>
        <w:t xml:space="preserve">that were </w:t>
      </w:r>
      <w:r w:rsidR="001D7AFC" w:rsidRPr="003046E4">
        <w:rPr>
          <w:i/>
          <w:iCs/>
        </w:rPr>
        <w:t>made to medications, alerts, and/or allergies during the review.</w:t>
      </w:r>
    </w:p>
    <w:p w14:paraId="5DD1731B" w14:textId="36BB3164" w:rsidR="00DB1E2E" w:rsidRPr="000365EC" w:rsidRDefault="00DB1E2E" w:rsidP="00DB1E2E">
      <w:pPr>
        <w:pStyle w:val="BodyText"/>
        <w:ind w:left="1080"/>
        <w:rPr>
          <w:i/>
          <w:iCs/>
        </w:rPr>
      </w:pPr>
      <w:r w:rsidRPr="000365EC">
        <w:rPr>
          <w:b/>
          <w:bCs/>
          <w:i/>
          <w:iCs/>
          <w:noProof/>
        </w:rPr>
        <w:drawing>
          <wp:anchor distT="0" distB="0" distL="0" distR="91440" simplePos="0" relativeHeight="252085252" behindDoc="1" locked="0" layoutInCell="1" allowOverlap="1" wp14:anchorId="4739ACCC" wp14:editId="11CFE869">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784356997"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w:t>
      </w:r>
      <w:r w:rsidRPr="000365EC">
        <w:rPr>
          <w:i/>
          <w:iCs/>
        </w:rPr>
        <w:t xml:space="preserve">: </w:t>
      </w:r>
      <w:r w:rsidR="00752ED8" w:rsidRPr="000365EC">
        <w:rPr>
          <w:i/>
          <w:iCs/>
        </w:rPr>
        <w:t>In version 11.0.20.745 (Component Update 4), the Medical Alert Review can be entered through the More Information window to start today’s clinical note</w:t>
      </w:r>
      <w:r w:rsidRPr="000365EC">
        <w:rPr>
          <w:i/>
          <w:iCs/>
        </w:rPr>
        <w:t>.</w:t>
      </w:r>
    </w:p>
    <w:p w14:paraId="59CAA80A" w14:textId="77777777" w:rsidR="00DB1E2E" w:rsidRPr="003046E4" w:rsidRDefault="00DB1E2E" w:rsidP="00624811">
      <w:pPr>
        <w:pStyle w:val="BodyText"/>
        <w:rPr>
          <w:i/>
          <w:iCs/>
        </w:rPr>
      </w:pPr>
    </w:p>
    <w:p w14:paraId="74FA1D52" w14:textId="2D6C81C5" w:rsidR="001D7AFC" w:rsidRPr="001D7AFC" w:rsidRDefault="00DB5737" w:rsidP="001D7AFC">
      <w:pPr>
        <w:pStyle w:val="BodyText"/>
        <w:ind w:left="720"/>
      </w:pPr>
      <w:r>
        <w:rPr>
          <w:noProof/>
        </w:rPr>
        <w:drawing>
          <wp:anchor distT="0" distB="0" distL="0" distR="91440" simplePos="0" relativeHeight="251873284" behindDoc="1" locked="0" layoutInCell="1" allowOverlap="1" wp14:anchorId="449A431D" wp14:editId="64FF4898">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627388894"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1D7AFC" w:rsidRPr="00454D84">
        <w:rPr>
          <w:color w:val="00B050"/>
        </w:rPr>
        <w:t>&lt;&lt;Insert copy to clinical notes SOP/guideline here&gt;&gt;</w:t>
      </w:r>
    </w:p>
    <w:p w14:paraId="1B056B3A" w14:textId="7EDC2F62" w:rsidR="009473AD" w:rsidRPr="001F38E5" w:rsidRDefault="009473AD" w:rsidP="004F45B6">
      <w:pPr>
        <w:pStyle w:val="BodyText"/>
        <w:numPr>
          <w:ilvl w:val="0"/>
          <w:numId w:val="75"/>
        </w:numPr>
        <w:ind w:left="540"/>
        <w:rPr>
          <w:b/>
          <w:bCs/>
        </w:rPr>
      </w:pPr>
      <w:r w:rsidRPr="59EE75BD">
        <w:rPr>
          <w:b/>
          <w:bCs/>
        </w:rPr>
        <w:t xml:space="preserve">Close Claim – </w:t>
      </w:r>
      <w:r w:rsidRPr="59EE75BD">
        <w:t>The Close Claim feature allows a claim with impending insurance payments to remain open for tracking and additional payments.</w:t>
      </w:r>
    </w:p>
    <w:p w14:paraId="39EF53E2" w14:textId="35294061" w:rsidR="009473AD" w:rsidRDefault="009473AD" w:rsidP="004F45B6">
      <w:pPr>
        <w:pStyle w:val="BodyText"/>
        <w:numPr>
          <w:ilvl w:val="1"/>
          <w:numId w:val="75"/>
        </w:numPr>
        <w:ind w:left="1080"/>
      </w:pPr>
      <w:r w:rsidRPr="59EE75BD">
        <w:rPr>
          <w:b/>
          <w:bCs/>
        </w:rPr>
        <w:t>Claim Must Be Zero to Close</w:t>
      </w:r>
      <w:r w:rsidR="003046E4" w:rsidRPr="003046E4">
        <w:rPr>
          <w:b/>
          <w:bCs/>
        </w:rPr>
        <w:t xml:space="preserve"> </w:t>
      </w:r>
      <w:r w:rsidR="003046E4">
        <w:rPr>
          <w:b/>
          <w:bCs/>
        </w:rPr>
        <w:t>–</w:t>
      </w:r>
      <w:r w:rsidRPr="003046E4">
        <w:rPr>
          <w:b/>
          <w:bCs/>
        </w:rPr>
        <w:t xml:space="preserve"> </w:t>
      </w:r>
      <w:r w:rsidR="003046E4">
        <w:t>I</w:t>
      </w:r>
      <w:r w:rsidRPr="59EE75BD">
        <w:t xml:space="preserve">f you enter an insurance payment that is more or less than what was expected from insurance, and you do not enter an adjustment to offset the difference, Dentrix Enterprise does not automatically mark the corresponding claim as being closed (although the claim's status still changes to Received). In this case, you would have to manually mark the claim as being closed by using the </w:t>
      </w:r>
      <w:r w:rsidRPr="003046E4">
        <w:rPr>
          <w:b/>
          <w:bCs/>
        </w:rPr>
        <w:t>Close Claim</w:t>
      </w:r>
      <w:r w:rsidRPr="59EE75BD">
        <w:t xml:space="preserve"> menu option and choosing whether to credit or debit the patient's balance. Conversely, if the insurance payment is not the same as what was expected from insurance, once you enter an offsetting adjustment, Dentrix Enterprise does automatically mark the corresponding claim as being closed.</w:t>
      </w:r>
    </w:p>
    <w:p w14:paraId="2D71C757" w14:textId="47793A0B" w:rsidR="009473AD" w:rsidRDefault="009473AD" w:rsidP="004F45B6">
      <w:pPr>
        <w:pStyle w:val="BodyText"/>
        <w:numPr>
          <w:ilvl w:val="1"/>
          <w:numId w:val="75"/>
        </w:numPr>
        <w:ind w:left="1080"/>
        <w:rPr>
          <w:b/>
          <w:bCs/>
        </w:rPr>
      </w:pPr>
      <w:r w:rsidRPr="59EE75BD">
        <w:rPr>
          <w:b/>
          <w:bCs/>
        </w:rPr>
        <w:t>Re-calculate Insurance Estimate</w:t>
      </w:r>
      <w:r w:rsidRPr="003046E4">
        <w:t xml:space="preserve"> </w:t>
      </w:r>
      <w:r w:rsidR="003046E4">
        <w:t xml:space="preserve">– </w:t>
      </w:r>
      <w:r w:rsidRPr="59EE75BD">
        <w:t>Dentrix Enterprise will recalculate an insurance estimate if changes are made to the corresponding insurance plan's coverage table or payment table.</w:t>
      </w:r>
    </w:p>
    <w:p w14:paraId="00F91DF7" w14:textId="6727EBBF" w:rsidR="009473AD" w:rsidRDefault="009473AD" w:rsidP="004F45B6">
      <w:pPr>
        <w:pStyle w:val="BodyText"/>
        <w:numPr>
          <w:ilvl w:val="1"/>
          <w:numId w:val="75"/>
        </w:numPr>
        <w:ind w:left="1080"/>
      </w:pPr>
      <w:r w:rsidRPr="59EE75BD">
        <w:rPr>
          <w:b/>
          <w:bCs/>
        </w:rPr>
        <w:t xml:space="preserve">Always Calculate Insurance Override </w:t>
      </w:r>
      <w:r w:rsidR="003046E4">
        <w:rPr>
          <w:b/>
          <w:bCs/>
        </w:rPr>
        <w:t>–</w:t>
      </w:r>
      <w:r w:rsidRPr="59EE75BD">
        <w:rPr>
          <w:b/>
          <w:bCs/>
        </w:rPr>
        <w:t xml:space="preserve"> </w:t>
      </w:r>
      <w:r w:rsidRPr="59EE75BD">
        <w:t xml:space="preserve">With this check box selected, when you post a completed procedure, in the </w:t>
      </w:r>
      <w:r w:rsidRPr="003046E4">
        <w:rPr>
          <w:b/>
          <w:bCs/>
        </w:rPr>
        <w:t>Enter Procedure(s)</w:t>
      </w:r>
      <w:r w:rsidRPr="59EE75BD">
        <w:t xml:space="preserve"> dialog box, Dentrix Enterprise does the following:</w:t>
      </w:r>
    </w:p>
    <w:p w14:paraId="6FFF3989" w14:textId="2A4F5897" w:rsidR="009473AD" w:rsidRDefault="009473AD" w:rsidP="004F45B6">
      <w:pPr>
        <w:pStyle w:val="BodyText"/>
        <w:numPr>
          <w:ilvl w:val="2"/>
          <w:numId w:val="76"/>
        </w:numPr>
        <w:ind w:left="1620"/>
      </w:pPr>
      <w:r w:rsidRPr="3113E3E3">
        <w:t xml:space="preserve">Displays the </w:t>
      </w:r>
      <w:r w:rsidRPr="003046E4">
        <w:rPr>
          <w:b/>
          <w:bCs/>
        </w:rPr>
        <w:t>Override Ins. Estimate</w:t>
      </w:r>
      <w:r w:rsidRPr="3113E3E3">
        <w:t xml:space="preserve"> options.</w:t>
      </w:r>
    </w:p>
    <w:p w14:paraId="2D4F2E70" w14:textId="018BF2D4" w:rsidR="009473AD" w:rsidRDefault="009473AD" w:rsidP="004F45B6">
      <w:pPr>
        <w:pStyle w:val="BodyText"/>
        <w:numPr>
          <w:ilvl w:val="2"/>
          <w:numId w:val="76"/>
        </w:numPr>
        <w:ind w:left="1620"/>
      </w:pPr>
      <w:r w:rsidRPr="3113E3E3">
        <w:t>Automatically selects the checkboxes to override the primary insurance estimate and the secondary insurance estimate according to the patient's insurance coverage.</w:t>
      </w:r>
    </w:p>
    <w:p w14:paraId="51B552D5" w14:textId="53116131" w:rsidR="009473AD" w:rsidRDefault="009473AD" w:rsidP="004F45B6">
      <w:pPr>
        <w:pStyle w:val="BodyText"/>
        <w:numPr>
          <w:ilvl w:val="2"/>
          <w:numId w:val="76"/>
        </w:numPr>
        <w:ind w:left="1620"/>
        <w:rPr>
          <w:i/>
          <w:iCs/>
          <w:sz w:val="18"/>
          <w:szCs w:val="18"/>
        </w:rPr>
      </w:pPr>
      <w:r w:rsidRPr="3113E3E3">
        <w:t>Inserts the estimated insurance portion in</w:t>
      </w:r>
      <w:r w:rsidR="003046E4">
        <w:t>to</w:t>
      </w:r>
      <w:r w:rsidRPr="3113E3E3">
        <w:t xml:space="preserve"> the </w:t>
      </w:r>
      <w:r w:rsidR="003046E4">
        <w:t>applicable</w:t>
      </w:r>
      <w:r w:rsidRPr="3113E3E3">
        <w:t xml:space="preserve"> boxes.</w:t>
      </w:r>
    </w:p>
    <w:p w14:paraId="6E51CE4A" w14:textId="3F12D46B" w:rsidR="009473AD" w:rsidRPr="003046E4" w:rsidRDefault="00DB5737" w:rsidP="001D7AFC">
      <w:pPr>
        <w:pStyle w:val="BodyText"/>
        <w:ind w:left="1260"/>
        <w:rPr>
          <w:i/>
          <w:iCs/>
        </w:rPr>
      </w:pPr>
      <w:r>
        <w:rPr>
          <w:noProof/>
        </w:rPr>
        <w:drawing>
          <wp:anchor distT="0" distB="0" distL="0" distR="91440" simplePos="0" relativeHeight="251877380" behindDoc="1" locked="0" layoutInCell="1" allowOverlap="1" wp14:anchorId="506BF3BF" wp14:editId="30DA48DC">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6782453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3046E4">
        <w:rPr>
          <w:b/>
          <w:bCs/>
          <w:i/>
          <w:iCs/>
        </w:rPr>
        <w:t xml:space="preserve">Operations </w:t>
      </w:r>
      <w:r w:rsidR="003046E4" w:rsidRPr="003046E4">
        <w:rPr>
          <w:b/>
          <w:bCs/>
          <w:i/>
          <w:iCs/>
        </w:rPr>
        <w:t>I</w:t>
      </w:r>
      <w:r w:rsidR="009473AD" w:rsidRPr="003046E4">
        <w:rPr>
          <w:b/>
          <w:bCs/>
          <w:i/>
          <w:iCs/>
        </w:rPr>
        <w:t>nsight</w:t>
      </w:r>
      <w:r w:rsidR="003046E4" w:rsidRPr="003046E4">
        <w:rPr>
          <w:i/>
          <w:iCs/>
        </w:rPr>
        <w:t>:</w:t>
      </w:r>
      <w:r w:rsidR="009473AD" w:rsidRPr="003046E4">
        <w:rPr>
          <w:i/>
          <w:iCs/>
        </w:rPr>
        <w:t xml:space="preserve"> Review insurance setup </w:t>
      </w:r>
      <w:r w:rsidR="003046E4" w:rsidRPr="003046E4">
        <w:rPr>
          <w:i/>
          <w:iCs/>
        </w:rPr>
        <w:t>as part of</w:t>
      </w:r>
      <w:r w:rsidR="009473AD" w:rsidRPr="003046E4">
        <w:rPr>
          <w:i/>
          <w:iCs/>
        </w:rPr>
        <w:t xml:space="preserve"> revenue cycle management to determine the full process for insurance estimates and plan settings.</w:t>
      </w:r>
    </w:p>
    <w:p w14:paraId="41717EB3" w14:textId="28BCEB1D" w:rsidR="009473AD" w:rsidRDefault="009473AD" w:rsidP="004F45B6">
      <w:pPr>
        <w:pStyle w:val="BodyText"/>
        <w:numPr>
          <w:ilvl w:val="0"/>
          <w:numId w:val="77"/>
        </w:numPr>
        <w:ind w:left="540"/>
        <w:rPr>
          <w:b/>
          <w:bCs/>
        </w:rPr>
      </w:pPr>
      <w:r w:rsidRPr="71EB9571">
        <w:rPr>
          <w:b/>
          <w:bCs/>
        </w:rPr>
        <w:t>Family File Settings</w:t>
      </w:r>
      <w:r w:rsidR="005944F1">
        <w:t>:</w:t>
      </w:r>
      <w:r w:rsidRPr="71EB9571">
        <w:t xml:space="preserve"> </w:t>
      </w:r>
    </w:p>
    <w:p w14:paraId="3A1663CE" w14:textId="40EEB587" w:rsidR="009473AD" w:rsidRDefault="009473AD" w:rsidP="004F45B6">
      <w:pPr>
        <w:pStyle w:val="BodyText"/>
        <w:numPr>
          <w:ilvl w:val="1"/>
          <w:numId w:val="79"/>
        </w:numPr>
        <w:ind w:left="1080"/>
        <w:rPr>
          <w:rFonts w:eastAsiaTheme="minorEastAsia"/>
        </w:rPr>
      </w:pPr>
      <w:r w:rsidRPr="003046E4">
        <w:rPr>
          <w:b/>
          <w:bCs/>
        </w:rPr>
        <w:t>Require Patient Email Address</w:t>
      </w:r>
      <w:r w:rsidRPr="2A71C1FC">
        <w:t xml:space="preserve"> </w:t>
      </w:r>
      <w:r w:rsidR="003046E4">
        <w:t>–</w:t>
      </w:r>
      <w:r w:rsidRPr="2A71C1FC">
        <w:t xml:space="preserve"> Select this checkbox to require that an email address be entered </w:t>
      </w:r>
      <w:r w:rsidRPr="2A71C1FC">
        <w:rPr>
          <w:rFonts w:eastAsiaTheme="minorEastAsia"/>
        </w:rPr>
        <w:t xml:space="preserve">for each patient in Family File. If a patient declines to provide an email address, that can be specified instead of entering an email address.  </w:t>
      </w:r>
    </w:p>
    <w:p w14:paraId="789B7F27" w14:textId="0C70C632" w:rsidR="009473AD" w:rsidRDefault="009473AD" w:rsidP="004F45B6">
      <w:pPr>
        <w:pStyle w:val="BodyText"/>
        <w:numPr>
          <w:ilvl w:val="1"/>
          <w:numId w:val="79"/>
        </w:numPr>
        <w:ind w:left="1080"/>
        <w:rPr>
          <w:rFonts w:eastAsiaTheme="minorEastAsia"/>
        </w:rPr>
      </w:pPr>
      <w:r w:rsidRPr="003046E4">
        <w:rPr>
          <w:rFonts w:eastAsiaTheme="minorEastAsia"/>
          <w:b/>
          <w:bCs/>
        </w:rPr>
        <w:lastRenderedPageBreak/>
        <w:t>Require Referral for New Patients</w:t>
      </w:r>
      <w:r w:rsidRPr="59EE75BD">
        <w:rPr>
          <w:rFonts w:eastAsiaTheme="minorEastAsia"/>
        </w:rPr>
        <w:t xml:space="preserve"> </w:t>
      </w:r>
      <w:r w:rsidR="003046E4">
        <w:rPr>
          <w:rFonts w:eastAsiaTheme="minorEastAsia"/>
        </w:rPr>
        <w:t>–</w:t>
      </w:r>
      <w:r w:rsidRPr="59EE75BD">
        <w:rPr>
          <w:rFonts w:eastAsiaTheme="minorEastAsia"/>
        </w:rPr>
        <w:t xml:space="preserve"> Select this checkbox to require that a referral source be selected when a new patient record is created in Family File.</w:t>
      </w:r>
    </w:p>
    <w:p w14:paraId="60EFEE64" w14:textId="6B349EDE" w:rsidR="00854CD3" w:rsidRPr="000365EC" w:rsidRDefault="00854CD3" w:rsidP="00854CD3">
      <w:pPr>
        <w:pStyle w:val="BodyText"/>
        <w:ind w:left="547"/>
        <w:rPr>
          <w:i/>
          <w:iCs/>
        </w:rPr>
      </w:pPr>
      <w:r w:rsidRPr="000365EC">
        <w:rPr>
          <w:b/>
          <w:bCs/>
          <w:i/>
          <w:iCs/>
          <w:noProof/>
        </w:rPr>
        <w:drawing>
          <wp:anchor distT="0" distB="0" distL="0" distR="91440" simplePos="0" relativeHeight="252087300" behindDoc="1" locked="0" layoutInCell="1" allowOverlap="1" wp14:anchorId="19E66487" wp14:editId="36AB5DF1">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1608649476"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w:t>
      </w:r>
      <w:r w:rsidRPr="000365EC">
        <w:rPr>
          <w:i/>
          <w:iCs/>
        </w:rPr>
        <w:t xml:space="preserve">: </w:t>
      </w:r>
      <w:r w:rsidR="00076745" w:rsidRPr="000365EC">
        <w:rPr>
          <w:i/>
          <w:iCs/>
        </w:rPr>
        <w:t xml:space="preserve">In version 11.0.20.1047 (Component Update 7), specific Family File settings can now be required for all clinics in Dentrix Enterprise. Prior to this version, the required fields for referral and email address were the only options available to the clinic (outside of </w:t>
      </w:r>
      <w:r w:rsidR="00711F3A" w:rsidRPr="000365EC">
        <w:rPr>
          <w:i/>
          <w:iCs/>
        </w:rPr>
        <w:t>the g</w:t>
      </w:r>
      <w:r w:rsidR="00076745" w:rsidRPr="000365EC">
        <w:rPr>
          <w:i/>
          <w:iCs/>
        </w:rPr>
        <w:t xml:space="preserve">lobal </w:t>
      </w:r>
      <w:r w:rsidR="00711F3A" w:rsidRPr="000365EC">
        <w:rPr>
          <w:i/>
          <w:iCs/>
        </w:rPr>
        <w:t>s</w:t>
      </w:r>
      <w:r w:rsidR="00076745" w:rsidRPr="000365EC">
        <w:rPr>
          <w:i/>
          <w:iCs/>
        </w:rPr>
        <w:t>ettings).</w:t>
      </w:r>
    </w:p>
    <w:p w14:paraId="1BC35EDD" w14:textId="67D5E59D" w:rsidR="003046E4" w:rsidRDefault="001D7AFC" w:rsidP="004F45B6">
      <w:pPr>
        <w:pStyle w:val="BodyText"/>
        <w:keepNext/>
        <w:keepLines/>
        <w:numPr>
          <w:ilvl w:val="0"/>
          <w:numId w:val="79"/>
        </w:numPr>
        <w:ind w:left="547"/>
      </w:pPr>
      <w:r w:rsidRPr="71EB9571">
        <w:rPr>
          <w:b/>
          <w:bCs/>
        </w:rPr>
        <w:t>Patient Education</w:t>
      </w:r>
      <w:r w:rsidR="003046E4">
        <w:t>:</w:t>
      </w:r>
    </w:p>
    <w:p w14:paraId="32CD19FE" w14:textId="22DDD993" w:rsidR="001D7AFC" w:rsidRDefault="003046E4" w:rsidP="004F45B6">
      <w:pPr>
        <w:pStyle w:val="BodyText"/>
        <w:numPr>
          <w:ilvl w:val="1"/>
          <w:numId w:val="79"/>
        </w:numPr>
        <w:ind w:left="1080"/>
      </w:pPr>
      <w:r w:rsidRPr="003046E4">
        <w:rPr>
          <w:b/>
          <w:bCs/>
        </w:rPr>
        <w:t>Use Spanish patient education if patient’s preferred language is Spanish</w:t>
      </w:r>
      <w:r>
        <w:t xml:space="preserve"> – With this checkbox selected, i</w:t>
      </w:r>
      <w:r w:rsidR="001D7AFC" w:rsidRPr="71EB9571">
        <w:t xml:space="preserve">f </w:t>
      </w:r>
      <w:r w:rsidR="001D7AFC" w:rsidRPr="71EB9571">
        <w:rPr>
          <w:rFonts w:eastAsiaTheme="minorEastAsia"/>
        </w:rPr>
        <w:t xml:space="preserve">a patient's language preference is Spanish (in the </w:t>
      </w:r>
      <w:r w:rsidR="001D7AFC" w:rsidRPr="003046E4">
        <w:rPr>
          <w:rFonts w:eastAsiaTheme="minorEastAsia"/>
          <w:b/>
          <w:bCs/>
        </w:rPr>
        <w:t>Patient Information</w:t>
      </w:r>
      <w:r>
        <w:rPr>
          <w:rFonts w:eastAsiaTheme="minorEastAsia"/>
        </w:rPr>
        <w:t xml:space="preserve"> dialog box</w:t>
      </w:r>
      <w:r w:rsidR="001D7AFC" w:rsidRPr="71EB9571">
        <w:rPr>
          <w:rFonts w:eastAsiaTheme="minorEastAsia"/>
        </w:rPr>
        <w:t xml:space="preserve">, under </w:t>
      </w:r>
      <w:r w:rsidR="001D7AFC" w:rsidRPr="003046E4">
        <w:rPr>
          <w:rFonts w:eastAsiaTheme="minorEastAsia"/>
          <w:b/>
          <w:bCs/>
        </w:rPr>
        <w:t>Demographics</w:t>
      </w:r>
      <w:r w:rsidR="001D7AFC" w:rsidRPr="71EB9571">
        <w:rPr>
          <w:rFonts w:eastAsiaTheme="minorEastAsia"/>
        </w:rPr>
        <w:t xml:space="preserve">, </w:t>
      </w:r>
      <w:r w:rsidR="001D7AFC" w:rsidRPr="003046E4">
        <w:rPr>
          <w:rFonts w:eastAsiaTheme="minorEastAsia"/>
          <w:b/>
          <w:bCs/>
        </w:rPr>
        <w:t>Spanish</w:t>
      </w:r>
      <w:r w:rsidR="001D7AFC" w:rsidRPr="71EB9571">
        <w:rPr>
          <w:rFonts w:eastAsiaTheme="minorEastAsia"/>
        </w:rPr>
        <w:t xml:space="preserve"> is selected as the </w:t>
      </w:r>
      <w:r w:rsidR="001D7AFC" w:rsidRPr="003046E4">
        <w:rPr>
          <w:rFonts w:eastAsiaTheme="minorEastAsia"/>
          <w:b/>
          <w:bCs/>
        </w:rPr>
        <w:t>Language</w:t>
      </w:r>
      <w:r w:rsidR="001D7AFC" w:rsidRPr="71EB9571">
        <w:rPr>
          <w:rFonts w:eastAsiaTheme="minorEastAsia"/>
        </w:rPr>
        <w:t xml:space="preserve">), when the </w:t>
      </w:r>
      <w:r w:rsidR="001D7AFC" w:rsidRPr="003046E4">
        <w:rPr>
          <w:rFonts w:eastAsiaTheme="minorEastAsia"/>
          <w:b/>
          <w:bCs/>
        </w:rPr>
        <w:t>Patient Education</w:t>
      </w:r>
      <w:r w:rsidR="001D7AFC" w:rsidRPr="71EB9571">
        <w:rPr>
          <w:rFonts w:eastAsiaTheme="minorEastAsia"/>
        </w:rPr>
        <w:t xml:space="preserve"> dialog box appears for that patient, the </w:t>
      </w:r>
      <w:r w:rsidR="001D7AFC" w:rsidRPr="003046E4">
        <w:rPr>
          <w:rFonts w:eastAsiaTheme="minorEastAsia"/>
          <w:b/>
          <w:bCs/>
        </w:rPr>
        <w:t>Spanish</w:t>
      </w:r>
      <w:r w:rsidR="001D7AFC" w:rsidRPr="71EB9571">
        <w:rPr>
          <w:rFonts w:eastAsiaTheme="minorEastAsia"/>
        </w:rPr>
        <w:t xml:space="preserve"> option is selected; otherwise, </w:t>
      </w:r>
      <w:r w:rsidR="001D7AFC" w:rsidRPr="003046E4">
        <w:rPr>
          <w:rFonts w:eastAsiaTheme="minorEastAsia"/>
          <w:b/>
          <w:bCs/>
        </w:rPr>
        <w:t>English</w:t>
      </w:r>
      <w:r w:rsidR="001D7AFC" w:rsidRPr="71EB9571">
        <w:rPr>
          <w:rFonts w:eastAsiaTheme="minorEastAsia"/>
        </w:rPr>
        <w:t xml:space="preserve"> is the default selection.</w:t>
      </w:r>
    </w:p>
    <w:p w14:paraId="3DFD204E" w14:textId="0D48693E" w:rsidR="001D7AFC" w:rsidRPr="005944F1" w:rsidRDefault="003046E4" w:rsidP="004F45B6">
      <w:pPr>
        <w:pStyle w:val="BodyText"/>
        <w:numPr>
          <w:ilvl w:val="1"/>
          <w:numId w:val="79"/>
        </w:numPr>
        <w:ind w:left="1080"/>
        <w:rPr>
          <w:rFonts w:eastAsiaTheme="minorEastAsia"/>
        </w:rPr>
      </w:pPr>
      <w:r w:rsidRPr="006D44DB">
        <w:rPr>
          <w:rFonts w:eastAsiaTheme="minorEastAsia"/>
          <w:b/>
          <w:bCs/>
        </w:rPr>
        <w:t>Use description for finding patient education</w:t>
      </w:r>
      <w:r>
        <w:rPr>
          <w:rFonts w:eastAsiaTheme="minorEastAsia"/>
        </w:rPr>
        <w:t xml:space="preserve"> – With this check box selected, you can enter a</w:t>
      </w:r>
      <w:r w:rsidR="001D7AFC" w:rsidRPr="71EB9571">
        <w:rPr>
          <w:rFonts w:eastAsiaTheme="minorEastAsia"/>
        </w:rPr>
        <w:t xml:space="preserve"> description instead of </w:t>
      </w:r>
      <w:r>
        <w:rPr>
          <w:rFonts w:eastAsiaTheme="minorEastAsia"/>
        </w:rPr>
        <w:t>a</w:t>
      </w:r>
      <w:r w:rsidR="001D7AFC" w:rsidRPr="71EB9571">
        <w:rPr>
          <w:rFonts w:eastAsiaTheme="minorEastAsia"/>
        </w:rPr>
        <w:t xml:space="preserve"> code (SNOMED, NDC, or LOINC) when you search for patient education resources online with MedlinePlus.</w:t>
      </w:r>
    </w:p>
    <w:p w14:paraId="0069F12F" w14:textId="1BD849F1" w:rsidR="009473AD" w:rsidRPr="00941C5B" w:rsidRDefault="009473AD" w:rsidP="004F45B6">
      <w:pPr>
        <w:pStyle w:val="BodyText"/>
        <w:numPr>
          <w:ilvl w:val="0"/>
          <w:numId w:val="77"/>
        </w:numPr>
        <w:ind w:left="540"/>
      </w:pPr>
      <w:r w:rsidRPr="71EB9571">
        <w:rPr>
          <w:b/>
          <w:bCs/>
        </w:rPr>
        <w:t xml:space="preserve">Reject Old Treatment Plans </w:t>
      </w:r>
      <w:r w:rsidRPr="71EB9571">
        <w:t xml:space="preserve">– You can have treatment-planned procedures archived automatically so they no longer </w:t>
      </w:r>
      <w:r w:rsidR="006D44DB">
        <w:t>appear</w:t>
      </w:r>
      <w:r w:rsidRPr="71EB9571">
        <w:t xml:space="preserve"> as active treatment in </w:t>
      </w:r>
      <w:r w:rsidR="006D44DB">
        <w:t>C</w:t>
      </w:r>
      <w:r w:rsidRPr="71EB9571">
        <w:t xml:space="preserve">hart or </w:t>
      </w:r>
      <w:r w:rsidR="006D44DB">
        <w:t>T</w:t>
      </w:r>
      <w:r w:rsidRPr="71EB9571">
        <w:t xml:space="preserve">reatment </w:t>
      </w:r>
      <w:r w:rsidR="006D44DB">
        <w:t>P</w:t>
      </w:r>
      <w:r w:rsidRPr="71EB9571">
        <w:t xml:space="preserve">lanner. Customize this feature by selecting the number of days a treatment plan case remains valid. When a treatment plan case is no longer valid, Dentrix Enterprise automatically rejects it and adds a note, stating why and when the case was rejected. </w:t>
      </w:r>
    </w:p>
    <w:p w14:paraId="391BAC35" w14:textId="4FCB54CE" w:rsidR="009473AD" w:rsidRDefault="00DB5737" w:rsidP="005944F1">
      <w:pPr>
        <w:pStyle w:val="BodyText"/>
        <w:ind w:left="540"/>
        <w:rPr>
          <w:i/>
          <w:iCs/>
        </w:rPr>
      </w:pPr>
      <w:r>
        <w:rPr>
          <w:noProof/>
        </w:rPr>
        <w:drawing>
          <wp:anchor distT="0" distB="0" distL="0" distR="91440" simplePos="0" relativeHeight="251879428" behindDoc="1" locked="0" layoutInCell="1" allowOverlap="1" wp14:anchorId="468130B0" wp14:editId="7AFF5778">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05982750"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6D44DB">
        <w:rPr>
          <w:b/>
          <w:bCs/>
          <w:i/>
          <w:iCs/>
        </w:rPr>
        <w:t xml:space="preserve">Operations </w:t>
      </w:r>
      <w:r w:rsidR="006D44DB" w:rsidRPr="006D44DB">
        <w:rPr>
          <w:b/>
          <w:bCs/>
          <w:i/>
          <w:iCs/>
        </w:rPr>
        <w:t>I</w:t>
      </w:r>
      <w:r w:rsidR="009473AD" w:rsidRPr="006D44DB">
        <w:rPr>
          <w:b/>
          <w:bCs/>
          <w:i/>
          <w:iCs/>
        </w:rPr>
        <w:t>nsight</w:t>
      </w:r>
      <w:r w:rsidR="006D44DB" w:rsidRPr="006D44DB">
        <w:rPr>
          <w:i/>
          <w:iCs/>
        </w:rPr>
        <w:t xml:space="preserve">: </w:t>
      </w:r>
      <w:r w:rsidR="009473AD" w:rsidRPr="006D44DB">
        <w:rPr>
          <w:i/>
          <w:iCs/>
        </w:rPr>
        <w:t>Rejected treatment is retained in the patient’s record</w:t>
      </w:r>
      <w:r w:rsidR="006D44DB" w:rsidRPr="006D44DB">
        <w:rPr>
          <w:i/>
          <w:iCs/>
        </w:rPr>
        <w:t xml:space="preserve">, and you can easily change </w:t>
      </w:r>
      <w:r w:rsidR="009473AD" w:rsidRPr="006D44DB">
        <w:rPr>
          <w:i/>
          <w:iCs/>
        </w:rPr>
        <w:t xml:space="preserve">the visibility and status of </w:t>
      </w:r>
      <w:r w:rsidR="006D44DB" w:rsidRPr="006D44DB">
        <w:rPr>
          <w:i/>
          <w:iCs/>
        </w:rPr>
        <w:t>a</w:t>
      </w:r>
      <w:r w:rsidR="009473AD" w:rsidRPr="006D44DB">
        <w:rPr>
          <w:i/>
          <w:iCs/>
        </w:rPr>
        <w:t xml:space="preserve"> case</w:t>
      </w:r>
      <w:r w:rsidR="006D44DB" w:rsidRPr="006D44DB">
        <w:rPr>
          <w:i/>
          <w:iCs/>
        </w:rPr>
        <w:t xml:space="preserve"> as needed</w:t>
      </w:r>
      <w:r w:rsidR="009473AD" w:rsidRPr="006D44DB">
        <w:rPr>
          <w:i/>
          <w:iCs/>
        </w:rPr>
        <w:t>.</w:t>
      </w:r>
    </w:p>
    <w:p w14:paraId="063D7C9D" w14:textId="772E8D6D" w:rsidR="00711F3A" w:rsidRPr="000365EC" w:rsidRDefault="00B23C7F" w:rsidP="004F45B6">
      <w:pPr>
        <w:pStyle w:val="BodyText"/>
        <w:numPr>
          <w:ilvl w:val="0"/>
          <w:numId w:val="77"/>
        </w:numPr>
        <w:ind w:left="540"/>
      </w:pPr>
      <w:r w:rsidRPr="000365EC">
        <w:rPr>
          <w:b/>
          <w:bCs/>
        </w:rPr>
        <w:t xml:space="preserve">Invalidate Conditions – </w:t>
      </w:r>
      <w:r w:rsidR="00E66542" w:rsidRPr="000365EC">
        <w:t>With the</w:t>
      </w:r>
      <w:r w:rsidRPr="000365EC">
        <w:t xml:space="preserve"> </w:t>
      </w:r>
      <w:r w:rsidRPr="000365EC">
        <w:rPr>
          <w:b/>
          <w:bCs/>
        </w:rPr>
        <w:t>Invalidate Upon Completing Tx Plan</w:t>
      </w:r>
      <w:r w:rsidR="00E66542" w:rsidRPr="000365EC">
        <w:t xml:space="preserve"> check box selected</w:t>
      </w:r>
      <w:r w:rsidR="008E518D" w:rsidRPr="000365EC">
        <w:t>, when a condition is linked to a treatment-planned procedure the</w:t>
      </w:r>
      <w:r w:rsidRPr="000365EC">
        <w:t xml:space="preserve"> </w:t>
      </w:r>
      <w:r w:rsidR="001037FF" w:rsidRPr="000365EC">
        <w:rPr>
          <w:b/>
          <w:bCs/>
        </w:rPr>
        <w:t>A</w:t>
      </w:r>
      <w:r w:rsidRPr="000365EC">
        <w:rPr>
          <w:b/>
          <w:bCs/>
        </w:rPr>
        <w:t>utomatic</w:t>
      </w:r>
      <w:r w:rsidRPr="000365EC">
        <w:t xml:space="preserve"> option</w:t>
      </w:r>
      <w:r w:rsidR="008E518D" w:rsidRPr="000365EC">
        <w:t xml:space="preserve"> </w:t>
      </w:r>
      <w:r w:rsidR="00A852F4" w:rsidRPr="000365EC">
        <w:t xml:space="preserve">for </w:t>
      </w:r>
      <w:r w:rsidR="00A852F4" w:rsidRPr="000365EC">
        <w:rPr>
          <w:b/>
          <w:bCs/>
        </w:rPr>
        <w:t>Invalidate Upon Completion</w:t>
      </w:r>
      <w:r w:rsidR="00A852F4" w:rsidRPr="000365EC">
        <w:t xml:space="preserve"> </w:t>
      </w:r>
      <w:r w:rsidR="008E518D" w:rsidRPr="000365EC">
        <w:t xml:space="preserve">will be selected </w:t>
      </w:r>
      <w:r w:rsidR="001037FF" w:rsidRPr="000365EC">
        <w:t>by default</w:t>
      </w:r>
      <w:r w:rsidRPr="000365EC">
        <w:t>.</w:t>
      </w:r>
    </w:p>
    <w:p w14:paraId="1EF20370" w14:textId="4FBDC31D" w:rsidR="00711F3A" w:rsidRPr="000365EC" w:rsidRDefault="009852EB" w:rsidP="00B23C7F">
      <w:pPr>
        <w:pStyle w:val="BodyText"/>
        <w:ind w:left="540"/>
        <w:rPr>
          <w:i/>
          <w:iCs/>
        </w:rPr>
      </w:pPr>
      <w:r w:rsidRPr="000365EC">
        <w:rPr>
          <w:b/>
          <w:bCs/>
          <w:i/>
          <w:iCs/>
          <w:noProof/>
        </w:rPr>
        <w:drawing>
          <wp:anchor distT="0" distB="0" distL="0" distR="91440" simplePos="0" relativeHeight="252091396" behindDoc="1" locked="0" layoutInCell="1" allowOverlap="1" wp14:anchorId="2BB375B8" wp14:editId="1EB7D14A">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2038965715"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w:t>
      </w:r>
      <w:r w:rsidRPr="000365EC">
        <w:rPr>
          <w:i/>
          <w:iCs/>
        </w:rPr>
        <w:t xml:space="preserve">: </w:t>
      </w:r>
      <w:r w:rsidR="007B28FB" w:rsidRPr="000365EC">
        <w:rPr>
          <w:i/>
          <w:iCs/>
        </w:rPr>
        <w:t>V</w:t>
      </w:r>
      <w:r w:rsidR="00940E7E" w:rsidRPr="000365EC">
        <w:rPr>
          <w:i/>
          <w:iCs/>
        </w:rPr>
        <w:t xml:space="preserve">ersion 11.0.20.862 (Component Update 5) </w:t>
      </w:r>
      <w:r w:rsidR="00DA42D9" w:rsidRPr="000365EC">
        <w:rPr>
          <w:i/>
          <w:iCs/>
        </w:rPr>
        <w:t>bring</w:t>
      </w:r>
      <w:r w:rsidR="00940E7E" w:rsidRPr="000365EC">
        <w:rPr>
          <w:i/>
          <w:iCs/>
        </w:rPr>
        <w:t>s</w:t>
      </w:r>
      <w:r w:rsidR="00DA42D9" w:rsidRPr="000365EC">
        <w:rPr>
          <w:i/>
          <w:iCs/>
        </w:rPr>
        <w:t xml:space="preserve"> greater clinical</w:t>
      </w:r>
      <w:r w:rsidR="00940E7E" w:rsidRPr="000365EC">
        <w:rPr>
          <w:i/>
          <w:iCs/>
        </w:rPr>
        <w:t xml:space="preserve"> confidence with invalidating dental conditions that are linked to a treatment</w:t>
      </w:r>
      <w:r w:rsidR="007B28FB" w:rsidRPr="000365EC">
        <w:rPr>
          <w:i/>
          <w:iCs/>
        </w:rPr>
        <w:t>-</w:t>
      </w:r>
      <w:r w:rsidR="00940E7E" w:rsidRPr="000365EC">
        <w:rPr>
          <w:i/>
          <w:iCs/>
        </w:rPr>
        <w:t xml:space="preserve">planned procedure. This feature saves the provider time by disabling the </w:t>
      </w:r>
      <w:r w:rsidR="00466B4C" w:rsidRPr="000365EC">
        <w:rPr>
          <w:i/>
          <w:iCs/>
        </w:rPr>
        <w:t>message</w:t>
      </w:r>
      <w:r w:rsidR="00940E7E" w:rsidRPr="000365EC">
        <w:rPr>
          <w:i/>
          <w:iCs/>
        </w:rPr>
        <w:t xml:space="preserve"> that asks if the condition should be invalidated. This feature should be used when awareness to the automatic invalidation of conditions has been provided to all dental staff entering and completing treatment</w:t>
      </w:r>
      <w:r w:rsidR="007B28FB" w:rsidRPr="000365EC">
        <w:rPr>
          <w:i/>
          <w:iCs/>
        </w:rPr>
        <w:t>-</w:t>
      </w:r>
      <w:r w:rsidR="00940E7E" w:rsidRPr="000365EC">
        <w:rPr>
          <w:i/>
          <w:iCs/>
        </w:rPr>
        <w:t>planned procedures.</w:t>
      </w:r>
    </w:p>
    <w:p w14:paraId="37D486FF" w14:textId="35721621" w:rsidR="00F57732" w:rsidRDefault="00F57732" w:rsidP="00D42C5A">
      <w:pPr>
        <w:pStyle w:val="Heading3"/>
      </w:pPr>
      <w:bookmarkStart w:id="226" w:name="SubscriptionsTab"/>
      <w:bookmarkStart w:id="227" w:name="_Toc135416738"/>
      <w:bookmarkStart w:id="228" w:name="_Toc166834393"/>
      <w:r>
        <w:t xml:space="preserve">Clinic Information - </w:t>
      </w:r>
      <w:r w:rsidR="009473AD" w:rsidRPr="71EB9571">
        <w:t>Subscriptions Tab</w:t>
      </w:r>
      <w:bookmarkEnd w:id="226"/>
      <w:bookmarkEnd w:id="227"/>
      <w:bookmarkEnd w:id="228"/>
    </w:p>
    <w:p w14:paraId="1E5F8D73" w14:textId="6934896F" w:rsidR="009473AD" w:rsidRPr="00941C5B" w:rsidRDefault="006D44DB" w:rsidP="006D44DB">
      <w:pPr>
        <w:pStyle w:val="BodyText"/>
      </w:pPr>
      <w:r>
        <w:t xml:space="preserve">On the </w:t>
      </w:r>
      <w:r w:rsidRPr="006D44DB">
        <w:rPr>
          <w:b/>
          <w:bCs/>
        </w:rPr>
        <w:t>Subscriptions</w:t>
      </w:r>
      <w:r>
        <w:t xml:space="preserve"> tab of the </w:t>
      </w:r>
      <w:r w:rsidRPr="006D44DB">
        <w:rPr>
          <w:b/>
          <w:bCs/>
        </w:rPr>
        <w:t>Clinic Information</w:t>
      </w:r>
      <w:r>
        <w:t xml:space="preserve"> dialog box, you set up s</w:t>
      </w:r>
      <w:r w:rsidR="009473AD" w:rsidRPr="71EB9571">
        <w:t>ubscription-based features that require the purchase of licenses.</w:t>
      </w:r>
      <w:r>
        <w:t xml:space="preserve"> </w:t>
      </w:r>
      <w:r w:rsidR="009473AD" w:rsidRPr="71EB9571">
        <w:t xml:space="preserve">A </w:t>
      </w:r>
      <w:r>
        <w:t>S</w:t>
      </w:r>
      <w:r w:rsidR="009473AD" w:rsidRPr="71EB9571">
        <w:t xml:space="preserve">upport representative must activate the subscriptions and enter the license keys necessary to activate the features.  </w:t>
      </w:r>
    </w:p>
    <w:p w14:paraId="63633762" w14:textId="0BB72E4C" w:rsidR="006D44DB" w:rsidRDefault="009473AD" w:rsidP="004F45B6">
      <w:pPr>
        <w:pStyle w:val="BodyText"/>
        <w:numPr>
          <w:ilvl w:val="0"/>
          <w:numId w:val="77"/>
        </w:numPr>
        <w:ind w:left="540"/>
      </w:pPr>
      <w:r w:rsidRPr="71EB9571">
        <w:rPr>
          <w:b/>
          <w:bCs/>
        </w:rPr>
        <w:t xml:space="preserve">ePrescribe </w:t>
      </w:r>
      <w:r w:rsidRPr="71EB9571">
        <w:t xml:space="preserve">– Allscripts is the third-party provider </w:t>
      </w:r>
      <w:r w:rsidR="006D44DB">
        <w:t>ePrescribe service</w:t>
      </w:r>
      <w:r w:rsidRPr="71EB9571">
        <w:t>. Prescribing electronically provides access to real</w:t>
      </w:r>
      <w:r w:rsidR="006D44DB">
        <w:t>-</w:t>
      </w:r>
      <w:r w:rsidRPr="71EB9571">
        <w:t>time patient clinical decision support information.</w:t>
      </w:r>
    </w:p>
    <w:p w14:paraId="52C2270E" w14:textId="1F895C37" w:rsidR="009473AD" w:rsidRPr="004031F1" w:rsidRDefault="006D44DB" w:rsidP="004F45B6">
      <w:pPr>
        <w:pStyle w:val="BodyText"/>
        <w:numPr>
          <w:ilvl w:val="0"/>
          <w:numId w:val="77"/>
        </w:numPr>
        <w:ind w:left="540"/>
      </w:pPr>
      <w:r w:rsidRPr="71EB9571">
        <w:rPr>
          <w:b/>
          <w:bCs/>
        </w:rPr>
        <w:t>Outcome</w:t>
      </w:r>
      <w:r>
        <w:t xml:space="preserve"> –</w:t>
      </w:r>
      <w:r w:rsidRPr="006D44DB">
        <w:t xml:space="preserve"> </w:t>
      </w:r>
      <w:r w:rsidRPr="71EB9571">
        <w:t xml:space="preserve">Quintiles is the third-party provider of the Outcome service. </w:t>
      </w:r>
      <w:r>
        <w:t>Outcome</w:t>
      </w:r>
      <w:r w:rsidRPr="71EB9571">
        <w:t xml:space="preserve"> provides a caries risk assessment and reporting functionality</w:t>
      </w:r>
      <w:r>
        <w:t>, which you can</w:t>
      </w:r>
      <w:r w:rsidRPr="71EB9571">
        <w:t xml:space="preserve"> access from </w:t>
      </w:r>
      <w:r>
        <w:t>C</w:t>
      </w:r>
      <w:r w:rsidRPr="71EB9571">
        <w:t>hart.</w:t>
      </w:r>
    </w:p>
    <w:p w14:paraId="7D61195A" w14:textId="016076A4" w:rsidR="009473AD" w:rsidRPr="003E7D3A" w:rsidRDefault="009473AD" w:rsidP="004F45B6">
      <w:pPr>
        <w:pStyle w:val="BodyText"/>
        <w:numPr>
          <w:ilvl w:val="0"/>
          <w:numId w:val="77"/>
        </w:numPr>
        <w:ind w:left="540"/>
        <w:rPr>
          <w:b/>
          <w:bCs/>
        </w:rPr>
      </w:pPr>
      <w:r w:rsidRPr="71EB9571">
        <w:rPr>
          <w:b/>
          <w:bCs/>
        </w:rPr>
        <w:t>Updox</w:t>
      </w:r>
      <w:r w:rsidR="006D44DB">
        <w:t xml:space="preserve"> –</w:t>
      </w:r>
      <w:r w:rsidRPr="006D44DB">
        <w:t xml:space="preserve"> </w:t>
      </w:r>
      <w:r w:rsidRPr="71EB9571">
        <w:t xml:space="preserve">Updox is the third-party provider of the Patient Portal service. </w:t>
      </w:r>
      <w:r w:rsidR="006D44DB">
        <w:t>You can use t</w:t>
      </w:r>
      <w:r w:rsidRPr="71EB9571">
        <w:t xml:space="preserve">he patient portal </w:t>
      </w:r>
      <w:r w:rsidR="006D44DB">
        <w:t>to send</w:t>
      </w:r>
      <w:r w:rsidRPr="71EB9571">
        <w:t xml:space="preserve"> secure messages to patients or referral sources and </w:t>
      </w:r>
      <w:r w:rsidR="006D44DB">
        <w:t>to transmit</w:t>
      </w:r>
      <w:r w:rsidRPr="71EB9571">
        <w:t xml:space="preserve"> C-CDA files.  </w:t>
      </w:r>
    </w:p>
    <w:p w14:paraId="2838C9B4" w14:textId="65CA01D2" w:rsidR="009473AD" w:rsidRPr="00FF6EC3" w:rsidRDefault="009473AD" w:rsidP="004F45B6">
      <w:pPr>
        <w:pStyle w:val="BodyText"/>
        <w:keepLines/>
        <w:numPr>
          <w:ilvl w:val="0"/>
          <w:numId w:val="77"/>
        </w:numPr>
        <w:ind w:left="547"/>
        <w:rPr>
          <w:b/>
          <w:bCs/>
        </w:rPr>
      </w:pPr>
      <w:r w:rsidRPr="59EE75BD">
        <w:rPr>
          <w:b/>
          <w:bCs/>
        </w:rPr>
        <w:lastRenderedPageBreak/>
        <w:t xml:space="preserve">Meaningful Use </w:t>
      </w:r>
      <w:r w:rsidRPr="59EE75BD">
        <w:t>–</w:t>
      </w:r>
      <w:r w:rsidR="006D44DB">
        <w:t xml:space="preserve"> The M</w:t>
      </w:r>
      <w:r w:rsidR="006D44DB" w:rsidRPr="59EE75BD">
        <w:t xml:space="preserve">eaningful </w:t>
      </w:r>
      <w:r w:rsidR="006D44DB">
        <w:t>U</w:t>
      </w:r>
      <w:r w:rsidR="006D44DB" w:rsidRPr="59EE75BD">
        <w:t>se</w:t>
      </w:r>
      <w:r w:rsidR="006D44DB">
        <w:t xml:space="preserve"> features allow you to generate reports</w:t>
      </w:r>
      <w:r w:rsidRPr="59EE75BD">
        <w:t xml:space="preserve"> </w:t>
      </w:r>
      <w:r w:rsidR="006D44DB">
        <w:t>with the</w:t>
      </w:r>
      <w:r w:rsidRPr="59EE75BD">
        <w:t xml:space="preserve"> information needed to satisfy the attest</w:t>
      </w:r>
      <w:r w:rsidR="006D44DB">
        <w:t>ation</w:t>
      </w:r>
      <w:r w:rsidRPr="59EE75BD">
        <w:t xml:space="preserve"> requirements</w:t>
      </w:r>
      <w:r w:rsidR="006D44DB">
        <w:t xml:space="preserve"> for M</w:t>
      </w:r>
      <w:r w:rsidR="006D44DB" w:rsidRPr="59EE75BD">
        <w:t xml:space="preserve">eaningful </w:t>
      </w:r>
      <w:r w:rsidR="006D44DB">
        <w:t>U</w:t>
      </w:r>
      <w:r w:rsidR="006D44DB" w:rsidRPr="59EE75BD">
        <w:t>se</w:t>
      </w:r>
      <w:r w:rsidRPr="59EE75BD">
        <w:t xml:space="preserve">. Dentrix Enterprise is a 2015 edition Certified Electronic Health Record Technology (CEHRT). CEHRT gives assurance to purchasers and other users that an EHR system or module offers the necessary technological capability, functionality, and security to help them meet the </w:t>
      </w:r>
      <w:r w:rsidR="006D44DB">
        <w:t>M</w:t>
      </w:r>
      <w:r w:rsidRPr="59EE75BD">
        <w:t xml:space="preserve">eaningful </w:t>
      </w:r>
      <w:r w:rsidR="006D44DB">
        <w:t>U</w:t>
      </w:r>
      <w:r w:rsidRPr="59EE75BD">
        <w:t>se criteria.</w:t>
      </w:r>
    </w:p>
    <w:p w14:paraId="7A558227" w14:textId="5F473A19" w:rsidR="00FF6EC3" w:rsidRDefault="009473AD" w:rsidP="004267C0">
      <w:pPr>
        <w:pStyle w:val="Heading2"/>
      </w:pPr>
      <w:bookmarkStart w:id="229" w:name="ClinicResourceSetup"/>
      <w:bookmarkStart w:id="230" w:name="_Toc135416739"/>
      <w:bookmarkStart w:id="231" w:name="_Toc166834394"/>
      <w:r w:rsidRPr="4F5CD447">
        <w:t>Clinic Resource Setup</w:t>
      </w:r>
      <w:bookmarkEnd w:id="229"/>
      <w:bookmarkEnd w:id="230"/>
      <w:bookmarkEnd w:id="231"/>
    </w:p>
    <w:p w14:paraId="09431454" w14:textId="318ADE6A" w:rsidR="009473AD" w:rsidRPr="00FF6EC3" w:rsidRDefault="009B0FC8" w:rsidP="000D7FFC">
      <w:pPr>
        <w:pStyle w:val="BodyText"/>
        <w:keepNext/>
        <w:keepLines/>
      </w:pPr>
      <w:r>
        <w:t xml:space="preserve">In the </w:t>
      </w:r>
      <w:r w:rsidRPr="009B0FC8">
        <w:rPr>
          <w:b/>
          <w:bCs/>
        </w:rPr>
        <w:t>Clinic Resource Setup</w:t>
      </w:r>
      <w:r>
        <w:t xml:space="preserve"> dialog box, you can a</w:t>
      </w:r>
      <w:r w:rsidR="009473AD" w:rsidRPr="4F5CD447">
        <w:t xml:space="preserve">dd or edit clinic information, operatory IDs, </w:t>
      </w:r>
      <w:r w:rsidR="006D44DB">
        <w:t xml:space="preserve">and </w:t>
      </w:r>
      <w:r w:rsidR="009473AD" w:rsidRPr="4F5CD447">
        <w:t>provider and staff information.</w:t>
      </w:r>
    </w:p>
    <w:p w14:paraId="22284048" w14:textId="43E42196" w:rsidR="00FF6EC3" w:rsidRDefault="009473AD" w:rsidP="00D42C5A">
      <w:pPr>
        <w:pStyle w:val="Heading3"/>
      </w:pPr>
      <w:bookmarkStart w:id="232" w:name="_Toc135416740"/>
      <w:bookmarkStart w:id="233" w:name="_Toc166834395"/>
      <w:r w:rsidRPr="4F5CD447">
        <w:t>Provider Setup</w:t>
      </w:r>
      <w:bookmarkEnd w:id="232"/>
      <w:bookmarkEnd w:id="233"/>
    </w:p>
    <w:p w14:paraId="6D6F9256" w14:textId="23195E56" w:rsidR="009473AD" w:rsidRPr="005944F1" w:rsidRDefault="009473AD" w:rsidP="000D7FFC">
      <w:pPr>
        <w:pStyle w:val="BodyText"/>
        <w:keepNext/>
        <w:keepLines/>
      </w:pPr>
      <w:r w:rsidRPr="005944F1">
        <w:t xml:space="preserve">Each individual </w:t>
      </w:r>
      <w:r w:rsidR="009B0FC8">
        <w:t xml:space="preserve">who </w:t>
      </w:r>
      <w:r w:rsidRPr="005944F1">
        <w:t xml:space="preserve">can have an independent schedule and render a service for tracking or billing is considered a provider in Dentrix Enterprise.  </w:t>
      </w:r>
    </w:p>
    <w:p w14:paraId="00B58CF7" w14:textId="09FDFAB1" w:rsidR="009473AD" w:rsidRPr="009B0FC8" w:rsidRDefault="00DB5737" w:rsidP="000D7FFC">
      <w:pPr>
        <w:pStyle w:val="BodyText"/>
        <w:keepNext/>
        <w:keepLines/>
        <w:rPr>
          <w:i/>
          <w:iCs/>
        </w:rPr>
      </w:pPr>
      <w:r>
        <w:rPr>
          <w:noProof/>
        </w:rPr>
        <w:drawing>
          <wp:anchor distT="0" distB="0" distL="0" distR="91440" simplePos="0" relativeHeight="251881476" behindDoc="1" locked="0" layoutInCell="1" allowOverlap="1" wp14:anchorId="6F87185D" wp14:editId="4190317E">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0205406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9B0FC8">
        <w:rPr>
          <w:b/>
          <w:bCs/>
          <w:i/>
          <w:iCs/>
        </w:rPr>
        <w:t>Operations Insight</w:t>
      </w:r>
      <w:r w:rsidR="009B0FC8" w:rsidRPr="009B0FC8">
        <w:rPr>
          <w:i/>
          <w:iCs/>
        </w:rPr>
        <w:t>:</w:t>
      </w:r>
      <w:r w:rsidR="009473AD" w:rsidRPr="009B0FC8">
        <w:rPr>
          <w:i/>
          <w:iCs/>
        </w:rPr>
        <w:t xml:space="preserve"> Dentrix Enterprise supports a single instance of each provider, even in organizations where </w:t>
      </w:r>
      <w:r w:rsidR="009B0FC8" w:rsidRPr="009B0FC8">
        <w:rPr>
          <w:i/>
          <w:iCs/>
        </w:rPr>
        <w:t xml:space="preserve">a </w:t>
      </w:r>
      <w:r w:rsidR="009473AD" w:rsidRPr="009B0FC8">
        <w:rPr>
          <w:i/>
          <w:iCs/>
        </w:rPr>
        <w:t>provider</w:t>
      </w:r>
      <w:r w:rsidR="009B0FC8" w:rsidRPr="009B0FC8">
        <w:rPr>
          <w:i/>
          <w:iCs/>
        </w:rPr>
        <w:t xml:space="preserve"> can</w:t>
      </w:r>
      <w:r w:rsidR="009473AD" w:rsidRPr="009B0FC8">
        <w:rPr>
          <w:i/>
          <w:iCs/>
        </w:rPr>
        <w:t xml:space="preserve"> render services in multiple locations.</w:t>
      </w:r>
    </w:p>
    <w:p w14:paraId="6FFE8F14" w14:textId="1BA1B68D" w:rsidR="009473AD" w:rsidRPr="009B0FC8" w:rsidRDefault="00DB5737" w:rsidP="005944F1">
      <w:pPr>
        <w:pStyle w:val="BodyText"/>
        <w:rPr>
          <w:i/>
          <w:iCs/>
        </w:rPr>
      </w:pPr>
      <w:r>
        <w:rPr>
          <w:noProof/>
        </w:rPr>
        <w:drawing>
          <wp:anchor distT="0" distB="0" distL="0" distR="91440" simplePos="0" relativeHeight="251883524" behindDoc="1" locked="0" layoutInCell="1" allowOverlap="1" wp14:anchorId="25E4F0C1" wp14:editId="260DA086">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3266047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9B0FC8">
        <w:rPr>
          <w:b/>
          <w:bCs/>
          <w:i/>
          <w:iCs/>
        </w:rPr>
        <w:t>Operations Insight</w:t>
      </w:r>
      <w:r w:rsidR="009B0FC8" w:rsidRPr="009B0FC8">
        <w:rPr>
          <w:i/>
          <w:iCs/>
        </w:rPr>
        <w:t>:</w:t>
      </w:r>
      <w:r w:rsidR="009473AD" w:rsidRPr="009B0FC8">
        <w:rPr>
          <w:i/>
          <w:iCs/>
        </w:rPr>
        <w:t xml:space="preserve"> If your clinic is submitting electronic claims </w:t>
      </w:r>
      <w:r w:rsidR="009B0FC8" w:rsidRPr="009B0FC8">
        <w:rPr>
          <w:i/>
          <w:iCs/>
        </w:rPr>
        <w:t>using Henry Schein One’s eClaims</w:t>
      </w:r>
      <w:r w:rsidR="009473AD" w:rsidRPr="009B0FC8">
        <w:rPr>
          <w:i/>
          <w:iCs/>
        </w:rPr>
        <w:t xml:space="preserve">, </w:t>
      </w:r>
      <w:r w:rsidR="009B0FC8" w:rsidRPr="009B0FC8">
        <w:rPr>
          <w:i/>
          <w:iCs/>
        </w:rPr>
        <w:t xml:space="preserve">when you add </w:t>
      </w:r>
      <w:r w:rsidR="009473AD" w:rsidRPr="009B0FC8">
        <w:rPr>
          <w:i/>
          <w:iCs/>
        </w:rPr>
        <w:t>a new billing provider to Dentrix Enterprise</w:t>
      </w:r>
      <w:r w:rsidR="009B0FC8" w:rsidRPr="009B0FC8">
        <w:rPr>
          <w:i/>
          <w:iCs/>
        </w:rPr>
        <w:t xml:space="preserve">, you must submit </w:t>
      </w:r>
      <w:r w:rsidR="009473AD" w:rsidRPr="009B0FC8">
        <w:rPr>
          <w:i/>
          <w:iCs/>
        </w:rPr>
        <w:t>an updated Practice Organization List (POL) to the eServices Support team.</w:t>
      </w:r>
    </w:p>
    <w:p w14:paraId="13C3EB6D" w14:textId="59C666F8" w:rsidR="009473AD" w:rsidRPr="005944F1" w:rsidRDefault="009473AD" w:rsidP="004F45B6">
      <w:pPr>
        <w:pStyle w:val="BodyText"/>
        <w:numPr>
          <w:ilvl w:val="0"/>
          <w:numId w:val="80"/>
        </w:numPr>
        <w:ind w:left="540"/>
      </w:pPr>
      <w:r w:rsidRPr="005944F1">
        <w:rPr>
          <w:b/>
          <w:bCs/>
        </w:rPr>
        <w:t>Name</w:t>
      </w:r>
      <w:r w:rsidR="009B0FC8">
        <w:rPr>
          <w:b/>
          <w:bCs/>
        </w:rPr>
        <w:t xml:space="preserve"> and</w:t>
      </w:r>
      <w:r w:rsidRPr="005944F1">
        <w:rPr>
          <w:b/>
          <w:bCs/>
        </w:rPr>
        <w:t xml:space="preserve"> ID</w:t>
      </w:r>
      <w:r w:rsidRPr="005944F1">
        <w:t xml:space="preserve"> – </w:t>
      </w:r>
      <w:r w:rsidR="009B0FC8">
        <w:t>The ID can have a m</w:t>
      </w:r>
      <w:r w:rsidRPr="005944F1">
        <w:t>aximum of 10 characters</w:t>
      </w:r>
      <w:r w:rsidR="009B0FC8">
        <w:t>.</w:t>
      </w:r>
    </w:p>
    <w:p w14:paraId="5E2B837F" w14:textId="304A2C72" w:rsidR="009473AD" w:rsidRPr="009B0FC8" w:rsidRDefault="0098558E" w:rsidP="005944F1">
      <w:pPr>
        <w:pStyle w:val="BodyText"/>
        <w:ind w:left="540"/>
        <w:rPr>
          <w:i/>
          <w:iCs/>
        </w:rPr>
      </w:pPr>
      <w:r>
        <w:rPr>
          <w:noProof/>
        </w:rPr>
        <w:drawing>
          <wp:anchor distT="0" distB="0" distL="0" distR="91440" simplePos="0" relativeHeight="251901956" behindDoc="1" locked="0" layoutInCell="1" allowOverlap="1" wp14:anchorId="2897DBD2" wp14:editId="5A5D35D2">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71184469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9B0FC8">
        <w:rPr>
          <w:b/>
          <w:bCs/>
          <w:i/>
          <w:iCs/>
        </w:rPr>
        <w:t>Operations Insight</w:t>
      </w:r>
      <w:r w:rsidR="009B0FC8" w:rsidRPr="009B0FC8">
        <w:rPr>
          <w:i/>
          <w:iCs/>
        </w:rPr>
        <w:t>:</w:t>
      </w:r>
      <w:r w:rsidR="009473AD" w:rsidRPr="009B0FC8">
        <w:rPr>
          <w:i/>
          <w:iCs/>
        </w:rPr>
        <w:t xml:space="preserve"> Provider IDs </w:t>
      </w:r>
      <w:r w:rsidR="009B0FC8" w:rsidRPr="009B0FC8">
        <w:rPr>
          <w:i/>
          <w:iCs/>
        </w:rPr>
        <w:t xml:space="preserve">are </w:t>
      </w:r>
      <w:r w:rsidR="009473AD" w:rsidRPr="009B0FC8">
        <w:rPr>
          <w:i/>
          <w:iCs/>
        </w:rPr>
        <w:t xml:space="preserve">prevalent in selection lists and reports throughout Dentrix Enterprise. </w:t>
      </w:r>
      <w:r w:rsidR="009B0FC8" w:rsidRPr="009B0FC8">
        <w:rPr>
          <w:i/>
          <w:iCs/>
        </w:rPr>
        <w:t xml:space="preserve">We </w:t>
      </w:r>
      <w:r w:rsidR="009473AD" w:rsidRPr="009B0FC8">
        <w:rPr>
          <w:i/>
          <w:iCs/>
        </w:rPr>
        <w:t>recommend</w:t>
      </w:r>
      <w:r w:rsidR="009B0FC8" w:rsidRPr="009B0FC8">
        <w:rPr>
          <w:i/>
          <w:iCs/>
        </w:rPr>
        <w:t xml:space="preserve"> that you</w:t>
      </w:r>
      <w:r w:rsidR="009473AD" w:rsidRPr="009B0FC8">
        <w:rPr>
          <w:i/>
          <w:iCs/>
        </w:rPr>
        <w:t xml:space="preserve"> develop a naming convention for providers that will lend to easy identification of individual providers.</w:t>
      </w:r>
    </w:p>
    <w:p w14:paraId="4660833E" w14:textId="5117A673" w:rsidR="009473AD" w:rsidRPr="005944F1" w:rsidRDefault="009473AD" w:rsidP="004F45B6">
      <w:pPr>
        <w:pStyle w:val="BodyText"/>
        <w:numPr>
          <w:ilvl w:val="0"/>
          <w:numId w:val="80"/>
        </w:numPr>
        <w:ind w:left="540"/>
      </w:pPr>
      <w:r w:rsidRPr="005944F1">
        <w:rPr>
          <w:b/>
          <w:bCs/>
        </w:rPr>
        <w:t>Non-Person</w:t>
      </w:r>
      <w:r w:rsidRPr="005944F1">
        <w:t xml:space="preserve"> – If this provider </w:t>
      </w:r>
      <w:r w:rsidR="009B0FC8">
        <w:t>is</w:t>
      </w:r>
      <w:r w:rsidRPr="005944F1">
        <w:t xml:space="preserve"> a billing entity, such as a corporation or association, select this checkbox. </w:t>
      </w:r>
    </w:p>
    <w:p w14:paraId="7F97AEC5" w14:textId="12057E7C" w:rsidR="009473AD" w:rsidRPr="005944F1" w:rsidRDefault="009473AD" w:rsidP="004F45B6">
      <w:pPr>
        <w:pStyle w:val="BodyText"/>
        <w:numPr>
          <w:ilvl w:val="0"/>
          <w:numId w:val="80"/>
        </w:numPr>
        <w:ind w:left="540"/>
      </w:pPr>
      <w:r w:rsidRPr="005944F1">
        <w:rPr>
          <w:b/>
          <w:bCs/>
        </w:rPr>
        <w:t>Address</w:t>
      </w:r>
      <w:r w:rsidRPr="005944F1">
        <w:t xml:space="preserve"> –</w:t>
      </w:r>
      <w:r w:rsidR="009B0FC8">
        <w:t xml:space="preserve"> Use t</w:t>
      </w:r>
      <w:r w:rsidRPr="005944F1">
        <w:t>his address if</w:t>
      </w:r>
      <w:r w:rsidR="009B0FC8">
        <w:t>, for example,</w:t>
      </w:r>
      <w:r w:rsidRPr="005944F1">
        <w:t xml:space="preserve"> settings indicate </w:t>
      </w:r>
      <w:r w:rsidR="009B0FC8">
        <w:t xml:space="preserve">that </w:t>
      </w:r>
      <w:r w:rsidRPr="005944F1">
        <w:t>the provider address should be included on statements, letters, claims</w:t>
      </w:r>
      <w:r w:rsidR="009B0FC8">
        <w:t>, and so forth</w:t>
      </w:r>
      <w:r w:rsidRPr="005944F1">
        <w:t xml:space="preserve">.  </w:t>
      </w:r>
    </w:p>
    <w:p w14:paraId="7918C62E" w14:textId="7281CA7C" w:rsidR="009473AD" w:rsidRPr="008D426F" w:rsidRDefault="00DB5737" w:rsidP="005944F1">
      <w:pPr>
        <w:pStyle w:val="BodyText"/>
        <w:ind w:left="540"/>
        <w:rPr>
          <w:i/>
          <w:iCs/>
        </w:rPr>
      </w:pPr>
      <w:r>
        <w:rPr>
          <w:noProof/>
        </w:rPr>
        <w:drawing>
          <wp:anchor distT="0" distB="0" distL="0" distR="91440" simplePos="0" relativeHeight="251885572" behindDoc="1" locked="0" layoutInCell="1" allowOverlap="1" wp14:anchorId="7841E3D7" wp14:editId="73D3F80A">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495321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8D426F">
        <w:rPr>
          <w:b/>
          <w:bCs/>
          <w:i/>
          <w:iCs/>
        </w:rPr>
        <w:t>Operations Insight</w:t>
      </w:r>
      <w:r w:rsidR="009B0FC8" w:rsidRPr="008D426F">
        <w:rPr>
          <w:i/>
          <w:iCs/>
        </w:rPr>
        <w:t>:</w:t>
      </w:r>
      <w:r w:rsidR="009473AD" w:rsidRPr="008D426F">
        <w:rPr>
          <w:i/>
          <w:iCs/>
        </w:rPr>
        <w:t xml:space="preserve"> It is important to enter a single line address into the top line as opposed to </w:t>
      </w:r>
      <w:r w:rsidR="009B0FC8" w:rsidRPr="008D426F">
        <w:rPr>
          <w:i/>
          <w:iCs/>
        </w:rPr>
        <w:t xml:space="preserve">also using </w:t>
      </w:r>
      <w:r w:rsidR="009473AD" w:rsidRPr="008D426F">
        <w:rPr>
          <w:i/>
          <w:iCs/>
        </w:rPr>
        <w:t>the second line</w:t>
      </w:r>
      <w:r w:rsidR="009B0FC8" w:rsidRPr="008D426F">
        <w:rPr>
          <w:i/>
          <w:iCs/>
        </w:rPr>
        <w:t xml:space="preserve"> because using the second line</w:t>
      </w:r>
      <w:r w:rsidR="009473AD" w:rsidRPr="008D426F">
        <w:rPr>
          <w:i/>
          <w:iCs/>
        </w:rPr>
        <w:t xml:space="preserve"> can cause an error when </w:t>
      </w:r>
      <w:r w:rsidR="009B0FC8" w:rsidRPr="008D426F">
        <w:rPr>
          <w:i/>
          <w:iCs/>
        </w:rPr>
        <w:t xml:space="preserve">you attempt to </w:t>
      </w:r>
      <w:r w:rsidR="009473AD" w:rsidRPr="008D426F">
        <w:rPr>
          <w:i/>
          <w:iCs/>
        </w:rPr>
        <w:t>submit claims. This error appl</w:t>
      </w:r>
      <w:r w:rsidR="009B0FC8" w:rsidRPr="008D426F">
        <w:rPr>
          <w:i/>
          <w:iCs/>
        </w:rPr>
        <w:t>ies</w:t>
      </w:r>
      <w:r w:rsidR="009473AD" w:rsidRPr="008D426F">
        <w:rPr>
          <w:i/>
          <w:iCs/>
        </w:rPr>
        <w:t xml:space="preserve"> to all billing, pay</w:t>
      </w:r>
      <w:r w:rsidR="009B0FC8" w:rsidRPr="008D426F">
        <w:rPr>
          <w:i/>
          <w:iCs/>
        </w:rPr>
        <w:t>-</w:t>
      </w:r>
      <w:r w:rsidR="009473AD" w:rsidRPr="008D426F">
        <w:rPr>
          <w:i/>
          <w:iCs/>
        </w:rPr>
        <w:t>to, and rendering providers</w:t>
      </w:r>
      <w:r w:rsidR="009B0FC8" w:rsidRPr="008D426F">
        <w:rPr>
          <w:i/>
          <w:iCs/>
        </w:rPr>
        <w:t xml:space="preserve"> for</w:t>
      </w:r>
      <w:r w:rsidR="009473AD" w:rsidRPr="008D426F">
        <w:rPr>
          <w:i/>
          <w:iCs/>
        </w:rPr>
        <w:t xml:space="preserve"> a claim.</w:t>
      </w:r>
    </w:p>
    <w:p w14:paraId="4677D469" w14:textId="60513862" w:rsidR="009473AD" w:rsidRPr="005944F1" w:rsidRDefault="009473AD" w:rsidP="004F45B6">
      <w:pPr>
        <w:pStyle w:val="BodyText"/>
        <w:numPr>
          <w:ilvl w:val="0"/>
          <w:numId w:val="80"/>
        </w:numPr>
        <w:ind w:left="540"/>
      </w:pPr>
      <w:r w:rsidRPr="005944F1">
        <w:rPr>
          <w:b/>
          <w:bCs/>
        </w:rPr>
        <w:t>Specialty</w:t>
      </w:r>
      <w:r w:rsidRPr="005944F1">
        <w:t xml:space="preserve"> </w:t>
      </w:r>
      <w:r w:rsidR="009B0FC8">
        <w:t>–</w:t>
      </w:r>
      <w:r w:rsidR="005944F1">
        <w:t xml:space="preserve"> </w:t>
      </w:r>
      <w:r w:rsidR="009B0FC8">
        <w:t>This i</w:t>
      </w:r>
      <w:r w:rsidRPr="005944F1">
        <w:t xml:space="preserve">s linked to a Taxonomy number (in </w:t>
      </w:r>
      <w:r w:rsidR="009B0FC8">
        <w:t xml:space="preserve">the Practice </w:t>
      </w:r>
      <w:r w:rsidRPr="005944F1">
        <w:t>Definitions)</w:t>
      </w:r>
      <w:r w:rsidR="009B0FC8">
        <w:t>.</w:t>
      </w:r>
    </w:p>
    <w:p w14:paraId="7E1CAA2A" w14:textId="372CD838" w:rsidR="009473AD" w:rsidRPr="005944F1" w:rsidRDefault="009473AD" w:rsidP="005944F1">
      <w:pPr>
        <w:pStyle w:val="BodyText"/>
        <w:ind w:left="540"/>
      </w:pPr>
      <w:r w:rsidRPr="009B0FC8">
        <w:rPr>
          <w:b/>
          <w:bCs/>
        </w:rPr>
        <w:t>What is it?</w:t>
      </w:r>
      <w:r w:rsidRPr="005944F1">
        <w:t xml:space="preserve"> The Specialty Taxonomy is a unique 10-character number that describes your provider type, classification, or specialization. You need this to apply for an NPI.</w:t>
      </w:r>
    </w:p>
    <w:p w14:paraId="2CB90E49" w14:textId="69CDAF7F" w:rsidR="009473AD" w:rsidRPr="005944F1" w:rsidRDefault="009473AD" w:rsidP="005944F1">
      <w:pPr>
        <w:pStyle w:val="BodyText"/>
        <w:ind w:left="540"/>
      </w:pPr>
      <w:r w:rsidRPr="009B0FC8">
        <w:rPr>
          <w:b/>
          <w:bCs/>
        </w:rPr>
        <w:t>Why is it important?</w:t>
      </w:r>
      <w:r w:rsidRPr="005944F1">
        <w:t xml:space="preserve"> Taxonomy codes serve as a secondary identifier to ensure that a provider is accurately recognized.</w:t>
      </w:r>
    </w:p>
    <w:p w14:paraId="5265D844" w14:textId="7EC06D44" w:rsidR="009473AD" w:rsidRPr="005944F1" w:rsidRDefault="009473AD" w:rsidP="005944F1">
      <w:pPr>
        <w:pStyle w:val="BodyText"/>
        <w:ind w:left="540"/>
      </w:pPr>
      <w:r w:rsidRPr="009B0FC8">
        <w:rPr>
          <w:b/>
          <w:bCs/>
        </w:rPr>
        <w:t xml:space="preserve">Why is it different from </w:t>
      </w:r>
      <w:r w:rsidR="009B0FC8">
        <w:rPr>
          <w:b/>
          <w:bCs/>
        </w:rPr>
        <w:t xml:space="preserve">an </w:t>
      </w:r>
      <w:r w:rsidRPr="009B0FC8">
        <w:rPr>
          <w:b/>
          <w:bCs/>
        </w:rPr>
        <w:t>NPI?</w:t>
      </w:r>
      <w:r w:rsidRPr="005944F1">
        <w:t xml:space="preserve"> An NPI identifies the provider to receive payment. Though both are unique codes, taxonomy codes are identifiers that describe the specialty field the provider is working and submitting claims for.</w:t>
      </w:r>
    </w:p>
    <w:p w14:paraId="28268910" w14:textId="63A3E534" w:rsidR="009473AD" w:rsidRPr="008D426F" w:rsidRDefault="0098558E" w:rsidP="005944F1">
      <w:pPr>
        <w:pStyle w:val="BodyText"/>
        <w:ind w:left="540"/>
        <w:rPr>
          <w:i/>
          <w:iCs/>
        </w:rPr>
      </w:pPr>
      <w:r>
        <w:rPr>
          <w:noProof/>
        </w:rPr>
        <w:drawing>
          <wp:anchor distT="0" distB="0" distL="114300" distR="114300" simplePos="0" relativeHeight="251899908" behindDoc="0" locked="0" layoutInCell="1" allowOverlap="1" wp14:anchorId="219CE23F" wp14:editId="3BE8BE9B">
            <wp:simplePos x="0" y="0"/>
            <wp:positionH relativeFrom="column">
              <wp:posOffset>-457200</wp:posOffset>
            </wp:positionH>
            <wp:positionV relativeFrom="paragraph">
              <wp:posOffset>91440</wp:posOffset>
            </wp:positionV>
            <wp:extent cx="365760" cy="365760"/>
            <wp:effectExtent l="0" t="0" r="0" b="0"/>
            <wp:wrapTight wrapText="bothSides">
              <wp:wrapPolygon edited="0">
                <wp:start x="0" y="0"/>
                <wp:lineTo x="0" y="20250"/>
                <wp:lineTo x="20250" y="20250"/>
                <wp:lineTo x="20250" y="0"/>
                <wp:lineTo x="0" y="0"/>
              </wp:wrapPolygon>
            </wp:wrapTight>
            <wp:docPr id="380112896" name="Picture 1" descr="A group of people with black out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12896" name="Picture 1" descr="A group of people with black outlines&#10;&#10;Description automatically generated"/>
                    <pic:cNvPicPr/>
                  </pic:nvPicPr>
                  <pic:blipFill>
                    <a:blip r:embed="rId65"/>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8D426F">
        <w:rPr>
          <w:b/>
          <w:bCs/>
          <w:i/>
          <w:iCs/>
        </w:rPr>
        <w:t>Organizational Insight</w:t>
      </w:r>
      <w:r w:rsidR="009473AD" w:rsidRPr="008D426F">
        <w:rPr>
          <w:i/>
          <w:iCs/>
        </w:rPr>
        <w:t>: Taxonomy codes are not applied for by providers</w:t>
      </w:r>
      <w:r w:rsidR="008D426F" w:rsidRPr="008D426F">
        <w:rPr>
          <w:i/>
          <w:iCs/>
        </w:rPr>
        <w:t>;</w:t>
      </w:r>
      <w:r w:rsidR="009473AD" w:rsidRPr="008D426F">
        <w:rPr>
          <w:i/>
          <w:iCs/>
        </w:rPr>
        <w:t xml:space="preserve"> rather</w:t>
      </w:r>
      <w:r w:rsidR="008D426F" w:rsidRPr="008D426F">
        <w:rPr>
          <w:i/>
          <w:iCs/>
        </w:rPr>
        <w:t>,</w:t>
      </w:r>
      <w:r w:rsidR="009473AD" w:rsidRPr="008D426F">
        <w:rPr>
          <w:i/>
          <w:iCs/>
        </w:rPr>
        <w:t xml:space="preserve"> they are designated for them depending on their healthcare field. These codes are required when individual providers apply for </w:t>
      </w:r>
      <w:r w:rsidR="008D426F" w:rsidRPr="008D426F">
        <w:rPr>
          <w:i/>
          <w:iCs/>
        </w:rPr>
        <w:t xml:space="preserve">a </w:t>
      </w:r>
      <w:r w:rsidR="009473AD" w:rsidRPr="008D426F">
        <w:rPr>
          <w:i/>
          <w:iCs/>
        </w:rPr>
        <w:t xml:space="preserve">National Provider Identifier (NPI) </w:t>
      </w:r>
      <w:r w:rsidR="008D426F" w:rsidRPr="008D426F">
        <w:rPr>
          <w:i/>
          <w:iCs/>
        </w:rPr>
        <w:t>t</w:t>
      </w:r>
      <w:r w:rsidR="009473AD" w:rsidRPr="008D426F">
        <w:rPr>
          <w:i/>
          <w:iCs/>
        </w:rPr>
        <w:t>o designate provider type or specialty.</w:t>
      </w:r>
    </w:p>
    <w:p w14:paraId="6964F4EA" w14:textId="77777777" w:rsidR="009473AD" w:rsidRPr="005944F1" w:rsidRDefault="009473AD" w:rsidP="004F45B6">
      <w:pPr>
        <w:pStyle w:val="BodyText"/>
        <w:keepNext/>
        <w:keepLines/>
        <w:numPr>
          <w:ilvl w:val="0"/>
          <w:numId w:val="80"/>
        </w:numPr>
        <w:ind w:left="540"/>
      </w:pPr>
      <w:r w:rsidRPr="005944F1">
        <w:rPr>
          <w:b/>
          <w:bCs/>
        </w:rPr>
        <w:lastRenderedPageBreak/>
        <w:t>Class</w:t>
      </w:r>
      <w:r w:rsidRPr="005944F1">
        <w:t xml:space="preserve"> –This setting will identify the specific class of the provider.  This will determine the ability to select a provider in specific areas of the software including claims, prescriptions, Prov1 in the family file, and administrative contact. </w:t>
      </w:r>
    </w:p>
    <w:p w14:paraId="6114A77F" w14:textId="77777777" w:rsidR="009473AD" w:rsidRPr="005944F1" w:rsidRDefault="009473AD" w:rsidP="004F45B6">
      <w:pPr>
        <w:pStyle w:val="BodyText"/>
        <w:keepNext/>
        <w:keepLines/>
        <w:numPr>
          <w:ilvl w:val="1"/>
          <w:numId w:val="81"/>
        </w:numPr>
        <w:ind w:left="1080"/>
      </w:pPr>
      <w:r w:rsidRPr="005944F1">
        <w:t xml:space="preserve">Primary, for primary care providers, such as dentists </w:t>
      </w:r>
    </w:p>
    <w:p w14:paraId="706AA1F4" w14:textId="77777777" w:rsidR="009473AD" w:rsidRPr="005944F1" w:rsidRDefault="009473AD" w:rsidP="004F45B6">
      <w:pPr>
        <w:pStyle w:val="BodyText"/>
        <w:keepNext/>
        <w:keepLines/>
        <w:numPr>
          <w:ilvl w:val="1"/>
          <w:numId w:val="81"/>
        </w:numPr>
        <w:ind w:left="1080"/>
      </w:pPr>
      <w:r w:rsidRPr="005944F1">
        <w:t>Secondary, for secondary care providers, such as hygienists or residents.  Secondary providers are not eligible to include as a treating provider on Insurance claims.</w:t>
      </w:r>
    </w:p>
    <w:p w14:paraId="45D40048" w14:textId="48F2F2D0" w:rsidR="009473AD" w:rsidRPr="008D426F" w:rsidRDefault="00DB5737" w:rsidP="005944F1">
      <w:pPr>
        <w:pStyle w:val="BodyText"/>
        <w:ind w:left="540"/>
        <w:rPr>
          <w:i/>
          <w:iCs/>
        </w:rPr>
      </w:pPr>
      <w:r>
        <w:rPr>
          <w:noProof/>
        </w:rPr>
        <w:drawing>
          <wp:anchor distT="0" distB="0" distL="0" distR="91440" simplePos="0" relativeHeight="251887620" behindDoc="1" locked="0" layoutInCell="1" allowOverlap="1" wp14:anchorId="2B59E9A2" wp14:editId="6AE51BDE">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55005021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8D426F">
        <w:rPr>
          <w:b/>
          <w:bCs/>
          <w:i/>
          <w:iCs/>
        </w:rPr>
        <w:t>Operations Insight</w:t>
      </w:r>
      <w:r w:rsidR="008D426F" w:rsidRPr="008D426F">
        <w:rPr>
          <w:i/>
          <w:iCs/>
        </w:rPr>
        <w:t xml:space="preserve">: </w:t>
      </w:r>
      <w:r w:rsidR="009473AD" w:rsidRPr="008D426F">
        <w:rPr>
          <w:i/>
          <w:iCs/>
        </w:rPr>
        <w:t>Refer</w:t>
      </w:r>
      <w:r w:rsidR="008D426F" w:rsidRPr="008D426F">
        <w:rPr>
          <w:i/>
          <w:iCs/>
        </w:rPr>
        <w:t xml:space="preserve"> to the</w:t>
      </w:r>
      <w:r w:rsidR="009473AD" w:rsidRPr="008D426F">
        <w:rPr>
          <w:i/>
          <w:iCs/>
        </w:rPr>
        <w:t xml:space="preserve"> </w:t>
      </w:r>
      <w:r w:rsidR="008D426F" w:rsidRPr="008D426F">
        <w:rPr>
          <w:i/>
          <w:iCs/>
        </w:rPr>
        <w:t>“</w:t>
      </w:r>
      <w:r w:rsidR="009473AD" w:rsidRPr="008D426F">
        <w:rPr>
          <w:i/>
          <w:iCs/>
        </w:rPr>
        <w:t xml:space="preserve">Revenue Cycle </w:t>
      </w:r>
      <w:r w:rsidR="008D426F" w:rsidRPr="008D426F">
        <w:rPr>
          <w:i/>
          <w:iCs/>
        </w:rPr>
        <w:t>M</w:t>
      </w:r>
      <w:r w:rsidR="009473AD" w:rsidRPr="008D426F">
        <w:rPr>
          <w:i/>
          <w:iCs/>
        </w:rPr>
        <w:t>anagement</w:t>
      </w:r>
      <w:r w:rsidR="008D426F" w:rsidRPr="008D426F">
        <w:rPr>
          <w:i/>
          <w:iCs/>
        </w:rPr>
        <w:t xml:space="preserve">” section </w:t>
      </w:r>
      <w:r w:rsidR="009473AD" w:rsidRPr="008D426F">
        <w:rPr>
          <w:i/>
          <w:iCs/>
        </w:rPr>
        <w:t>for more insight into how provider class affects the claim process.</w:t>
      </w:r>
    </w:p>
    <w:p w14:paraId="711BA0B2" w14:textId="74431A06" w:rsidR="009473AD" w:rsidRPr="005944F1" w:rsidRDefault="009473AD" w:rsidP="004F45B6">
      <w:pPr>
        <w:pStyle w:val="BodyText"/>
        <w:numPr>
          <w:ilvl w:val="0"/>
          <w:numId w:val="80"/>
        </w:numPr>
        <w:ind w:left="540"/>
      </w:pPr>
      <w:r w:rsidRPr="005944F1">
        <w:rPr>
          <w:b/>
          <w:bCs/>
        </w:rPr>
        <w:t xml:space="preserve">Log </w:t>
      </w:r>
      <w:r w:rsidR="008D426F">
        <w:rPr>
          <w:b/>
          <w:bCs/>
        </w:rPr>
        <w:t>O</w:t>
      </w:r>
      <w:r w:rsidRPr="005944F1">
        <w:rPr>
          <w:b/>
          <w:bCs/>
        </w:rPr>
        <w:t>n User ID</w:t>
      </w:r>
      <w:r w:rsidRPr="005944F1">
        <w:t xml:space="preserve"> –</w:t>
      </w:r>
      <w:r w:rsidR="005944F1">
        <w:t xml:space="preserve"> </w:t>
      </w:r>
      <w:r w:rsidR="008D426F">
        <w:t>This is t</w:t>
      </w:r>
      <w:r w:rsidRPr="005944F1">
        <w:t xml:space="preserve">he ID that this provider will use to access Dentrix Enterprise. It is common </w:t>
      </w:r>
      <w:r w:rsidR="008D426F">
        <w:t xml:space="preserve">for the </w:t>
      </w:r>
      <w:r w:rsidR="008D426F" w:rsidRPr="008D426F">
        <w:rPr>
          <w:b/>
          <w:bCs/>
        </w:rPr>
        <w:t xml:space="preserve">Log On </w:t>
      </w:r>
      <w:r w:rsidRPr="008D426F">
        <w:rPr>
          <w:b/>
          <w:bCs/>
        </w:rPr>
        <w:t>User ID</w:t>
      </w:r>
      <w:r w:rsidRPr="005944F1">
        <w:t xml:space="preserve"> </w:t>
      </w:r>
      <w:r w:rsidR="008D426F">
        <w:t xml:space="preserve">to be the same as the provider’s </w:t>
      </w:r>
      <w:r w:rsidR="008D426F" w:rsidRPr="008D426F">
        <w:rPr>
          <w:b/>
          <w:bCs/>
        </w:rPr>
        <w:t>ID</w:t>
      </w:r>
      <w:r w:rsidRPr="005944F1">
        <w:t>.</w:t>
      </w:r>
    </w:p>
    <w:p w14:paraId="4BF0C500" w14:textId="39C285A8" w:rsidR="009473AD" w:rsidRPr="005944F1" w:rsidRDefault="009473AD" w:rsidP="004F45B6">
      <w:pPr>
        <w:pStyle w:val="BodyText"/>
        <w:numPr>
          <w:ilvl w:val="0"/>
          <w:numId w:val="80"/>
        </w:numPr>
        <w:ind w:left="540"/>
      </w:pPr>
      <w:r w:rsidRPr="005944F1">
        <w:rPr>
          <w:b/>
          <w:bCs/>
        </w:rPr>
        <w:t>Password</w:t>
      </w:r>
      <w:r w:rsidRPr="005944F1">
        <w:t xml:space="preserve"> –</w:t>
      </w:r>
      <w:r w:rsidR="008D426F">
        <w:t xml:space="preserve"> </w:t>
      </w:r>
      <w:r w:rsidRPr="005944F1">
        <w:t xml:space="preserve">The password must be 7 to 11 characters </w:t>
      </w:r>
      <w:r w:rsidR="008D426F">
        <w:t>long</w:t>
      </w:r>
      <w:r w:rsidRPr="005944F1">
        <w:t xml:space="preserve"> and meet three of the following four requirements: have at least one uppercase letter, have at least one lowercase letter, have at least one number, and have at least one special character (for example, #, %, or &amp;).</w:t>
      </w:r>
    </w:p>
    <w:p w14:paraId="6EC2600C" w14:textId="647E3D69" w:rsidR="009473AD" w:rsidRPr="005944F1" w:rsidRDefault="009473AD" w:rsidP="004F45B6">
      <w:pPr>
        <w:pStyle w:val="BodyText"/>
        <w:numPr>
          <w:ilvl w:val="0"/>
          <w:numId w:val="80"/>
        </w:numPr>
        <w:ind w:left="540"/>
      </w:pPr>
      <w:r w:rsidRPr="005944F1">
        <w:rPr>
          <w:b/>
          <w:bCs/>
        </w:rPr>
        <w:t>Active Directory Single Sign On</w:t>
      </w:r>
      <w:r w:rsidR="005944F1">
        <w:t xml:space="preserve"> </w:t>
      </w:r>
      <w:r w:rsidR="008D426F">
        <w:t>–</w:t>
      </w:r>
      <w:r w:rsidRPr="005944F1">
        <w:t xml:space="preserve"> With the integration of Lightweight Directory Access Protocol (LDAP) with Dentrix Enterprise, after you sign on to </w:t>
      </w:r>
      <w:r w:rsidR="008D426F">
        <w:t>W</w:t>
      </w:r>
      <w:r w:rsidRPr="005944F1">
        <w:t xml:space="preserve">indows, you can log in to Dentrix Enterprise without entering a user name and password.  </w:t>
      </w:r>
    </w:p>
    <w:p w14:paraId="31EB9E67" w14:textId="4F48CA0A" w:rsidR="009473AD" w:rsidRPr="008D426F" w:rsidRDefault="00DB5737" w:rsidP="005944F1">
      <w:pPr>
        <w:pStyle w:val="BodyText"/>
        <w:ind w:left="540"/>
        <w:rPr>
          <w:i/>
          <w:iCs/>
        </w:rPr>
      </w:pPr>
      <w:r>
        <w:rPr>
          <w:noProof/>
        </w:rPr>
        <w:drawing>
          <wp:anchor distT="0" distB="0" distL="0" distR="91440" simplePos="0" relativeHeight="251889668" behindDoc="1" locked="0" layoutInCell="1" allowOverlap="1" wp14:anchorId="367BB58E" wp14:editId="726B1280">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93113894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8D426F">
        <w:rPr>
          <w:b/>
          <w:bCs/>
          <w:i/>
          <w:iCs/>
        </w:rPr>
        <w:t>Operations Insight</w:t>
      </w:r>
      <w:r w:rsidR="008D426F" w:rsidRPr="008D426F">
        <w:rPr>
          <w:i/>
          <w:iCs/>
        </w:rPr>
        <w:t>:</w:t>
      </w:r>
      <w:r w:rsidR="009473AD" w:rsidRPr="008D426F">
        <w:rPr>
          <w:i/>
          <w:iCs/>
        </w:rPr>
        <w:t xml:space="preserve"> Once you turn on Single Sign On (SSO) you cannot go back to using Dentrix Enterprise without SSO.</w:t>
      </w:r>
    </w:p>
    <w:p w14:paraId="37289A94" w14:textId="4A4AB913" w:rsidR="009473AD" w:rsidRDefault="00DB5737" w:rsidP="005944F1">
      <w:pPr>
        <w:pStyle w:val="BodyText"/>
        <w:ind w:left="540"/>
        <w:rPr>
          <w:i/>
          <w:iCs/>
        </w:rPr>
      </w:pPr>
      <w:r>
        <w:rPr>
          <w:noProof/>
        </w:rPr>
        <w:drawing>
          <wp:anchor distT="0" distB="0" distL="0" distR="91440" simplePos="0" relativeHeight="251897860" behindDoc="1" locked="0" layoutInCell="1" allowOverlap="1" wp14:anchorId="2FAAF262" wp14:editId="10B1A646">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857510904"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8D426F">
        <w:rPr>
          <w:b/>
          <w:bCs/>
          <w:i/>
          <w:iCs/>
        </w:rPr>
        <w:t xml:space="preserve">Workflow </w:t>
      </w:r>
      <w:r w:rsidR="008D426F" w:rsidRPr="008D426F">
        <w:rPr>
          <w:b/>
          <w:bCs/>
          <w:i/>
          <w:iCs/>
        </w:rPr>
        <w:t>I</w:t>
      </w:r>
      <w:r w:rsidR="009473AD" w:rsidRPr="008D426F">
        <w:rPr>
          <w:b/>
          <w:bCs/>
          <w:i/>
          <w:iCs/>
        </w:rPr>
        <w:t>nsight</w:t>
      </w:r>
      <w:r w:rsidR="008D426F" w:rsidRPr="008D426F">
        <w:rPr>
          <w:i/>
          <w:iCs/>
        </w:rPr>
        <w:t>:</w:t>
      </w:r>
      <w:r w:rsidR="009473AD" w:rsidRPr="008D426F">
        <w:rPr>
          <w:i/>
          <w:iCs/>
        </w:rPr>
        <w:t xml:space="preserve"> Even though you will no longer enter credentials to log in to Dentrix Enterprise, you will still be required to enter your AD credentials when signing clinical notes and when entering temporary overrides for users to do tasks that they do not have rights to do normally.</w:t>
      </w:r>
    </w:p>
    <w:p w14:paraId="173A3FD4" w14:textId="6CF585E0" w:rsidR="00D550B4" w:rsidRPr="000365EC" w:rsidRDefault="00D550B4" w:rsidP="00C824DA">
      <w:pPr>
        <w:pStyle w:val="BodyText"/>
        <w:ind w:left="540"/>
        <w:rPr>
          <w:i/>
          <w:iCs/>
        </w:rPr>
      </w:pPr>
      <w:r w:rsidRPr="000365EC">
        <w:rPr>
          <w:b/>
          <w:bCs/>
          <w:i/>
          <w:iCs/>
          <w:noProof/>
        </w:rPr>
        <w:drawing>
          <wp:anchor distT="0" distB="0" distL="0" distR="91440" simplePos="0" relativeHeight="252093444" behindDoc="1" locked="0" layoutInCell="1" allowOverlap="1" wp14:anchorId="5430241C" wp14:editId="55E6210F">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441040002"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w:t>
      </w:r>
      <w:r w:rsidRPr="000365EC">
        <w:rPr>
          <w:i/>
          <w:iCs/>
        </w:rPr>
        <w:t xml:space="preserve">: </w:t>
      </w:r>
      <w:r w:rsidR="00C824DA" w:rsidRPr="000365EC">
        <w:rPr>
          <w:i/>
          <w:iCs/>
        </w:rPr>
        <w:t xml:space="preserve">In version 11.0.20.1047 (Component Update 7), specific areas of Dentrix Enterprise can now be accessed as independent modules, so they do not require the Office Manager </w:t>
      </w:r>
      <w:r w:rsidR="00554DD0" w:rsidRPr="000365EC">
        <w:rPr>
          <w:i/>
          <w:iCs/>
        </w:rPr>
        <w:t xml:space="preserve">to be opened </w:t>
      </w:r>
      <w:r w:rsidR="00C824DA" w:rsidRPr="000365EC">
        <w:rPr>
          <w:i/>
          <w:iCs/>
        </w:rPr>
        <w:t xml:space="preserve">first. </w:t>
      </w:r>
      <w:r w:rsidR="00554DD0" w:rsidRPr="000365EC">
        <w:rPr>
          <w:i/>
          <w:iCs/>
        </w:rPr>
        <w:t>The m</w:t>
      </w:r>
      <w:r w:rsidR="00C824DA" w:rsidRPr="000365EC">
        <w:rPr>
          <w:i/>
          <w:iCs/>
        </w:rPr>
        <w:t>odules that can be accessed independently include, but are not limited to</w:t>
      </w:r>
      <w:r w:rsidR="00554DD0" w:rsidRPr="000365EC">
        <w:rPr>
          <w:i/>
          <w:iCs/>
        </w:rPr>
        <w:t>,</w:t>
      </w:r>
      <w:r w:rsidR="00C824DA" w:rsidRPr="000365EC">
        <w:rPr>
          <w:i/>
          <w:iCs/>
        </w:rPr>
        <w:t xml:space="preserve"> Appointment Book, Family File, Ledger, Chart, More Information, </w:t>
      </w:r>
      <w:r w:rsidR="00554DD0" w:rsidRPr="000365EC">
        <w:rPr>
          <w:i/>
          <w:iCs/>
        </w:rPr>
        <w:t xml:space="preserve">and </w:t>
      </w:r>
      <w:r w:rsidR="00C824DA" w:rsidRPr="000365EC">
        <w:rPr>
          <w:i/>
          <w:iCs/>
        </w:rPr>
        <w:t>DXOne Reports.</w:t>
      </w:r>
    </w:p>
    <w:p w14:paraId="2BBEEC58" w14:textId="453BEFFA" w:rsidR="009473AD" w:rsidRPr="005944F1" w:rsidRDefault="009473AD" w:rsidP="004F45B6">
      <w:pPr>
        <w:pStyle w:val="BodyText"/>
        <w:numPr>
          <w:ilvl w:val="0"/>
          <w:numId w:val="80"/>
        </w:numPr>
        <w:ind w:left="540"/>
      </w:pPr>
      <w:r w:rsidRPr="005944F1">
        <w:rPr>
          <w:b/>
          <w:bCs/>
        </w:rPr>
        <w:t>Fee Schedule</w:t>
      </w:r>
      <w:r w:rsidRPr="005944F1">
        <w:t xml:space="preserve"> – </w:t>
      </w:r>
      <w:r w:rsidR="008D426F">
        <w:t>This is the provider’s default f</w:t>
      </w:r>
      <w:r w:rsidRPr="005944F1">
        <w:t xml:space="preserve">ee schedule.  </w:t>
      </w:r>
    </w:p>
    <w:p w14:paraId="567DB7DF" w14:textId="3C68CF62" w:rsidR="009473AD" w:rsidRPr="008D426F" w:rsidRDefault="00DB5737" w:rsidP="005944F1">
      <w:pPr>
        <w:pStyle w:val="BodyText"/>
        <w:ind w:left="540"/>
        <w:rPr>
          <w:i/>
          <w:iCs/>
        </w:rPr>
      </w:pPr>
      <w:r>
        <w:rPr>
          <w:noProof/>
        </w:rPr>
        <w:drawing>
          <wp:anchor distT="0" distB="0" distL="0" distR="91440" simplePos="0" relativeHeight="251891716" behindDoc="1" locked="0" layoutInCell="1" allowOverlap="1" wp14:anchorId="1BE8C6A2" wp14:editId="0A4482F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858453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8D426F">
        <w:rPr>
          <w:b/>
          <w:bCs/>
          <w:i/>
          <w:iCs/>
        </w:rPr>
        <w:t xml:space="preserve">Operations </w:t>
      </w:r>
      <w:r w:rsidR="008D426F" w:rsidRPr="008D426F">
        <w:rPr>
          <w:b/>
          <w:bCs/>
          <w:i/>
          <w:iCs/>
        </w:rPr>
        <w:t>I</w:t>
      </w:r>
      <w:r w:rsidR="009473AD" w:rsidRPr="008D426F">
        <w:rPr>
          <w:b/>
          <w:bCs/>
          <w:i/>
          <w:iCs/>
        </w:rPr>
        <w:t>nsight</w:t>
      </w:r>
      <w:r w:rsidR="008D426F" w:rsidRPr="008D426F">
        <w:rPr>
          <w:i/>
          <w:iCs/>
        </w:rPr>
        <w:t>:</w:t>
      </w:r>
      <w:r w:rsidR="009473AD" w:rsidRPr="008D426F">
        <w:rPr>
          <w:i/>
          <w:iCs/>
        </w:rPr>
        <w:t xml:space="preserve"> Fee schedules can be attached to insurance plans, providers, and patients.  Refer</w:t>
      </w:r>
      <w:r w:rsidR="008D426F" w:rsidRPr="008D426F">
        <w:rPr>
          <w:i/>
          <w:iCs/>
        </w:rPr>
        <w:t xml:space="preserve"> to the</w:t>
      </w:r>
      <w:r w:rsidR="009473AD" w:rsidRPr="008D426F">
        <w:rPr>
          <w:i/>
          <w:iCs/>
        </w:rPr>
        <w:t xml:space="preserve"> </w:t>
      </w:r>
      <w:r w:rsidR="008D426F" w:rsidRPr="008D426F">
        <w:rPr>
          <w:i/>
          <w:iCs/>
        </w:rPr>
        <w:t>“</w:t>
      </w:r>
      <w:r w:rsidR="009473AD" w:rsidRPr="008D426F">
        <w:rPr>
          <w:i/>
          <w:iCs/>
        </w:rPr>
        <w:t>Revenue Cycle Management</w:t>
      </w:r>
      <w:r w:rsidR="008D426F" w:rsidRPr="008D426F">
        <w:rPr>
          <w:i/>
          <w:iCs/>
        </w:rPr>
        <w:t>”</w:t>
      </w:r>
      <w:r w:rsidR="009473AD" w:rsidRPr="008D426F">
        <w:rPr>
          <w:i/>
          <w:iCs/>
        </w:rPr>
        <w:t xml:space="preserve"> and </w:t>
      </w:r>
      <w:r w:rsidR="008D426F" w:rsidRPr="008D426F">
        <w:rPr>
          <w:i/>
          <w:iCs/>
        </w:rPr>
        <w:t>“</w:t>
      </w:r>
      <w:r w:rsidR="009473AD" w:rsidRPr="008D426F">
        <w:rPr>
          <w:i/>
          <w:iCs/>
        </w:rPr>
        <w:t>Patient Records Management</w:t>
      </w:r>
      <w:r w:rsidR="008D426F" w:rsidRPr="008D426F">
        <w:rPr>
          <w:i/>
          <w:iCs/>
        </w:rPr>
        <w:t>” sections</w:t>
      </w:r>
      <w:r w:rsidR="009473AD" w:rsidRPr="008D426F">
        <w:rPr>
          <w:i/>
          <w:iCs/>
        </w:rPr>
        <w:t xml:space="preserve"> for more insight into fee schedule hierarchy</w:t>
      </w:r>
      <w:r w:rsidR="008D426F" w:rsidRPr="008D426F">
        <w:rPr>
          <w:i/>
          <w:iCs/>
        </w:rPr>
        <w:t xml:space="preserve"> and usage</w:t>
      </w:r>
      <w:r w:rsidR="009473AD" w:rsidRPr="008D426F">
        <w:rPr>
          <w:i/>
          <w:iCs/>
        </w:rPr>
        <w:t>.</w:t>
      </w:r>
    </w:p>
    <w:p w14:paraId="3003BFED" w14:textId="2A9F5271" w:rsidR="009473AD" w:rsidRPr="005944F1" w:rsidRDefault="009473AD" w:rsidP="004F45B6">
      <w:pPr>
        <w:pStyle w:val="BodyText"/>
        <w:numPr>
          <w:ilvl w:val="0"/>
          <w:numId w:val="80"/>
        </w:numPr>
        <w:ind w:left="540"/>
      </w:pPr>
      <w:r w:rsidRPr="005944F1">
        <w:rPr>
          <w:b/>
          <w:bCs/>
        </w:rPr>
        <w:t>Clinic</w:t>
      </w:r>
      <w:r w:rsidRPr="005944F1">
        <w:t xml:space="preserve"> – T</w:t>
      </w:r>
      <w:r w:rsidR="008D426F">
        <w:t>his is t</w:t>
      </w:r>
      <w:r w:rsidRPr="005944F1">
        <w:t xml:space="preserve">he primary clinic where </w:t>
      </w:r>
      <w:r w:rsidR="008D426F">
        <w:t>the</w:t>
      </w:r>
      <w:r w:rsidRPr="005944F1">
        <w:t xml:space="preserve"> provider will work. </w:t>
      </w:r>
      <w:r w:rsidR="008D426F">
        <w:t xml:space="preserve">If you are adding a new provider, </w:t>
      </w:r>
      <w:r w:rsidRPr="005944F1">
        <w:t xml:space="preserve">the </w:t>
      </w:r>
      <w:r w:rsidR="008D426F">
        <w:t>clinic that you are logged in to currently is selected by default</w:t>
      </w:r>
      <w:r w:rsidRPr="005944F1">
        <w:t>. The assigned clinic will not limit the provider’s ability</w:t>
      </w:r>
      <w:r w:rsidR="00DE69BA">
        <w:t xml:space="preserve"> to</w:t>
      </w:r>
      <w:r w:rsidRPr="005944F1">
        <w:t xml:space="preserve"> work in other clinics. Security and other settings determine access to data, scheduling, and which clinics a provider is available for selection</w:t>
      </w:r>
      <w:r w:rsidR="008D426F">
        <w:t xml:space="preserve"> in</w:t>
      </w:r>
      <w:r w:rsidRPr="005944F1">
        <w:t xml:space="preserve">.  </w:t>
      </w:r>
    </w:p>
    <w:p w14:paraId="781C4A20" w14:textId="5DFBACC4" w:rsidR="008D426F" w:rsidRDefault="009473AD" w:rsidP="004F45B6">
      <w:pPr>
        <w:pStyle w:val="BodyText"/>
        <w:numPr>
          <w:ilvl w:val="0"/>
          <w:numId w:val="82"/>
        </w:numPr>
        <w:ind w:left="540"/>
      </w:pPr>
      <w:r w:rsidRPr="008D426F">
        <w:rPr>
          <w:b/>
          <w:bCs/>
        </w:rPr>
        <w:t>Identification/credentialing numbers</w:t>
      </w:r>
      <w:r w:rsidRPr="005944F1">
        <w:t xml:space="preserve"> </w:t>
      </w:r>
      <w:r w:rsidR="008D426F">
        <w:t xml:space="preserve">– </w:t>
      </w:r>
      <w:r w:rsidRPr="005944F1">
        <w:t>These numbers identify who the provider is and</w:t>
      </w:r>
      <w:r w:rsidR="00277CEB">
        <w:t xml:space="preserve"> are</w:t>
      </w:r>
      <w:r w:rsidRPr="005944F1">
        <w:t xml:space="preserve"> required for </w:t>
      </w:r>
      <w:r w:rsidR="008D426F">
        <w:t>i</w:t>
      </w:r>
      <w:r w:rsidRPr="005944F1">
        <w:t>nsurance processing, electronic prescriptions</w:t>
      </w:r>
      <w:r w:rsidR="008D426F">
        <w:t>,</w:t>
      </w:r>
      <w:r w:rsidRPr="005944F1">
        <w:t xml:space="preserve"> and other forms as needed.</w:t>
      </w:r>
    </w:p>
    <w:p w14:paraId="21568AEE" w14:textId="4B61DA09" w:rsidR="009473AD" w:rsidRPr="005944F1" w:rsidRDefault="009473AD" w:rsidP="004F45B6">
      <w:pPr>
        <w:pStyle w:val="BodyText"/>
        <w:numPr>
          <w:ilvl w:val="1"/>
          <w:numId w:val="82"/>
        </w:numPr>
        <w:ind w:left="1080"/>
      </w:pPr>
      <w:r w:rsidRPr="00277CEB">
        <w:rPr>
          <w:b/>
          <w:bCs/>
        </w:rPr>
        <w:t>TIN</w:t>
      </w:r>
      <w:r w:rsidR="00277CEB" w:rsidRPr="00277CEB">
        <w:rPr>
          <w:b/>
          <w:bCs/>
        </w:rPr>
        <w:t xml:space="preserve"> #</w:t>
      </w:r>
      <w:r w:rsidR="00277CEB">
        <w:t xml:space="preserve"> – Refer to the “Clinic Information – Clinic Settings Tab” section.</w:t>
      </w:r>
    </w:p>
    <w:p w14:paraId="101C9B10" w14:textId="24C9F205" w:rsidR="009473AD" w:rsidRDefault="009473AD" w:rsidP="004F45B6">
      <w:pPr>
        <w:pStyle w:val="BodyText"/>
        <w:numPr>
          <w:ilvl w:val="1"/>
          <w:numId w:val="82"/>
        </w:numPr>
        <w:ind w:left="1080"/>
      </w:pPr>
      <w:r w:rsidRPr="00277CEB">
        <w:rPr>
          <w:b/>
          <w:bCs/>
        </w:rPr>
        <w:t xml:space="preserve">State ID #, State, and State </w:t>
      </w:r>
      <w:r w:rsidR="00277CEB" w:rsidRPr="00277CEB">
        <w:rPr>
          <w:b/>
          <w:bCs/>
        </w:rPr>
        <w:t xml:space="preserve">License </w:t>
      </w:r>
      <w:r w:rsidRPr="00277CEB">
        <w:rPr>
          <w:b/>
          <w:bCs/>
        </w:rPr>
        <w:t>Expiration</w:t>
      </w:r>
      <w:r w:rsidR="00277CEB">
        <w:t xml:space="preserve"> – </w:t>
      </w:r>
      <w:r w:rsidRPr="005944F1">
        <w:t xml:space="preserve">License information to practice </w:t>
      </w:r>
      <w:r w:rsidR="00277CEB">
        <w:t>d</w:t>
      </w:r>
      <w:r w:rsidRPr="005944F1">
        <w:t>entistry</w:t>
      </w:r>
      <w:r w:rsidR="00277CEB">
        <w:t>.</w:t>
      </w:r>
    </w:p>
    <w:p w14:paraId="725667C8" w14:textId="2E4FE7FA" w:rsidR="00277CEB" w:rsidRPr="005944F1" w:rsidRDefault="00277CEB" w:rsidP="004F45B6">
      <w:pPr>
        <w:pStyle w:val="BodyText"/>
        <w:numPr>
          <w:ilvl w:val="1"/>
          <w:numId w:val="82"/>
        </w:numPr>
        <w:ind w:left="1080"/>
      </w:pPr>
      <w:r w:rsidRPr="00277CEB">
        <w:rPr>
          <w:b/>
          <w:bCs/>
        </w:rPr>
        <w:t>Medicaid #</w:t>
      </w:r>
      <w:r>
        <w:t>.</w:t>
      </w:r>
    </w:p>
    <w:p w14:paraId="34757D0B" w14:textId="7D9E0BF2" w:rsidR="009473AD" w:rsidRPr="005944F1" w:rsidRDefault="009473AD" w:rsidP="004F45B6">
      <w:pPr>
        <w:pStyle w:val="BodyText"/>
        <w:numPr>
          <w:ilvl w:val="1"/>
          <w:numId w:val="82"/>
        </w:numPr>
        <w:ind w:left="1080"/>
      </w:pPr>
      <w:r w:rsidRPr="00277CEB">
        <w:rPr>
          <w:b/>
          <w:bCs/>
        </w:rPr>
        <w:t>DEA #</w:t>
      </w:r>
      <w:r w:rsidR="00277CEB" w:rsidRPr="00277CEB">
        <w:rPr>
          <w:b/>
          <w:bCs/>
        </w:rPr>
        <w:t xml:space="preserve"> and</w:t>
      </w:r>
      <w:r w:rsidRPr="00277CEB">
        <w:rPr>
          <w:b/>
          <w:bCs/>
        </w:rPr>
        <w:t xml:space="preserve"> </w:t>
      </w:r>
      <w:r w:rsidR="00277CEB" w:rsidRPr="00277CEB">
        <w:rPr>
          <w:b/>
          <w:bCs/>
        </w:rPr>
        <w:t xml:space="preserve">DEA </w:t>
      </w:r>
      <w:r w:rsidRPr="00277CEB">
        <w:rPr>
          <w:b/>
          <w:bCs/>
        </w:rPr>
        <w:t>License Expiration</w:t>
      </w:r>
      <w:r w:rsidR="00277CEB">
        <w:t xml:space="preserve"> – These are r</w:t>
      </w:r>
      <w:r w:rsidRPr="005944F1">
        <w:t>equired for e</w:t>
      </w:r>
      <w:r w:rsidR="00277CEB">
        <w:t>P</w:t>
      </w:r>
      <w:r w:rsidRPr="005944F1">
        <w:t>rescribe. Any dentist who prescribes controlled substances in Schedules II, III, IV, or V must register with the Drug Enforcement Administration (DEA) every three years.</w:t>
      </w:r>
    </w:p>
    <w:p w14:paraId="4768A4B0" w14:textId="3337A2FA" w:rsidR="009473AD" w:rsidRPr="005944F1" w:rsidRDefault="009473AD" w:rsidP="004F45B6">
      <w:pPr>
        <w:pStyle w:val="BodyText"/>
        <w:numPr>
          <w:ilvl w:val="1"/>
          <w:numId w:val="82"/>
        </w:numPr>
        <w:ind w:left="1080"/>
      </w:pPr>
      <w:r w:rsidRPr="00277CEB">
        <w:rPr>
          <w:b/>
          <w:bCs/>
        </w:rPr>
        <w:lastRenderedPageBreak/>
        <w:t>NPI</w:t>
      </w:r>
      <w:r w:rsidR="00277CEB">
        <w:t xml:space="preserve"> – A</w:t>
      </w:r>
      <w:r w:rsidRPr="005944F1">
        <w:t>n identifier assigned by the Federal government to all providers considered to be HIPAA</w:t>
      </w:r>
      <w:r w:rsidR="00277CEB">
        <w:t>-</w:t>
      </w:r>
      <w:r w:rsidRPr="005944F1">
        <w:t>covered entities</w:t>
      </w:r>
      <w:r w:rsidR="00277CEB">
        <w:t>. Refer to the “Clinic Information – Clinic Settings Tab” section.</w:t>
      </w:r>
    </w:p>
    <w:p w14:paraId="1482DD37" w14:textId="069A3C34" w:rsidR="009473AD" w:rsidRPr="005944F1" w:rsidRDefault="009473AD" w:rsidP="004F45B6">
      <w:pPr>
        <w:pStyle w:val="BodyText"/>
        <w:numPr>
          <w:ilvl w:val="1"/>
          <w:numId w:val="82"/>
        </w:numPr>
        <w:ind w:left="1080"/>
      </w:pPr>
      <w:r w:rsidRPr="00277CEB">
        <w:rPr>
          <w:b/>
          <w:bCs/>
        </w:rPr>
        <w:t>Blue Cross</w:t>
      </w:r>
      <w:r w:rsidR="00277CEB" w:rsidRPr="00277CEB">
        <w:rPr>
          <w:b/>
          <w:bCs/>
        </w:rPr>
        <w:t xml:space="preserve"> ID # or </w:t>
      </w:r>
      <w:r w:rsidRPr="00277CEB">
        <w:rPr>
          <w:b/>
          <w:bCs/>
        </w:rPr>
        <w:t>Blue Shield ID #</w:t>
      </w:r>
      <w:r w:rsidRPr="005944F1">
        <w:t xml:space="preserve"> </w:t>
      </w:r>
      <w:r w:rsidR="00277CEB">
        <w:t xml:space="preserve">– You </w:t>
      </w:r>
      <w:r w:rsidRPr="005944F1">
        <w:t>must select one or the other</w:t>
      </w:r>
      <w:r w:rsidR="00277CEB">
        <w:t>.</w:t>
      </w:r>
    </w:p>
    <w:p w14:paraId="7B6D4252" w14:textId="00205BAA" w:rsidR="009473AD" w:rsidRPr="005944F1" w:rsidRDefault="009473AD" w:rsidP="004F45B6">
      <w:pPr>
        <w:pStyle w:val="BodyText"/>
        <w:numPr>
          <w:ilvl w:val="1"/>
          <w:numId w:val="82"/>
        </w:numPr>
        <w:ind w:left="1080"/>
      </w:pPr>
      <w:r w:rsidRPr="00277CEB">
        <w:rPr>
          <w:b/>
          <w:bCs/>
        </w:rPr>
        <w:t>Provider</w:t>
      </w:r>
      <w:r w:rsidR="00277CEB" w:rsidRPr="00277CEB">
        <w:rPr>
          <w:b/>
          <w:bCs/>
        </w:rPr>
        <w:t xml:space="preserve"> #</w:t>
      </w:r>
      <w:r w:rsidRPr="00277CEB">
        <w:rPr>
          <w:b/>
          <w:bCs/>
        </w:rPr>
        <w:t>, Office</w:t>
      </w:r>
      <w:r w:rsidR="00277CEB" w:rsidRPr="00277CEB">
        <w:rPr>
          <w:b/>
          <w:bCs/>
        </w:rPr>
        <w:t xml:space="preserve"> #</w:t>
      </w:r>
      <w:r w:rsidRPr="00277CEB">
        <w:rPr>
          <w:b/>
          <w:bCs/>
        </w:rPr>
        <w:t xml:space="preserve">, </w:t>
      </w:r>
      <w:r w:rsidR="00277CEB" w:rsidRPr="00277CEB">
        <w:rPr>
          <w:b/>
          <w:bCs/>
        </w:rPr>
        <w:t xml:space="preserve">and </w:t>
      </w:r>
      <w:r w:rsidRPr="00277CEB">
        <w:rPr>
          <w:b/>
          <w:bCs/>
        </w:rPr>
        <w:t>Other #</w:t>
      </w:r>
      <w:r w:rsidR="00277CEB">
        <w:t xml:space="preserve"> – </w:t>
      </w:r>
      <w:r w:rsidRPr="005944F1">
        <w:t>Th</w:t>
      </w:r>
      <w:r w:rsidR="00277CEB">
        <w:t>ese are</w:t>
      </w:r>
      <w:r w:rsidRPr="005944F1">
        <w:t xml:space="preserve"> identifier</w:t>
      </w:r>
      <w:r w:rsidR="00277CEB">
        <w:t>s</w:t>
      </w:r>
      <w:r w:rsidRPr="005944F1">
        <w:t xml:space="preserve"> assigned to the billing dentist or dental entity other than a Social Security Number (SSN) or Tax Identification Number (TIN).  The additional identifier is sometimes referred to as a Legacy Identifier (LID). LIDs may not be unique as they are assigned by different entities (</w:t>
      </w:r>
      <w:r w:rsidR="00277CEB">
        <w:t>such as a</w:t>
      </w:r>
      <w:r w:rsidRPr="005944F1">
        <w:t xml:space="preserve"> third-party payer</w:t>
      </w:r>
      <w:r w:rsidR="00277CEB">
        <w:t xml:space="preserve"> or the</w:t>
      </w:r>
      <w:r w:rsidRPr="005944F1">
        <w:t xml:space="preserve"> federal government). Some Legacy IDs have an intrinsic meaning.</w:t>
      </w:r>
    </w:p>
    <w:p w14:paraId="29963E99" w14:textId="26830D7F" w:rsidR="009473AD" w:rsidRPr="005944F1" w:rsidRDefault="009473AD" w:rsidP="004F45B6">
      <w:pPr>
        <w:pStyle w:val="BodyText"/>
        <w:numPr>
          <w:ilvl w:val="1"/>
          <w:numId w:val="82"/>
        </w:numPr>
        <w:ind w:left="1080"/>
      </w:pPr>
      <w:r w:rsidRPr="00277CEB">
        <w:rPr>
          <w:b/>
          <w:bCs/>
        </w:rPr>
        <w:t>UPIN#</w:t>
      </w:r>
      <w:r w:rsidR="00277CEB">
        <w:t xml:space="preserve"> – This is a</w:t>
      </w:r>
      <w:r w:rsidRPr="005944F1">
        <w:t xml:space="preserve"> unique physician identification number (UPIN)</w:t>
      </w:r>
      <w:r w:rsidR="00277CEB">
        <w:t>. It is</w:t>
      </w:r>
      <w:r w:rsidRPr="005944F1">
        <w:t xml:space="preserve"> a six-character alphanumeric identifier </w:t>
      </w:r>
      <w:r w:rsidR="00277CEB">
        <w:t xml:space="preserve">that was </w:t>
      </w:r>
      <w:r w:rsidRPr="005944F1">
        <w:t xml:space="preserve">used by Medicare to identify doctors in the United States. </w:t>
      </w:r>
      <w:r w:rsidR="00277CEB">
        <w:t>UPINs</w:t>
      </w:r>
      <w:r w:rsidRPr="005944F1">
        <w:t xml:space="preserve"> were discontinued in June 2007 and replaced by National Provider Identifier</w:t>
      </w:r>
      <w:r w:rsidR="00277CEB">
        <w:t>s</w:t>
      </w:r>
      <w:r w:rsidRPr="005944F1">
        <w:t xml:space="preserve"> </w:t>
      </w:r>
      <w:r w:rsidR="00277CEB">
        <w:t>(</w:t>
      </w:r>
      <w:r w:rsidRPr="005944F1">
        <w:t>NPI</w:t>
      </w:r>
      <w:r w:rsidR="00277CEB">
        <w:t>)</w:t>
      </w:r>
      <w:r w:rsidRPr="005944F1">
        <w:t>.</w:t>
      </w:r>
    </w:p>
    <w:p w14:paraId="19B98D0D" w14:textId="4CF49B6E" w:rsidR="009473AD" w:rsidRPr="00277CEB" w:rsidRDefault="00DB5737" w:rsidP="005944F1">
      <w:pPr>
        <w:pStyle w:val="BodyText"/>
        <w:ind w:left="720"/>
        <w:rPr>
          <w:i/>
          <w:iCs/>
          <w:sz w:val="18"/>
          <w:szCs w:val="18"/>
        </w:rPr>
      </w:pPr>
      <w:r>
        <w:rPr>
          <w:noProof/>
        </w:rPr>
        <w:drawing>
          <wp:anchor distT="0" distB="0" distL="0" distR="91440" simplePos="0" relativeHeight="251893764" behindDoc="1" locked="0" layoutInCell="1" allowOverlap="1" wp14:anchorId="5EFBA998" wp14:editId="016094F9">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5245351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277CEB">
        <w:rPr>
          <w:b/>
          <w:bCs/>
          <w:i/>
          <w:iCs/>
        </w:rPr>
        <w:t xml:space="preserve">Operations </w:t>
      </w:r>
      <w:r w:rsidR="00277CEB" w:rsidRPr="00277CEB">
        <w:rPr>
          <w:b/>
          <w:bCs/>
          <w:i/>
          <w:iCs/>
        </w:rPr>
        <w:t>I</w:t>
      </w:r>
      <w:r w:rsidR="009473AD" w:rsidRPr="00277CEB">
        <w:rPr>
          <w:b/>
          <w:bCs/>
          <w:i/>
          <w:iCs/>
        </w:rPr>
        <w:t>nsight</w:t>
      </w:r>
      <w:r w:rsidR="00277CEB" w:rsidRPr="00277CEB">
        <w:rPr>
          <w:i/>
          <w:iCs/>
        </w:rPr>
        <w:t xml:space="preserve">: </w:t>
      </w:r>
      <w:r w:rsidR="009473AD" w:rsidRPr="00277CEB">
        <w:rPr>
          <w:i/>
          <w:iCs/>
        </w:rPr>
        <w:t>Refer</w:t>
      </w:r>
      <w:r w:rsidR="00277CEB" w:rsidRPr="00277CEB">
        <w:rPr>
          <w:i/>
          <w:iCs/>
        </w:rPr>
        <w:t xml:space="preserve"> to the</w:t>
      </w:r>
      <w:r w:rsidR="009473AD" w:rsidRPr="00277CEB">
        <w:rPr>
          <w:i/>
          <w:iCs/>
        </w:rPr>
        <w:t xml:space="preserve"> </w:t>
      </w:r>
      <w:r w:rsidR="00277CEB" w:rsidRPr="00277CEB">
        <w:rPr>
          <w:i/>
          <w:iCs/>
        </w:rPr>
        <w:t>“</w:t>
      </w:r>
      <w:r w:rsidR="009473AD" w:rsidRPr="00277CEB">
        <w:rPr>
          <w:i/>
          <w:iCs/>
        </w:rPr>
        <w:t>Revenue Cycle Management</w:t>
      </w:r>
      <w:r w:rsidR="00277CEB" w:rsidRPr="00277CEB">
        <w:rPr>
          <w:i/>
          <w:iCs/>
        </w:rPr>
        <w:t>” section</w:t>
      </w:r>
      <w:r w:rsidR="009473AD" w:rsidRPr="00277CEB">
        <w:rPr>
          <w:i/>
          <w:iCs/>
        </w:rPr>
        <w:t xml:space="preserve"> for more insight into specific claim</w:t>
      </w:r>
      <w:r w:rsidR="00277CEB" w:rsidRPr="00277CEB">
        <w:rPr>
          <w:i/>
          <w:iCs/>
        </w:rPr>
        <w:t xml:space="preserve"> and </w:t>
      </w:r>
      <w:r w:rsidR="009473AD" w:rsidRPr="00277CEB">
        <w:rPr>
          <w:i/>
          <w:iCs/>
        </w:rPr>
        <w:t>billing setup needs.</w:t>
      </w:r>
    </w:p>
    <w:p w14:paraId="7678079A" w14:textId="52039DFC" w:rsidR="00FF6EC3" w:rsidRPr="00FF6EC3" w:rsidRDefault="009473AD" w:rsidP="00D42C5A">
      <w:pPr>
        <w:pStyle w:val="Heading3"/>
      </w:pPr>
      <w:bookmarkStart w:id="234" w:name="_Toc135416741"/>
      <w:bookmarkStart w:id="235" w:name="_Toc166834396"/>
      <w:r w:rsidRPr="3BF7DB7F">
        <w:t>Staff Setup</w:t>
      </w:r>
      <w:bookmarkEnd w:id="234"/>
      <w:bookmarkEnd w:id="235"/>
    </w:p>
    <w:p w14:paraId="7E64DAD9" w14:textId="1146B1DE" w:rsidR="009473AD" w:rsidRDefault="009473AD" w:rsidP="00FF6EC3">
      <w:pPr>
        <w:pStyle w:val="BodyText"/>
      </w:pPr>
      <w:r w:rsidRPr="3BF7DB7F">
        <w:t>Staff members are employees who have not been entered as providers and anyone who will need</w:t>
      </w:r>
      <w:r>
        <w:t xml:space="preserve"> access </w:t>
      </w:r>
      <w:r w:rsidR="00277CEB">
        <w:t>to</w:t>
      </w:r>
      <w:r>
        <w:t xml:space="preserve"> Dentrix Enterprise. </w:t>
      </w:r>
      <w:r w:rsidR="00277CEB">
        <w:t>You set up a staff member in</w:t>
      </w:r>
      <w:r w:rsidRPr="3BF7DB7F">
        <w:t xml:space="preserve"> a single clinic no matter how many locations they may work in or need access to.   </w:t>
      </w:r>
    </w:p>
    <w:p w14:paraId="15E97543" w14:textId="53AE258A" w:rsidR="009473AD" w:rsidRPr="006F33C6" w:rsidRDefault="00DB5737" w:rsidP="00F3166B">
      <w:pPr>
        <w:pStyle w:val="BodyText"/>
        <w:rPr>
          <w:i/>
          <w:iCs/>
          <w:u w:val="single"/>
        </w:rPr>
      </w:pPr>
      <w:r>
        <w:rPr>
          <w:noProof/>
        </w:rPr>
        <w:drawing>
          <wp:anchor distT="0" distB="0" distL="0" distR="91440" simplePos="0" relativeHeight="251895812" behindDoc="1" locked="0" layoutInCell="1" allowOverlap="1" wp14:anchorId="5AE31059" wp14:editId="713FCF2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34669492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6F33C6">
        <w:rPr>
          <w:b/>
          <w:bCs/>
          <w:i/>
          <w:iCs/>
        </w:rPr>
        <w:t xml:space="preserve">Operations </w:t>
      </w:r>
      <w:r w:rsidR="00277CEB" w:rsidRPr="006F33C6">
        <w:rPr>
          <w:b/>
          <w:bCs/>
          <w:i/>
          <w:iCs/>
        </w:rPr>
        <w:t>I</w:t>
      </w:r>
      <w:r w:rsidR="009473AD" w:rsidRPr="006F33C6">
        <w:rPr>
          <w:b/>
          <w:bCs/>
          <w:i/>
          <w:iCs/>
        </w:rPr>
        <w:t>nsight</w:t>
      </w:r>
      <w:r w:rsidR="00277CEB" w:rsidRPr="006F33C6">
        <w:rPr>
          <w:i/>
          <w:iCs/>
        </w:rPr>
        <w:t>:</w:t>
      </w:r>
      <w:r w:rsidR="009473AD" w:rsidRPr="006F33C6">
        <w:rPr>
          <w:i/>
          <w:iCs/>
        </w:rPr>
        <w:t xml:space="preserve"> </w:t>
      </w:r>
      <w:r w:rsidR="00277CEB" w:rsidRPr="006F33C6">
        <w:rPr>
          <w:i/>
          <w:iCs/>
        </w:rPr>
        <w:t>A</w:t>
      </w:r>
      <w:r w:rsidR="009473AD" w:rsidRPr="006F33C6">
        <w:rPr>
          <w:i/>
          <w:iCs/>
        </w:rPr>
        <w:t>nyone</w:t>
      </w:r>
      <w:r w:rsidR="00277CEB" w:rsidRPr="006F33C6">
        <w:rPr>
          <w:i/>
          <w:iCs/>
        </w:rPr>
        <w:t xml:space="preserve"> (such as third-party venders, trainers, and IT)</w:t>
      </w:r>
      <w:r w:rsidR="009473AD" w:rsidRPr="006F33C6">
        <w:rPr>
          <w:i/>
          <w:iCs/>
        </w:rPr>
        <w:t xml:space="preserve"> who </w:t>
      </w:r>
      <w:r w:rsidR="00277CEB" w:rsidRPr="006F33C6">
        <w:rPr>
          <w:i/>
          <w:iCs/>
        </w:rPr>
        <w:t>needs to access Dentrix Enterprise</w:t>
      </w:r>
      <w:r w:rsidR="009473AD" w:rsidRPr="006F33C6">
        <w:rPr>
          <w:i/>
          <w:iCs/>
        </w:rPr>
        <w:t xml:space="preserve"> should have a user ID and password. </w:t>
      </w:r>
      <w:r w:rsidR="00277CEB" w:rsidRPr="006F33C6">
        <w:rPr>
          <w:i/>
          <w:iCs/>
        </w:rPr>
        <w:t xml:space="preserve">Do not use the </w:t>
      </w:r>
      <w:r w:rsidR="009473AD" w:rsidRPr="006F33C6">
        <w:rPr>
          <w:i/>
          <w:iCs/>
        </w:rPr>
        <w:t>Enterprise</w:t>
      </w:r>
      <w:r w:rsidR="006F33C6" w:rsidRPr="006F33C6">
        <w:rPr>
          <w:i/>
          <w:iCs/>
        </w:rPr>
        <w:t xml:space="preserve"> user</w:t>
      </w:r>
      <w:r w:rsidR="009473AD" w:rsidRPr="006F33C6">
        <w:rPr>
          <w:i/>
          <w:iCs/>
        </w:rPr>
        <w:t xml:space="preserve"> as a “universal” log in for users</w:t>
      </w:r>
      <w:r w:rsidR="006F33C6" w:rsidRPr="006F33C6">
        <w:rPr>
          <w:i/>
          <w:iCs/>
        </w:rPr>
        <w:t>. Also, for security purposes, we recommend that you do not share</w:t>
      </w:r>
      <w:r w:rsidR="009473AD" w:rsidRPr="006F33C6">
        <w:rPr>
          <w:i/>
          <w:iCs/>
        </w:rPr>
        <w:t xml:space="preserve"> user ID and passwords between multiple users.</w:t>
      </w:r>
    </w:p>
    <w:p w14:paraId="47A35338" w14:textId="343B223D" w:rsidR="00FF6EC3" w:rsidRDefault="009473AD" w:rsidP="00D42C5A">
      <w:pPr>
        <w:pStyle w:val="Heading3"/>
      </w:pPr>
      <w:bookmarkStart w:id="236" w:name="_Toc135416742"/>
      <w:bookmarkStart w:id="237" w:name="_Toc166834397"/>
      <w:r w:rsidRPr="3BF7DB7F">
        <w:t>Operatory Setup</w:t>
      </w:r>
      <w:bookmarkEnd w:id="236"/>
      <w:bookmarkEnd w:id="237"/>
    </w:p>
    <w:p w14:paraId="2DEE20CE" w14:textId="32E7982D" w:rsidR="009473AD" w:rsidRPr="00F3166B" w:rsidRDefault="009473AD" w:rsidP="00F3166B">
      <w:pPr>
        <w:pStyle w:val="BodyText"/>
      </w:pPr>
      <w:r w:rsidRPr="3BF7DB7F">
        <w:t xml:space="preserve">Operatories are columns in a schedule that allow for patient scheduling. </w:t>
      </w:r>
      <w:r w:rsidR="006F33C6">
        <w:t>Appointments cannot overlap in a column. Determine</w:t>
      </w:r>
      <w:r w:rsidRPr="3BF7DB7F">
        <w:t xml:space="preserve"> the number of columns </w:t>
      </w:r>
      <w:r w:rsidR="006F33C6">
        <w:t xml:space="preserve">you need </w:t>
      </w:r>
      <w:r w:rsidRPr="3BF7DB7F">
        <w:t xml:space="preserve">based on the number of patients to be seen at any given time. Operatories </w:t>
      </w:r>
      <w:r w:rsidR="006F33C6">
        <w:t>appear</w:t>
      </w:r>
      <w:r w:rsidRPr="3BF7DB7F">
        <w:t xml:space="preserve"> from left to right </w:t>
      </w:r>
      <w:r w:rsidR="006F33C6">
        <w:t>alphabetically in Appointment Book</w:t>
      </w:r>
      <w:r w:rsidRPr="3BF7DB7F">
        <w:t>.</w:t>
      </w:r>
      <w:r w:rsidR="006F33C6">
        <w:t xml:space="preserve"> </w:t>
      </w:r>
      <w:r w:rsidRPr="3BF7DB7F">
        <w:t xml:space="preserve">An </w:t>
      </w:r>
      <w:r w:rsidR="006F33C6">
        <w:t>o</w:t>
      </w:r>
      <w:r w:rsidRPr="3BF7DB7F">
        <w:t>perator</w:t>
      </w:r>
      <w:r w:rsidR="006F33C6">
        <w:t>y</w:t>
      </w:r>
      <w:r w:rsidRPr="3BF7DB7F">
        <w:t xml:space="preserve"> </w:t>
      </w:r>
      <w:r w:rsidR="006F33C6">
        <w:t>ID</w:t>
      </w:r>
      <w:r w:rsidRPr="3BF7DB7F">
        <w:t xml:space="preserve"> cannot be repeated even across other clinics. Consider prefixing </w:t>
      </w:r>
      <w:r w:rsidR="006F33C6">
        <w:t xml:space="preserve">the ID </w:t>
      </w:r>
      <w:r w:rsidRPr="3BF7DB7F">
        <w:t>with the clinic ID.</w:t>
      </w:r>
    </w:p>
    <w:p w14:paraId="46D1B414" w14:textId="0E854316" w:rsidR="00F3166B" w:rsidRDefault="00F3166B" w:rsidP="004267C0">
      <w:pPr>
        <w:pStyle w:val="Heading2"/>
      </w:pPr>
      <w:bookmarkStart w:id="238" w:name="_Toc135416743"/>
      <w:bookmarkStart w:id="239" w:name="Definitions"/>
      <w:bookmarkStart w:id="240" w:name="_Toc166834398"/>
      <w:r w:rsidRPr="004D3D1C">
        <w:t>Dentrix Enterprise Configuration</w:t>
      </w:r>
      <w:bookmarkEnd w:id="238"/>
      <w:bookmarkEnd w:id="240"/>
    </w:p>
    <w:p w14:paraId="444B45AC" w14:textId="77777777" w:rsidR="00F3166B" w:rsidRDefault="00F3166B" w:rsidP="00D42C5A">
      <w:pPr>
        <w:pStyle w:val="Heading3"/>
        <w:rPr>
          <w:rFonts w:asciiTheme="minorHAnsi" w:hAnsiTheme="minorHAnsi"/>
        </w:rPr>
      </w:pPr>
      <w:bookmarkStart w:id="241" w:name="_Toc135416744"/>
      <w:bookmarkStart w:id="242" w:name="_Toc166834399"/>
      <w:r w:rsidRPr="00821A05">
        <w:t>Security Setup</w:t>
      </w:r>
      <w:bookmarkEnd w:id="241"/>
      <w:bookmarkEnd w:id="242"/>
    </w:p>
    <w:p w14:paraId="16BCA197" w14:textId="06B4E791" w:rsidR="00F3166B" w:rsidRDefault="00F3166B" w:rsidP="00F3166B">
      <w:pPr>
        <w:pStyle w:val="BodyText"/>
      </w:pPr>
      <w:r w:rsidRPr="2A71C1FC">
        <w:t>Passwords in Dentrix Enterprise serve many different functions. First, passwords can be used to prevent an unauthorized person from performing certain sensitive tasks, such as changing information, deleting transactions, and accessing financial information. Second, you can have the extra security of flagging certain operations to require additional user verification</w:t>
      </w:r>
      <w:r w:rsidR="006F33C6">
        <w:t xml:space="preserve"> (</w:t>
      </w:r>
      <w:r w:rsidRPr="2A71C1FC">
        <w:t>the password must be re-entered</w:t>
      </w:r>
      <w:r w:rsidR="006F33C6">
        <w:t xml:space="preserve">) </w:t>
      </w:r>
      <w:r w:rsidRPr="2A71C1FC">
        <w:t xml:space="preserve">to perform those operations. </w:t>
      </w:r>
    </w:p>
    <w:p w14:paraId="5D8FE9FB" w14:textId="7E179EE1" w:rsidR="00F3166B" w:rsidRDefault="006F33C6" w:rsidP="00F3166B">
      <w:pPr>
        <w:pStyle w:val="BodyText"/>
      </w:pPr>
      <w:r>
        <w:t>We</w:t>
      </w:r>
      <w:r w:rsidR="00F3166B">
        <w:t xml:space="preserve"> recommended </w:t>
      </w:r>
      <w:r>
        <w:t>that you</w:t>
      </w:r>
      <w:r w:rsidR="00F3166B">
        <w:t xml:space="preserve"> </w:t>
      </w:r>
      <w:r w:rsidR="00F3166B" w:rsidRPr="001412B0">
        <w:t>create user groups to group users by role or some other method that suits your needs. Having users in groups allows you to manage security rights for all users in a given group at the same time instead of having to manage rights per user.</w:t>
      </w:r>
      <w:r w:rsidR="00F3166B">
        <w:t xml:space="preserve"> </w:t>
      </w:r>
    </w:p>
    <w:p w14:paraId="75103100" w14:textId="7248000B" w:rsidR="00F3166B" w:rsidRDefault="00F3166B" w:rsidP="00F3166B">
      <w:pPr>
        <w:pStyle w:val="BodyText"/>
      </w:pPr>
      <w:r w:rsidRPr="001412B0">
        <w:lastRenderedPageBreak/>
        <w:t>In Dentrix Enterprise, each user is assigned "rights" to the tasks they need to complete. Dentrix Enterprise then allows access to each password-protected operation according to the security rights assigned to the logged-</w:t>
      </w:r>
      <w:r w:rsidR="006F33C6">
        <w:t>i</w:t>
      </w:r>
      <w:r w:rsidRPr="001412B0">
        <w:t xml:space="preserve">n user. If a user does not have rights to perform a certain function, </w:t>
      </w:r>
      <w:r w:rsidR="006F33C6">
        <w:t>he or she</w:t>
      </w:r>
      <w:r w:rsidRPr="001412B0">
        <w:t xml:space="preserve"> cannot access that particular area of the program or perform that particular task.</w:t>
      </w:r>
      <w:r>
        <w:t xml:space="preserve"> </w:t>
      </w:r>
      <w:r w:rsidRPr="001412B0">
        <w:t xml:space="preserve">Assigned rights are clinic-specific. Each user will need to be given rights for each clinic </w:t>
      </w:r>
      <w:r w:rsidR="006F33C6">
        <w:t>that</w:t>
      </w:r>
      <w:r w:rsidRPr="001412B0">
        <w:t xml:space="preserve"> </w:t>
      </w:r>
      <w:r w:rsidR="006F33C6">
        <w:t>he or she should</w:t>
      </w:r>
      <w:r w:rsidRPr="001412B0">
        <w:t xml:space="preserve"> have access</w:t>
      </w:r>
      <w:r w:rsidR="006F33C6">
        <w:t xml:space="preserve"> to</w:t>
      </w:r>
      <w:r w:rsidRPr="001412B0">
        <w:t>.</w:t>
      </w:r>
    </w:p>
    <w:p w14:paraId="0934BFA5" w14:textId="6B5A0F60" w:rsidR="00F3166B" w:rsidRPr="006F33C6" w:rsidRDefault="0098558E" w:rsidP="00F3166B">
      <w:pPr>
        <w:pStyle w:val="BodyText"/>
        <w:rPr>
          <w:i/>
          <w:iCs/>
          <w:szCs w:val="22"/>
        </w:rPr>
      </w:pPr>
      <w:r>
        <w:rPr>
          <w:noProof/>
        </w:rPr>
        <w:drawing>
          <wp:anchor distT="0" distB="0" distL="0" distR="91440" simplePos="0" relativeHeight="251906052" behindDoc="1" locked="0" layoutInCell="1" allowOverlap="1" wp14:anchorId="7A72439F" wp14:editId="53043F5A">
            <wp:simplePos x="0" y="0"/>
            <wp:positionH relativeFrom="column">
              <wp:posOffset>-457200</wp:posOffset>
            </wp:positionH>
            <wp:positionV relativeFrom="paragraph">
              <wp:posOffset>416722</wp:posOffset>
            </wp:positionV>
            <wp:extent cx="365856" cy="484632"/>
            <wp:effectExtent l="0" t="0" r="0" b="0"/>
            <wp:wrapTight wrapText="right">
              <wp:wrapPolygon edited="0">
                <wp:start x="0" y="0"/>
                <wp:lineTo x="0" y="20383"/>
                <wp:lineTo x="20250" y="20383"/>
                <wp:lineTo x="20250" y="0"/>
                <wp:lineTo x="0" y="0"/>
              </wp:wrapPolygon>
            </wp:wrapTight>
            <wp:docPr id="703449765"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91440" simplePos="0" relativeHeight="251904004" behindDoc="1" locked="0" layoutInCell="1" allowOverlap="1" wp14:anchorId="0E6D6362" wp14:editId="34C3E8B9">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28161037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3166B" w:rsidRPr="006F33C6">
        <w:rPr>
          <w:b/>
          <w:bCs/>
          <w:i/>
          <w:iCs/>
        </w:rPr>
        <w:t>Operations Insight</w:t>
      </w:r>
      <w:r w:rsidR="006F33C6" w:rsidRPr="006F33C6">
        <w:rPr>
          <w:i/>
          <w:iCs/>
        </w:rPr>
        <w:t>: We</w:t>
      </w:r>
      <w:r w:rsidR="00F3166B" w:rsidRPr="006F33C6">
        <w:rPr>
          <w:i/>
          <w:iCs/>
        </w:rPr>
        <w:t xml:space="preserve"> recommend that the owner, CIO, and/or appointed decision maker for system security </w:t>
      </w:r>
      <w:r w:rsidR="006F33C6" w:rsidRPr="006F33C6">
        <w:rPr>
          <w:i/>
          <w:iCs/>
        </w:rPr>
        <w:t xml:space="preserve">who is </w:t>
      </w:r>
      <w:r w:rsidR="00F3166B" w:rsidRPr="006F33C6">
        <w:rPr>
          <w:i/>
          <w:iCs/>
        </w:rPr>
        <w:t>familiar with all the available security settings read this section carefully, and be aware of who is given "Password Administration" rights in the organization.</w:t>
      </w:r>
    </w:p>
    <w:p w14:paraId="47A8CD1F" w14:textId="6C509B13" w:rsidR="00F3166B" w:rsidRPr="00FF6EC3" w:rsidRDefault="00F3166B" w:rsidP="00F3166B">
      <w:pPr>
        <w:pStyle w:val="BodyText"/>
      </w:pPr>
      <w:r w:rsidRPr="00454D84">
        <w:rPr>
          <w:color w:val="00B050"/>
        </w:rPr>
        <w:t>&lt;&lt;Insert SOP/Guideline for security setup here&gt;&gt;</w:t>
      </w:r>
    </w:p>
    <w:p w14:paraId="31D1F03C" w14:textId="6C19CC6A" w:rsidR="00F3166B" w:rsidRDefault="00F3166B" w:rsidP="00E92EA5">
      <w:pPr>
        <w:pStyle w:val="Heading4"/>
      </w:pPr>
      <w:r w:rsidRPr="00941C5B">
        <w:t>System Security Features</w:t>
      </w:r>
    </w:p>
    <w:p w14:paraId="5DF9FCB2" w14:textId="4937BD5A" w:rsidR="00F3166B" w:rsidRDefault="00F3166B" w:rsidP="004F45B6">
      <w:pPr>
        <w:pStyle w:val="BodyText"/>
        <w:numPr>
          <w:ilvl w:val="0"/>
          <w:numId w:val="87"/>
        </w:numPr>
        <w:ind w:left="540"/>
      </w:pPr>
      <w:r w:rsidRPr="001412B0">
        <w:rPr>
          <w:b/>
        </w:rPr>
        <w:t>Secure User Password</w:t>
      </w:r>
      <w:r w:rsidRPr="00941C5B">
        <w:t xml:space="preserve"> </w:t>
      </w:r>
      <w:r w:rsidR="006F33C6">
        <w:t>– S</w:t>
      </w:r>
      <w:r w:rsidRPr="00941C5B">
        <w:t>et up a time interval that forces users to change their passwords regularly, as well as requirements that users cannot reuse any of their previous passwords.</w:t>
      </w:r>
    </w:p>
    <w:p w14:paraId="5A601CC4" w14:textId="380EF0A5" w:rsidR="00F3166B" w:rsidRPr="006F33C6" w:rsidRDefault="007D7396" w:rsidP="00BC6868">
      <w:pPr>
        <w:pStyle w:val="BodyText"/>
        <w:ind w:left="540"/>
        <w:rPr>
          <w:i/>
          <w:iCs/>
        </w:rPr>
      </w:pPr>
      <w:r>
        <w:rPr>
          <w:noProof/>
        </w:rPr>
        <w:drawing>
          <wp:anchor distT="0" distB="0" distL="0" distR="91440" simplePos="0" relativeHeight="251908100" behindDoc="1" locked="0" layoutInCell="1" allowOverlap="1" wp14:anchorId="3032AA02" wp14:editId="50F70876">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850872809"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3166B" w:rsidRPr="006F33C6">
        <w:rPr>
          <w:b/>
          <w:bCs/>
          <w:i/>
          <w:iCs/>
        </w:rPr>
        <w:t>Operations Insight</w:t>
      </w:r>
      <w:r w:rsidR="006F33C6" w:rsidRPr="006F33C6">
        <w:rPr>
          <w:i/>
          <w:iCs/>
        </w:rPr>
        <w:t>:</w:t>
      </w:r>
      <w:r w:rsidR="00F3166B" w:rsidRPr="006F33C6">
        <w:rPr>
          <w:i/>
          <w:iCs/>
        </w:rPr>
        <w:t xml:space="preserve"> </w:t>
      </w:r>
      <w:r w:rsidR="006F33C6" w:rsidRPr="006F33C6">
        <w:rPr>
          <w:i/>
          <w:iCs/>
        </w:rPr>
        <w:t>We</w:t>
      </w:r>
      <w:r w:rsidR="00F3166B" w:rsidRPr="006F33C6">
        <w:rPr>
          <w:i/>
          <w:iCs/>
        </w:rPr>
        <w:t xml:space="preserve"> recommended </w:t>
      </w:r>
      <w:r w:rsidR="006F33C6" w:rsidRPr="006F33C6">
        <w:rPr>
          <w:i/>
          <w:iCs/>
        </w:rPr>
        <w:t>that you</w:t>
      </w:r>
      <w:r w:rsidR="00F3166B" w:rsidRPr="006F33C6">
        <w:rPr>
          <w:i/>
          <w:iCs/>
        </w:rPr>
        <w:t xml:space="preserve"> use the available secure user password settings to promote maintaining individual user account integrity for your organization.</w:t>
      </w:r>
    </w:p>
    <w:p w14:paraId="343C7ED2" w14:textId="3E9CA601" w:rsidR="00F3166B" w:rsidRDefault="00F3166B" w:rsidP="004F45B6">
      <w:pPr>
        <w:pStyle w:val="BodyText"/>
        <w:numPr>
          <w:ilvl w:val="0"/>
          <w:numId w:val="87"/>
        </w:numPr>
        <w:ind w:left="540"/>
      </w:pPr>
      <w:r w:rsidRPr="001412B0">
        <w:rPr>
          <w:b/>
        </w:rPr>
        <w:t>Password Expiration</w:t>
      </w:r>
      <w:r w:rsidRPr="00941C5B">
        <w:t xml:space="preserve"> – </w:t>
      </w:r>
      <w:r w:rsidR="006F33C6">
        <w:t xml:space="preserve">You can have </w:t>
      </w:r>
      <w:r w:rsidRPr="00941C5B">
        <w:t xml:space="preserve">passwords expire so that users have to </w:t>
      </w:r>
      <w:r>
        <w:t xml:space="preserve">change </w:t>
      </w:r>
      <w:r w:rsidRPr="00941C5B">
        <w:t xml:space="preserve">their passwords after a </w:t>
      </w:r>
      <w:r w:rsidR="006F33C6">
        <w:t>specified</w:t>
      </w:r>
      <w:r w:rsidRPr="00941C5B">
        <w:t xml:space="preserve"> </w:t>
      </w:r>
      <w:r w:rsidR="006F33C6">
        <w:t xml:space="preserve">number of </w:t>
      </w:r>
      <w:r w:rsidRPr="00941C5B">
        <w:t xml:space="preserve">days. </w:t>
      </w:r>
      <w:r w:rsidR="006F33C6">
        <w:t xml:space="preserve">You can have </w:t>
      </w:r>
      <w:r w:rsidRPr="00941C5B">
        <w:t xml:space="preserve">users be forewarned of a pending password change </w:t>
      </w:r>
      <w:r w:rsidR="00D73216">
        <w:t>a</w:t>
      </w:r>
      <w:r w:rsidRPr="00941C5B">
        <w:t xml:space="preserve"> </w:t>
      </w:r>
      <w:r w:rsidR="00D73216">
        <w:t xml:space="preserve">specified number of days before the </w:t>
      </w:r>
      <w:r w:rsidRPr="00941C5B">
        <w:t xml:space="preserve">expiration date. </w:t>
      </w:r>
      <w:r w:rsidR="00D73216">
        <w:t>Or, you can choose to never have passwords expire</w:t>
      </w:r>
      <w:r w:rsidRPr="00941C5B">
        <w:t>.</w:t>
      </w:r>
      <w:r>
        <w:t xml:space="preserve"> </w:t>
      </w:r>
    </w:p>
    <w:p w14:paraId="0FD9FC2F" w14:textId="434713AF" w:rsidR="00F3166B" w:rsidRPr="001412B0" w:rsidRDefault="00F3166B" w:rsidP="004F45B6">
      <w:pPr>
        <w:pStyle w:val="BodyText"/>
        <w:numPr>
          <w:ilvl w:val="0"/>
          <w:numId w:val="87"/>
        </w:numPr>
        <w:ind w:left="540"/>
      </w:pPr>
      <w:r w:rsidRPr="00BC6868">
        <w:rPr>
          <w:b/>
          <w:bCs/>
        </w:rPr>
        <w:t>Set Security Defaults</w:t>
      </w:r>
      <w:r w:rsidR="00BC6868">
        <w:t>:</w:t>
      </w:r>
    </w:p>
    <w:p w14:paraId="38AC4BE6" w14:textId="56B370E8" w:rsidR="00F3166B" w:rsidRDefault="00F3166B" w:rsidP="004F45B6">
      <w:pPr>
        <w:pStyle w:val="BodyText"/>
        <w:numPr>
          <w:ilvl w:val="1"/>
          <w:numId w:val="88"/>
        </w:numPr>
        <w:ind w:left="1080"/>
      </w:pPr>
      <w:r w:rsidRPr="00BC6868">
        <w:rPr>
          <w:b/>
          <w:bCs/>
        </w:rPr>
        <w:t>Lock user out for</w:t>
      </w:r>
      <w:r w:rsidRPr="00941C5B">
        <w:t xml:space="preserve"> – </w:t>
      </w:r>
      <w:r w:rsidR="00D73216">
        <w:t>You can</w:t>
      </w:r>
      <w:r w:rsidRPr="00941C5B">
        <w:t xml:space="preserve"> select how many logon attempts a user has before that user is locked out of the system for a specif</w:t>
      </w:r>
      <w:r w:rsidR="00D73216">
        <w:t>ied number of minutes</w:t>
      </w:r>
      <w:r w:rsidRPr="00941C5B">
        <w:t xml:space="preserve">. </w:t>
      </w:r>
    </w:p>
    <w:p w14:paraId="44E89291" w14:textId="39A0A2CA" w:rsidR="00F3166B" w:rsidRPr="00FF6EC3" w:rsidRDefault="00F3166B" w:rsidP="004F45B6">
      <w:pPr>
        <w:pStyle w:val="BodyText"/>
        <w:numPr>
          <w:ilvl w:val="1"/>
          <w:numId w:val="88"/>
        </w:numPr>
        <w:ind w:left="1080"/>
        <w:rPr>
          <w:szCs w:val="22"/>
        </w:rPr>
      </w:pPr>
      <w:r w:rsidRPr="00BC6868">
        <w:rPr>
          <w:b/>
          <w:bCs/>
        </w:rPr>
        <w:t>Do not allow use of the past</w:t>
      </w:r>
      <w:r w:rsidRPr="00941C5B">
        <w:t xml:space="preserve"> – </w:t>
      </w:r>
      <w:r w:rsidR="00D73216">
        <w:t xml:space="preserve">You can </w:t>
      </w:r>
      <w:r w:rsidRPr="00941C5B">
        <w:t>prevent users from reusing a specific number of old passwords.</w:t>
      </w:r>
    </w:p>
    <w:p w14:paraId="294BA09D" w14:textId="32CCDEE1" w:rsidR="00F3166B" w:rsidRPr="002E06E7" w:rsidRDefault="00343C18" w:rsidP="004F45B6">
      <w:pPr>
        <w:pStyle w:val="BodyText"/>
        <w:numPr>
          <w:ilvl w:val="0"/>
          <w:numId w:val="87"/>
        </w:numPr>
        <w:ind w:left="540"/>
      </w:pPr>
      <w:r>
        <w:rPr>
          <w:noProof/>
        </w:rPr>
        <w:drawing>
          <wp:anchor distT="0" distB="0" distL="0" distR="91440" simplePos="0" relativeHeight="251916292" behindDoc="0" locked="0" layoutInCell="1" allowOverlap="1" wp14:anchorId="0EDF4A29" wp14:editId="089BC8FE">
            <wp:simplePos x="0" y="0"/>
            <wp:positionH relativeFrom="column">
              <wp:posOffset>-457200</wp:posOffset>
            </wp:positionH>
            <wp:positionV relativeFrom="paragraph">
              <wp:posOffset>573110</wp:posOffset>
            </wp:positionV>
            <wp:extent cx="365981" cy="420624"/>
            <wp:effectExtent l="0" t="0" r="0" b="0"/>
            <wp:wrapTight wrapText="right">
              <wp:wrapPolygon edited="0">
                <wp:start x="0" y="0"/>
                <wp:lineTo x="0" y="20556"/>
                <wp:lineTo x="20250" y="20556"/>
                <wp:lineTo x="20250" y="0"/>
                <wp:lineTo x="0" y="0"/>
              </wp:wrapPolygon>
            </wp:wrapTight>
            <wp:docPr id="1897767847"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F3166B" w:rsidRPr="00BC6868">
        <w:rPr>
          <w:b/>
          <w:bCs/>
        </w:rPr>
        <w:t>Verify User Before Access</w:t>
      </w:r>
      <w:r w:rsidR="00D73216">
        <w:t xml:space="preserve"> – C</w:t>
      </w:r>
      <w:r w:rsidR="00F3166B" w:rsidRPr="00941C5B">
        <w:t>ertain situations may require additional protection. In these cases, the security options can be flagged</w:t>
      </w:r>
      <w:r w:rsidR="00D73216">
        <w:t xml:space="preserve"> as</w:t>
      </w:r>
      <w:r w:rsidR="00F3166B" w:rsidRPr="00941C5B">
        <w:t xml:space="preserve"> “Verify User Before Access.” With this security flag enabled for a task, </w:t>
      </w:r>
      <w:r w:rsidR="00D73216">
        <w:t>Dentrix Enterprise prompts users</w:t>
      </w:r>
      <w:r w:rsidR="00F3166B" w:rsidRPr="00941C5B">
        <w:t xml:space="preserve"> to re-enter a user name and password when </w:t>
      </w:r>
      <w:r w:rsidR="00D73216">
        <w:t>they attempt</w:t>
      </w:r>
      <w:r w:rsidR="00F3166B" w:rsidRPr="00941C5B">
        <w:t xml:space="preserve"> to perform that task. </w:t>
      </w:r>
    </w:p>
    <w:p w14:paraId="555D7C01" w14:textId="1BB967B9" w:rsidR="00F3166B" w:rsidRPr="00941C5B" w:rsidRDefault="00D73216" w:rsidP="00BC6868">
      <w:pPr>
        <w:pStyle w:val="BodyText"/>
        <w:ind w:left="540"/>
      </w:pPr>
      <w:r w:rsidRPr="00D73216">
        <w:rPr>
          <w:b/>
          <w:bCs/>
        </w:rPr>
        <w:t>Note</w:t>
      </w:r>
      <w:r>
        <w:t xml:space="preserve">: </w:t>
      </w:r>
      <w:r w:rsidR="00F3166B" w:rsidRPr="00941C5B">
        <w:t xml:space="preserve">An asterisk (*) appears before a </w:t>
      </w:r>
      <w:r>
        <w:t>task</w:t>
      </w:r>
      <w:r w:rsidR="00F3166B" w:rsidRPr="00941C5B">
        <w:t xml:space="preserve"> that is flagged </w:t>
      </w:r>
      <w:r>
        <w:t xml:space="preserve">for the </w:t>
      </w:r>
      <w:r w:rsidR="00F3166B" w:rsidRPr="00941C5B">
        <w:t xml:space="preserve">re-entry of </w:t>
      </w:r>
      <w:r>
        <w:t>credentials</w:t>
      </w:r>
      <w:r w:rsidR="00F3166B" w:rsidRPr="00941C5B">
        <w:t>.</w:t>
      </w:r>
    </w:p>
    <w:p w14:paraId="7E6B0B73" w14:textId="158693FC" w:rsidR="00F3166B" w:rsidRPr="00D73216" w:rsidRDefault="007D7396" w:rsidP="00BC6868">
      <w:pPr>
        <w:pStyle w:val="BodyText"/>
        <w:ind w:left="540"/>
        <w:rPr>
          <w:i/>
          <w:iCs/>
        </w:rPr>
      </w:pPr>
      <w:r>
        <w:rPr>
          <w:noProof/>
        </w:rPr>
        <w:drawing>
          <wp:anchor distT="0" distB="0" distL="0" distR="91440" simplePos="0" relativeHeight="251912196" behindDoc="1" locked="0" layoutInCell="1" allowOverlap="1" wp14:anchorId="01406617" wp14:editId="6852FEC2">
            <wp:simplePos x="0" y="0"/>
            <wp:positionH relativeFrom="column">
              <wp:posOffset>-457200</wp:posOffset>
            </wp:positionH>
            <wp:positionV relativeFrom="paragraph">
              <wp:posOffset>580597</wp:posOffset>
            </wp:positionV>
            <wp:extent cx="365856" cy="484632"/>
            <wp:effectExtent l="0" t="0" r="0" b="0"/>
            <wp:wrapTight wrapText="right">
              <wp:wrapPolygon edited="0">
                <wp:start x="0" y="0"/>
                <wp:lineTo x="0" y="20383"/>
                <wp:lineTo x="20250" y="20383"/>
                <wp:lineTo x="20250" y="0"/>
                <wp:lineTo x="0" y="0"/>
              </wp:wrapPolygon>
            </wp:wrapTight>
            <wp:docPr id="538213950"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91440" simplePos="0" relativeHeight="251910148" behindDoc="1" locked="0" layoutInCell="1" allowOverlap="1" wp14:anchorId="69FBCE06" wp14:editId="771399D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078279714"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3166B" w:rsidRPr="00D73216">
        <w:rPr>
          <w:b/>
          <w:bCs/>
          <w:i/>
          <w:iCs/>
        </w:rPr>
        <w:t xml:space="preserve">Operations </w:t>
      </w:r>
      <w:r w:rsidR="00D73216" w:rsidRPr="00D73216">
        <w:rPr>
          <w:b/>
          <w:bCs/>
          <w:i/>
          <w:iCs/>
        </w:rPr>
        <w:t>I</w:t>
      </w:r>
      <w:r w:rsidR="00F3166B" w:rsidRPr="00D73216">
        <w:rPr>
          <w:b/>
          <w:bCs/>
          <w:i/>
          <w:iCs/>
        </w:rPr>
        <w:t>nsight</w:t>
      </w:r>
      <w:r w:rsidR="00D73216" w:rsidRPr="00D73216">
        <w:rPr>
          <w:i/>
          <w:iCs/>
        </w:rPr>
        <w:t>:</w:t>
      </w:r>
      <w:r w:rsidR="00BC6868" w:rsidRPr="00D73216">
        <w:rPr>
          <w:i/>
          <w:iCs/>
        </w:rPr>
        <w:t xml:space="preserve"> </w:t>
      </w:r>
      <w:r w:rsidR="00F3166B" w:rsidRPr="00D73216">
        <w:rPr>
          <w:i/>
          <w:iCs/>
        </w:rPr>
        <w:t xml:space="preserve">This added layer of security is very helpful to confirm that an area of your database is protected. It confirms that the </w:t>
      </w:r>
      <w:r w:rsidR="00D73216" w:rsidRPr="00D73216">
        <w:rPr>
          <w:i/>
          <w:iCs/>
        </w:rPr>
        <w:t>correct</w:t>
      </w:r>
      <w:r w:rsidR="00F3166B" w:rsidRPr="00D73216">
        <w:rPr>
          <w:i/>
          <w:iCs/>
        </w:rPr>
        <w:t xml:space="preserve"> user has rights to access </w:t>
      </w:r>
      <w:r w:rsidR="00D73216" w:rsidRPr="00D73216">
        <w:rPr>
          <w:i/>
          <w:iCs/>
        </w:rPr>
        <w:t>that</w:t>
      </w:r>
      <w:r w:rsidR="00F3166B" w:rsidRPr="00D73216">
        <w:rPr>
          <w:i/>
          <w:iCs/>
        </w:rPr>
        <w:t xml:space="preserve"> area of the software.  This protects identified areas of the software even if someone leaves </w:t>
      </w:r>
      <w:r w:rsidR="00D73216" w:rsidRPr="00D73216">
        <w:rPr>
          <w:i/>
          <w:iCs/>
        </w:rPr>
        <w:t>his or her computer</w:t>
      </w:r>
      <w:r w:rsidR="00F3166B" w:rsidRPr="00D73216">
        <w:rPr>
          <w:i/>
          <w:iCs/>
        </w:rPr>
        <w:t xml:space="preserve"> unsecured.</w:t>
      </w:r>
    </w:p>
    <w:p w14:paraId="6BA339DA" w14:textId="30D5CF83" w:rsidR="00F3166B" w:rsidRPr="00454D84" w:rsidRDefault="00F3166B" w:rsidP="00BC6868">
      <w:pPr>
        <w:pStyle w:val="BodyText"/>
        <w:ind w:left="540"/>
        <w:rPr>
          <w:color w:val="00B050"/>
        </w:rPr>
      </w:pPr>
      <w:r w:rsidRPr="00454D84">
        <w:rPr>
          <w:color w:val="00B050"/>
        </w:rPr>
        <w:t>&lt;&lt;Insert SOP/Decision support/guideline for verify user before access&gt;&gt;</w:t>
      </w:r>
    </w:p>
    <w:p w14:paraId="6FEF62CB" w14:textId="37C6890B" w:rsidR="00F3166B" w:rsidRDefault="00343C18" w:rsidP="00E92EA5">
      <w:pPr>
        <w:pStyle w:val="Heading4"/>
      </w:pPr>
      <w:r>
        <w:rPr>
          <w:noProof/>
        </w:rPr>
        <w:drawing>
          <wp:anchor distT="0" distB="0" distL="0" distR="91440" simplePos="0" relativeHeight="251918340" behindDoc="1" locked="0" layoutInCell="1" allowOverlap="1" wp14:anchorId="6001AD6A" wp14:editId="04E88C17">
            <wp:simplePos x="0" y="0"/>
            <wp:positionH relativeFrom="column">
              <wp:posOffset>-457200</wp:posOffset>
            </wp:positionH>
            <wp:positionV relativeFrom="paragraph">
              <wp:posOffset>307842</wp:posOffset>
            </wp:positionV>
            <wp:extent cx="365856" cy="484632"/>
            <wp:effectExtent l="0" t="0" r="0" b="0"/>
            <wp:wrapTight wrapText="right">
              <wp:wrapPolygon edited="0">
                <wp:start x="0" y="0"/>
                <wp:lineTo x="0" y="20383"/>
                <wp:lineTo x="20250" y="20383"/>
                <wp:lineTo x="20250" y="0"/>
                <wp:lineTo x="0" y="0"/>
              </wp:wrapPolygon>
            </wp:wrapTight>
            <wp:docPr id="629199678"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F3166B" w:rsidRPr="00941C5B">
        <w:t>Adding User Groups</w:t>
      </w:r>
    </w:p>
    <w:p w14:paraId="4DADF6AA" w14:textId="698E8006" w:rsidR="00F3166B" w:rsidRDefault="00BC6868" w:rsidP="00F3166B">
      <w:pPr>
        <w:pStyle w:val="BodyText"/>
      </w:pPr>
      <w:r>
        <w:t>G</w:t>
      </w:r>
      <w:r w:rsidR="00F3166B" w:rsidRPr="00941C5B">
        <w:t>roup users by role or some other method.</w:t>
      </w:r>
      <w:r w:rsidR="00F3166B">
        <w:t xml:space="preserve"> </w:t>
      </w:r>
    </w:p>
    <w:p w14:paraId="25DCA769" w14:textId="79CC903E" w:rsidR="00F3166B" w:rsidRPr="00454D84" w:rsidRDefault="00F3166B" w:rsidP="00BC6868">
      <w:pPr>
        <w:pStyle w:val="BodyText"/>
        <w:rPr>
          <w:color w:val="00B050"/>
        </w:rPr>
      </w:pPr>
      <w:r w:rsidRPr="00454D84">
        <w:rPr>
          <w:color w:val="00B050"/>
        </w:rPr>
        <w:t>&lt;&lt;Insert SOP/Guideline for user grouping&gt;&gt;</w:t>
      </w:r>
    </w:p>
    <w:p w14:paraId="1D0F1DD8" w14:textId="77777777" w:rsidR="00F3166B" w:rsidRPr="00941C5B" w:rsidRDefault="00F3166B" w:rsidP="00AB1AC6">
      <w:pPr>
        <w:pStyle w:val="BodyText"/>
        <w:keepNext/>
        <w:keepLines/>
      </w:pPr>
      <w:r w:rsidRPr="00941C5B">
        <w:lastRenderedPageBreak/>
        <w:t>Set up the following options:</w:t>
      </w:r>
    </w:p>
    <w:p w14:paraId="67F8B1DF" w14:textId="67F68C04" w:rsidR="00F3166B" w:rsidRPr="00941C5B" w:rsidRDefault="00F3166B" w:rsidP="004F45B6">
      <w:pPr>
        <w:pStyle w:val="BodyText"/>
        <w:keepNext/>
        <w:keepLines/>
        <w:numPr>
          <w:ilvl w:val="0"/>
          <w:numId w:val="86"/>
        </w:numPr>
        <w:ind w:left="540"/>
      </w:pPr>
      <w:r w:rsidRPr="00BC6868">
        <w:rPr>
          <w:b/>
          <w:bCs/>
        </w:rPr>
        <w:t>Group Name</w:t>
      </w:r>
      <w:r w:rsidRPr="00941C5B">
        <w:t xml:space="preserve"> – </w:t>
      </w:r>
      <w:r w:rsidR="00D73216">
        <w:t>A</w:t>
      </w:r>
      <w:r w:rsidRPr="00941C5B">
        <w:t xml:space="preserve"> name to identify the group. </w:t>
      </w:r>
    </w:p>
    <w:p w14:paraId="4ACCA003" w14:textId="786662B2" w:rsidR="00F3166B" w:rsidRDefault="00F3166B" w:rsidP="004F45B6">
      <w:pPr>
        <w:pStyle w:val="BodyText"/>
        <w:keepNext/>
        <w:keepLines/>
        <w:numPr>
          <w:ilvl w:val="0"/>
          <w:numId w:val="86"/>
        </w:numPr>
        <w:ind w:left="540"/>
      </w:pPr>
      <w:r w:rsidRPr="00BC6868">
        <w:rPr>
          <w:b/>
          <w:bCs/>
        </w:rPr>
        <w:t>Rights</w:t>
      </w:r>
      <w:r w:rsidRPr="2A71C1FC">
        <w:t xml:space="preserve"> – Select the checkboxes of the rights (categories and/or individual rights) that users in this security group should have by default.</w:t>
      </w:r>
    </w:p>
    <w:p w14:paraId="2723716D" w14:textId="3997C57F" w:rsidR="00F3166B" w:rsidRPr="00D73216" w:rsidRDefault="007D7396" w:rsidP="00BC6868">
      <w:pPr>
        <w:pStyle w:val="BodyText"/>
        <w:ind w:left="540"/>
        <w:rPr>
          <w:i/>
          <w:iCs/>
        </w:rPr>
      </w:pPr>
      <w:r>
        <w:rPr>
          <w:noProof/>
        </w:rPr>
        <w:drawing>
          <wp:anchor distT="0" distB="0" distL="0" distR="91440" simplePos="0" relativeHeight="251914244" behindDoc="1" locked="0" layoutInCell="1" allowOverlap="1" wp14:anchorId="0E80639E" wp14:editId="48625E4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806596380"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3166B" w:rsidRPr="00D73216">
        <w:rPr>
          <w:b/>
          <w:bCs/>
          <w:i/>
          <w:iCs/>
        </w:rPr>
        <w:t xml:space="preserve">Operations </w:t>
      </w:r>
      <w:r w:rsidR="00D73216" w:rsidRPr="00D73216">
        <w:rPr>
          <w:b/>
          <w:bCs/>
          <w:i/>
          <w:iCs/>
        </w:rPr>
        <w:t>I</w:t>
      </w:r>
      <w:r w:rsidR="00F3166B" w:rsidRPr="00D73216">
        <w:rPr>
          <w:b/>
          <w:bCs/>
          <w:i/>
          <w:iCs/>
        </w:rPr>
        <w:t>nsight</w:t>
      </w:r>
      <w:r w:rsidR="00D73216" w:rsidRPr="00D73216">
        <w:rPr>
          <w:i/>
          <w:iCs/>
        </w:rPr>
        <w:t xml:space="preserve">: </w:t>
      </w:r>
      <w:r w:rsidR="00F3166B" w:rsidRPr="00D73216">
        <w:rPr>
          <w:i/>
          <w:iCs/>
        </w:rPr>
        <w:t xml:space="preserve">There are </w:t>
      </w:r>
      <w:r w:rsidR="00D73216" w:rsidRPr="00D73216">
        <w:rPr>
          <w:i/>
          <w:iCs/>
        </w:rPr>
        <w:t>four</w:t>
      </w:r>
      <w:r w:rsidR="00F3166B" w:rsidRPr="00D73216">
        <w:rPr>
          <w:i/>
          <w:iCs/>
        </w:rPr>
        <w:t xml:space="preserve"> security rights in the </w:t>
      </w:r>
      <w:r w:rsidR="00D73216" w:rsidRPr="00D73216">
        <w:rPr>
          <w:i/>
          <w:iCs/>
        </w:rPr>
        <w:t>“C</w:t>
      </w:r>
      <w:r w:rsidR="00F3166B" w:rsidRPr="00D73216">
        <w:rPr>
          <w:i/>
          <w:iCs/>
        </w:rPr>
        <w:t xml:space="preserve">entral </w:t>
      </w:r>
      <w:r w:rsidR="00D73216" w:rsidRPr="00D73216">
        <w:rPr>
          <w:i/>
          <w:iCs/>
        </w:rPr>
        <w:t>C</w:t>
      </w:r>
      <w:r w:rsidR="00F3166B" w:rsidRPr="00D73216">
        <w:rPr>
          <w:i/>
          <w:iCs/>
        </w:rPr>
        <w:t xml:space="preserve">linic </w:t>
      </w:r>
      <w:r w:rsidR="00D73216" w:rsidRPr="00D73216">
        <w:rPr>
          <w:i/>
          <w:iCs/>
        </w:rPr>
        <w:t>O</w:t>
      </w:r>
      <w:r w:rsidR="00F3166B" w:rsidRPr="00D73216">
        <w:rPr>
          <w:i/>
          <w:iCs/>
        </w:rPr>
        <w:t>nly</w:t>
      </w:r>
      <w:r w:rsidR="00D73216" w:rsidRPr="00D73216">
        <w:rPr>
          <w:i/>
          <w:iCs/>
        </w:rPr>
        <w:t>”</w:t>
      </w:r>
      <w:r w:rsidR="00F3166B" w:rsidRPr="00D73216">
        <w:rPr>
          <w:i/>
          <w:iCs/>
        </w:rPr>
        <w:t xml:space="preserve"> </w:t>
      </w:r>
      <w:r w:rsidR="00D73216" w:rsidRPr="00D73216">
        <w:rPr>
          <w:i/>
          <w:iCs/>
        </w:rPr>
        <w:t>category</w:t>
      </w:r>
      <w:r w:rsidR="00F3166B" w:rsidRPr="00D73216">
        <w:rPr>
          <w:i/>
          <w:iCs/>
        </w:rPr>
        <w:t xml:space="preserve"> that are important for allowing or restricting access to all patients, providers, clinics, operatories, and appointment lists. When </w:t>
      </w:r>
      <w:r w:rsidR="00D73216" w:rsidRPr="00D73216">
        <w:rPr>
          <w:i/>
          <w:iCs/>
        </w:rPr>
        <w:t xml:space="preserve">you are </w:t>
      </w:r>
      <w:r w:rsidR="00F3166B" w:rsidRPr="00D73216">
        <w:rPr>
          <w:i/>
          <w:iCs/>
        </w:rPr>
        <w:t xml:space="preserve">setting up groups or individual user rights, these must be set in the </w:t>
      </w:r>
      <w:r w:rsidR="00D73216" w:rsidRPr="00D73216">
        <w:rPr>
          <w:i/>
          <w:iCs/>
        </w:rPr>
        <w:t>C</w:t>
      </w:r>
      <w:r w:rsidR="00F3166B" w:rsidRPr="00D73216">
        <w:rPr>
          <w:i/>
          <w:iCs/>
        </w:rPr>
        <w:t>entral clinic.</w:t>
      </w:r>
    </w:p>
    <w:p w14:paraId="15C33060" w14:textId="24708944" w:rsidR="00F3166B" w:rsidRDefault="00F3166B" w:rsidP="00E92EA5">
      <w:pPr>
        <w:pStyle w:val="Heading4"/>
      </w:pPr>
      <w:r w:rsidRPr="559ADB64">
        <w:t>Assigning Users to Groups</w:t>
      </w:r>
    </w:p>
    <w:p w14:paraId="7C239B2D" w14:textId="24C52CD7" w:rsidR="00F3166B" w:rsidRDefault="00D73216" w:rsidP="00F3166B">
      <w:pPr>
        <w:pStyle w:val="BodyText"/>
      </w:pPr>
      <w:r>
        <w:t>You can assign a</w:t>
      </w:r>
      <w:r w:rsidR="00F3166B" w:rsidRPr="559ADB64">
        <w:t xml:space="preserve"> user to multiple groups. Groups allow you to strategically assign user rights to a role </w:t>
      </w:r>
      <w:r>
        <w:t>that you</w:t>
      </w:r>
      <w:r w:rsidR="00F3166B" w:rsidRPr="559ADB64">
        <w:t xml:space="preserve"> assign to users. This allows for standard access in the system as well as simplifying the process for editing and adding user rights.  </w:t>
      </w:r>
    </w:p>
    <w:p w14:paraId="47867924" w14:textId="77777777" w:rsidR="00F3166B" w:rsidRPr="00941C5B" w:rsidRDefault="00F3166B" w:rsidP="00BC6868">
      <w:pPr>
        <w:pStyle w:val="BodyText"/>
      </w:pPr>
      <w:r w:rsidRPr="00941C5B">
        <w:t xml:space="preserve">Set up the following options: </w:t>
      </w:r>
    </w:p>
    <w:p w14:paraId="0CE243CE" w14:textId="2400F7F0" w:rsidR="00F3166B" w:rsidRPr="00941C5B" w:rsidRDefault="00F3166B" w:rsidP="004F45B6">
      <w:pPr>
        <w:pStyle w:val="BodyText"/>
        <w:numPr>
          <w:ilvl w:val="0"/>
          <w:numId w:val="85"/>
        </w:numPr>
        <w:ind w:left="540"/>
      </w:pPr>
      <w:r w:rsidRPr="00BC6868">
        <w:rPr>
          <w:b/>
          <w:bCs/>
        </w:rPr>
        <w:t>Groups</w:t>
      </w:r>
      <w:r w:rsidRPr="00941C5B">
        <w:t xml:space="preserve"> – </w:t>
      </w:r>
      <w:r w:rsidR="00D73216">
        <w:t>S</w:t>
      </w:r>
      <w:r w:rsidRPr="00941C5B">
        <w:t>elect the groups that you want to add users to</w:t>
      </w:r>
      <w:r w:rsidR="00D73216">
        <w:t>.</w:t>
      </w:r>
    </w:p>
    <w:p w14:paraId="5F4FF4A0" w14:textId="79BF95D5" w:rsidR="00F3166B" w:rsidRPr="00941C5B" w:rsidRDefault="00F3166B" w:rsidP="004F45B6">
      <w:pPr>
        <w:pStyle w:val="BodyText"/>
        <w:numPr>
          <w:ilvl w:val="0"/>
          <w:numId w:val="85"/>
        </w:numPr>
        <w:ind w:left="540"/>
      </w:pPr>
      <w:r w:rsidRPr="00BC6868">
        <w:rPr>
          <w:b/>
          <w:bCs/>
        </w:rPr>
        <w:t>Users</w:t>
      </w:r>
      <w:r w:rsidRPr="00941C5B">
        <w:t xml:space="preserve"> – </w:t>
      </w:r>
      <w:r w:rsidR="00D73216">
        <w:t>S</w:t>
      </w:r>
      <w:r w:rsidRPr="00941C5B">
        <w:t>elect the users that you want to add to the selected groups</w:t>
      </w:r>
      <w:r w:rsidR="00D73216">
        <w:t>.</w:t>
      </w:r>
    </w:p>
    <w:p w14:paraId="19688035" w14:textId="55F20243" w:rsidR="00F3166B" w:rsidRDefault="00F3166B" w:rsidP="004F45B6">
      <w:pPr>
        <w:pStyle w:val="BodyText"/>
        <w:numPr>
          <w:ilvl w:val="0"/>
          <w:numId w:val="85"/>
        </w:numPr>
        <w:ind w:left="540"/>
      </w:pPr>
      <w:r w:rsidRPr="00BC6868">
        <w:rPr>
          <w:b/>
          <w:bCs/>
        </w:rPr>
        <w:t>Clinics</w:t>
      </w:r>
      <w:r w:rsidRPr="00941C5B">
        <w:t xml:space="preserve"> – </w:t>
      </w:r>
      <w:r w:rsidR="00D73216">
        <w:t>S</w:t>
      </w:r>
      <w:r w:rsidRPr="00941C5B">
        <w:t>elect the clinics that you want the selected user groups to have rights in</w:t>
      </w:r>
      <w:r w:rsidR="00D73216">
        <w:t>.</w:t>
      </w:r>
    </w:p>
    <w:p w14:paraId="1FF698C8" w14:textId="4F2F8A02" w:rsidR="00F3166B" w:rsidRDefault="00F3166B" w:rsidP="00E92EA5">
      <w:pPr>
        <w:pStyle w:val="Heading4"/>
      </w:pPr>
      <w:r w:rsidRPr="559ADB64">
        <w:t>DXOne Reporting Security</w:t>
      </w:r>
    </w:p>
    <w:p w14:paraId="525001BA" w14:textId="633497FD" w:rsidR="00F3166B" w:rsidRDefault="00D73216" w:rsidP="00F3166B">
      <w:pPr>
        <w:pStyle w:val="BodyText"/>
      </w:pPr>
      <w:r>
        <w:t>You can c</w:t>
      </w:r>
      <w:r w:rsidR="00F3166B" w:rsidRPr="559ADB64">
        <w:t xml:space="preserve">ontrol which reports can be generated by which users. </w:t>
      </w:r>
    </w:p>
    <w:p w14:paraId="1A4EC1AF" w14:textId="5A691656" w:rsidR="00D73216" w:rsidRDefault="00D73216" w:rsidP="004F45B6">
      <w:pPr>
        <w:pStyle w:val="BodyText"/>
        <w:numPr>
          <w:ilvl w:val="0"/>
          <w:numId w:val="84"/>
        </w:numPr>
        <w:ind w:left="540"/>
      </w:pPr>
      <w:r w:rsidRPr="00D73216">
        <w:t>In DXOne Reporting</w:t>
      </w:r>
      <w:r>
        <w:t xml:space="preserve">, click the </w:t>
      </w:r>
      <w:r w:rsidRPr="00D73216">
        <w:rPr>
          <w:b/>
          <w:bCs/>
        </w:rPr>
        <w:t>Security</w:t>
      </w:r>
      <w:r>
        <w:t xml:space="preserve"> button.</w:t>
      </w:r>
    </w:p>
    <w:p w14:paraId="0C8AD130" w14:textId="38D3BFD7" w:rsidR="00D73216" w:rsidRDefault="00D73216" w:rsidP="00D73216">
      <w:pPr>
        <w:pStyle w:val="BodyText"/>
        <w:ind w:left="540"/>
      </w:pPr>
      <w:r>
        <w:t xml:space="preserve">The </w:t>
      </w:r>
      <w:r w:rsidRPr="00D73216">
        <w:rPr>
          <w:b/>
          <w:bCs/>
        </w:rPr>
        <w:t>Report Security</w:t>
      </w:r>
      <w:r>
        <w:t xml:space="preserve"> dialog box appears.</w:t>
      </w:r>
    </w:p>
    <w:p w14:paraId="77FF2861" w14:textId="27E86A9D" w:rsidR="00F3166B" w:rsidRPr="00941C5B" w:rsidRDefault="00F3166B" w:rsidP="004F45B6">
      <w:pPr>
        <w:pStyle w:val="BodyText"/>
        <w:numPr>
          <w:ilvl w:val="0"/>
          <w:numId w:val="84"/>
        </w:numPr>
        <w:ind w:left="540"/>
      </w:pPr>
      <w:r w:rsidRPr="00941C5B">
        <w:t xml:space="preserve">Under </w:t>
      </w:r>
      <w:r w:rsidRPr="00D73216">
        <w:rPr>
          <w:b/>
          <w:bCs/>
        </w:rPr>
        <w:t>User List</w:t>
      </w:r>
      <w:r w:rsidRPr="00941C5B">
        <w:t>, select a user.</w:t>
      </w:r>
    </w:p>
    <w:p w14:paraId="12BD005C" w14:textId="3D4A38B9" w:rsidR="00F3166B" w:rsidRPr="00941C5B" w:rsidRDefault="00D73216" w:rsidP="004F45B6">
      <w:pPr>
        <w:pStyle w:val="BodyText"/>
        <w:numPr>
          <w:ilvl w:val="0"/>
          <w:numId w:val="84"/>
        </w:numPr>
        <w:ind w:left="540"/>
      </w:pPr>
      <w:r w:rsidRPr="00D73216">
        <w:t xml:space="preserve">In the </w:t>
      </w:r>
      <w:r w:rsidRPr="00D73216">
        <w:rPr>
          <w:b/>
          <w:bCs/>
        </w:rPr>
        <w:t>Report</w:t>
      </w:r>
      <w:r w:rsidRPr="00D73216">
        <w:t xml:space="preserve"> list, select the report that you want to grant rights for.</w:t>
      </w:r>
    </w:p>
    <w:p w14:paraId="77C38B48" w14:textId="6B0D13A0" w:rsidR="00F3166B" w:rsidRPr="00941C5B" w:rsidRDefault="00D73216" w:rsidP="004F45B6">
      <w:pPr>
        <w:pStyle w:val="BodyText"/>
        <w:numPr>
          <w:ilvl w:val="0"/>
          <w:numId w:val="84"/>
        </w:numPr>
        <w:ind w:left="540"/>
      </w:pPr>
      <w:r w:rsidRPr="00D73216">
        <w:t xml:space="preserve">In the </w:t>
      </w:r>
      <w:r w:rsidRPr="00D73216">
        <w:rPr>
          <w:b/>
          <w:bCs/>
        </w:rPr>
        <w:t>Rights</w:t>
      </w:r>
      <w:r w:rsidRPr="00D73216">
        <w:t xml:space="preserve"> list, select the checkbox of each right that you want to grant.</w:t>
      </w:r>
    </w:p>
    <w:p w14:paraId="196642C4" w14:textId="6FB6C886" w:rsidR="00F3166B" w:rsidRDefault="00A045FE" w:rsidP="004F45B6">
      <w:pPr>
        <w:pStyle w:val="BodyText"/>
        <w:numPr>
          <w:ilvl w:val="0"/>
          <w:numId w:val="149"/>
        </w:numPr>
        <w:ind w:left="540"/>
      </w:pPr>
      <w:r w:rsidRPr="00A045FE">
        <w:t xml:space="preserve">In the </w:t>
      </w:r>
      <w:r w:rsidRPr="00A045FE">
        <w:rPr>
          <w:b/>
          <w:bCs/>
        </w:rPr>
        <w:t>Clinics</w:t>
      </w:r>
      <w:r w:rsidRPr="00A045FE">
        <w:t xml:space="preserve"> list, select the checkbox of each clinic that you want to allow the user to generate the report for.</w:t>
      </w:r>
    </w:p>
    <w:p w14:paraId="5237AFFE" w14:textId="08AD9356" w:rsidR="00A045FE" w:rsidRPr="00941C5B" w:rsidRDefault="00A045FE" w:rsidP="004F45B6">
      <w:pPr>
        <w:pStyle w:val="BodyText"/>
        <w:numPr>
          <w:ilvl w:val="0"/>
          <w:numId w:val="149"/>
        </w:numPr>
        <w:ind w:left="540"/>
      </w:pPr>
      <w:r w:rsidRPr="00A045FE">
        <w:t xml:space="preserve">In the </w:t>
      </w:r>
      <w:r w:rsidRPr="00A045FE">
        <w:rPr>
          <w:b/>
          <w:bCs/>
        </w:rPr>
        <w:t>Providers/Staff</w:t>
      </w:r>
      <w:r w:rsidRPr="00A045FE">
        <w:t xml:space="preserve"> list, select the checkbox of each provider or staff member that you want to allow the user to generate the report for.</w:t>
      </w:r>
    </w:p>
    <w:p w14:paraId="6AAE4C60" w14:textId="483E81F1" w:rsidR="00F3166B" w:rsidRPr="00A045FE" w:rsidRDefault="00343C18" w:rsidP="00A045FE">
      <w:pPr>
        <w:pStyle w:val="BodyText"/>
        <w:ind w:left="540"/>
        <w:rPr>
          <w:i/>
          <w:iCs/>
        </w:rPr>
      </w:pPr>
      <w:r>
        <w:rPr>
          <w:noProof/>
        </w:rPr>
        <w:drawing>
          <wp:anchor distT="0" distB="0" distL="0" distR="91440" simplePos="0" relativeHeight="251922436" behindDoc="0" locked="0" layoutInCell="1" allowOverlap="1" wp14:anchorId="210BDB96" wp14:editId="6993EA3A">
            <wp:simplePos x="0" y="0"/>
            <wp:positionH relativeFrom="column">
              <wp:posOffset>-457200</wp:posOffset>
            </wp:positionH>
            <wp:positionV relativeFrom="paragraph">
              <wp:posOffset>-182880</wp:posOffset>
            </wp:positionV>
            <wp:extent cx="365981" cy="420624"/>
            <wp:effectExtent l="0" t="0" r="0" b="0"/>
            <wp:wrapTight wrapText="right">
              <wp:wrapPolygon edited="0">
                <wp:start x="0" y="0"/>
                <wp:lineTo x="0" y="20556"/>
                <wp:lineTo x="20250" y="20556"/>
                <wp:lineTo x="20250" y="0"/>
                <wp:lineTo x="0" y="0"/>
              </wp:wrapPolygon>
            </wp:wrapTight>
            <wp:docPr id="771198956"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F3166B" w:rsidRPr="00A045FE">
        <w:rPr>
          <w:b/>
          <w:bCs/>
          <w:i/>
          <w:iCs/>
        </w:rPr>
        <w:t>Tip</w:t>
      </w:r>
      <w:r w:rsidR="00F3166B" w:rsidRPr="00A045FE">
        <w:rPr>
          <w:i/>
          <w:iCs/>
        </w:rPr>
        <w:t xml:space="preserve">: To select the user selected under </w:t>
      </w:r>
      <w:r w:rsidR="00F3166B" w:rsidRPr="00A045FE">
        <w:rPr>
          <w:b/>
          <w:bCs/>
          <w:i/>
          <w:iCs/>
        </w:rPr>
        <w:t>User List</w:t>
      </w:r>
      <w:r w:rsidR="00F3166B" w:rsidRPr="00A045FE">
        <w:rPr>
          <w:i/>
          <w:iCs/>
        </w:rPr>
        <w:t xml:space="preserve">, click </w:t>
      </w:r>
      <w:r w:rsidR="00F3166B" w:rsidRPr="00A045FE">
        <w:rPr>
          <w:b/>
          <w:bCs/>
          <w:i/>
          <w:iCs/>
        </w:rPr>
        <w:t>Highlight Selected User</w:t>
      </w:r>
      <w:r w:rsidR="00F3166B" w:rsidRPr="00A045FE">
        <w:rPr>
          <w:i/>
          <w:iCs/>
        </w:rPr>
        <w:t>.</w:t>
      </w:r>
    </w:p>
    <w:p w14:paraId="517D0590" w14:textId="64D96C82" w:rsidR="00F3166B" w:rsidRPr="00A045FE" w:rsidRDefault="00343C18" w:rsidP="00A045FE">
      <w:pPr>
        <w:pStyle w:val="BodyText"/>
        <w:ind w:left="540"/>
        <w:rPr>
          <w:i/>
          <w:iCs/>
        </w:rPr>
      </w:pPr>
      <w:r>
        <w:rPr>
          <w:noProof/>
        </w:rPr>
        <w:drawing>
          <wp:anchor distT="0" distB="0" distL="0" distR="91440" simplePos="0" relativeHeight="251920388" behindDoc="1" locked="0" layoutInCell="1" allowOverlap="1" wp14:anchorId="0424B4E3" wp14:editId="6A8D9021">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78749811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F3166B" w:rsidRPr="00A045FE">
        <w:rPr>
          <w:b/>
          <w:bCs/>
          <w:i/>
          <w:iCs/>
        </w:rPr>
        <w:t xml:space="preserve">Workflow </w:t>
      </w:r>
      <w:r w:rsidR="00A045FE" w:rsidRPr="00A045FE">
        <w:rPr>
          <w:b/>
          <w:bCs/>
          <w:i/>
          <w:iCs/>
        </w:rPr>
        <w:t>I</w:t>
      </w:r>
      <w:r w:rsidR="00F3166B" w:rsidRPr="00A045FE">
        <w:rPr>
          <w:b/>
          <w:bCs/>
          <w:i/>
          <w:iCs/>
        </w:rPr>
        <w:t>nsight</w:t>
      </w:r>
      <w:r w:rsidR="00A045FE" w:rsidRPr="00A045FE">
        <w:rPr>
          <w:i/>
          <w:iCs/>
        </w:rPr>
        <w:t>:</w:t>
      </w:r>
      <w:r w:rsidR="00F3166B" w:rsidRPr="00A045FE">
        <w:rPr>
          <w:i/>
          <w:iCs/>
        </w:rPr>
        <w:t xml:space="preserve"> Due to DXOne security rights </w:t>
      </w:r>
      <w:r w:rsidR="00A045FE" w:rsidRPr="00A045FE">
        <w:rPr>
          <w:i/>
          <w:iCs/>
        </w:rPr>
        <w:t>being able</w:t>
      </w:r>
      <w:r w:rsidR="00F3166B" w:rsidRPr="00A045FE">
        <w:rPr>
          <w:i/>
          <w:iCs/>
        </w:rPr>
        <w:t xml:space="preserve"> to add or remove clinics and providers from an individual’s reporting rights, some report totals may be changed based </w:t>
      </w:r>
      <w:r w:rsidR="00A045FE" w:rsidRPr="00A045FE">
        <w:rPr>
          <w:i/>
          <w:iCs/>
        </w:rPr>
        <w:t>on</w:t>
      </w:r>
      <w:r w:rsidR="00F3166B" w:rsidRPr="00A045FE">
        <w:rPr>
          <w:i/>
          <w:iCs/>
        </w:rPr>
        <w:t xml:space="preserve"> the rights assigned to the </w:t>
      </w:r>
      <w:r w:rsidR="00A045FE" w:rsidRPr="00A045FE">
        <w:rPr>
          <w:i/>
          <w:iCs/>
        </w:rPr>
        <w:t>user</w:t>
      </w:r>
      <w:r w:rsidR="00F3166B" w:rsidRPr="00A045FE">
        <w:rPr>
          <w:i/>
          <w:iCs/>
        </w:rPr>
        <w:t xml:space="preserve"> running the report. Selecting “all clinics and all providers” gives the user the ability to see all current clinics and providers as well as any added in the future.</w:t>
      </w:r>
    </w:p>
    <w:p w14:paraId="62E6293F" w14:textId="75B8C6D7" w:rsidR="00A045FE" w:rsidRDefault="002F4B2B" w:rsidP="004F45B6">
      <w:pPr>
        <w:pStyle w:val="BodyText"/>
        <w:numPr>
          <w:ilvl w:val="0"/>
          <w:numId w:val="149"/>
        </w:numPr>
      </w:pPr>
      <w:r>
        <w:rPr>
          <w:noProof/>
        </w:rPr>
        <w:drawing>
          <wp:anchor distT="0" distB="0" distL="0" distR="91440" simplePos="0" relativeHeight="251924484" behindDoc="0" locked="0" layoutInCell="1" allowOverlap="1" wp14:anchorId="7EA12476" wp14:editId="68048939">
            <wp:simplePos x="0" y="0"/>
            <wp:positionH relativeFrom="column">
              <wp:posOffset>-457200</wp:posOffset>
            </wp:positionH>
            <wp:positionV relativeFrom="paragraph">
              <wp:posOffset>173059</wp:posOffset>
            </wp:positionV>
            <wp:extent cx="365981" cy="420624"/>
            <wp:effectExtent l="0" t="0" r="0" b="0"/>
            <wp:wrapTight wrapText="right">
              <wp:wrapPolygon edited="0">
                <wp:start x="0" y="0"/>
                <wp:lineTo x="0" y="20556"/>
                <wp:lineTo x="20250" y="20556"/>
                <wp:lineTo x="20250" y="0"/>
                <wp:lineTo x="0" y="0"/>
              </wp:wrapPolygon>
            </wp:wrapTight>
            <wp:docPr id="572924938"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A045FE">
        <w:t xml:space="preserve">Click </w:t>
      </w:r>
      <w:r w:rsidR="00A045FE" w:rsidRPr="00A045FE">
        <w:rPr>
          <w:b/>
          <w:bCs/>
        </w:rPr>
        <w:t>Save</w:t>
      </w:r>
      <w:r w:rsidR="00A045FE">
        <w:t>.</w:t>
      </w:r>
    </w:p>
    <w:p w14:paraId="1B5CFC11" w14:textId="7E67F897" w:rsidR="00A045FE" w:rsidRPr="00A045FE" w:rsidRDefault="00A045FE" w:rsidP="00A045FE">
      <w:pPr>
        <w:pStyle w:val="BodyText"/>
        <w:rPr>
          <w:i/>
          <w:iCs/>
        </w:rPr>
      </w:pPr>
      <w:r w:rsidRPr="00A045FE">
        <w:rPr>
          <w:b/>
          <w:bCs/>
          <w:i/>
          <w:iCs/>
        </w:rPr>
        <w:t>Tip</w:t>
      </w:r>
      <w:r w:rsidRPr="00A045FE">
        <w:rPr>
          <w:i/>
          <w:iCs/>
        </w:rPr>
        <w:t xml:space="preserve">: If you have multiple employees with the same level of security, click </w:t>
      </w:r>
      <w:r w:rsidRPr="00A045FE">
        <w:rPr>
          <w:b/>
          <w:bCs/>
          <w:i/>
          <w:iCs/>
        </w:rPr>
        <w:t>Copy User Security</w:t>
      </w:r>
      <w:r w:rsidRPr="00A045FE">
        <w:rPr>
          <w:i/>
          <w:iCs/>
        </w:rPr>
        <w:t xml:space="preserve"> to select the user from which you want to copy settings.</w:t>
      </w:r>
    </w:p>
    <w:p w14:paraId="42B37C38" w14:textId="43CE0405" w:rsidR="00FF6EC3" w:rsidRDefault="009473AD" w:rsidP="00D42C5A">
      <w:pPr>
        <w:pStyle w:val="Heading3"/>
      </w:pPr>
      <w:bookmarkStart w:id="243" w:name="_Toc135416745"/>
      <w:bookmarkStart w:id="244" w:name="_Toc166834400"/>
      <w:r w:rsidRPr="3BF7DB7F">
        <w:lastRenderedPageBreak/>
        <w:t>Definitions</w:t>
      </w:r>
      <w:bookmarkEnd w:id="239"/>
      <w:bookmarkEnd w:id="243"/>
      <w:bookmarkEnd w:id="244"/>
    </w:p>
    <w:p w14:paraId="236D4C8A" w14:textId="1372C12D" w:rsidR="009473AD" w:rsidRDefault="009473AD" w:rsidP="00FF6EC3">
      <w:pPr>
        <w:pStyle w:val="BodyText"/>
      </w:pPr>
      <w:r w:rsidRPr="3BF7DB7F">
        <w:t xml:space="preserve">Definitions are user-defined options available throughout the system. There are over 45 pre-defined types </w:t>
      </w:r>
      <w:r w:rsidR="00A045FE">
        <w:t>you can customize</w:t>
      </w:r>
      <w:r w:rsidRPr="3BF7DB7F">
        <w:t xml:space="preserve">. Definitions standardize what is selected and then reported on. </w:t>
      </w:r>
    </w:p>
    <w:p w14:paraId="69753C44" w14:textId="505E63C4" w:rsidR="00A045FE" w:rsidRDefault="00343C18" w:rsidP="00FF6EC3">
      <w:pPr>
        <w:pStyle w:val="BodyText"/>
      </w:pPr>
      <w:r>
        <w:rPr>
          <w:noProof/>
        </w:rPr>
        <w:drawing>
          <wp:anchor distT="0" distB="0" distL="0" distR="91440" simplePos="0" relativeHeight="251928580" behindDoc="1" locked="0" layoutInCell="1" allowOverlap="1" wp14:anchorId="502634D6" wp14:editId="4CB12E66">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54773243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A045FE">
        <w:rPr>
          <w:b/>
          <w:bCs/>
        </w:rPr>
        <w:t>Operations Insight</w:t>
      </w:r>
      <w:r w:rsidR="00A045FE">
        <w:t>:</w:t>
      </w:r>
      <w:r w:rsidR="009473AD" w:rsidRPr="4F5CD447">
        <w:rPr>
          <w:i/>
          <w:iCs/>
        </w:rPr>
        <w:t xml:space="preserve"> </w:t>
      </w:r>
      <w:r w:rsidR="009473AD" w:rsidRPr="4F5CD447">
        <w:t>Dentrix Enterprise assigns the definition number to a patient not the customizable description. Before customizing definitions be sure they have not been linked to patients. Modifying the text description of a definition will change that definition for all patients to whom the definition has been assigned. These pre-defined tables standardize what is selected and then reported on.</w:t>
      </w:r>
    </w:p>
    <w:p w14:paraId="331E0B79" w14:textId="1CA96FDD" w:rsidR="009473AD" w:rsidRPr="00A045FE" w:rsidRDefault="00343C18" w:rsidP="00FF6EC3">
      <w:pPr>
        <w:pStyle w:val="BodyText"/>
        <w:rPr>
          <w:i/>
          <w:iCs/>
        </w:rPr>
      </w:pPr>
      <w:r>
        <w:rPr>
          <w:noProof/>
        </w:rPr>
        <w:drawing>
          <wp:anchor distT="0" distB="0" distL="0" distR="91440" simplePos="0" relativeHeight="251926532" behindDoc="0" locked="0" layoutInCell="1" allowOverlap="1" wp14:anchorId="2B353865" wp14:editId="444DE87B">
            <wp:simplePos x="0" y="0"/>
            <wp:positionH relativeFrom="column">
              <wp:posOffset>-457200</wp:posOffset>
            </wp:positionH>
            <wp:positionV relativeFrom="paragraph">
              <wp:posOffset>0</wp:posOffset>
            </wp:positionV>
            <wp:extent cx="365981" cy="420624"/>
            <wp:effectExtent l="0" t="0" r="0" b="0"/>
            <wp:wrapTight wrapText="right">
              <wp:wrapPolygon edited="0">
                <wp:start x="0" y="0"/>
                <wp:lineTo x="0" y="20556"/>
                <wp:lineTo x="20250" y="20556"/>
                <wp:lineTo x="20250" y="0"/>
                <wp:lineTo x="0" y="0"/>
              </wp:wrapPolygon>
            </wp:wrapTight>
            <wp:docPr id="18720715"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A045FE" w:rsidRPr="00A045FE">
        <w:rPr>
          <w:b/>
          <w:bCs/>
          <w:i/>
          <w:iCs/>
        </w:rPr>
        <w:t>Note</w:t>
      </w:r>
      <w:r w:rsidR="00A045FE" w:rsidRPr="00A045FE">
        <w:rPr>
          <w:i/>
          <w:iCs/>
        </w:rPr>
        <w:t xml:space="preserve">: </w:t>
      </w:r>
      <w:r w:rsidR="009473AD" w:rsidRPr="00A045FE">
        <w:rPr>
          <w:i/>
          <w:iCs/>
        </w:rPr>
        <w:t>Deleting a definition can cause skips in the definition numbering sequence</w:t>
      </w:r>
      <w:r w:rsidR="00A045FE" w:rsidRPr="00A045FE">
        <w:rPr>
          <w:i/>
          <w:iCs/>
        </w:rPr>
        <w:t>,</w:t>
      </w:r>
      <w:r w:rsidR="009473AD" w:rsidRPr="00A045FE">
        <w:rPr>
          <w:i/>
          <w:iCs/>
        </w:rPr>
        <w:t xml:space="preserve"> and these skips can lead to data corruption. Contact Support if you need assistance with changing</w:t>
      </w:r>
      <w:r w:rsidR="00A045FE" w:rsidRPr="00A045FE">
        <w:rPr>
          <w:i/>
          <w:iCs/>
        </w:rPr>
        <w:t xml:space="preserve"> or </w:t>
      </w:r>
      <w:r w:rsidR="009473AD" w:rsidRPr="00A045FE">
        <w:rPr>
          <w:i/>
          <w:iCs/>
        </w:rPr>
        <w:t>removing the definitions.</w:t>
      </w:r>
    </w:p>
    <w:p w14:paraId="72F7520D" w14:textId="77777777" w:rsidR="00FF6EC3" w:rsidRPr="00FF6EC3" w:rsidRDefault="009473AD" w:rsidP="00D42C5A">
      <w:pPr>
        <w:pStyle w:val="Heading3"/>
      </w:pPr>
      <w:bookmarkStart w:id="245" w:name="_Toc135416746"/>
      <w:bookmarkStart w:id="246" w:name="_Toc166834401"/>
      <w:r w:rsidRPr="3BF7DB7F">
        <w:t>Procedure Code Setup</w:t>
      </w:r>
      <w:bookmarkEnd w:id="245"/>
      <w:bookmarkEnd w:id="246"/>
    </w:p>
    <w:p w14:paraId="7D9F0528" w14:textId="39205388" w:rsidR="009473AD" w:rsidRPr="00F3166B" w:rsidRDefault="009473AD" w:rsidP="00F3166B">
      <w:pPr>
        <w:pStyle w:val="BodyText"/>
        <w:rPr>
          <w:b/>
          <w:bCs/>
        </w:rPr>
      </w:pPr>
      <w:r w:rsidRPr="3BF7DB7F">
        <w:t xml:space="preserve">Dentrix Enterprise comes with all current ADA-CDT codes. You </w:t>
      </w:r>
      <w:r w:rsidR="00A045FE">
        <w:t>can</w:t>
      </w:r>
      <w:r w:rsidRPr="3BF7DB7F">
        <w:t xml:space="preserve"> customize certain options and add custom procedure codes for products and services to fit the needs of your organization. All codes and their settings are used for all clinics within the organization.  </w:t>
      </w:r>
    </w:p>
    <w:p w14:paraId="5895C252" w14:textId="28315702" w:rsidR="009473AD" w:rsidRDefault="009473AD" w:rsidP="00F3166B">
      <w:pPr>
        <w:pStyle w:val="BodyText"/>
      </w:pPr>
      <w:r w:rsidRPr="00E24945">
        <w:t>Review the following information</w:t>
      </w:r>
      <w:r w:rsidR="00A045FE">
        <w:t>:</w:t>
      </w:r>
    </w:p>
    <w:p w14:paraId="044CA81F" w14:textId="779CAEC0" w:rsidR="009473AD" w:rsidRDefault="009473AD" w:rsidP="004F45B6">
      <w:pPr>
        <w:pStyle w:val="BodyText"/>
        <w:numPr>
          <w:ilvl w:val="0"/>
          <w:numId w:val="83"/>
        </w:numPr>
        <w:ind w:left="540"/>
      </w:pPr>
      <w:r w:rsidRPr="00F3166B">
        <w:rPr>
          <w:b/>
          <w:bCs/>
        </w:rPr>
        <w:t>Patient Friendly Description</w:t>
      </w:r>
      <w:r w:rsidRPr="4F5CD447">
        <w:t xml:space="preserve"> – This patient</w:t>
      </w:r>
      <w:r w:rsidR="00A045FE">
        <w:t>-</w:t>
      </w:r>
      <w:r w:rsidRPr="4F5CD447">
        <w:t xml:space="preserve">friendly language will be used in place of the dental terminology on treatment plans if the option </w:t>
      </w:r>
      <w:r w:rsidR="00A045FE">
        <w:t xml:space="preserve">to allow that </w:t>
      </w:r>
      <w:r w:rsidRPr="4F5CD447">
        <w:t>is selected in the treatment plan setup. It can be helpful to customize this information and make it patient friendly to facilitate comprehension for patients.</w:t>
      </w:r>
    </w:p>
    <w:p w14:paraId="0BDA690F" w14:textId="421A9BC9" w:rsidR="009473AD" w:rsidRDefault="009473AD" w:rsidP="004F45B6">
      <w:pPr>
        <w:pStyle w:val="BodyText"/>
        <w:numPr>
          <w:ilvl w:val="0"/>
          <w:numId w:val="83"/>
        </w:numPr>
        <w:ind w:left="540"/>
      </w:pPr>
      <w:r w:rsidRPr="00F3166B">
        <w:rPr>
          <w:b/>
          <w:bCs/>
        </w:rPr>
        <w:t>ADA Code</w:t>
      </w:r>
      <w:r w:rsidRPr="00E24945">
        <w:t xml:space="preserve"> </w:t>
      </w:r>
      <w:r w:rsidR="00A045FE">
        <w:t>–</w:t>
      </w:r>
      <w:r w:rsidRPr="00E24945">
        <w:t xml:space="preserve"> The standard ADA code is displayed for the procedure in most of the Dentrix Enterprise modules. It is also used to print some reports by procedure range.</w:t>
      </w:r>
      <w:r w:rsidR="00A045FE">
        <w:t xml:space="preserve"> </w:t>
      </w:r>
      <w:r w:rsidRPr="00E24945">
        <w:t>All ADA codes are included with Dentrix Enterprise when the program is first installed.</w:t>
      </w:r>
    </w:p>
    <w:p w14:paraId="54FD15FA" w14:textId="40DA17FC" w:rsidR="009473AD" w:rsidRDefault="009473AD" w:rsidP="004F45B6">
      <w:pPr>
        <w:pStyle w:val="BodyText"/>
        <w:numPr>
          <w:ilvl w:val="0"/>
          <w:numId w:val="83"/>
        </w:numPr>
        <w:ind w:left="540"/>
      </w:pPr>
      <w:r w:rsidRPr="00F3166B">
        <w:rPr>
          <w:b/>
          <w:bCs/>
        </w:rPr>
        <w:t>Abbrev Desc</w:t>
      </w:r>
      <w:r w:rsidRPr="4F5CD447">
        <w:t xml:space="preserve"> </w:t>
      </w:r>
      <w:r w:rsidR="00A045FE">
        <w:t>–</w:t>
      </w:r>
      <w:r w:rsidRPr="4F5CD447">
        <w:t xml:space="preserve"> The abbreviated description is displayed in the Appointment Book as the description when a procedure is scheduled. </w:t>
      </w:r>
    </w:p>
    <w:p w14:paraId="0C40F423" w14:textId="0B46CFD1" w:rsidR="009473AD" w:rsidRDefault="009473AD" w:rsidP="004F45B6">
      <w:pPr>
        <w:pStyle w:val="BodyText"/>
        <w:numPr>
          <w:ilvl w:val="0"/>
          <w:numId w:val="83"/>
        </w:numPr>
        <w:ind w:left="540"/>
      </w:pPr>
      <w:r w:rsidRPr="00F3166B">
        <w:rPr>
          <w:b/>
          <w:bCs/>
        </w:rPr>
        <w:t>Treatment Area</w:t>
      </w:r>
      <w:r w:rsidR="00F3166B">
        <w:t xml:space="preserve"> </w:t>
      </w:r>
      <w:r w:rsidR="00A045FE">
        <w:t>–</w:t>
      </w:r>
      <w:r w:rsidRPr="4F5CD447">
        <w:t xml:space="preserve"> This regulates the information </w:t>
      </w:r>
      <w:r w:rsidR="00A045FE">
        <w:t xml:space="preserve">that is </w:t>
      </w:r>
      <w:r w:rsidRPr="4F5CD447">
        <w:t xml:space="preserve">required for a procedure code. For example, if tooth is selected, a tooth number would be required when </w:t>
      </w:r>
      <w:r w:rsidR="00A045FE">
        <w:t xml:space="preserve">you use </w:t>
      </w:r>
      <w:r w:rsidRPr="4F5CD447">
        <w:t xml:space="preserve">the code.  </w:t>
      </w:r>
    </w:p>
    <w:p w14:paraId="32E28DCD" w14:textId="6BDD4507" w:rsidR="009473AD" w:rsidRDefault="009473AD" w:rsidP="004F45B6">
      <w:pPr>
        <w:pStyle w:val="BodyText"/>
        <w:numPr>
          <w:ilvl w:val="0"/>
          <w:numId w:val="83"/>
        </w:numPr>
        <w:ind w:left="540"/>
      </w:pPr>
      <w:r w:rsidRPr="00F3166B">
        <w:rPr>
          <w:b/>
          <w:bCs/>
        </w:rPr>
        <w:t>Treatment Flag</w:t>
      </w:r>
      <w:r w:rsidRPr="4F5CD447">
        <w:t xml:space="preserve">s </w:t>
      </w:r>
      <w:r w:rsidR="00A045FE">
        <w:t>–</w:t>
      </w:r>
      <w:r w:rsidRPr="4F5CD447">
        <w:t xml:space="preserve"> Select the </w:t>
      </w:r>
      <w:r w:rsidR="00A045FE">
        <w:t>applicable</w:t>
      </w:r>
      <w:r w:rsidRPr="4F5CD447">
        <w:t xml:space="preserve"> treatment flags for the procedure to indicate how the procedure will be handled in certain situations.  </w:t>
      </w:r>
    </w:p>
    <w:p w14:paraId="3866B5F5" w14:textId="0B4ADFC4" w:rsidR="009473AD" w:rsidRDefault="009473AD" w:rsidP="004F45B6">
      <w:pPr>
        <w:pStyle w:val="BodyText"/>
        <w:numPr>
          <w:ilvl w:val="0"/>
          <w:numId w:val="83"/>
        </w:numPr>
        <w:ind w:left="540"/>
      </w:pPr>
      <w:r w:rsidRPr="00F3166B">
        <w:rPr>
          <w:b/>
          <w:bCs/>
        </w:rPr>
        <w:t>Show in Chart</w:t>
      </w:r>
      <w:r w:rsidRPr="4F5CD447">
        <w:t xml:space="preserve"> </w:t>
      </w:r>
      <w:r w:rsidR="00A045FE">
        <w:t>–</w:t>
      </w:r>
      <w:r w:rsidRPr="4F5CD447">
        <w:t xml:space="preserve"> The procedure will be listed for the corresponding procedure code category button in Chart.</w:t>
      </w:r>
    </w:p>
    <w:p w14:paraId="575F5297" w14:textId="02F2DE8C" w:rsidR="009473AD" w:rsidRPr="00A045FE" w:rsidRDefault="00D812D1" w:rsidP="00F3166B">
      <w:pPr>
        <w:pStyle w:val="BodyText"/>
        <w:ind w:left="540"/>
        <w:rPr>
          <w:i/>
          <w:iCs/>
        </w:rPr>
      </w:pPr>
      <w:r>
        <w:rPr>
          <w:noProof/>
        </w:rPr>
        <w:drawing>
          <wp:anchor distT="0" distB="0" distL="0" distR="91440" simplePos="0" relativeHeight="251930628" behindDoc="1" locked="0" layoutInCell="1" allowOverlap="1" wp14:anchorId="3A505430" wp14:editId="775A85BA">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39611014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A045FE">
        <w:rPr>
          <w:b/>
          <w:bCs/>
          <w:i/>
          <w:iCs/>
        </w:rPr>
        <w:t xml:space="preserve">Workflow </w:t>
      </w:r>
      <w:r w:rsidR="00A045FE" w:rsidRPr="00A045FE">
        <w:rPr>
          <w:b/>
          <w:bCs/>
          <w:i/>
          <w:iCs/>
        </w:rPr>
        <w:t>I</w:t>
      </w:r>
      <w:r w:rsidR="009473AD" w:rsidRPr="00A045FE">
        <w:rPr>
          <w:b/>
          <w:bCs/>
          <w:i/>
          <w:iCs/>
        </w:rPr>
        <w:t>nsight</w:t>
      </w:r>
      <w:r w:rsidR="00A045FE" w:rsidRPr="00A045FE">
        <w:rPr>
          <w:i/>
          <w:iCs/>
        </w:rPr>
        <w:t>:</w:t>
      </w:r>
      <w:r w:rsidR="00DA55E0">
        <w:rPr>
          <w:i/>
          <w:iCs/>
        </w:rPr>
        <w:t xml:space="preserve"> The</w:t>
      </w:r>
      <w:r w:rsidR="009473AD" w:rsidRPr="00A045FE">
        <w:rPr>
          <w:i/>
          <w:iCs/>
        </w:rPr>
        <w:t xml:space="preserve"> </w:t>
      </w:r>
      <w:r w:rsidR="009473AD" w:rsidRPr="00A045FE">
        <w:rPr>
          <w:b/>
          <w:bCs/>
          <w:i/>
          <w:iCs/>
        </w:rPr>
        <w:t xml:space="preserve">Show in </w:t>
      </w:r>
      <w:r w:rsidR="00A045FE" w:rsidRPr="00A045FE">
        <w:rPr>
          <w:b/>
          <w:bCs/>
          <w:i/>
          <w:iCs/>
        </w:rPr>
        <w:t>C</w:t>
      </w:r>
      <w:r w:rsidR="009473AD" w:rsidRPr="00A045FE">
        <w:rPr>
          <w:b/>
          <w:bCs/>
          <w:i/>
          <w:iCs/>
        </w:rPr>
        <w:t>hart</w:t>
      </w:r>
      <w:r w:rsidR="009473AD" w:rsidRPr="00A045FE">
        <w:rPr>
          <w:i/>
          <w:iCs/>
        </w:rPr>
        <w:t xml:space="preserve"> </w:t>
      </w:r>
      <w:r w:rsidR="00DA55E0">
        <w:rPr>
          <w:i/>
          <w:iCs/>
        </w:rPr>
        <w:t xml:space="preserve">option </w:t>
      </w:r>
      <w:r w:rsidR="009473AD" w:rsidRPr="00A045FE">
        <w:rPr>
          <w:i/>
          <w:iCs/>
        </w:rPr>
        <w:t xml:space="preserve">supports clinical workflows by sorting the procedure codes that are commonly used in your organization and making them easier to access in </w:t>
      </w:r>
      <w:r w:rsidR="00A045FE" w:rsidRPr="00A045FE">
        <w:rPr>
          <w:i/>
          <w:iCs/>
        </w:rPr>
        <w:t>C</w:t>
      </w:r>
      <w:r w:rsidR="009473AD" w:rsidRPr="00A045FE">
        <w:rPr>
          <w:i/>
          <w:iCs/>
        </w:rPr>
        <w:t>hart.</w:t>
      </w:r>
    </w:p>
    <w:p w14:paraId="7EF05BD8" w14:textId="18B1E437" w:rsidR="009473AD" w:rsidRPr="00DA55E0" w:rsidRDefault="00D812D1" w:rsidP="00F3166B">
      <w:pPr>
        <w:pStyle w:val="BodyText"/>
        <w:ind w:left="540"/>
        <w:rPr>
          <w:i/>
          <w:iCs/>
        </w:rPr>
      </w:pPr>
      <w:r>
        <w:rPr>
          <w:noProof/>
        </w:rPr>
        <w:drawing>
          <wp:anchor distT="0" distB="0" distL="0" distR="91440" simplePos="0" relativeHeight="251934724" behindDoc="1" locked="0" layoutInCell="1" allowOverlap="1" wp14:anchorId="7B8CD8A2" wp14:editId="4C19937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99962790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A55E0">
        <w:rPr>
          <w:b/>
          <w:bCs/>
          <w:i/>
          <w:iCs/>
        </w:rPr>
        <w:t>Operation Insight</w:t>
      </w:r>
      <w:r w:rsidR="00A045FE" w:rsidRPr="00DA55E0">
        <w:rPr>
          <w:i/>
          <w:iCs/>
        </w:rPr>
        <w:t>:</w:t>
      </w:r>
      <w:r w:rsidR="009473AD" w:rsidRPr="00DA55E0">
        <w:rPr>
          <w:i/>
          <w:iCs/>
        </w:rPr>
        <w:t xml:space="preserve"> Running the </w:t>
      </w:r>
      <w:r w:rsidR="00A045FE" w:rsidRPr="00DA55E0">
        <w:rPr>
          <w:i/>
          <w:iCs/>
        </w:rPr>
        <w:t>P</w:t>
      </w:r>
      <w:r w:rsidR="009473AD" w:rsidRPr="00DA55E0">
        <w:rPr>
          <w:i/>
          <w:iCs/>
        </w:rPr>
        <w:t xml:space="preserve">roduction </w:t>
      </w:r>
      <w:r w:rsidR="00A045FE" w:rsidRPr="00DA55E0">
        <w:rPr>
          <w:i/>
          <w:iCs/>
        </w:rPr>
        <w:t>S</w:t>
      </w:r>
      <w:r w:rsidR="009473AD" w:rsidRPr="00DA55E0">
        <w:rPr>
          <w:i/>
          <w:iCs/>
        </w:rPr>
        <w:t>ummary</w:t>
      </w:r>
      <w:r w:rsidR="00A045FE" w:rsidRPr="00DA55E0">
        <w:rPr>
          <w:i/>
          <w:iCs/>
        </w:rPr>
        <w:t xml:space="preserve"> Re</w:t>
      </w:r>
      <w:r w:rsidR="009473AD" w:rsidRPr="00DA55E0">
        <w:rPr>
          <w:i/>
          <w:iCs/>
        </w:rPr>
        <w:t xml:space="preserve">port for all clinics, by ADA code, </w:t>
      </w:r>
      <w:r w:rsidR="00A045FE" w:rsidRPr="00DA55E0">
        <w:rPr>
          <w:i/>
          <w:iCs/>
        </w:rPr>
        <w:t xml:space="preserve">and </w:t>
      </w:r>
      <w:r w:rsidR="009473AD" w:rsidRPr="00DA55E0">
        <w:rPr>
          <w:i/>
          <w:iCs/>
        </w:rPr>
        <w:t>for the last year or two provides helpful insight into which codes would support workflows across the organization.</w:t>
      </w:r>
    </w:p>
    <w:p w14:paraId="66006A5F" w14:textId="70544540" w:rsidR="009473AD" w:rsidRDefault="009473AD" w:rsidP="004F45B6">
      <w:pPr>
        <w:pStyle w:val="BodyText"/>
        <w:numPr>
          <w:ilvl w:val="0"/>
          <w:numId w:val="83"/>
        </w:numPr>
        <w:ind w:left="540"/>
      </w:pPr>
      <w:r w:rsidRPr="00F3166B">
        <w:rPr>
          <w:b/>
          <w:bCs/>
        </w:rPr>
        <w:t>Auto Continuing Car</w:t>
      </w:r>
      <w:r w:rsidRPr="4F5CD447">
        <w:t>e – When a procedure with a continuing care type attached to</w:t>
      </w:r>
      <w:r w:rsidR="00DA55E0">
        <w:t xml:space="preserve"> it</w:t>
      </w:r>
      <w:r w:rsidRPr="4F5CD447">
        <w:t xml:space="preserve"> is completed, Dentrix Enterprise automatically adds the continuing care type to the patient and/or updates that patient’s continuing care due date.  </w:t>
      </w:r>
    </w:p>
    <w:p w14:paraId="38FDB6EC" w14:textId="77777777" w:rsidR="009473AD" w:rsidRDefault="009473AD" w:rsidP="004F45B6">
      <w:pPr>
        <w:pStyle w:val="BodyText"/>
        <w:numPr>
          <w:ilvl w:val="0"/>
          <w:numId w:val="83"/>
        </w:numPr>
        <w:ind w:left="540"/>
      </w:pPr>
      <w:r w:rsidRPr="00F3166B">
        <w:rPr>
          <w:b/>
          <w:bCs/>
        </w:rPr>
        <w:t>Procedure Time</w:t>
      </w:r>
      <w:r w:rsidRPr="4F5CD447">
        <w:t xml:space="preserve"> – This allows you to specify how many default units of time are assigned to a procedure code when it is scheduled.  </w:t>
      </w:r>
    </w:p>
    <w:p w14:paraId="785F5199" w14:textId="42B1276A" w:rsidR="009473AD" w:rsidRPr="00DA55E0" w:rsidRDefault="00D812D1" w:rsidP="00F3166B">
      <w:pPr>
        <w:pStyle w:val="BodyText"/>
        <w:ind w:left="540"/>
        <w:rPr>
          <w:i/>
          <w:iCs/>
        </w:rPr>
      </w:pPr>
      <w:r>
        <w:rPr>
          <w:noProof/>
        </w:rPr>
        <w:lastRenderedPageBreak/>
        <w:drawing>
          <wp:anchor distT="0" distB="0" distL="0" distR="91440" simplePos="0" relativeHeight="251932676" behindDoc="1" locked="0" layoutInCell="1" allowOverlap="1" wp14:anchorId="2141F2E3" wp14:editId="0C3A1E23">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465750209"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DA55E0">
        <w:rPr>
          <w:b/>
          <w:bCs/>
          <w:i/>
          <w:iCs/>
        </w:rPr>
        <w:t xml:space="preserve">Workflow </w:t>
      </w:r>
      <w:r w:rsidR="00DA55E0" w:rsidRPr="00DA55E0">
        <w:rPr>
          <w:b/>
          <w:bCs/>
          <w:i/>
          <w:iCs/>
        </w:rPr>
        <w:t>I</w:t>
      </w:r>
      <w:r w:rsidR="009473AD" w:rsidRPr="00DA55E0">
        <w:rPr>
          <w:b/>
          <w:bCs/>
          <w:i/>
          <w:iCs/>
        </w:rPr>
        <w:t>nsight</w:t>
      </w:r>
      <w:r w:rsidR="009473AD" w:rsidRPr="00DA55E0">
        <w:rPr>
          <w:i/>
          <w:iCs/>
        </w:rPr>
        <w:t xml:space="preserve">: </w:t>
      </w:r>
      <w:r w:rsidR="00DA55E0" w:rsidRPr="00DA55E0">
        <w:rPr>
          <w:i/>
          <w:iCs/>
        </w:rPr>
        <w:t>S</w:t>
      </w:r>
      <w:r w:rsidR="009473AD" w:rsidRPr="00DA55E0">
        <w:rPr>
          <w:i/>
          <w:iCs/>
        </w:rPr>
        <w:t>et up the time pattern for each unit (chair time, assistant’s time, or provider’s time) to help you make use of all operatories when scheduling appointments and maximize your productivity.</w:t>
      </w:r>
    </w:p>
    <w:p w14:paraId="7BCA60ED" w14:textId="5168D4CD" w:rsidR="009473AD" w:rsidRDefault="009473AD" w:rsidP="004F45B6">
      <w:pPr>
        <w:pStyle w:val="BodyText"/>
        <w:numPr>
          <w:ilvl w:val="0"/>
          <w:numId w:val="83"/>
        </w:numPr>
        <w:ind w:left="540"/>
      </w:pPr>
      <w:r w:rsidRPr="00F3166B">
        <w:rPr>
          <w:b/>
          <w:bCs/>
        </w:rPr>
        <w:t>Procedure Code Category</w:t>
      </w:r>
      <w:r w:rsidRPr="4F5CD447">
        <w:t xml:space="preserve"> </w:t>
      </w:r>
      <w:r w:rsidR="00DA55E0">
        <w:t>–</w:t>
      </w:r>
      <w:r w:rsidRPr="4F5CD447">
        <w:t xml:space="preserve"> Select the </w:t>
      </w:r>
      <w:r w:rsidR="00DA55E0">
        <w:t>applicable</w:t>
      </w:r>
      <w:r w:rsidRPr="4F5CD447">
        <w:t xml:space="preserve"> category for this procedure code. In Practice Definitions, you can customize the procedure categories to fit your practice</w:t>
      </w:r>
      <w:r w:rsidR="00DA55E0">
        <w:t>’</w:t>
      </w:r>
      <w:r w:rsidRPr="4F5CD447">
        <w:t xml:space="preserve">s needs. </w:t>
      </w:r>
    </w:p>
    <w:p w14:paraId="1DF5582A" w14:textId="3D065BEB" w:rsidR="009473AD" w:rsidRPr="00DA55E0" w:rsidRDefault="00D812D1" w:rsidP="00F3166B">
      <w:pPr>
        <w:pStyle w:val="BodyText"/>
        <w:ind w:left="540"/>
        <w:rPr>
          <w:i/>
          <w:iCs/>
        </w:rPr>
      </w:pPr>
      <w:r>
        <w:rPr>
          <w:noProof/>
        </w:rPr>
        <w:drawing>
          <wp:anchor distT="0" distB="0" distL="0" distR="91440" simplePos="0" relativeHeight="251936772" behindDoc="1" locked="0" layoutInCell="1" allowOverlap="1" wp14:anchorId="380112F3" wp14:editId="2CA2CE27">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61061155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A55E0">
        <w:rPr>
          <w:b/>
          <w:bCs/>
          <w:i/>
          <w:iCs/>
        </w:rPr>
        <w:t>Operation Insight</w:t>
      </w:r>
      <w:r w:rsidR="00DA55E0" w:rsidRPr="00DA55E0">
        <w:rPr>
          <w:i/>
          <w:iCs/>
        </w:rPr>
        <w:t>:</w:t>
      </w:r>
      <w:r w:rsidR="009473AD" w:rsidRPr="00DA55E0">
        <w:rPr>
          <w:i/>
          <w:iCs/>
        </w:rPr>
        <w:t xml:space="preserve"> You cannot delete a procedure code</w:t>
      </w:r>
      <w:r w:rsidR="00DA55E0" w:rsidRPr="00DA55E0">
        <w:rPr>
          <w:i/>
          <w:iCs/>
        </w:rPr>
        <w:t>. I</w:t>
      </w:r>
      <w:r w:rsidR="009473AD" w:rsidRPr="00DA55E0">
        <w:rPr>
          <w:i/>
          <w:iCs/>
        </w:rPr>
        <w:t>f you no longer need or want to use a certain procedure code, you can invalidate</w:t>
      </w:r>
      <w:r w:rsidR="00DA55E0" w:rsidRPr="00DA55E0">
        <w:rPr>
          <w:i/>
          <w:iCs/>
        </w:rPr>
        <w:t xml:space="preserve"> it</w:t>
      </w:r>
      <w:r w:rsidR="009473AD" w:rsidRPr="00DA55E0">
        <w:rPr>
          <w:i/>
          <w:iCs/>
        </w:rPr>
        <w:t xml:space="preserve"> </w:t>
      </w:r>
      <w:r w:rsidR="00DA55E0" w:rsidRPr="00DA55E0">
        <w:rPr>
          <w:i/>
          <w:iCs/>
        </w:rPr>
        <w:t>(this option is available for version 11.0 and later)</w:t>
      </w:r>
      <w:r w:rsidR="009473AD" w:rsidRPr="00DA55E0">
        <w:rPr>
          <w:i/>
          <w:iCs/>
        </w:rPr>
        <w:t>.</w:t>
      </w:r>
    </w:p>
    <w:p w14:paraId="684404AB" w14:textId="42DCCDB1" w:rsidR="009473AD" w:rsidRDefault="009473AD" w:rsidP="004F45B6">
      <w:pPr>
        <w:pStyle w:val="BodyText"/>
        <w:numPr>
          <w:ilvl w:val="0"/>
          <w:numId w:val="83"/>
        </w:numPr>
        <w:ind w:left="540"/>
      </w:pPr>
      <w:r w:rsidRPr="00F3166B">
        <w:rPr>
          <w:b/>
          <w:bCs/>
        </w:rPr>
        <w:t>Appointment Type</w:t>
      </w:r>
      <w:r w:rsidRPr="4F5CD447">
        <w:t xml:space="preserve"> – These work closely with </w:t>
      </w:r>
      <w:r w:rsidR="00DA55E0">
        <w:t>t</w:t>
      </w:r>
      <w:r w:rsidRPr="4F5CD447">
        <w:t>ime block scheduling. By giving each procedure a specific appointment type, you can schedule your work to meet daily and weekly goals and keep your office flowing smoothly.</w:t>
      </w:r>
    </w:p>
    <w:p w14:paraId="147403EB" w14:textId="000006CC" w:rsidR="009473AD" w:rsidRDefault="009473AD" w:rsidP="004F45B6">
      <w:pPr>
        <w:pStyle w:val="BodyText"/>
        <w:numPr>
          <w:ilvl w:val="0"/>
          <w:numId w:val="83"/>
        </w:numPr>
        <w:ind w:left="540"/>
      </w:pPr>
      <w:r w:rsidRPr="00F3166B">
        <w:rPr>
          <w:b/>
          <w:bCs/>
        </w:rPr>
        <w:t>Educational Video</w:t>
      </w:r>
      <w:r w:rsidRPr="4F5CD447">
        <w:t xml:space="preserve"> – </w:t>
      </w:r>
      <w:r w:rsidR="00F3166B">
        <w:t>A</w:t>
      </w:r>
      <w:r w:rsidRPr="4F5CD447">
        <w:t>dd a hyperlink for an educational vi</w:t>
      </w:r>
      <w:r>
        <w:t xml:space="preserve">deo specific to the procedure. </w:t>
      </w:r>
      <w:r w:rsidRPr="4F5CD447">
        <w:t xml:space="preserve">The link will be available when </w:t>
      </w:r>
      <w:r w:rsidR="00DA55E0">
        <w:t>the</w:t>
      </w:r>
      <w:r w:rsidRPr="4F5CD447">
        <w:t xml:space="preserve"> procedure</w:t>
      </w:r>
      <w:r w:rsidR="00DA55E0">
        <w:t xml:space="preserve"> has</w:t>
      </w:r>
      <w:r w:rsidRPr="4F5CD447">
        <w:t xml:space="preserve"> a treatment-planned status.</w:t>
      </w:r>
    </w:p>
    <w:p w14:paraId="1F189EA9" w14:textId="77777777" w:rsidR="008E6268" w:rsidRPr="000365EC" w:rsidRDefault="00554DD0" w:rsidP="00554DD0">
      <w:pPr>
        <w:pStyle w:val="BodyText"/>
        <w:rPr>
          <w:i/>
          <w:iCs/>
        </w:rPr>
      </w:pPr>
      <w:r w:rsidRPr="000365EC">
        <w:rPr>
          <w:b/>
          <w:bCs/>
          <w:i/>
          <w:iCs/>
          <w:noProof/>
        </w:rPr>
        <w:drawing>
          <wp:anchor distT="0" distB="0" distL="0" distR="91440" simplePos="0" relativeHeight="252095492" behindDoc="1" locked="0" layoutInCell="1" allowOverlap="1" wp14:anchorId="09186071" wp14:editId="073871AC">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246019055"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w:t>
      </w:r>
      <w:r w:rsidR="008E6268" w:rsidRPr="000365EC">
        <w:rPr>
          <w:b/>
          <w:bCs/>
          <w:i/>
          <w:iCs/>
        </w:rPr>
        <w:t>s</w:t>
      </w:r>
      <w:r w:rsidRPr="000365EC">
        <w:rPr>
          <w:i/>
          <w:iCs/>
        </w:rPr>
        <w:t>:</w:t>
      </w:r>
    </w:p>
    <w:p w14:paraId="037F10BC" w14:textId="328AEF24" w:rsidR="00554DD0" w:rsidRPr="000365EC" w:rsidRDefault="00FB7233" w:rsidP="004F45B6">
      <w:pPr>
        <w:pStyle w:val="BodyText"/>
        <w:numPr>
          <w:ilvl w:val="0"/>
          <w:numId w:val="164"/>
        </w:numPr>
        <w:rPr>
          <w:i/>
          <w:iCs/>
        </w:rPr>
      </w:pPr>
      <w:r w:rsidRPr="000365EC">
        <w:rPr>
          <w:i/>
          <w:iCs/>
        </w:rPr>
        <w:t>In version 11.0.20.1141, the Oral Health Literacy Report is a new DXOne custom report that tracks information regarding oral health education that was provided to patients by providers during their appointment</w:t>
      </w:r>
      <w:r w:rsidR="008E0632" w:rsidRPr="000365EC">
        <w:rPr>
          <w:i/>
          <w:iCs/>
        </w:rPr>
        <w:t>s</w:t>
      </w:r>
      <w:r w:rsidRPr="000365EC">
        <w:rPr>
          <w:i/>
          <w:iCs/>
        </w:rPr>
        <w:t>. This report is aggregated at the service level only and will be used by administrators or the Health Promotion Disease Preventions (HPDP) specialist.</w:t>
      </w:r>
    </w:p>
    <w:p w14:paraId="7AFA306F" w14:textId="51290ECB" w:rsidR="008E0632" w:rsidRPr="000365EC" w:rsidRDefault="008E0632" w:rsidP="004F45B6">
      <w:pPr>
        <w:pStyle w:val="BodyText"/>
        <w:numPr>
          <w:ilvl w:val="0"/>
          <w:numId w:val="164"/>
        </w:numPr>
      </w:pPr>
      <w:r w:rsidRPr="000365EC">
        <w:rPr>
          <w:i/>
          <w:iCs/>
        </w:rPr>
        <w:t xml:space="preserve">In version 11.0.20.862 (Component Update 5), new procedure code paint types for impacted tooth and root tip are now available </w:t>
      </w:r>
      <w:r w:rsidR="00170A91" w:rsidRPr="000365EC">
        <w:rPr>
          <w:i/>
          <w:iCs/>
        </w:rPr>
        <w:t>for selection</w:t>
      </w:r>
      <w:r w:rsidRPr="000365EC">
        <w:rPr>
          <w:i/>
          <w:iCs/>
        </w:rPr>
        <w:t xml:space="preserve"> for any procedure code or condition.</w:t>
      </w:r>
    </w:p>
    <w:p w14:paraId="351F8D3A" w14:textId="470516CE" w:rsidR="00FF6EC3" w:rsidRDefault="009473AD" w:rsidP="00D42C5A">
      <w:pPr>
        <w:pStyle w:val="Heading3"/>
      </w:pPr>
      <w:bookmarkStart w:id="247" w:name="_Toc135416747"/>
      <w:bookmarkStart w:id="248" w:name="_Toc166834402"/>
      <w:r w:rsidRPr="2A71C1FC">
        <w:t>Continuing Care</w:t>
      </w:r>
      <w:bookmarkEnd w:id="247"/>
      <w:bookmarkEnd w:id="248"/>
    </w:p>
    <w:p w14:paraId="3E72DCD1" w14:textId="445DC0BC" w:rsidR="009473AD" w:rsidRPr="00454D84" w:rsidRDefault="00DA55E0" w:rsidP="00454D84">
      <w:pPr>
        <w:pStyle w:val="BodyText"/>
        <w:rPr>
          <w:b/>
          <w:bCs/>
        </w:rPr>
      </w:pPr>
      <w:r>
        <w:t xml:space="preserve">You can use </w:t>
      </w:r>
      <w:r w:rsidR="009473AD" w:rsidRPr="2A71C1FC">
        <w:t xml:space="preserve">Continuing </w:t>
      </w:r>
      <w:r>
        <w:t>C</w:t>
      </w:r>
      <w:r w:rsidR="009473AD" w:rsidRPr="2A71C1FC">
        <w:t xml:space="preserve">are to track preventive care that is typically carried out in a cycle. </w:t>
      </w:r>
      <w:r>
        <w:t xml:space="preserve">Continuing care </w:t>
      </w:r>
      <w:r w:rsidR="009473AD" w:rsidRPr="2A71C1FC">
        <w:t xml:space="preserve">types are defined with an interval and then linked to a code to trigger the start or recurrence of the cycle. Prophy, Perio Maintenance, and diagnostic images are the most common </w:t>
      </w:r>
      <w:r>
        <w:t>t</w:t>
      </w:r>
      <w:r w:rsidR="009473AD" w:rsidRPr="2A71C1FC">
        <w:t xml:space="preserve">ypes. </w:t>
      </w:r>
      <w:r>
        <w:t>You can run some r</w:t>
      </w:r>
      <w:r w:rsidR="009473AD" w:rsidRPr="2A71C1FC">
        <w:t xml:space="preserve">eports by </w:t>
      </w:r>
      <w:r>
        <w:t xml:space="preserve">continuing care </w:t>
      </w:r>
      <w:r w:rsidR="009473AD" w:rsidRPr="2A71C1FC">
        <w:t>type</w:t>
      </w:r>
      <w:r>
        <w:t>.</w:t>
      </w:r>
    </w:p>
    <w:p w14:paraId="640B1286" w14:textId="6EFE55D3" w:rsidR="009473AD" w:rsidRPr="00FF6EC3" w:rsidRDefault="00DA55E0" w:rsidP="00454D84">
      <w:pPr>
        <w:pStyle w:val="BodyText"/>
      </w:pPr>
      <w:r>
        <w:t>You can c</w:t>
      </w:r>
      <w:r w:rsidR="009473AD" w:rsidRPr="2A71C1FC">
        <w:t xml:space="preserve">ustomize Continuing Care </w:t>
      </w:r>
      <w:r>
        <w:t xml:space="preserve">by setting up </w:t>
      </w:r>
      <w:r w:rsidR="009473AD" w:rsidRPr="2A71C1FC">
        <w:t>Continuing Care views to create many different ways of looking at the continuing care information.</w:t>
      </w:r>
      <w:r>
        <w:t xml:space="preserve"> You can also use </w:t>
      </w:r>
      <w:r w:rsidR="009473AD" w:rsidRPr="2A71C1FC">
        <w:t xml:space="preserve">Scheduling Assistant to manage </w:t>
      </w:r>
      <w:r>
        <w:t>p</w:t>
      </w:r>
      <w:r w:rsidR="009473AD" w:rsidRPr="2A71C1FC">
        <w:t xml:space="preserve">atients on </w:t>
      </w:r>
      <w:r>
        <w:t>c</w:t>
      </w:r>
      <w:r w:rsidR="009473AD" w:rsidRPr="2A71C1FC">
        <w:t xml:space="preserve">ontinuing </w:t>
      </w:r>
      <w:r>
        <w:t>c</w:t>
      </w:r>
      <w:r w:rsidR="009473AD" w:rsidRPr="2A71C1FC">
        <w:t>are</w:t>
      </w:r>
      <w:r>
        <w:t>.</w:t>
      </w:r>
    </w:p>
    <w:p w14:paraId="68D85B0A" w14:textId="5A8DAAA6" w:rsidR="0084256E" w:rsidRPr="00D42C5A" w:rsidRDefault="009473AD" w:rsidP="00D42C5A">
      <w:pPr>
        <w:pStyle w:val="Heading3"/>
      </w:pPr>
      <w:bookmarkStart w:id="249" w:name="_Toc135416599"/>
      <w:bookmarkStart w:id="250" w:name="_Toc135416748"/>
      <w:bookmarkStart w:id="251" w:name="_Toc166834403"/>
      <w:r w:rsidRPr="00D42C5A">
        <w:rPr>
          <w:rStyle w:val="Heading1Char"/>
          <w:rFonts w:eastAsiaTheme="majorEastAsia"/>
          <w:b/>
          <w:bCs w:val="0"/>
          <w:kern w:val="0"/>
          <w:sz w:val="28"/>
          <w:szCs w:val="28"/>
        </w:rPr>
        <w:t>Appointment Book Setup</w:t>
      </w:r>
      <w:bookmarkEnd w:id="249"/>
      <w:bookmarkEnd w:id="250"/>
      <w:bookmarkEnd w:id="251"/>
    </w:p>
    <w:p w14:paraId="259D9919" w14:textId="1A028EFD" w:rsidR="009473AD" w:rsidRDefault="009473AD" w:rsidP="0084256E">
      <w:pPr>
        <w:pStyle w:val="BodyText"/>
      </w:pPr>
      <w:r w:rsidRPr="349A4F20">
        <w:t>Design your schedule to maximize your organization</w:t>
      </w:r>
      <w:r w:rsidR="00DA55E0">
        <w:t>’</w:t>
      </w:r>
      <w:r w:rsidRPr="349A4F20">
        <w:t>s need</w:t>
      </w:r>
      <w:r w:rsidR="00DA55E0">
        <w:t>s</w:t>
      </w:r>
      <w:r w:rsidRPr="349A4F20">
        <w:t xml:space="preserve">. Appointment Book </w:t>
      </w:r>
      <w:r w:rsidR="00DA55E0">
        <w:t>s</w:t>
      </w:r>
      <w:r w:rsidRPr="349A4F20">
        <w:t>etup consist of setting up standard defaults</w:t>
      </w:r>
      <w:r w:rsidR="00DA55E0">
        <w:t>,</w:t>
      </w:r>
      <w:r w:rsidRPr="349A4F20">
        <w:t xml:space="preserve"> such as hours of operation, </w:t>
      </w:r>
      <w:r w:rsidR="00DA55E0">
        <w:t>and</w:t>
      </w:r>
      <w:r w:rsidRPr="349A4F20">
        <w:t xml:space="preserve"> regular maintenance</w:t>
      </w:r>
      <w:r w:rsidR="00DA55E0">
        <w:t>,</w:t>
      </w:r>
      <w:r w:rsidRPr="349A4F20">
        <w:t xml:space="preserve"> such as </w:t>
      </w:r>
      <w:r w:rsidR="00DA55E0">
        <w:t>h</w:t>
      </w:r>
      <w:r w:rsidRPr="349A4F20">
        <w:t xml:space="preserve">olidays and </w:t>
      </w:r>
      <w:r w:rsidR="00DA55E0">
        <w:t>v</w:t>
      </w:r>
      <w:r w:rsidRPr="349A4F20">
        <w:t xml:space="preserve">acation time. Review </w:t>
      </w:r>
      <w:r w:rsidR="00DA55E0">
        <w:t>the “</w:t>
      </w:r>
      <w:r w:rsidRPr="349A4F20">
        <w:t>Schedule Optimization Management</w:t>
      </w:r>
      <w:r w:rsidR="00DA55E0">
        <w:t>” section</w:t>
      </w:r>
      <w:r w:rsidRPr="349A4F20">
        <w:t xml:space="preserve"> for strategic schedule maintenance</w:t>
      </w:r>
      <w:r w:rsidR="00DA55E0">
        <w:t>.</w:t>
      </w:r>
    </w:p>
    <w:p w14:paraId="7070E8CB" w14:textId="7B02F206" w:rsidR="009473AD" w:rsidRPr="0084256E" w:rsidRDefault="00D812D1" w:rsidP="00454D84">
      <w:pPr>
        <w:pStyle w:val="BodyText"/>
      </w:pPr>
      <w:r>
        <w:rPr>
          <w:noProof/>
        </w:rPr>
        <w:drawing>
          <wp:anchor distT="0" distB="0" distL="0" distR="91440" simplePos="0" relativeHeight="251938820" behindDoc="1" locked="0" layoutInCell="1" allowOverlap="1" wp14:anchorId="3B0BDA33" wp14:editId="65A4F8C5">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32974550"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Scheduling SOP/Guideline here&gt;&gt;</w:t>
      </w:r>
    </w:p>
    <w:p w14:paraId="69554E7B" w14:textId="7BF35EE8" w:rsidR="0084256E" w:rsidRDefault="009473AD" w:rsidP="00E92EA5">
      <w:pPr>
        <w:pStyle w:val="Heading4"/>
      </w:pPr>
      <w:r w:rsidRPr="349A4F20">
        <w:t>Clinic Setup</w:t>
      </w:r>
    </w:p>
    <w:p w14:paraId="369F9980" w14:textId="1FF240A2" w:rsidR="009473AD" w:rsidRPr="00E24F38" w:rsidRDefault="00DA55E0" w:rsidP="0084256E">
      <w:pPr>
        <w:pStyle w:val="BodyText"/>
      </w:pPr>
      <w:r>
        <w:t xml:space="preserve">You can </w:t>
      </w:r>
      <w:r w:rsidR="009473AD" w:rsidRPr="349A4F20">
        <w:t xml:space="preserve">customize your practice hours, appointment defaults, and the time block size </w:t>
      </w:r>
      <w:r>
        <w:t xml:space="preserve">that is </w:t>
      </w:r>
      <w:r w:rsidR="009473AD" w:rsidRPr="349A4F20">
        <w:t>used throughout the program.</w:t>
      </w:r>
    </w:p>
    <w:p w14:paraId="23D090C1" w14:textId="77777777" w:rsidR="009473AD" w:rsidRPr="00E24F38" w:rsidRDefault="009473AD" w:rsidP="00AB1AC6">
      <w:pPr>
        <w:pStyle w:val="BodyText"/>
        <w:keepNext/>
        <w:keepLines/>
      </w:pPr>
      <w:r w:rsidRPr="349A4F20">
        <w:lastRenderedPageBreak/>
        <w:t>Set up the following options for each clinic:</w:t>
      </w:r>
    </w:p>
    <w:p w14:paraId="134DFA02" w14:textId="413A80C3" w:rsidR="009473AD" w:rsidRPr="00E24F38" w:rsidRDefault="009473AD" w:rsidP="004F45B6">
      <w:pPr>
        <w:pStyle w:val="BodyText"/>
        <w:keepNext/>
        <w:keepLines/>
        <w:numPr>
          <w:ilvl w:val="0"/>
          <w:numId w:val="90"/>
        </w:numPr>
        <w:ind w:left="540"/>
      </w:pPr>
      <w:r w:rsidRPr="00BC6868">
        <w:rPr>
          <w:b/>
          <w:bCs/>
        </w:rPr>
        <w:t>Default Schedule</w:t>
      </w:r>
      <w:r w:rsidRPr="349A4F20">
        <w:t xml:space="preserve"> – Select the checkbox next to each day of the week </w:t>
      </w:r>
      <w:r w:rsidR="00DA55E0">
        <w:t xml:space="preserve">that </w:t>
      </w:r>
      <w:r w:rsidRPr="349A4F20">
        <w:t>the clinic is normally open. Also, you can break each day into three time ranges. To set the working hours for any day</w:t>
      </w:r>
      <w:r>
        <w:t>, click the day’s search button</w:t>
      </w:r>
      <w:r w:rsidRPr="349A4F20">
        <w:t>, and then enter the start and end times of each range that you want for that day.</w:t>
      </w:r>
    </w:p>
    <w:p w14:paraId="317CD38D" w14:textId="77777777" w:rsidR="009473AD" w:rsidRPr="00E24F38" w:rsidRDefault="009473AD" w:rsidP="004F45B6">
      <w:pPr>
        <w:pStyle w:val="BodyText"/>
        <w:numPr>
          <w:ilvl w:val="0"/>
          <w:numId w:val="90"/>
        </w:numPr>
        <w:ind w:left="540"/>
      </w:pPr>
      <w:r w:rsidRPr="00BC6868">
        <w:rPr>
          <w:b/>
          <w:bCs/>
        </w:rPr>
        <w:t>Time Block Size</w:t>
      </w:r>
      <w:r w:rsidRPr="349A4F20">
        <w:t xml:space="preserve"> – You can schedule your appointments in 5-minute, 10-minute, 15-minute, 20-minute, or 30-minute intervals. </w:t>
      </w:r>
    </w:p>
    <w:p w14:paraId="1CCCA43D" w14:textId="510B3529" w:rsidR="009473AD" w:rsidRPr="00DA55E0" w:rsidRDefault="00DE69C7" w:rsidP="00BC6868">
      <w:pPr>
        <w:pStyle w:val="BodyText"/>
        <w:ind w:left="540"/>
        <w:rPr>
          <w:i/>
          <w:iCs/>
        </w:rPr>
      </w:pPr>
      <w:r>
        <w:rPr>
          <w:noProof/>
        </w:rPr>
        <w:drawing>
          <wp:anchor distT="0" distB="0" distL="0" distR="91440" simplePos="0" relativeHeight="251940868" behindDoc="1" locked="0" layoutInCell="1" allowOverlap="1" wp14:anchorId="360350AB" wp14:editId="7CA9420F">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26115447"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DA55E0">
        <w:rPr>
          <w:b/>
          <w:bCs/>
          <w:i/>
          <w:iCs/>
        </w:rPr>
        <w:t xml:space="preserve">Workflow </w:t>
      </w:r>
      <w:r w:rsidR="00DA55E0" w:rsidRPr="00DA55E0">
        <w:rPr>
          <w:b/>
          <w:bCs/>
          <w:i/>
          <w:iCs/>
        </w:rPr>
        <w:t>I</w:t>
      </w:r>
      <w:r w:rsidR="009473AD" w:rsidRPr="00DA55E0">
        <w:rPr>
          <w:b/>
          <w:bCs/>
          <w:i/>
          <w:iCs/>
        </w:rPr>
        <w:t>nsight</w:t>
      </w:r>
      <w:r w:rsidR="00DA55E0" w:rsidRPr="00DA55E0">
        <w:rPr>
          <w:i/>
          <w:iCs/>
        </w:rPr>
        <w:t>:</w:t>
      </w:r>
      <w:r w:rsidR="009473AD" w:rsidRPr="00DA55E0">
        <w:rPr>
          <w:i/>
          <w:iCs/>
        </w:rPr>
        <w:t xml:space="preserve"> Time block size is used when setting up procedure codes to indicate how long a procedure will take to complete. Refer to </w:t>
      </w:r>
      <w:r w:rsidR="00DA55E0" w:rsidRPr="00DA55E0">
        <w:rPr>
          <w:i/>
          <w:iCs/>
        </w:rPr>
        <w:t>the “</w:t>
      </w:r>
      <w:r w:rsidR="009473AD" w:rsidRPr="00DA55E0">
        <w:rPr>
          <w:i/>
          <w:iCs/>
        </w:rPr>
        <w:t>Schedule Optimization</w:t>
      </w:r>
      <w:r w:rsidR="00DA55E0" w:rsidRPr="00DA55E0">
        <w:rPr>
          <w:i/>
          <w:iCs/>
        </w:rPr>
        <w:t>” section</w:t>
      </w:r>
      <w:r w:rsidR="009473AD" w:rsidRPr="00DA55E0">
        <w:rPr>
          <w:i/>
          <w:iCs/>
        </w:rPr>
        <w:t xml:space="preserve"> when determining the best strategy for time block sizes </w:t>
      </w:r>
      <w:r w:rsidR="00DA55E0" w:rsidRPr="00DA55E0">
        <w:rPr>
          <w:i/>
          <w:iCs/>
        </w:rPr>
        <w:t>to use</w:t>
      </w:r>
      <w:r w:rsidR="009473AD" w:rsidRPr="00DA55E0">
        <w:rPr>
          <w:i/>
          <w:iCs/>
        </w:rPr>
        <w:t xml:space="preserve"> for each clinic.</w:t>
      </w:r>
    </w:p>
    <w:p w14:paraId="71C56DBB" w14:textId="35B28888" w:rsidR="009473AD" w:rsidRPr="00E24F38" w:rsidRDefault="009473AD" w:rsidP="004F45B6">
      <w:pPr>
        <w:pStyle w:val="BodyText"/>
        <w:numPr>
          <w:ilvl w:val="0"/>
          <w:numId w:val="90"/>
        </w:numPr>
        <w:ind w:left="540"/>
      </w:pPr>
      <w:r w:rsidRPr="00BC6868">
        <w:rPr>
          <w:b/>
          <w:bCs/>
        </w:rPr>
        <w:t>View Time at Right</w:t>
      </w:r>
      <w:r w:rsidRPr="349A4F20">
        <w:t xml:space="preserve"> – To have the time column appear on the right side of the window in addition to the left side, select this checkbox.</w:t>
      </w:r>
    </w:p>
    <w:p w14:paraId="3E0F9A44" w14:textId="5A832AB5" w:rsidR="009473AD" w:rsidRPr="00E24F38" w:rsidRDefault="009473AD" w:rsidP="004F45B6">
      <w:pPr>
        <w:pStyle w:val="BodyText"/>
        <w:numPr>
          <w:ilvl w:val="0"/>
          <w:numId w:val="90"/>
        </w:numPr>
        <w:ind w:left="540"/>
      </w:pPr>
      <w:r w:rsidRPr="00BC6868">
        <w:rPr>
          <w:b/>
          <w:bCs/>
        </w:rPr>
        <w:t>Default Appt. Settings</w:t>
      </w:r>
      <w:r w:rsidR="00DA55E0" w:rsidRPr="349A4F20">
        <w:t xml:space="preserve"> – </w:t>
      </w:r>
      <w:r w:rsidR="00DA55E0">
        <w:t>S</w:t>
      </w:r>
      <w:r w:rsidRPr="349A4F20">
        <w:t xml:space="preserve">elect the defaults for each new appointment: </w:t>
      </w:r>
    </w:p>
    <w:p w14:paraId="779DFBF1" w14:textId="2CE11CBE" w:rsidR="009473AD" w:rsidRPr="00E24F38" w:rsidRDefault="009473AD" w:rsidP="004F45B6">
      <w:pPr>
        <w:pStyle w:val="BodyText"/>
        <w:numPr>
          <w:ilvl w:val="1"/>
          <w:numId w:val="91"/>
        </w:numPr>
        <w:ind w:left="1080"/>
      </w:pPr>
      <w:r w:rsidRPr="00BC6868">
        <w:rPr>
          <w:b/>
          <w:bCs/>
        </w:rPr>
        <w:t>Status</w:t>
      </w:r>
      <w:r w:rsidRPr="349A4F20">
        <w:t xml:space="preserve"> </w:t>
      </w:r>
      <w:r w:rsidR="00DA55E0" w:rsidRPr="349A4F20">
        <w:t xml:space="preserve">– </w:t>
      </w:r>
      <w:r w:rsidR="00DA55E0">
        <w:t xml:space="preserve">You can assign a status to </w:t>
      </w:r>
      <w:r w:rsidR="00151005">
        <w:t>an</w:t>
      </w:r>
      <w:r w:rsidRPr="349A4F20">
        <w:t xml:space="preserve"> appointment</w:t>
      </w:r>
      <w:r w:rsidR="00151005">
        <w:t xml:space="preserve">. </w:t>
      </w:r>
      <w:r w:rsidRPr="349A4F20">
        <w:t xml:space="preserve">Each status can </w:t>
      </w:r>
      <w:r w:rsidR="00151005">
        <w:t xml:space="preserve">have </w:t>
      </w:r>
      <w:r w:rsidRPr="349A4F20">
        <w:t xml:space="preserve">a unique color </w:t>
      </w:r>
      <w:r w:rsidR="00151005">
        <w:t xml:space="preserve">for easy identification in </w:t>
      </w:r>
      <w:r w:rsidRPr="349A4F20">
        <w:t xml:space="preserve">Appointment Book. </w:t>
      </w:r>
      <w:r w:rsidR="00151005">
        <w:t>You can define up to</w:t>
      </w:r>
      <w:r w:rsidRPr="349A4F20">
        <w:t xml:space="preserve"> 20 appointment statuses in </w:t>
      </w:r>
      <w:r w:rsidR="00151005">
        <w:t xml:space="preserve">the Practice </w:t>
      </w:r>
      <w:r w:rsidRPr="349A4F20">
        <w:t>Definitions.</w:t>
      </w:r>
    </w:p>
    <w:p w14:paraId="02D73335" w14:textId="34CA410F" w:rsidR="009473AD" w:rsidRPr="00E24F38" w:rsidRDefault="009473AD" w:rsidP="004F45B6">
      <w:pPr>
        <w:pStyle w:val="BodyText"/>
        <w:numPr>
          <w:ilvl w:val="1"/>
          <w:numId w:val="91"/>
        </w:numPr>
        <w:ind w:left="1080"/>
      </w:pPr>
      <w:r w:rsidRPr="00BC6868">
        <w:rPr>
          <w:b/>
          <w:bCs/>
        </w:rPr>
        <w:t>Schedule</w:t>
      </w:r>
      <w:r w:rsidR="00151005" w:rsidRPr="349A4F20">
        <w:t xml:space="preserve"> – </w:t>
      </w:r>
      <w:r w:rsidR="00151005">
        <w:t xml:space="preserve">You can flag an appointment as </w:t>
      </w:r>
      <w:r w:rsidRPr="349A4F20">
        <w:t>Fixed, Open, or ASAP</w:t>
      </w:r>
      <w:r w:rsidR="00151005">
        <w:t>.</w:t>
      </w:r>
    </w:p>
    <w:p w14:paraId="29C40070" w14:textId="3687CF01" w:rsidR="009473AD" w:rsidRPr="0084256E" w:rsidRDefault="009473AD" w:rsidP="004F45B6">
      <w:pPr>
        <w:pStyle w:val="BodyText"/>
        <w:numPr>
          <w:ilvl w:val="1"/>
          <w:numId w:val="91"/>
        </w:numPr>
        <w:ind w:left="1080"/>
      </w:pPr>
      <w:r w:rsidRPr="00BC6868">
        <w:rPr>
          <w:b/>
          <w:bCs/>
        </w:rPr>
        <w:t>Type</w:t>
      </w:r>
      <w:r w:rsidRPr="349A4F20">
        <w:t xml:space="preserve"> </w:t>
      </w:r>
      <w:r w:rsidR="00151005" w:rsidRPr="349A4F20">
        <w:t xml:space="preserve">– </w:t>
      </w:r>
      <w:r w:rsidR="00151005">
        <w:t>You can c</w:t>
      </w:r>
      <w:r w:rsidRPr="349A4F20">
        <w:t xml:space="preserve">lassify an appointment for block scheduling. </w:t>
      </w:r>
      <w:r w:rsidR="00151005">
        <w:t>You can define up to</w:t>
      </w:r>
      <w:r w:rsidRPr="349A4F20">
        <w:t xml:space="preserve"> 99 appointment types </w:t>
      </w:r>
      <w:r w:rsidR="00151005">
        <w:t xml:space="preserve">in the Practice </w:t>
      </w:r>
      <w:r w:rsidRPr="349A4F20">
        <w:t>Definitions.</w:t>
      </w:r>
    </w:p>
    <w:p w14:paraId="17E8A010" w14:textId="19426C43" w:rsidR="0084256E" w:rsidRDefault="009473AD" w:rsidP="00E92EA5">
      <w:pPr>
        <w:pStyle w:val="Heading4"/>
      </w:pPr>
      <w:r w:rsidRPr="349A4F20">
        <w:t>Clinic Schedule</w:t>
      </w:r>
    </w:p>
    <w:p w14:paraId="5867D723" w14:textId="40628494" w:rsidR="009473AD" w:rsidRPr="00BC6868" w:rsidRDefault="009473AD" w:rsidP="00BC6868">
      <w:pPr>
        <w:pStyle w:val="BodyText"/>
      </w:pPr>
      <w:r w:rsidRPr="349A4F20">
        <w:t xml:space="preserve">Dentrix Enterprise allows you to change your working hours for a single day or to close the office completely on a single day. Changing the hours of operation for a day or closing the office on a day does not make changes to any previously scheduled appointments.  </w:t>
      </w:r>
    </w:p>
    <w:p w14:paraId="22B54BC2" w14:textId="4BBA63DC" w:rsidR="009473AD" w:rsidRPr="00E24F38" w:rsidRDefault="009473AD" w:rsidP="004F45B6">
      <w:pPr>
        <w:pStyle w:val="BodyText"/>
        <w:numPr>
          <w:ilvl w:val="0"/>
          <w:numId w:val="92"/>
        </w:numPr>
        <w:ind w:left="540"/>
      </w:pPr>
      <w:r w:rsidRPr="00BC6868">
        <w:rPr>
          <w:b/>
          <w:bCs/>
        </w:rPr>
        <w:t>Close Office on selected date</w:t>
      </w:r>
      <w:r w:rsidRPr="00E24F38">
        <w:t xml:space="preserve"> – </w:t>
      </w:r>
      <w:r w:rsidR="00151005">
        <w:t>Clo</w:t>
      </w:r>
      <w:r w:rsidR="00151005" w:rsidRPr="00A30FFA">
        <w:t>se</w:t>
      </w:r>
      <w:r w:rsidR="00151005">
        <w:t>s</w:t>
      </w:r>
      <w:r w:rsidR="00151005" w:rsidRPr="00A46FB0">
        <w:t xml:space="preserve"> </w:t>
      </w:r>
      <w:r w:rsidR="00151005">
        <w:t>the o</w:t>
      </w:r>
      <w:r w:rsidR="00151005" w:rsidRPr="00A46FB0">
        <w:t xml:space="preserve">ffice </w:t>
      </w:r>
      <w:r w:rsidR="00151005">
        <w:t>for</w:t>
      </w:r>
      <w:r w:rsidR="00151005" w:rsidRPr="00A46FB0">
        <w:t xml:space="preserve"> </w:t>
      </w:r>
      <w:r w:rsidR="00151005">
        <w:t xml:space="preserve">the selected day. </w:t>
      </w:r>
      <w:r w:rsidR="00151005" w:rsidRPr="005E5DBF">
        <w:t>You can use this option to close the office for a yearly holiday that does not occur on the same day of the month every year (for example, Thanksgiving).</w:t>
      </w:r>
    </w:p>
    <w:p w14:paraId="2028167D" w14:textId="067EA11B" w:rsidR="009473AD" w:rsidRPr="00E24F38" w:rsidRDefault="009473AD" w:rsidP="004F45B6">
      <w:pPr>
        <w:pStyle w:val="BodyText"/>
        <w:numPr>
          <w:ilvl w:val="0"/>
          <w:numId w:val="92"/>
        </w:numPr>
        <w:ind w:left="540"/>
      </w:pPr>
      <w:r w:rsidRPr="00BC6868">
        <w:rPr>
          <w:b/>
          <w:bCs/>
        </w:rPr>
        <w:t>Open Office</w:t>
      </w:r>
      <w:r w:rsidRPr="00E24F38">
        <w:t xml:space="preserve"> – Opens the office </w:t>
      </w:r>
      <w:r w:rsidR="00151005">
        <w:t>for</w:t>
      </w:r>
      <w:r w:rsidRPr="00E24F38">
        <w:t xml:space="preserve"> the selected day if it was previously closed.</w:t>
      </w:r>
    </w:p>
    <w:p w14:paraId="3CF3780D" w14:textId="2AFD22DC" w:rsidR="009473AD" w:rsidRPr="00E24F38" w:rsidRDefault="009473AD" w:rsidP="004F45B6">
      <w:pPr>
        <w:pStyle w:val="BodyText"/>
        <w:numPr>
          <w:ilvl w:val="0"/>
          <w:numId w:val="92"/>
        </w:numPr>
        <w:ind w:left="540"/>
      </w:pPr>
      <w:r w:rsidRPr="00BC6868">
        <w:rPr>
          <w:b/>
          <w:bCs/>
        </w:rPr>
        <w:t>Set Yearly Holiday on selected day</w:t>
      </w:r>
      <w:r w:rsidRPr="349A4F20">
        <w:t xml:space="preserve"> – </w:t>
      </w:r>
      <w:r w:rsidR="00151005">
        <w:t xml:space="preserve">Closes the office for a yearly holiday on the selected day. </w:t>
      </w:r>
      <w:r w:rsidR="00151005" w:rsidRPr="005E5DBF">
        <w:t>You can use this option to close the office for a yearly holiday that falls on the same day of the month every year (for example, Christmas is always on December 25).</w:t>
      </w:r>
    </w:p>
    <w:p w14:paraId="5831C5C2" w14:textId="77777777" w:rsidR="006D7ECD" w:rsidRDefault="009473AD" w:rsidP="004F45B6">
      <w:pPr>
        <w:pStyle w:val="BodyText"/>
        <w:numPr>
          <w:ilvl w:val="0"/>
          <w:numId w:val="92"/>
        </w:numPr>
        <w:ind w:left="540"/>
      </w:pPr>
      <w:r w:rsidRPr="00BC6868">
        <w:rPr>
          <w:b/>
          <w:bCs/>
        </w:rPr>
        <w:t>Delete Holiday</w:t>
      </w:r>
      <w:r w:rsidRPr="00E24F38">
        <w:t xml:space="preserve"> – Opens the office </w:t>
      </w:r>
      <w:r w:rsidR="00151005">
        <w:t>for</w:t>
      </w:r>
      <w:r w:rsidRPr="00E24F38">
        <w:t xml:space="preserve"> the selected day if it was previously closed for a yearly holiday.</w:t>
      </w:r>
    </w:p>
    <w:p w14:paraId="08738D61" w14:textId="7B1B240B" w:rsidR="00151005" w:rsidRPr="0084256E" w:rsidRDefault="00151005" w:rsidP="004F45B6">
      <w:pPr>
        <w:pStyle w:val="BodyText"/>
        <w:numPr>
          <w:ilvl w:val="0"/>
          <w:numId w:val="92"/>
        </w:numPr>
        <w:ind w:left="540"/>
      </w:pPr>
      <w:r w:rsidRPr="006D7ECD">
        <w:rPr>
          <w:b/>
          <w:bCs/>
        </w:rPr>
        <w:t xml:space="preserve">Change </w:t>
      </w:r>
      <w:r w:rsidR="006D7ECD">
        <w:rPr>
          <w:b/>
          <w:bCs/>
        </w:rPr>
        <w:t>w</w:t>
      </w:r>
      <w:r w:rsidRPr="006D7ECD">
        <w:rPr>
          <w:b/>
          <w:bCs/>
        </w:rPr>
        <w:t xml:space="preserve">orking </w:t>
      </w:r>
      <w:r w:rsidR="006D7ECD">
        <w:rPr>
          <w:b/>
          <w:bCs/>
        </w:rPr>
        <w:t>h</w:t>
      </w:r>
      <w:r w:rsidRPr="006D7ECD">
        <w:rPr>
          <w:b/>
          <w:bCs/>
        </w:rPr>
        <w:t>ours</w:t>
      </w:r>
      <w:r>
        <w:t xml:space="preserve"> – You can update</w:t>
      </w:r>
      <w:r w:rsidRPr="00A46FB0">
        <w:t xml:space="preserve"> </w:t>
      </w:r>
      <w:r>
        <w:t>the office’s working hours for a specific date</w:t>
      </w:r>
      <w:r w:rsidR="006D7ECD">
        <w:t>. A day can be separated into three time periods.</w:t>
      </w:r>
    </w:p>
    <w:p w14:paraId="3BD0DE7E" w14:textId="39BDBE89" w:rsidR="0084256E" w:rsidRDefault="009473AD" w:rsidP="00E92EA5">
      <w:pPr>
        <w:pStyle w:val="Heading4"/>
      </w:pPr>
      <w:r w:rsidRPr="349A4F20">
        <w:t>Provider Setup</w:t>
      </w:r>
    </w:p>
    <w:p w14:paraId="02836240" w14:textId="42455D75" w:rsidR="009473AD" w:rsidRDefault="006D7ECD" w:rsidP="0084256E">
      <w:pPr>
        <w:pStyle w:val="BodyText"/>
      </w:pPr>
      <w:r>
        <w:t>You can c</w:t>
      </w:r>
      <w:r w:rsidR="009473AD" w:rsidRPr="349A4F20">
        <w:t>ustomize work days, hours</w:t>
      </w:r>
      <w:r>
        <w:t>,</w:t>
      </w:r>
      <w:r w:rsidR="009473AD" w:rsidRPr="349A4F20">
        <w:t xml:space="preserve"> and colors for all clinics the provider is available for scheduling</w:t>
      </w:r>
      <w:r>
        <w:t xml:space="preserve"> in</w:t>
      </w:r>
      <w:r w:rsidR="009473AD" w:rsidRPr="349A4F20">
        <w:t xml:space="preserve">. </w:t>
      </w:r>
    </w:p>
    <w:p w14:paraId="055CE302" w14:textId="1A3D8058" w:rsidR="009473AD" w:rsidRPr="006D7ECD" w:rsidRDefault="00DE69C7" w:rsidP="00BC6868">
      <w:pPr>
        <w:pStyle w:val="BodyText"/>
        <w:rPr>
          <w:i/>
          <w:iCs/>
        </w:rPr>
      </w:pPr>
      <w:r>
        <w:rPr>
          <w:noProof/>
        </w:rPr>
        <w:drawing>
          <wp:anchor distT="0" distB="0" distL="0" distR="91440" simplePos="0" relativeHeight="251942916" behindDoc="1" locked="0" layoutInCell="1" allowOverlap="1" wp14:anchorId="44715D4D" wp14:editId="652527D4">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64631097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6D7ECD">
        <w:rPr>
          <w:b/>
          <w:bCs/>
          <w:i/>
          <w:iCs/>
        </w:rPr>
        <w:t xml:space="preserve">Operations </w:t>
      </w:r>
      <w:r w:rsidR="006D7ECD" w:rsidRPr="006D7ECD">
        <w:rPr>
          <w:b/>
          <w:bCs/>
          <w:i/>
          <w:iCs/>
        </w:rPr>
        <w:t>I</w:t>
      </w:r>
      <w:r w:rsidR="009473AD" w:rsidRPr="006D7ECD">
        <w:rPr>
          <w:b/>
          <w:bCs/>
          <w:i/>
          <w:iCs/>
        </w:rPr>
        <w:t>nsight</w:t>
      </w:r>
      <w:r w:rsidR="006D7ECD" w:rsidRPr="006D7ECD">
        <w:rPr>
          <w:i/>
          <w:iCs/>
        </w:rPr>
        <w:t>:</w:t>
      </w:r>
      <w:r w:rsidR="009473AD" w:rsidRPr="006D7ECD">
        <w:rPr>
          <w:i/>
          <w:iCs/>
        </w:rPr>
        <w:t xml:space="preserve"> You can set up providers in more than one clinic. The provider’s available time can only include one clinic at a time.</w:t>
      </w:r>
    </w:p>
    <w:p w14:paraId="0114086D" w14:textId="3E5DE15D" w:rsidR="009473AD" w:rsidRPr="00BC6868" w:rsidRDefault="009473AD" w:rsidP="00BC6868">
      <w:pPr>
        <w:pStyle w:val="BodyText"/>
      </w:pPr>
      <w:r w:rsidRPr="349A4F20">
        <w:t>When</w:t>
      </w:r>
      <w:r w:rsidR="006D7ECD">
        <w:t xml:space="preserve"> you are</w:t>
      </w:r>
      <w:r w:rsidRPr="349A4F20">
        <w:t xml:space="preserve"> setting up the provider’s default schedule, Dentrix Enterprise will warn you if the scheduled hours overlap in other clinics.</w:t>
      </w:r>
    </w:p>
    <w:p w14:paraId="7893EADA" w14:textId="77777777" w:rsidR="009473AD" w:rsidRPr="00E24F38" w:rsidRDefault="009473AD" w:rsidP="00BC6868">
      <w:pPr>
        <w:pStyle w:val="BodyText"/>
      </w:pPr>
      <w:r w:rsidRPr="349A4F20">
        <w:lastRenderedPageBreak/>
        <w:t>Set up the following options for each provider:</w:t>
      </w:r>
    </w:p>
    <w:p w14:paraId="5DA5A24F" w14:textId="581329F5" w:rsidR="009473AD" w:rsidRPr="00E24F38" w:rsidRDefault="009473AD" w:rsidP="004F45B6">
      <w:pPr>
        <w:pStyle w:val="BodyText"/>
        <w:numPr>
          <w:ilvl w:val="0"/>
          <w:numId w:val="93"/>
        </w:numPr>
        <w:ind w:left="540"/>
      </w:pPr>
      <w:r w:rsidRPr="003638EB">
        <w:rPr>
          <w:b/>
          <w:bCs/>
        </w:rPr>
        <w:t>Default Schedule</w:t>
      </w:r>
      <w:r w:rsidRPr="2A71C1FC">
        <w:t xml:space="preserve"> – Select each day of the week that the provider normally works. </w:t>
      </w:r>
      <w:r w:rsidR="006D7ECD">
        <w:t>Y</w:t>
      </w:r>
      <w:r w:rsidRPr="2A71C1FC">
        <w:t xml:space="preserve">ou can </w:t>
      </w:r>
      <w:r w:rsidR="006D7ECD">
        <w:t>separate</w:t>
      </w:r>
      <w:r w:rsidRPr="2A71C1FC">
        <w:t xml:space="preserve"> each day into three time </w:t>
      </w:r>
      <w:r w:rsidR="006D7ECD">
        <w:t>periods</w:t>
      </w:r>
      <w:r w:rsidRPr="2A71C1FC">
        <w:t>. To set the working hours for any day, enter the start and end times of each range that you want for that day.</w:t>
      </w:r>
    </w:p>
    <w:p w14:paraId="57196D55" w14:textId="77777777" w:rsidR="006D7ECD" w:rsidRDefault="009473AD" w:rsidP="004F45B6">
      <w:pPr>
        <w:pStyle w:val="BodyText"/>
        <w:numPr>
          <w:ilvl w:val="0"/>
          <w:numId w:val="93"/>
        </w:numPr>
        <w:ind w:left="540"/>
      </w:pPr>
      <w:r w:rsidRPr="003638EB">
        <w:rPr>
          <w:b/>
          <w:bCs/>
        </w:rPr>
        <w:t>Provider Color</w:t>
      </w:r>
      <w:r w:rsidRPr="2A71C1FC">
        <w:t xml:space="preserve"> – All appointments </w:t>
      </w:r>
      <w:r w:rsidR="006D7ECD">
        <w:t xml:space="preserve">that are </w:t>
      </w:r>
      <w:r w:rsidRPr="2A71C1FC">
        <w:t xml:space="preserve">scheduled with that provider will use the designated color for the appointment </w:t>
      </w:r>
      <w:r w:rsidR="006D7ECD">
        <w:t>tile</w:t>
      </w:r>
      <w:r w:rsidRPr="2A71C1FC">
        <w:t xml:space="preserve">. </w:t>
      </w:r>
      <w:r w:rsidR="006D7ECD">
        <w:t xml:space="preserve">Each user should be </w:t>
      </w:r>
      <w:r w:rsidRPr="2A71C1FC">
        <w:t>assign</w:t>
      </w:r>
      <w:r w:rsidR="006D7ECD">
        <w:t>ed</w:t>
      </w:r>
      <w:r w:rsidRPr="2A71C1FC">
        <w:t xml:space="preserve"> a unique color.</w:t>
      </w:r>
    </w:p>
    <w:p w14:paraId="3650927B" w14:textId="4B7CE9E3" w:rsidR="009473AD" w:rsidRPr="006D7ECD" w:rsidRDefault="0095389B" w:rsidP="006D7ECD">
      <w:pPr>
        <w:pStyle w:val="BodyText"/>
        <w:ind w:left="540"/>
        <w:rPr>
          <w:i/>
          <w:iCs/>
        </w:rPr>
      </w:pPr>
      <w:r>
        <w:rPr>
          <w:noProof/>
        </w:rPr>
        <w:drawing>
          <wp:anchor distT="0" distB="0" distL="0" distR="91440" simplePos="0" relativeHeight="252006404" behindDoc="0" locked="0" layoutInCell="1" allowOverlap="1" wp14:anchorId="12257C1D" wp14:editId="0F86BF1E">
            <wp:simplePos x="0" y="0"/>
            <wp:positionH relativeFrom="column">
              <wp:posOffset>-457200</wp:posOffset>
            </wp:positionH>
            <wp:positionV relativeFrom="paragraph">
              <wp:posOffset>-91440</wp:posOffset>
            </wp:positionV>
            <wp:extent cx="365981" cy="420624"/>
            <wp:effectExtent l="0" t="0" r="0" b="0"/>
            <wp:wrapTight wrapText="right">
              <wp:wrapPolygon edited="0">
                <wp:start x="0" y="0"/>
                <wp:lineTo x="0" y="20556"/>
                <wp:lineTo x="20250" y="20556"/>
                <wp:lineTo x="20250" y="0"/>
                <wp:lineTo x="0" y="0"/>
              </wp:wrapPolygon>
            </wp:wrapTight>
            <wp:docPr id="1472714185"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6D7ECD">
        <w:rPr>
          <w:b/>
          <w:bCs/>
          <w:i/>
          <w:iCs/>
        </w:rPr>
        <w:t>Tip</w:t>
      </w:r>
      <w:r w:rsidR="009473AD" w:rsidRPr="006D7ECD">
        <w:rPr>
          <w:i/>
          <w:iCs/>
        </w:rPr>
        <w:t>: Appointment information text is displayed in black, so choose a light color</w:t>
      </w:r>
      <w:r w:rsidR="006D7ECD" w:rsidRPr="006D7ECD">
        <w:rPr>
          <w:i/>
          <w:iCs/>
        </w:rPr>
        <w:t xml:space="preserve"> that contrasts with the black text</w:t>
      </w:r>
      <w:r w:rsidR="009473AD" w:rsidRPr="006D7ECD">
        <w:rPr>
          <w:i/>
          <w:iCs/>
        </w:rPr>
        <w:t xml:space="preserve"> for the provider’s color.</w:t>
      </w:r>
    </w:p>
    <w:p w14:paraId="29770DA3" w14:textId="5D97984A" w:rsidR="009473AD" w:rsidRPr="006D7ECD" w:rsidRDefault="00D82038" w:rsidP="006D7ECD">
      <w:pPr>
        <w:pStyle w:val="BodyText"/>
        <w:rPr>
          <w:i/>
          <w:iCs/>
        </w:rPr>
      </w:pPr>
      <w:r>
        <w:rPr>
          <w:noProof/>
        </w:rPr>
        <w:drawing>
          <wp:anchor distT="0" distB="0" distL="0" distR="91440" simplePos="0" relativeHeight="251992068" behindDoc="0" locked="0" layoutInCell="1" allowOverlap="1" wp14:anchorId="1BBA2CEC" wp14:editId="41A9DCCB">
            <wp:simplePos x="0" y="0"/>
            <wp:positionH relativeFrom="column">
              <wp:posOffset>-457200</wp:posOffset>
            </wp:positionH>
            <wp:positionV relativeFrom="paragraph">
              <wp:posOffset>-91440</wp:posOffset>
            </wp:positionV>
            <wp:extent cx="365981" cy="420624"/>
            <wp:effectExtent l="0" t="0" r="0" b="0"/>
            <wp:wrapTight wrapText="right">
              <wp:wrapPolygon edited="0">
                <wp:start x="0" y="0"/>
                <wp:lineTo x="0" y="20556"/>
                <wp:lineTo x="20250" y="20556"/>
                <wp:lineTo x="20250" y="0"/>
                <wp:lineTo x="0" y="0"/>
              </wp:wrapPolygon>
            </wp:wrapTight>
            <wp:docPr id="500591822"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6D7ECD" w:rsidRPr="006D7ECD">
        <w:rPr>
          <w:b/>
          <w:bCs/>
          <w:i/>
          <w:iCs/>
        </w:rPr>
        <w:t>Note</w:t>
      </w:r>
      <w:r w:rsidR="006D7ECD" w:rsidRPr="006D7ECD">
        <w:rPr>
          <w:i/>
          <w:iCs/>
        </w:rPr>
        <w:t>: For information about t</w:t>
      </w:r>
      <w:r w:rsidR="009473AD" w:rsidRPr="006D7ECD">
        <w:rPr>
          <w:i/>
          <w:iCs/>
        </w:rPr>
        <w:t xml:space="preserve">ime </w:t>
      </w:r>
      <w:r w:rsidR="006D7ECD" w:rsidRPr="006D7ECD">
        <w:rPr>
          <w:i/>
          <w:iCs/>
        </w:rPr>
        <w:t>b</w:t>
      </w:r>
      <w:r w:rsidR="009473AD" w:rsidRPr="006D7ECD">
        <w:rPr>
          <w:i/>
          <w:iCs/>
        </w:rPr>
        <w:t>locks</w:t>
      </w:r>
      <w:r w:rsidR="006D7ECD" w:rsidRPr="006D7ECD">
        <w:rPr>
          <w:i/>
          <w:iCs/>
        </w:rPr>
        <w:t>, refer to the “</w:t>
      </w:r>
      <w:r w:rsidR="009473AD" w:rsidRPr="006D7ECD">
        <w:rPr>
          <w:i/>
          <w:iCs/>
        </w:rPr>
        <w:t>Schedule Optimization</w:t>
      </w:r>
      <w:r w:rsidR="006D7ECD" w:rsidRPr="006D7ECD">
        <w:rPr>
          <w:i/>
          <w:iCs/>
        </w:rPr>
        <w:t>” section</w:t>
      </w:r>
      <w:r w:rsidR="009473AD" w:rsidRPr="006D7ECD">
        <w:rPr>
          <w:i/>
          <w:iCs/>
        </w:rPr>
        <w:t>.</w:t>
      </w:r>
    </w:p>
    <w:p w14:paraId="3E566CD5" w14:textId="1BAE3985" w:rsidR="0084256E" w:rsidRDefault="009473AD" w:rsidP="00E92EA5">
      <w:pPr>
        <w:pStyle w:val="Heading4"/>
      </w:pPr>
      <w:r w:rsidRPr="349A4F20">
        <w:t>Provider Schedule</w:t>
      </w:r>
    </w:p>
    <w:p w14:paraId="5752F5CA" w14:textId="79D67625" w:rsidR="009473AD" w:rsidRDefault="006D7ECD" w:rsidP="0084256E">
      <w:pPr>
        <w:pStyle w:val="BodyText"/>
      </w:pPr>
      <w:r>
        <w:t>For a provider in A</w:t>
      </w:r>
      <w:r w:rsidRPr="00A46FB0">
        <w:t xml:space="preserve">ppointment </w:t>
      </w:r>
      <w:r>
        <w:t>B</w:t>
      </w:r>
      <w:r w:rsidRPr="00A46FB0">
        <w:t>ook</w:t>
      </w:r>
      <w:r>
        <w:t xml:space="preserve">, </w:t>
      </w:r>
      <w:r w:rsidRPr="00A46FB0">
        <w:t xml:space="preserve">you can </w:t>
      </w:r>
      <w:r>
        <w:t xml:space="preserve">change the working </w:t>
      </w:r>
      <w:r w:rsidRPr="00A46FB0">
        <w:t xml:space="preserve">hours for a single day or set </w:t>
      </w:r>
      <w:r>
        <w:t>a v</w:t>
      </w:r>
      <w:r w:rsidRPr="00A46FB0">
        <w:t>acation day.</w:t>
      </w:r>
      <w:r>
        <w:t xml:space="preserve"> </w:t>
      </w:r>
      <w:r w:rsidR="009473AD" w:rsidRPr="349A4F20">
        <w:t xml:space="preserve">Refer to </w:t>
      </w:r>
      <w:r>
        <w:t>the “</w:t>
      </w:r>
      <w:r w:rsidR="009473AD" w:rsidRPr="349A4F20">
        <w:t>Schedule Optimization</w:t>
      </w:r>
      <w:r>
        <w:t xml:space="preserve">” section </w:t>
      </w:r>
      <w:r w:rsidR="009473AD" w:rsidRPr="349A4F20">
        <w:t xml:space="preserve">for </w:t>
      </w:r>
      <w:r>
        <w:t xml:space="preserve">information about </w:t>
      </w:r>
      <w:r w:rsidR="009473AD" w:rsidRPr="349A4F20">
        <w:t xml:space="preserve">managing temporary changes to provider schedules.  </w:t>
      </w:r>
    </w:p>
    <w:p w14:paraId="24AC1C7A" w14:textId="6D3B62B3" w:rsidR="009473AD" w:rsidRPr="00454D84" w:rsidRDefault="00D82038" w:rsidP="003638EB">
      <w:pPr>
        <w:pStyle w:val="BodyText"/>
        <w:rPr>
          <w:color w:val="00B050"/>
        </w:rPr>
      </w:pPr>
      <w:r>
        <w:rPr>
          <w:noProof/>
        </w:rPr>
        <w:drawing>
          <wp:anchor distT="0" distB="0" distL="0" distR="91440" simplePos="0" relativeHeight="251971588" behindDoc="1" locked="0" layoutInCell="1" allowOverlap="1" wp14:anchorId="627C18DE" wp14:editId="718A672C">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429672761"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provider schedule decision support/SOP/Guideline here&gt;&gt;</w:t>
      </w:r>
    </w:p>
    <w:p w14:paraId="528A4018" w14:textId="6CDD90BC" w:rsidR="009473AD" w:rsidRPr="00E24F38" w:rsidRDefault="009473AD" w:rsidP="004F45B6">
      <w:pPr>
        <w:pStyle w:val="BodyText"/>
        <w:numPr>
          <w:ilvl w:val="0"/>
          <w:numId w:val="94"/>
        </w:numPr>
        <w:ind w:left="540"/>
      </w:pPr>
      <w:r w:rsidRPr="003638EB">
        <w:rPr>
          <w:b/>
          <w:bCs/>
        </w:rPr>
        <w:t>Set Vacation on selected date</w:t>
      </w:r>
      <w:r w:rsidRPr="349A4F20">
        <w:t xml:space="preserve"> – Makes the provider not available </w:t>
      </w:r>
      <w:r w:rsidR="006D7ECD">
        <w:t>for</w:t>
      </w:r>
      <w:r w:rsidRPr="349A4F20">
        <w:t xml:space="preserve"> the selected day. Th</w:t>
      </w:r>
      <w:r w:rsidR="006D7ECD">
        <w:t>at</w:t>
      </w:r>
      <w:r w:rsidRPr="349A4F20">
        <w:t xml:space="preserve"> </w:t>
      </w:r>
      <w:r w:rsidR="006D7ECD">
        <w:t>box on the calendar turns</w:t>
      </w:r>
      <w:r w:rsidRPr="349A4F20">
        <w:t xml:space="preserve"> purple.</w:t>
      </w:r>
    </w:p>
    <w:p w14:paraId="1CC9BAA7" w14:textId="77777777" w:rsidR="009473AD" w:rsidRPr="00E24F38" w:rsidRDefault="009473AD" w:rsidP="004F45B6">
      <w:pPr>
        <w:pStyle w:val="BodyText"/>
        <w:numPr>
          <w:ilvl w:val="0"/>
          <w:numId w:val="94"/>
        </w:numPr>
        <w:ind w:left="540"/>
      </w:pPr>
      <w:r w:rsidRPr="003638EB">
        <w:rPr>
          <w:b/>
          <w:bCs/>
        </w:rPr>
        <w:t>Delete Vacation day</w:t>
      </w:r>
      <w:r w:rsidRPr="349A4F20">
        <w:t xml:space="preserve"> – Removes the provider’s vacation day for the selected day if it was previously set.</w:t>
      </w:r>
    </w:p>
    <w:p w14:paraId="626AFE57" w14:textId="1A3BA8AC" w:rsidR="009473AD" w:rsidRDefault="009473AD" w:rsidP="004F45B6">
      <w:pPr>
        <w:pStyle w:val="BodyText"/>
        <w:numPr>
          <w:ilvl w:val="0"/>
          <w:numId w:val="94"/>
        </w:numPr>
        <w:ind w:left="540"/>
      </w:pPr>
      <w:r w:rsidRPr="003638EB">
        <w:rPr>
          <w:b/>
          <w:bCs/>
        </w:rPr>
        <w:t>Reset Hours to default on selected date</w:t>
      </w:r>
      <w:r>
        <w:t xml:space="preserve"> – </w:t>
      </w:r>
      <w:r w:rsidRPr="349A4F20">
        <w:t>Returns the selected day to the provider’s default work day for that day of the week.</w:t>
      </w:r>
    </w:p>
    <w:p w14:paraId="2BC852DD" w14:textId="2570027C" w:rsidR="006D7ECD" w:rsidRPr="0084256E" w:rsidRDefault="006D7ECD" w:rsidP="004F45B6">
      <w:pPr>
        <w:pStyle w:val="BodyText"/>
        <w:numPr>
          <w:ilvl w:val="0"/>
          <w:numId w:val="94"/>
        </w:numPr>
        <w:ind w:left="540"/>
      </w:pPr>
      <w:r w:rsidRPr="006D7ECD">
        <w:rPr>
          <w:b/>
          <w:bCs/>
        </w:rPr>
        <w:t xml:space="preserve">Change </w:t>
      </w:r>
      <w:r>
        <w:rPr>
          <w:b/>
          <w:bCs/>
        </w:rPr>
        <w:t>w</w:t>
      </w:r>
      <w:r w:rsidRPr="006D7ECD">
        <w:rPr>
          <w:b/>
          <w:bCs/>
        </w:rPr>
        <w:t xml:space="preserve">orking </w:t>
      </w:r>
      <w:r>
        <w:rPr>
          <w:b/>
          <w:bCs/>
        </w:rPr>
        <w:t>h</w:t>
      </w:r>
      <w:r w:rsidRPr="006D7ECD">
        <w:rPr>
          <w:b/>
          <w:bCs/>
        </w:rPr>
        <w:t>ours</w:t>
      </w:r>
      <w:r>
        <w:t xml:space="preserve"> – You can update</w:t>
      </w:r>
      <w:r w:rsidRPr="00A46FB0">
        <w:t xml:space="preserve"> </w:t>
      </w:r>
      <w:r>
        <w:t>the provider’s working hours for a specific date. A day can be separated into three time periods.</w:t>
      </w:r>
    </w:p>
    <w:p w14:paraId="15D9E5BF" w14:textId="58D4C590" w:rsidR="0084256E" w:rsidRDefault="009473AD" w:rsidP="00E92EA5">
      <w:pPr>
        <w:pStyle w:val="Heading4"/>
      </w:pPr>
      <w:r w:rsidRPr="349A4F20">
        <w:t xml:space="preserve">Operatory Setup </w:t>
      </w:r>
    </w:p>
    <w:p w14:paraId="3DAC464B" w14:textId="3C9C66DD" w:rsidR="009473AD" w:rsidRPr="00E24F38" w:rsidRDefault="006D7ECD" w:rsidP="0084256E">
      <w:pPr>
        <w:pStyle w:val="BodyText"/>
      </w:pPr>
      <w:r>
        <w:t>You can c</w:t>
      </w:r>
      <w:r w:rsidR="009473AD" w:rsidRPr="349A4F20">
        <w:t xml:space="preserve">ustomize available hours for each operatory. </w:t>
      </w:r>
    </w:p>
    <w:p w14:paraId="1511914D" w14:textId="757E815D" w:rsidR="009473AD" w:rsidRPr="00C9549C" w:rsidRDefault="00000B10" w:rsidP="003638EB">
      <w:pPr>
        <w:pStyle w:val="BodyText"/>
        <w:rPr>
          <w:i/>
          <w:iCs/>
        </w:rPr>
      </w:pPr>
      <w:r>
        <w:rPr>
          <w:noProof/>
        </w:rPr>
        <w:drawing>
          <wp:anchor distT="0" distB="0" distL="0" distR="91440" simplePos="0" relativeHeight="252008452" behindDoc="1" locked="0" layoutInCell="1" allowOverlap="1" wp14:anchorId="1135D010" wp14:editId="789E6F6D">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678485720"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C9549C">
        <w:rPr>
          <w:b/>
          <w:bCs/>
          <w:i/>
          <w:iCs/>
        </w:rPr>
        <w:t xml:space="preserve">Workflow </w:t>
      </w:r>
      <w:r w:rsidR="006D7ECD" w:rsidRPr="00C9549C">
        <w:rPr>
          <w:b/>
          <w:bCs/>
          <w:i/>
          <w:iCs/>
        </w:rPr>
        <w:t>Insight</w:t>
      </w:r>
      <w:r w:rsidR="006D7ECD" w:rsidRPr="00C9549C">
        <w:rPr>
          <w:i/>
          <w:iCs/>
        </w:rPr>
        <w:t>: Y</w:t>
      </w:r>
      <w:r w:rsidR="009473AD" w:rsidRPr="00C9549C">
        <w:rPr>
          <w:i/>
          <w:iCs/>
        </w:rPr>
        <w:t xml:space="preserve">ou can </w:t>
      </w:r>
      <w:r w:rsidR="006D7ECD" w:rsidRPr="00C9549C">
        <w:rPr>
          <w:i/>
          <w:iCs/>
        </w:rPr>
        <w:t>separate</w:t>
      </w:r>
      <w:r w:rsidR="009473AD" w:rsidRPr="00C9549C">
        <w:rPr>
          <w:i/>
          <w:iCs/>
        </w:rPr>
        <w:t xml:space="preserve"> each day into three time </w:t>
      </w:r>
      <w:r w:rsidR="006D7ECD" w:rsidRPr="00C9549C">
        <w:rPr>
          <w:i/>
          <w:iCs/>
        </w:rPr>
        <w:t>period</w:t>
      </w:r>
      <w:r w:rsidR="009473AD" w:rsidRPr="00C9549C">
        <w:rPr>
          <w:i/>
          <w:iCs/>
        </w:rPr>
        <w:t>. This allows for adding lunch breaks, after hour open times</w:t>
      </w:r>
      <w:r w:rsidR="006D7ECD" w:rsidRPr="00C9549C">
        <w:rPr>
          <w:i/>
          <w:iCs/>
        </w:rPr>
        <w:t>, and so forth (f</w:t>
      </w:r>
      <w:r w:rsidR="009473AD" w:rsidRPr="00C9549C">
        <w:rPr>
          <w:i/>
          <w:iCs/>
        </w:rPr>
        <w:t>or example</w:t>
      </w:r>
      <w:r w:rsidR="006D7ECD" w:rsidRPr="00C9549C">
        <w:rPr>
          <w:i/>
          <w:iCs/>
        </w:rPr>
        <w:t>,</w:t>
      </w:r>
      <w:r w:rsidR="009473AD" w:rsidRPr="00C9549C">
        <w:rPr>
          <w:i/>
          <w:iCs/>
        </w:rPr>
        <w:t xml:space="preserve"> 8</w:t>
      </w:r>
      <w:r w:rsidR="006D7ECD" w:rsidRPr="00C9549C">
        <w:rPr>
          <w:i/>
          <w:iCs/>
        </w:rPr>
        <w:t>–</w:t>
      </w:r>
      <w:r w:rsidR="009473AD" w:rsidRPr="00C9549C">
        <w:rPr>
          <w:i/>
          <w:iCs/>
        </w:rPr>
        <w:t>12, 1</w:t>
      </w:r>
      <w:r w:rsidR="006D7ECD" w:rsidRPr="00C9549C">
        <w:rPr>
          <w:i/>
          <w:iCs/>
        </w:rPr>
        <w:t>–</w:t>
      </w:r>
      <w:r w:rsidR="009473AD" w:rsidRPr="00C9549C">
        <w:rPr>
          <w:i/>
          <w:iCs/>
        </w:rPr>
        <w:t>5,</w:t>
      </w:r>
      <w:r w:rsidR="006D7ECD" w:rsidRPr="00C9549C">
        <w:rPr>
          <w:i/>
          <w:iCs/>
        </w:rPr>
        <w:t xml:space="preserve"> and</w:t>
      </w:r>
      <w:r w:rsidR="009473AD" w:rsidRPr="00C9549C">
        <w:rPr>
          <w:i/>
          <w:iCs/>
        </w:rPr>
        <w:t xml:space="preserve"> 7</w:t>
      </w:r>
      <w:r w:rsidR="006D7ECD" w:rsidRPr="00C9549C">
        <w:rPr>
          <w:i/>
          <w:iCs/>
        </w:rPr>
        <w:t>–</w:t>
      </w:r>
      <w:r w:rsidR="009473AD" w:rsidRPr="00C9549C">
        <w:rPr>
          <w:i/>
          <w:iCs/>
        </w:rPr>
        <w:t>9</w:t>
      </w:r>
      <w:r w:rsidR="006D7ECD" w:rsidRPr="00C9549C">
        <w:rPr>
          <w:i/>
          <w:iCs/>
        </w:rPr>
        <w:t>)</w:t>
      </w:r>
      <w:r w:rsidR="009473AD" w:rsidRPr="00C9549C">
        <w:rPr>
          <w:i/>
          <w:iCs/>
        </w:rPr>
        <w:t>.</w:t>
      </w:r>
    </w:p>
    <w:p w14:paraId="4016B553" w14:textId="30C8B516" w:rsidR="009473AD" w:rsidRPr="00C9549C" w:rsidRDefault="0066566F" w:rsidP="003638EB">
      <w:pPr>
        <w:pStyle w:val="BodyText"/>
        <w:rPr>
          <w:i/>
          <w:iCs/>
        </w:rPr>
      </w:pPr>
      <w:r>
        <w:rPr>
          <w:noProof/>
        </w:rPr>
        <w:drawing>
          <wp:anchor distT="0" distB="0" distL="0" distR="91440" simplePos="0" relativeHeight="251944964" behindDoc="1" locked="0" layoutInCell="1" allowOverlap="1" wp14:anchorId="1ED7D586" wp14:editId="499F0B3A">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30356509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C9549C">
        <w:rPr>
          <w:b/>
          <w:bCs/>
          <w:i/>
          <w:iCs/>
        </w:rPr>
        <w:t xml:space="preserve">Operations </w:t>
      </w:r>
      <w:r w:rsidR="00C9549C" w:rsidRPr="00C9549C">
        <w:rPr>
          <w:b/>
          <w:bCs/>
          <w:i/>
          <w:iCs/>
        </w:rPr>
        <w:t>I</w:t>
      </w:r>
      <w:r w:rsidR="009473AD" w:rsidRPr="00C9549C">
        <w:rPr>
          <w:b/>
          <w:bCs/>
          <w:i/>
          <w:iCs/>
        </w:rPr>
        <w:t>nsight</w:t>
      </w:r>
      <w:r w:rsidR="00C9549C" w:rsidRPr="00C9549C">
        <w:rPr>
          <w:i/>
          <w:iCs/>
        </w:rPr>
        <w:t>:</w:t>
      </w:r>
      <w:r w:rsidR="009473AD" w:rsidRPr="00C9549C">
        <w:rPr>
          <w:i/>
          <w:iCs/>
        </w:rPr>
        <w:t xml:space="preserve"> </w:t>
      </w:r>
      <w:r w:rsidR="00C9549C" w:rsidRPr="00C9549C">
        <w:rPr>
          <w:i/>
          <w:iCs/>
        </w:rPr>
        <w:t>A</w:t>
      </w:r>
      <w:r w:rsidR="009473AD" w:rsidRPr="00C9549C">
        <w:rPr>
          <w:i/>
          <w:iCs/>
        </w:rPr>
        <w:t xml:space="preserve">ppointment </w:t>
      </w:r>
      <w:r w:rsidR="00C9549C" w:rsidRPr="00C9549C">
        <w:rPr>
          <w:i/>
          <w:iCs/>
        </w:rPr>
        <w:t>B</w:t>
      </w:r>
      <w:r w:rsidR="009473AD" w:rsidRPr="00C9549C">
        <w:rPr>
          <w:i/>
          <w:iCs/>
        </w:rPr>
        <w:t xml:space="preserve">ook </w:t>
      </w:r>
      <w:r w:rsidR="00C9549C" w:rsidRPr="00C9549C">
        <w:rPr>
          <w:i/>
          <w:iCs/>
        </w:rPr>
        <w:t>displays</w:t>
      </w:r>
      <w:r w:rsidR="009473AD" w:rsidRPr="00C9549C">
        <w:rPr>
          <w:i/>
          <w:iCs/>
        </w:rPr>
        <w:t xml:space="preserve"> the default open and closed times</w:t>
      </w:r>
      <w:r w:rsidR="00C9549C" w:rsidRPr="00C9549C">
        <w:rPr>
          <w:i/>
          <w:iCs/>
        </w:rPr>
        <w:t xml:space="preserve"> for a clinic</w:t>
      </w:r>
      <w:r w:rsidR="009473AD" w:rsidRPr="00C9549C">
        <w:rPr>
          <w:i/>
          <w:iCs/>
        </w:rPr>
        <w:t>. The operatory settings can identify a specific operator</w:t>
      </w:r>
      <w:r w:rsidR="00C9549C" w:rsidRPr="00C9549C">
        <w:rPr>
          <w:i/>
          <w:iCs/>
        </w:rPr>
        <w:t>y’s</w:t>
      </w:r>
      <w:r w:rsidR="009473AD" w:rsidRPr="00C9549C">
        <w:rPr>
          <w:i/>
          <w:iCs/>
        </w:rPr>
        <w:t xml:space="preserve"> available times if they are different from the clinic’s hours</w:t>
      </w:r>
      <w:r w:rsidR="00C9549C" w:rsidRPr="00C9549C">
        <w:rPr>
          <w:i/>
          <w:iCs/>
        </w:rPr>
        <w:t xml:space="preserve"> (such as when a</w:t>
      </w:r>
      <w:r w:rsidR="009473AD" w:rsidRPr="00C9549C">
        <w:rPr>
          <w:i/>
          <w:iCs/>
        </w:rPr>
        <w:t xml:space="preserve"> provider only works in </w:t>
      </w:r>
      <w:r w:rsidR="00C9549C" w:rsidRPr="00C9549C">
        <w:rPr>
          <w:i/>
          <w:iCs/>
        </w:rPr>
        <w:t xml:space="preserve">operatory </w:t>
      </w:r>
      <w:r w:rsidR="009473AD" w:rsidRPr="00C9549C">
        <w:rPr>
          <w:i/>
          <w:iCs/>
        </w:rPr>
        <w:t>3 on Fridays</w:t>
      </w:r>
      <w:r w:rsidR="00C9549C" w:rsidRPr="00C9549C">
        <w:rPr>
          <w:i/>
          <w:iCs/>
        </w:rPr>
        <w:t>)</w:t>
      </w:r>
      <w:r w:rsidR="009473AD" w:rsidRPr="00C9549C">
        <w:rPr>
          <w:i/>
          <w:iCs/>
        </w:rPr>
        <w:t>.</w:t>
      </w:r>
    </w:p>
    <w:p w14:paraId="6D293F52" w14:textId="5E3A9CBA" w:rsidR="0084256E" w:rsidRDefault="009473AD" w:rsidP="00E92EA5">
      <w:pPr>
        <w:pStyle w:val="Heading4"/>
      </w:pPr>
      <w:r w:rsidRPr="349A4F20">
        <w:t>View Setup</w:t>
      </w:r>
    </w:p>
    <w:p w14:paraId="42371615" w14:textId="11F63907" w:rsidR="009473AD" w:rsidRPr="00E24F38" w:rsidRDefault="009473AD" w:rsidP="0084256E">
      <w:pPr>
        <w:pStyle w:val="BodyText"/>
      </w:pPr>
      <w:r w:rsidRPr="349A4F20">
        <w:t>A view is the visual schedule</w:t>
      </w:r>
      <w:r w:rsidR="00C9549C">
        <w:t>. The view is determined by the specified p</w:t>
      </w:r>
      <w:r w:rsidRPr="349A4F20">
        <w:t>roviders</w:t>
      </w:r>
      <w:r w:rsidR="00C9549C">
        <w:t>, o</w:t>
      </w:r>
      <w:r w:rsidRPr="349A4F20">
        <w:t>peratories</w:t>
      </w:r>
      <w:r w:rsidR="00C9549C">
        <w:t>,</w:t>
      </w:r>
      <w:r w:rsidRPr="349A4F20">
        <w:t xml:space="preserve"> and patient information. </w:t>
      </w:r>
      <w:r w:rsidR="00C9549C">
        <w:t>A clinic can have m</w:t>
      </w:r>
      <w:r w:rsidRPr="349A4F20">
        <w:t>ultiple views. By managing the views</w:t>
      </w:r>
      <w:r w:rsidR="00C9549C">
        <w:t>,</w:t>
      </w:r>
      <w:r w:rsidRPr="349A4F20">
        <w:t xml:space="preserve"> you </w:t>
      </w:r>
      <w:r w:rsidR="00C9549C">
        <w:t>can</w:t>
      </w:r>
      <w:r w:rsidRPr="349A4F20">
        <w:t xml:space="preserve"> control user access. This is separate from system security and is strictly </w:t>
      </w:r>
      <w:r w:rsidR="00C9549C">
        <w:t>used to</w:t>
      </w:r>
      <w:r w:rsidRPr="349A4F20">
        <w:t xml:space="preserve"> control </w:t>
      </w:r>
      <w:r w:rsidR="00C9549C">
        <w:t>access to</w:t>
      </w:r>
      <w:r w:rsidRPr="349A4F20">
        <w:t xml:space="preserve"> specific clinic schedules. </w:t>
      </w:r>
    </w:p>
    <w:p w14:paraId="5656F0CE" w14:textId="135F79F2" w:rsidR="009473AD" w:rsidRPr="00C9549C" w:rsidRDefault="0066566F" w:rsidP="003638EB">
      <w:pPr>
        <w:pStyle w:val="BodyText"/>
        <w:rPr>
          <w:i/>
          <w:iCs/>
        </w:rPr>
      </w:pPr>
      <w:r>
        <w:rPr>
          <w:noProof/>
        </w:rPr>
        <w:drawing>
          <wp:anchor distT="0" distB="0" distL="0" distR="91440" simplePos="0" relativeHeight="251947012" behindDoc="1" locked="0" layoutInCell="1" allowOverlap="1" wp14:anchorId="50D60258" wp14:editId="48D75B43">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99534999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C9549C">
        <w:rPr>
          <w:b/>
          <w:bCs/>
          <w:i/>
          <w:iCs/>
        </w:rPr>
        <w:t xml:space="preserve">Operations </w:t>
      </w:r>
      <w:r w:rsidR="00C9549C" w:rsidRPr="00C9549C">
        <w:rPr>
          <w:b/>
          <w:bCs/>
          <w:i/>
          <w:iCs/>
        </w:rPr>
        <w:t>I</w:t>
      </w:r>
      <w:r w:rsidR="009473AD" w:rsidRPr="00C9549C">
        <w:rPr>
          <w:b/>
          <w:bCs/>
          <w:i/>
          <w:iCs/>
        </w:rPr>
        <w:t>nsight</w:t>
      </w:r>
      <w:r w:rsidR="00C9549C" w:rsidRPr="00C9549C">
        <w:rPr>
          <w:i/>
          <w:iCs/>
        </w:rPr>
        <w:t>: Y</w:t>
      </w:r>
      <w:r w:rsidR="009473AD" w:rsidRPr="00C9549C">
        <w:rPr>
          <w:i/>
          <w:iCs/>
        </w:rPr>
        <w:t xml:space="preserve">ou can have one view for when you are in the operatory and a different one for when you are at the front desk. For each view, you specify which providers, operatories, hours, and patient details </w:t>
      </w:r>
      <w:r w:rsidR="00C9549C" w:rsidRPr="00C9549C">
        <w:rPr>
          <w:i/>
          <w:iCs/>
        </w:rPr>
        <w:t>appear</w:t>
      </w:r>
      <w:r w:rsidR="009473AD" w:rsidRPr="00C9549C">
        <w:rPr>
          <w:i/>
          <w:iCs/>
        </w:rPr>
        <w:t xml:space="preserve"> in Appointment Book.</w:t>
      </w:r>
    </w:p>
    <w:p w14:paraId="6060EC1F" w14:textId="5DA0B48C" w:rsidR="009473AD" w:rsidRPr="00454D84" w:rsidRDefault="00D82038" w:rsidP="003638EB">
      <w:pPr>
        <w:pStyle w:val="BodyText"/>
        <w:rPr>
          <w:color w:val="00B050"/>
        </w:rPr>
      </w:pPr>
      <w:r>
        <w:rPr>
          <w:noProof/>
        </w:rPr>
        <w:drawing>
          <wp:anchor distT="0" distB="0" distL="0" distR="91440" simplePos="0" relativeHeight="251973636" behindDoc="1" locked="0" layoutInCell="1" allowOverlap="1" wp14:anchorId="793B44FC" wp14:editId="24D7454D">
            <wp:simplePos x="0" y="0"/>
            <wp:positionH relativeFrom="column">
              <wp:posOffset>-457200</wp:posOffset>
            </wp:positionH>
            <wp:positionV relativeFrom="paragraph">
              <wp:posOffset>-91440</wp:posOffset>
            </wp:positionV>
            <wp:extent cx="365856" cy="484632"/>
            <wp:effectExtent l="0" t="0" r="0" b="0"/>
            <wp:wrapTight wrapText="right">
              <wp:wrapPolygon edited="0">
                <wp:start x="0" y="0"/>
                <wp:lineTo x="0" y="20383"/>
                <wp:lineTo x="20250" y="20383"/>
                <wp:lineTo x="20250" y="0"/>
                <wp:lineTo x="0" y="0"/>
              </wp:wrapPolygon>
            </wp:wrapTight>
            <wp:docPr id="224107216"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SOP/guidelines here for appointment book views&gt;&gt;</w:t>
      </w:r>
    </w:p>
    <w:p w14:paraId="586CFCAD" w14:textId="459BE3EB" w:rsidR="009473AD" w:rsidRPr="003638EB" w:rsidRDefault="009473AD" w:rsidP="003638EB">
      <w:pPr>
        <w:pStyle w:val="BodyText"/>
      </w:pPr>
      <w:r w:rsidRPr="349A4F20">
        <w:t>Set up the following options:</w:t>
      </w:r>
    </w:p>
    <w:p w14:paraId="6826584E" w14:textId="77777777" w:rsidR="009473AD" w:rsidRPr="00E24F38" w:rsidRDefault="009473AD" w:rsidP="004F45B6">
      <w:pPr>
        <w:pStyle w:val="BodyText"/>
        <w:numPr>
          <w:ilvl w:val="0"/>
          <w:numId w:val="95"/>
        </w:numPr>
        <w:ind w:left="540"/>
      </w:pPr>
      <w:r w:rsidRPr="003638EB">
        <w:rPr>
          <w:b/>
          <w:bCs/>
        </w:rPr>
        <w:t>Appt. View Name</w:t>
      </w:r>
      <w:r w:rsidRPr="349A4F20">
        <w:t xml:space="preserve"> – Type a name for the view.</w:t>
      </w:r>
    </w:p>
    <w:p w14:paraId="22169D60" w14:textId="77777777" w:rsidR="009473AD" w:rsidRPr="00E24F38" w:rsidRDefault="009473AD" w:rsidP="004F45B6">
      <w:pPr>
        <w:pStyle w:val="BodyText"/>
        <w:numPr>
          <w:ilvl w:val="0"/>
          <w:numId w:val="95"/>
        </w:numPr>
        <w:ind w:left="540"/>
      </w:pPr>
      <w:r w:rsidRPr="003638EB">
        <w:rPr>
          <w:b/>
          <w:bCs/>
        </w:rPr>
        <w:t>Short-cut key to view</w:t>
      </w:r>
      <w:r w:rsidRPr="349A4F20">
        <w:t xml:space="preserve"> – Select the shortcut key that you want to use to access the view.</w:t>
      </w:r>
    </w:p>
    <w:p w14:paraId="58A03B13" w14:textId="77777777" w:rsidR="009473AD" w:rsidRPr="00E24F38" w:rsidRDefault="009473AD" w:rsidP="004F45B6">
      <w:pPr>
        <w:pStyle w:val="BodyText"/>
        <w:numPr>
          <w:ilvl w:val="0"/>
          <w:numId w:val="95"/>
        </w:numPr>
        <w:ind w:left="540"/>
      </w:pPr>
      <w:r w:rsidRPr="003638EB">
        <w:rPr>
          <w:b/>
          <w:bCs/>
        </w:rPr>
        <w:lastRenderedPageBreak/>
        <w:t>Clinic</w:t>
      </w:r>
      <w:r w:rsidRPr="349A4F20">
        <w:t xml:space="preserve"> – Select the clinic that you want to view.</w:t>
      </w:r>
    </w:p>
    <w:p w14:paraId="16072185" w14:textId="77777777" w:rsidR="009473AD" w:rsidRPr="00E24F38" w:rsidRDefault="009473AD" w:rsidP="004F45B6">
      <w:pPr>
        <w:pStyle w:val="BodyText"/>
        <w:numPr>
          <w:ilvl w:val="0"/>
          <w:numId w:val="95"/>
        </w:numPr>
        <w:ind w:left="540"/>
      </w:pPr>
      <w:r w:rsidRPr="003638EB">
        <w:rPr>
          <w:b/>
          <w:bCs/>
        </w:rPr>
        <w:t>Selected Providers</w:t>
      </w:r>
      <w:r w:rsidRPr="349A4F20">
        <w:t xml:space="preserve"> – Click </w:t>
      </w:r>
      <w:r w:rsidRPr="00C9549C">
        <w:rPr>
          <w:b/>
          <w:bCs/>
        </w:rPr>
        <w:t>Modify List</w:t>
      </w:r>
      <w:r w:rsidRPr="349A4F20">
        <w:t xml:space="preserve"> to select the providers for the view.</w:t>
      </w:r>
    </w:p>
    <w:p w14:paraId="2A9DA816" w14:textId="77777777" w:rsidR="009473AD" w:rsidRPr="00E24F38" w:rsidRDefault="009473AD" w:rsidP="004F45B6">
      <w:pPr>
        <w:pStyle w:val="BodyText"/>
        <w:numPr>
          <w:ilvl w:val="0"/>
          <w:numId w:val="95"/>
        </w:numPr>
        <w:ind w:left="540"/>
      </w:pPr>
      <w:r w:rsidRPr="003638EB">
        <w:rPr>
          <w:b/>
          <w:bCs/>
        </w:rPr>
        <w:t>Selected Operatories</w:t>
      </w:r>
      <w:r w:rsidRPr="349A4F20">
        <w:t xml:space="preserve"> – Click </w:t>
      </w:r>
      <w:r w:rsidRPr="00C9549C">
        <w:rPr>
          <w:b/>
          <w:bCs/>
        </w:rPr>
        <w:t>Modify List</w:t>
      </w:r>
      <w:r w:rsidRPr="349A4F20">
        <w:t xml:space="preserve"> to select the operatories for the view.</w:t>
      </w:r>
    </w:p>
    <w:p w14:paraId="7D461361" w14:textId="0AA48E9C" w:rsidR="009473AD" w:rsidRPr="00E24F38" w:rsidRDefault="009473AD" w:rsidP="004F45B6">
      <w:pPr>
        <w:pStyle w:val="BodyText"/>
        <w:numPr>
          <w:ilvl w:val="0"/>
          <w:numId w:val="95"/>
        </w:numPr>
        <w:ind w:left="540"/>
      </w:pPr>
      <w:r w:rsidRPr="003638EB">
        <w:rPr>
          <w:b/>
          <w:bCs/>
        </w:rPr>
        <w:t>View Options</w:t>
      </w:r>
      <w:r w:rsidRPr="349A4F20">
        <w:t xml:space="preserve"> – Select any of the following</w:t>
      </w:r>
      <w:r w:rsidR="00C9549C">
        <w:t xml:space="preserve"> options</w:t>
      </w:r>
      <w:r w:rsidRPr="349A4F20">
        <w:t>:</w:t>
      </w:r>
    </w:p>
    <w:p w14:paraId="046263B5" w14:textId="77777777" w:rsidR="009473AD" w:rsidRPr="00E24F38" w:rsidRDefault="009473AD" w:rsidP="004F45B6">
      <w:pPr>
        <w:pStyle w:val="BodyText"/>
        <w:numPr>
          <w:ilvl w:val="1"/>
          <w:numId w:val="96"/>
        </w:numPr>
        <w:ind w:left="1080"/>
      </w:pPr>
      <w:r w:rsidRPr="003638EB">
        <w:rPr>
          <w:b/>
          <w:bCs/>
        </w:rPr>
        <w:t>View Amount</w:t>
      </w:r>
      <w:r w:rsidRPr="349A4F20">
        <w:t xml:space="preserve"> – To have the scheduled production amount for the day, week, or month appear.</w:t>
      </w:r>
    </w:p>
    <w:p w14:paraId="4D97C6C8" w14:textId="77777777" w:rsidR="009473AD" w:rsidRPr="00E24F38" w:rsidRDefault="009473AD" w:rsidP="004F45B6">
      <w:pPr>
        <w:pStyle w:val="BodyText"/>
        <w:numPr>
          <w:ilvl w:val="1"/>
          <w:numId w:val="96"/>
        </w:numPr>
        <w:ind w:left="1080"/>
      </w:pPr>
      <w:r w:rsidRPr="003638EB">
        <w:rPr>
          <w:b/>
          <w:bCs/>
        </w:rPr>
        <w:t>View Appointment Notes</w:t>
      </w:r>
      <w:r w:rsidRPr="349A4F20">
        <w:t xml:space="preserve"> – To view a note symbol on any appointment with a note.</w:t>
      </w:r>
    </w:p>
    <w:p w14:paraId="52B1D10E" w14:textId="77777777" w:rsidR="009473AD" w:rsidRPr="00E24F38" w:rsidRDefault="009473AD" w:rsidP="004F45B6">
      <w:pPr>
        <w:pStyle w:val="BodyText"/>
        <w:numPr>
          <w:ilvl w:val="1"/>
          <w:numId w:val="96"/>
        </w:numPr>
        <w:ind w:left="1080"/>
      </w:pPr>
      <w:r w:rsidRPr="003638EB">
        <w:rPr>
          <w:b/>
          <w:bCs/>
        </w:rPr>
        <w:t>View Alerts</w:t>
      </w:r>
      <w:r w:rsidRPr="349A4F20">
        <w:t xml:space="preserve"> – To view a red plus sign on any appointment for a patient with medical alerts.</w:t>
      </w:r>
    </w:p>
    <w:p w14:paraId="0AADDD3B" w14:textId="77777777" w:rsidR="009473AD" w:rsidRPr="00E24F38" w:rsidRDefault="009473AD" w:rsidP="004F45B6">
      <w:pPr>
        <w:pStyle w:val="BodyText"/>
        <w:numPr>
          <w:ilvl w:val="1"/>
          <w:numId w:val="96"/>
        </w:numPr>
        <w:ind w:left="1080"/>
      </w:pPr>
      <w:r w:rsidRPr="003638EB">
        <w:rPr>
          <w:b/>
          <w:bCs/>
        </w:rPr>
        <w:t>View Provider Columns</w:t>
      </w:r>
      <w:r w:rsidRPr="349A4F20">
        <w:t xml:space="preserve"> – To view the colored provider bar.</w:t>
      </w:r>
    </w:p>
    <w:p w14:paraId="4B0CDD6D" w14:textId="77777777" w:rsidR="009473AD" w:rsidRPr="00E24F38" w:rsidRDefault="009473AD" w:rsidP="004F45B6">
      <w:pPr>
        <w:pStyle w:val="BodyText"/>
        <w:numPr>
          <w:ilvl w:val="1"/>
          <w:numId w:val="96"/>
        </w:numPr>
        <w:ind w:left="1080"/>
      </w:pPr>
      <w:r w:rsidRPr="003638EB">
        <w:rPr>
          <w:b/>
          <w:bCs/>
        </w:rPr>
        <w:t>View Ins Eligibility</w:t>
      </w:r>
      <w:r w:rsidRPr="349A4F20">
        <w:t xml:space="preserve"> – Select to see an insurance eligibility icon on any appointment for a patient with an insurance plan attached to his or her record. </w:t>
      </w:r>
    </w:p>
    <w:p w14:paraId="479772E4" w14:textId="77777777" w:rsidR="009473AD" w:rsidRPr="00E24F38" w:rsidRDefault="009473AD" w:rsidP="004F45B6">
      <w:pPr>
        <w:pStyle w:val="BodyText"/>
        <w:numPr>
          <w:ilvl w:val="0"/>
          <w:numId w:val="95"/>
        </w:numPr>
        <w:ind w:left="540"/>
      </w:pPr>
      <w:r w:rsidRPr="003638EB">
        <w:rPr>
          <w:b/>
          <w:bCs/>
        </w:rPr>
        <w:t>Select Days</w:t>
      </w:r>
      <w:r w:rsidRPr="349A4F20">
        <w:t xml:space="preserve"> – Select the days of the week that the office is normally open. The week and month views will show only the selected days.</w:t>
      </w:r>
    </w:p>
    <w:p w14:paraId="181F7BEF" w14:textId="466ADC86" w:rsidR="009473AD" w:rsidRPr="00E24F38" w:rsidRDefault="009473AD" w:rsidP="004F45B6">
      <w:pPr>
        <w:pStyle w:val="BodyText"/>
        <w:numPr>
          <w:ilvl w:val="0"/>
          <w:numId w:val="95"/>
        </w:numPr>
        <w:ind w:left="540"/>
      </w:pPr>
      <w:r w:rsidRPr="003638EB">
        <w:rPr>
          <w:b/>
          <w:bCs/>
        </w:rPr>
        <w:t>Month Time View</w:t>
      </w:r>
      <w:r w:rsidRPr="349A4F20">
        <w:t xml:space="preserve"> – For the month view, Dentrix Enterprise requires that a start and end time be entered. Type the earliest hour that you will see patients in the </w:t>
      </w:r>
      <w:r w:rsidRPr="00C9549C">
        <w:rPr>
          <w:b/>
          <w:bCs/>
        </w:rPr>
        <w:t>Start Hr</w:t>
      </w:r>
      <w:r w:rsidRPr="349A4F20">
        <w:t xml:space="preserve"> </w:t>
      </w:r>
      <w:r w:rsidR="00C9549C">
        <w:t>box</w:t>
      </w:r>
      <w:r w:rsidRPr="349A4F20">
        <w:t xml:space="preserve">. Type the latest hour that appointments will last in the </w:t>
      </w:r>
      <w:r w:rsidRPr="00C9549C">
        <w:rPr>
          <w:b/>
          <w:bCs/>
        </w:rPr>
        <w:t>End Hr</w:t>
      </w:r>
      <w:r w:rsidRPr="349A4F20">
        <w:t xml:space="preserve"> </w:t>
      </w:r>
      <w:r w:rsidR="00C9549C">
        <w:t>box</w:t>
      </w:r>
      <w:r w:rsidRPr="349A4F20">
        <w:t xml:space="preserve">. Click </w:t>
      </w:r>
      <w:r w:rsidRPr="00C9549C">
        <w:rPr>
          <w:b/>
          <w:bCs/>
        </w:rPr>
        <w:t>am</w:t>
      </w:r>
      <w:r w:rsidRPr="349A4F20">
        <w:t xml:space="preserve"> or </w:t>
      </w:r>
      <w:r w:rsidRPr="00C9549C">
        <w:rPr>
          <w:b/>
          <w:bCs/>
        </w:rPr>
        <w:t>pm</w:t>
      </w:r>
      <w:r w:rsidRPr="349A4F20">
        <w:t xml:space="preserve"> for both fields.</w:t>
      </w:r>
    </w:p>
    <w:p w14:paraId="5B31D786" w14:textId="41843E5F" w:rsidR="00C9549C" w:rsidRDefault="00EB4587" w:rsidP="004F45B6">
      <w:pPr>
        <w:pStyle w:val="BodyText"/>
        <w:numPr>
          <w:ilvl w:val="0"/>
          <w:numId w:val="95"/>
        </w:numPr>
        <w:ind w:left="540"/>
      </w:pPr>
      <w:r>
        <w:rPr>
          <w:noProof/>
        </w:rPr>
        <w:drawing>
          <wp:anchor distT="0" distB="0" distL="0" distR="91440" simplePos="0" relativeHeight="251994116" behindDoc="0" locked="0" layoutInCell="1" allowOverlap="1" wp14:anchorId="5595547F" wp14:editId="465CC437">
            <wp:simplePos x="0" y="0"/>
            <wp:positionH relativeFrom="column">
              <wp:posOffset>-457200</wp:posOffset>
            </wp:positionH>
            <wp:positionV relativeFrom="paragraph">
              <wp:posOffset>537845</wp:posOffset>
            </wp:positionV>
            <wp:extent cx="365981" cy="420624"/>
            <wp:effectExtent l="0" t="0" r="0" b="0"/>
            <wp:wrapTight wrapText="right">
              <wp:wrapPolygon edited="0">
                <wp:start x="0" y="0"/>
                <wp:lineTo x="0" y="20556"/>
                <wp:lineTo x="20250" y="20556"/>
                <wp:lineTo x="20250" y="0"/>
                <wp:lineTo x="0" y="0"/>
              </wp:wrapPolygon>
            </wp:wrapTight>
            <wp:docPr id="1340164824"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3638EB">
        <w:rPr>
          <w:b/>
          <w:bCs/>
        </w:rPr>
        <w:t>Appointment Display Info</w:t>
      </w:r>
      <w:r w:rsidR="009473AD" w:rsidRPr="349A4F20">
        <w:t xml:space="preserve"> – Depending on the length of an appointment, up to nine lines of information can </w:t>
      </w:r>
      <w:r w:rsidR="00C9549C">
        <w:t>appear</w:t>
      </w:r>
      <w:r w:rsidR="009473AD" w:rsidRPr="349A4F20">
        <w:t xml:space="preserve"> on the face of an appointment</w:t>
      </w:r>
      <w:r w:rsidR="00C9549C">
        <w:t xml:space="preserve"> tile</w:t>
      </w:r>
      <w:r w:rsidR="009473AD" w:rsidRPr="349A4F20">
        <w:t xml:space="preserve">. For each </w:t>
      </w:r>
      <w:r w:rsidR="009473AD" w:rsidRPr="00C9549C">
        <w:rPr>
          <w:b/>
          <w:bCs/>
        </w:rPr>
        <w:t>Line</w:t>
      </w:r>
      <w:r w:rsidR="009473AD" w:rsidRPr="349A4F20">
        <w:t xml:space="preserve">, select the information you want to have displayed on that line, or select </w:t>
      </w:r>
      <w:r w:rsidR="009473AD" w:rsidRPr="00C9549C">
        <w:rPr>
          <w:b/>
          <w:bCs/>
        </w:rPr>
        <w:t>[None]</w:t>
      </w:r>
      <w:r w:rsidR="009473AD" w:rsidRPr="349A4F20">
        <w:t xml:space="preserve"> to leave that line blank.</w:t>
      </w:r>
    </w:p>
    <w:p w14:paraId="0AE230E8" w14:textId="3DCECC66" w:rsidR="009473AD" w:rsidRPr="00C9549C" w:rsidRDefault="009473AD" w:rsidP="00C9549C">
      <w:pPr>
        <w:pStyle w:val="BodyText"/>
        <w:ind w:left="540"/>
        <w:rPr>
          <w:i/>
          <w:iCs/>
        </w:rPr>
      </w:pPr>
      <w:r w:rsidRPr="00C9549C">
        <w:rPr>
          <w:b/>
          <w:bCs/>
          <w:i/>
          <w:iCs/>
        </w:rPr>
        <w:t>Tip</w:t>
      </w:r>
      <w:r w:rsidRPr="00C9549C">
        <w:rPr>
          <w:i/>
          <w:iCs/>
        </w:rPr>
        <w:t>: On average, appointments will probably display 2–4 lines, so assign the most important items to the first lines.</w:t>
      </w:r>
    </w:p>
    <w:p w14:paraId="3280FA6D" w14:textId="7B457E92" w:rsidR="00EB4587" w:rsidRPr="000365EC" w:rsidRDefault="00EB4587" w:rsidP="00EB4587">
      <w:pPr>
        <w:pStyle w:val="BodyText"/>
        <w:ind w:left="540"/>
      </w:pPr>
      <w:r w:rsidRPr="000365EC">
        <w:rPr>
          <w:b/>
          <w:bCs/>
          <w:i/>
          <w:iCs/>
          <w:noProof/>
        </w:rPr>
        <w:drawing>
          <wp:anchor distT="0" distB="0" distL="0" distR="91440" simplePos="0" relativeHeight="252097540" behindDoc="1" locked="0" layoutInCell="1" allowOverlap="1" wp14:anchorId="2DB92C2F" wp14:editId="7C0C2789">
            <wp:simplePos x="0" y="0"/>
            <wp:positionH relativeFrom="column">
              <wp:posOffset>-452755</wp:posOffset>
            </wp:positionH>
            <wp:positionV relativeFrom="paragraph">
              <wp:posOffset>79513</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204566884"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0365EC">
        <w:rPr>
          <w:b/>
          <w:bCs/>
          <w:i/>
          <w:iCs/>
        </w:rPr>
        <w:t>*NEW* Workflow Insights</w:t>
      </w:r>
      <w:r w:rsidRPr="000365EC">
        <w:rPr>
          <w:i/>
          <w:iCs/>
        </w:rPr>
        <w:t>:</w:t>
      </w:r>
      <w:r w:rsidRPr="000365EC">
        <w:t xml:space="preserve"> </w:t>
      </w:r>
      <w:r w:rsidRPr="000365EC">
        <w:rPr>
          <w:i/>
          <w:iCs/>
        </w:rPr>
        <w:t xml:space="preserve">In version 11.0.43, the </w:t>
      </w:r>
      <w:r w:rsidRPr="000365EC">
        <w:rPr>
          <w:b/>
          <w:bCs/>
          <w:i/>
          <w:iCs/>
        </w:rPr>
        <w:t>Appointment Display Info</w:t>
      </w:r>
      <w:r w:rsidRPr="000365EC">
        <w:rPr>
          <w:i/>
          <w:iCs/>
        </w:rPr>
        <w:t xml:space="preserve"> settings </w:t>
      </w:r>
      <w:r w:rsidR="003D1CFC" w:rsidRPr="000365EC">
        <w:rPr>
          <w:i/>
          <w:iCs/>
        </w:rPr>
        <w:t xml:space="preserve">for a view </w:t>
      </w:r>
      <w:r w:rsidRPr="000365EC">
        <w:rPr>
          <w:i/>
          <w:iCs/>
        </w:rPr>
        <w:t>now allow the following to be displayed on appointments: patient tags, billing type, insurance carrier/payor, and financial class.</w:t>
      </w:r>
    </w:p>
    <w:p w14:paraId="5FF470D4" w14:textId="5395BD03" w:rsidR="009473AD" w:rsidRDefault="009473AD" w:rsidP="004F45B6">
      <w:pPr>
        <w:pStyle w:val="BodyText"/>
        <w:numPr>
          <w:ilvl w:val="0"/>
          <w:numId w:val="95"/>
        </w:numPr>
        <w:ind w:left="540"/>
      </w:pPr>
      <w:r w:rsidRPr="003638EB">
        <w:rPr>
          <w:b/>
          <w:bCs/>
        </w:rPr>
        <w:t>Default View</w:t>
      </w:r>
      <w:r w:rsidRPr="349A4F20">
        <w:t xml:space="preserve"> – Select this checkbox to have this view be your default for the current clinic.</w:t>
      </w:r>
    </w:p>
    <w:p w14:paraId="553ED98B" w14:textId="322D269D" w:rsidR="0084256E" w:rsidRDefault="009473AD" w:rsidP="00E92EA5">
      <w:pPr>
        <w:pStyle w:val="Heading4"/>
      </w:pPr>
      <w:r w:rsidRPr="349A4F20">
        <w:t>Flip tab setup</w:t>
      </w:r>
    </w:p>
    <w:p w14:paraId="3F995D9E" w14:textId="43F23A02" w:rsidR="009473AD" w:rsidRPr="00E24F38" w:rsidRDefault="00C9549C" w:rsidP="0084256E">
      <w:pPr>
        <w:pStyle w:val="BodyText"/>
      </w:pPr>
      <w:r w:rsidRPr="00C9549C">
        <w:t>A flip tab acts like a bookmark. It allows you to jump forward or backward several days, weeks, or months in Appointment Book, according to a specified length of time, such as seven days, two weeks, or six months. Flip tabs are workstation specific.</w:t>
      </w:r>
      <w:r w:rsidR="009473AD" w:rsidRPr="349A4F20">
        <w:t xml:space="preserve"> You can </w:t>
      </w:r>
      <w:r>
        <w:t>add</w:t>
      </w:r>
      <w:r w:rsidR="009473AD" w:rsidRPr="349A4F20">
        <w:t xml:space="preserve"> up to four flip tabs per daily, weekly, and monthly view on a computer.</w:t>
      </w:r>
    </w:p>
    <w:p w14:paraId="260195F9" w14:textId="02248CC6" w:rsidR="009473AD" w:rsidRPr="00C9549C" w:rsidRDefault="0066566F" w:rsidP="00BC6868">
      <w:pPr>
        <w:pStyle w:val="BodyText"/>
        <w:rPr>
          <w:i/>
          <w:iCs/>
        </w:rPr>
      </w:pPr>
      <w:r>
        <w:rPr>
          <w:noProof/>
        </w:rPr>
        <w:drawing>
          <wp:anchor distT="0" distB="0" distL="0" distR="91440" simplePos="0" relativeHeight="251949060" behindDoc="1" locked="0" layoutInCell="1" allowOverlap="1" wp14:anchorId="4F394752" wp14:editId="697EE07E">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9425019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C9549C">
        <w:rPr>
          <w:b/>
          <w:bCs/>
          <w:i/>
          <w:iCs/>
        </w:rPr>
        <w:t xml:space="preserve">Operations </w:t>
      </w:r>
      <w:r w:rsidR="00C9549C" w:rsidRPr="00C9549C">
        <w:rPr>
          <w:b/>
          <w:bCs/>
          <w:i/>
          <w:iCs/>
        </w:rPr>
        <w:t>I</w:t>
      </w:r>
      <w:r w:rsidR="009473AD" w:rsidRPr="00C9549C">
        <w:rPr>
          <w:b/>
          <w:bCs/>
          <w:i/>
          <w:iCs/>
        </w:rPr>
        <w:t>nsight</w:t>
      </w:r>
      <w:r w:rsidR="00C9549C" w:rsidRPr="00C9549C">
        <w:rPr>
          <w:i/>
          <w:iCs/>
        </w:rPr>
        <w:t xml:space="preserve">: </w:t>
      </w:r>
      <w:r w:rsidR="00C9549C">
        <w:rPr>
          <w:i/>
          <w:iCs/>
        </w:rPr>
        <w:t>Refer to</w:t>
      </w:r>
      <w:r w:rsidR="009473AD" w:rsidRPr="00C9549C">
        <w:rPr>
          <w:i/>
          <w:iCs/>
        </w:rPr>
        <w:t xml:space="preserve"> the appendix that identifies all workstation</w:t>
      </w:r>
      <w:r w:rsidR="00C9549C" w:rsidRPr="00C9549C">
        <w:rPr>
          <w:i/>
          <w:iCs/>
        </w:rPr>
        <w:t>-</w:t>
      </w:r>
      <w:r w:rsidR="009473AD" w:rsidRPr="00C9549C">
        <w:rPr>
          <w:i/>
          <w:iCs/>
        </w:rPr>
        <w:t>specific settings. Your IT may choose to use your operating system’s settings to distribute workstation</w:t>
      </w:r>
      <w:r w:rsidR="00C9549C" w:rsidRPr="00C9549C">
        <w:rPr>
          <w:i/>
          <w:iCs/>
        </w:rPr>
        <w:t>-</w:t>
      </w:r>
      <w:r w:rsidR="009473AD" w:rsidRPr="00C9549C">
        <w:rPr>
          <w:i/>
          <w:iCs/>
        </w:rPr>
        <w:t xml:space="preserve">specific settings to other workstations.  </w:t>
      </w:r>
    </w:p>
    <w:p w14:paraId="27920BFE" w14:textId="2138D030" w:rsidR="0084256E" w:rsidRDefault="009473AD" w:rsidP="00E92EA5">
      <w:pPr>
        <w:pStyle w:val="Heading4"/>
      </w:pPr>
      <w:r w:rsidRPr="349A4F20">
        <w:t>Events</w:t>
      </w:r>
    </w:p>
    <w:p w14:paraId="25E34800" w14:textId="6614DA49" w:rsidR="009473AD" w:rsidRDefault="00C9549C" w:rsidP="0084256E">
      <w:pPr>
        <w:pStyle w:val="BodyText"/>
      </w:pPr>
      <w:r>
        <w:t>A</w:t>
      </w:r>
      <w:r w:rsidR="009473AD" w:rsidRPr="349A4F20">
        <w:t xml:space="preserve">n event blocks out time for one or all operatories in Appointment Book so you have a visual reminder that you cannot schedule </w:t>
      </w:r>
      <w:r>
        <w:t xml:space="preserve">appointments </w:t>
      </w:r>
      <w:r w:rsidR="009473AD" w:rsidRPr="349A4F20">
        <w:t>during that time. An event can be for a single day or be a recurring event for up to one year.</w:t>
      </w:r>
    </w:p>
    <w:p w14:paraId="1B4DF9F9" w14:textId="1B35571C" w:rsidR="009473AD" w:rsidRPr="0084256E" w:rsidRDefault="00D82038" w:rsidP="00BC6868">
      <w:pPr>
        <w:pStyle w:val="BodyText"/>
        <w:rPr>
          <w:sz w:val="16"/>
          <w:szCs w:val="16"/>
        </w:rPr>
      </w:pPr>
      <w:r>
        <w:rPr>
          <w:noProof/>
        </w:rPr>
        <w:drawing>
          <wp:anchor distT="0" distB="0" distL="0" distR="91440" simplePos="0" relativeHeight="251975684" behindDoc="1" locked="0" layoutInCell="1" allowOverlap="1" wp14:anchorId="685B9374" wp14:editId="4B3E01C8">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504005855"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 on blocks/events here&gt;&gt;</w:t>
      </w:r>
    </w:p>
    <w:p w14:paraId="197B945C" w14:textId="359C4D40" w:rsidR="009473AD" w:rsidRPr="00B536C6" w:rsidRDefault="0066566F" w:rsidP="00BC6868">
      <w:pPr>
        <w:pStyle w:val="BodyText"/>
        <w:rPr>
          <w:i/>
          <w:iCs/>
        </w:rPr>
      </w:pPr>
      <w:r>
        <w:rPr>
          <w:noProof/>
        </w:rPr>
        <w:lastRenderedPageBreak/>
        <w:drawing>
          <wp:anchor distT="0" distB="0" distL="0" distR="91440" simplePos="0" relativeHeight="251951108" behindDoc="1" locked="0" layoutInCell="1" allowOverlap="1" wp14:anchorId="484C6E36" wp14:editId="1E5EF919">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54156863"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B536C6">
        <w:rPr>
          <w:b/>
          <w:bCs/>
          <w:i/>
          <w:iCs/>
        </w:rPr>
        <w:t xml:space="preserve">Operations </w:t>
      </w:r>
      <w:r w:rsidR="00C9549C" w:rsidRPr="00B536C6">
        <w:rPr>
          <w:b/>
          <w:bCs/>
          <w:i/>
          <w:iCs/>
        </w:rPr>
        <w:t>I</w:t>
      </w:r>
      <w:r w:rsidR="009473AD" w:rsidRPr="00B536C6">
        <w:rPr>
          <w:b/>
          <w:bCs/>
          <w:i/>
          <w:iCs/>
        </w:rPr>
        <w:t>nsigh</w:t>
      </w:r>
      <w:r w:rsidR="00C9549C" w:rsidRPr="00B536C6">
        <w:rPr>
          <w:b/>
          <w:bCs/>
          <w:i/>
          <w:iCs/>
        </w:rPr>
        <w:t>ts</w:t>
      </w:r>
      <w:r w:rsidR="00BC6868" w:rsidRPr="00B536C6">
        <w:rPr>
          <w:i/>
          <w:iCs/>
        </w:rPr>
        <w:t>:</w:t>
      </w:r>
    </w:p>
    <w:p w14:paraId="34F74B2A" w14:textId="64B830B7" w:rsidR="009473AD" w:rsidRPr="00B536C6" w:rsidRDefault="009473AD" w:rsidP="004F45B6">
      <w:pPr>
        <w:pStyle w:val="BodyText"/>
        <w:numPr>
          <w:ilvl w:val="0"/>
          <w:numId w:val="89"/>
        </w:numPr>
        <w:ind w:left="540"/>
        <w:rPr>
          <w:i/>
          <w:iCs/>
        </w:rPr>
      </w:pPr>
      <w:r w:rsidRPr="00B536C6">
        <w:rPr>
          <w:i/>
          <w:iCs/>
        </w:rPr>
        <w:t>If you create a repeating event, be aware that</w:t>
      </w:r>
      <w:r w:rsidR="00B536C6" w:rsidRPr="00B536C6">
        <w:rPr>
          <w:i/>
          <w:iCs/>
        </w:rPr>
        <w:t>,</w:t>
      </w:r>
      <w:r w:rsidRPr="00B536C6">
        <w:rPr>
          <w:i/>
          <w:iCs/>
        </w:rPr>
        <w:t xml:space="preserve"> if you want to delete the whole series, you must delete each event in that series one at a time.</w:t>
      </w:r>
    </w:p>
    <w:p w14:paraId="0E0B5783" w14:textId="77777777" w:rsidR="009473AD" w:rsidRPr="00B536C6" w:rsidRDefault="009473AD" w:rsidP="004F45B6">
      <w:pPr>
        <w:pStyle w:val="BodyText"/>
        <w:numPr>
          <w:ilvl w:val="0"/>
          <w:numId w:val="89"/>
        </w:numPr>
        <w:ind w:left="540"/>
        <w:rPr>
          <w:i/>
          <w:iCs/>
        </w:rPr>
      </w:pPr>
      <w:r w:rsidRPr="00B536C6">
        <w:rPr>
          <w:i/>
          <w:iCs/>
        </w:rPr>
        <w:t>If you attempt to schedule a single event that overlaps with an existing appointment or event, a message appears and states that the operatory is already scheduled at the requested time.</w:t>
      </w:r>
    </w:p>
    <w:p w14:paraId="131E1BE0" w14:textId="5CA7F26D" w:rsidR="009473AD" w:rsidRPr="00B536C6" w:rsidRDefault="009473AD" w:rsidP="004F45B6">
      <w:pPr>
        <w:pStyle w:val="BodyText"/>
        <w:numPr>
          <w:ilvl w:val="0"/>
          <w:numId w:val="89"/>
        </w:numPr>
        <w:ind w:left="540"/>
        <w:rPr>
          <w:i/>
          <w:iCs/>
        </w:rPr>
      </w:pPr>
      <w:r w:rsidRPr="00B536C6">
        <w:rPr>
          <w:i/>
          <w:iCs/>
        </w:rPr>
        <w:t xml:space="preserve">If Dentrix </w:t>
      </w:r>
      <w:r w:rsidR="00B536C6" w:rsidRPr="00B536C6">
        <w:rPr>
          <w:i/>
          <w:iCs/>
        </w:rPr>
        <w:t>Enterprise cannot</w:t>
      </w:r>
      <w:r w:rsidRPr="00B536C6">
        <w:rPr>
          <w:i/>
          <w:iCs/>
        </w:rPr>
        <w:t xml:space="preserve"> create an event that is part of a series because that event overlaps with an existing appointment or event, a log file appears for your reference. You can correct the conflicts and then schedule events to match those in the series you created previously.</w:t>
      </w:r>
    </w:p>
    <w:p w14:paraId="79BA2467" w14:textId="4F7713F9" w:rsidR="0084256E" w:rsidRDefault="009473AD" w:rsidP="00E92EA5">
      <w:pPr>
        <w:pStyle w:val="Heading4"/>
      </w:pPr>
      <w:r w:rsidRPr="349A4F20">
        <w:t xml:space="preserve">Perfect </w:t>
      </w:r>
      <w:r w:rsidR="003638EB">
        <w:t>D</w:t>
      </w:r>
      <w:r w:rsidRPr="349A4F20">
        <w:t xml:space="preserve">ay </w:t>
      </w:r>
      <w:r w:rsidR="003638EB">
        <w:t>S</w:t>
      </w:r>
      <w:r w:rsidRPr="349A4F20">
        <w:t>cheduling</w:t>
      </w:r>
    </w:p>
    <w:p w14:paraId="05201607" w14:textId="38074369" w:rsidR="009473AD" w:rsidRDefault="003638EB" w:rsidP="000D7FFC">
      <w:pPr>
        <w:pStyle w:val="BodyText"/>
        <w:keepNext/>
        <w:keepLines/>
      </w:pPr>
      <w:r>
        <w:t>A</w:t>
      </w:r>
      <w:r w:rsidR="009473AD" w:rsidRPr="349A4F20">
        <w:t xml:space="preserve">chieve a perfect balance of specific procedure types (for example, </w:t>
      </w:r>
      <w:r w:rsidR="00B536C6">
        <w:t>h</w:t>
      </w:r>
      <w:r w:rsidR="009473AD" w:rsidRPr="349A4F20">
        <w:t xml:space="preserve">igh </w:t>
      </w:r>
      <w:r w:rsidR="00B536C6">
        <w:t>p</w:t>
      </w:r>
      <w:r w:rsidR="009473AD" w:rsidRPr="349A4F20">
        <w:t>roduction</w:t>
      </w:r>
      <w:r w:rsidR="00B536C6">
        <w:t xml:space="preserve"> c</w:t>
      </w:r>
      <w:r w:rsidR="009473AD" w:rsidRPr="349A4F20">
        <w:t>rown</w:t>
      </w:r>
      <w:r w:rsidR="00B536C6">
        <w:t xml:space="preserve"> procedure</w:t>
      </w:r>
      <w:r w:rsidR="009473AD" w:rsidRPr="349A4F20">
        <w:t>s</w:t>
      </w:r>
      <w:r w:rsidR="00B536C6">
        <w:t xml:space="preserve"> and low production exams</w:t>
      </w:r>
      <w:r w:rsidR="009473AD" w:rsidRPr="349A4F20">
        <w:t>)</w:t>
      </w:r>
      <w:r w:rsidR="00B536C6">
        <w:t>.</w:t>
      </w:r>
      <w:r w:rsidR="009473AD" w:rsidRPr="349A4F20">
        <w:t xml:space="preserve"> Time </w:t>
      </w:r>
      <w:r w:rsidR="00B536C6">
        <w:t>b</w:t>
      </w:r>
      <w:r w:rsidR="009473AD" w:rsidRPr="349A4F20">
        <w:t xml:space="preserve">locks allow you to reserve certain times during the day to create your </w:t>
      </w:r>
      <w:r w:rsidR="00B536C6">
        <w:t>p</w:t>
      </w:r>
      <w:r w:rsidR="009473AD" w:rsidRPr="349A4F20">
        <w:t xml:space="preserve">erfect </w:t>
      </w:r>
      <w:r w:rsidR="00B536C6">
        <w:t>d</w:t>
      </w:r>
      <w:r w:rsidR="009473AD" w:rsidRPr="349A4F20">
        <w:t xml:space="preserve">ay.  </w:t>
      </w:r>
    </w:p>
    <w:p w14:paraId="3AF9C01E" w14:textId="6F357203" w:rsidR="009473AD" w:rsidRPr="00941C5B" w:rsidRDefault="003638EB" w:rsidP="000D7FFC">
      <w:pPr>
        <w:pStyle w:val="BodyText"/>
        <w:keepNext/>
        <w:keepLines/>
      </w:pPr>
      <w:r>
        <w:t>You must activate</w:t>
      </w:r>
      <w:r w:rsidR="009473AD" w:rsidRPr="2A71C1FC">
        <w:t xml:space="preserve"> Perfect Day Scheduling</w:t>
      </w:r>
      <w:r>
        <w:t xml:space="preserve"> to see the defined time blocks and for those who attempt to schedule appointments in the incorrect time blocks to see warnings. </w:t>
      </w:r>
      <w:r w:rsidR="009473AD" w:rsidRPr="2A71C1FC">
        <w:t>If Perfect Day</w:t>
      </w:r>
      <w:r w:rsidR="00B536C6">
        <w:t xml:space="preserve"> Scheduling</w:t>
      </w:r>
      <w:r w:rsidR="009473AD" w:rsidRPr="2A71C1FC">
        <w:t xml:space="preserve"> has not been activated, the defined time blocks do not appear in the Appointment Book, and no warning will appear if anyone tries to schedule appointments during reserved time blocks.</w:t>
      </w:r>
    </w:p>
    <w:p w14:paraId="1A4C13DF" w14:textId="3C86FA24" w:rsidR="009473AD" w:rsidRPr="00B536C6" w:rsidRDefault="00000B10" w:rsidP="003638EB">
      <w:pPr>
        <w:pStyle w:val="BodyText"/>
        <w:rPr>
          <w:i/>
          <w:iCs/>
        </w:rPr>
      </w:pPr>
      <w:r>
        <w:rPr>
          <w:noProof/>
        </w:rPr>
        <w:drawing>
          <wp:anchor distT="0" distB="0" distL="0" distR="91440" simplePos="0" relativeHeight="252010500" behindDoc="1" locked="0" layoutInCell="1" allowOverlap="1" wp14:anchorId="21370A8D" wp14:editId="67107A08">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2912514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B536C6">
        <w:rPr>
          <w:b/>
          <w:bCs/>
          <w:i/>
          <w:iCs/>
        </w:rPr>
        <w:t xml:space="preserve">Workflow </w:t>
      </w:r>
      <w:r w:rsidR="00B536C6" w:rsidRPr="00B536C6">
        <w:rPr>
          <w:b/>
          <w:bCs/>
          <w:i/>
          <w:iCs/>
        </w:rPr>
        <w:t>I</w:t>
      </w:r>
      <w:r w:rsidR="009473AD" w:rsidRPr="00B536C6">
        <w:rPr>
          <w:b/>
          <w:bCs/>
          <w:i/>
          <w:iCs/>
        </w:rPr>
        <w:t>nsight</w:t>
      </w:r>
      <w:r w:rsidR="00B536C6" w:rsidRPr="00B536C6">
        <w:rPr>
          <w:i/>
          <w:iCs/>
        </w:rPr>
        <w:t xml:space="preserve">: </w:t>
      </w:r>
      <w:r w:rsidR="009473AD" w:rsidRPr="00B536C6">
        <w:rPr>
          <w:i/>
          <w:iCs/>
        </w:rPr>
        <w:t xml:space="preserve">This feature is very helpful for identifying pre-defined time in </w:t>
      </w:r>
      <w:r w:rsidR="00B536C6" w:rsidRPr="00B536C6">
        <w:rPr>
          <w:i/>
          <w:iCs/>
        </w:rPr>
        <w:t>A</w:t>
      </w:r>
      <w:r w:rsidR="009473AD" w:rsidRPr="00B536C6">
        <w:rPr>
          <w:i/>
          <w:iCs/>
        </w:rPr>
        <w:t xml:space="preserve">ppointment </w:t>
      </w:r>
      <w:r w:rsidR="00B536C6" w:rsidRPr="00B536C6">
        <w:rPr>
          <w:i/>
          <w:iCs/>
        </w:rPr>
        <w:t>B</w:t>
      </w:r>
      <w:r w:rsidR="009473AD" w:rsidRPr="00B536C6">
        <w:rPr>
          <w:i/>
          <w:iCs/>
        </w:rPr>
        <w:t xml:space="preserve">ook for scheduling that works best for the clinical team. </w:t>
      </w:r>
      <w:r w:rsidR="00B536C6" w:rsidRPr="00B536C6">
        <w:rPr>
          <w:i/>
          <w:iCs/>
        </w:rPr>
        <w:t>This</w:t>
      </w:r>
      <w:r w:rsidR="009473AD" w:rsidRPr="00B536C6">
        <w:rPr>
          <w:i/>
          <w:iCs/>
        </w:rPr>
        <w:t xml:space="preserve"> is very helpful for organizations that have a call center. It allows for the individual site</w:t>
      </w:r>
      <w:r w:rsidR="00B536C6" w:rsidRPr="00B536C6">
        <w:rPr>
          <w:i/>
          <w:iCs/>
        </w:rPr>
        <w:t>s</w:t>
      </w:r>
      <w:r w:rsidR="009473AD" w:rsidRPr="00B536C6">
        <w:rPr>
          <w:i/>
          <w:iCs/>
        </w:rPr>
        <w:t xml:space="preserve"> to control the available times on their schedules.</w:t>
      </w:r>
    </w:p>
    <w:p w14:paraId="73A304BC" w14:textId="049AF4C3" w:rsidR="009473AD" w:rsidRPr="00B536C6" w:rsidRDefault="0066566F" w:rsidP="003638EB">
      <w:pPr>
        <w:pStyle w:val="BodyText"/>
        <w:rPr>
          <w:i/>
          <w:iCs/>
        </w:rPr>
      </w:pPr>
      <w:r>
        <w:rPr>
          <w:noProof/>
        </w:rPr>
        <w:drawing>
          <wp:anchor distT="0" distB="0" distL="0" distR="91440" simplePos="0" relativeHeight="251953156" behindDoc="1" locked="0" layoutInCell="1" allowOverlap="1" wp14:anchorId="47ACA05A" wp14:editId="7E268149">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44263445"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B536C6">
        <w:rPr>
          <w:b/>
          <w:bCs/>
          <w:i/>
          <w:iCs/>
        </w:rPr>
        <w:t xml:space="preserve">Operations </w:t>
      </w:r>
      <w:r w:rsidR="00B536C6" w:rsidRPr="00B536C6">
        <w:rPr>
          <w:b/>
          <w:bCs/>
          <w:i/>
          <w:iCs/>
        </w:rPr>
        <w:t>Insight</w:t>
      </w:r>
      <w:r w:rsidR="00B536C6" w:rsidRPr="00B536C6">
        <w:rPr>
          <w:i/>
          <w:iCs/>
        </w:rPr>
        <w:t>: E</w:t>
      </w:r>
      <w:r w:rsidR="009473AD" w:rsidRPr="00B536C6">
        <w:rPr>
          <w:i/>
          <w:iCs/>
        </w:rPr>
        <w:t xml:space="preserve">ach provider can have up to </w:t>
      </w:r>
      <w:r w:rsidR="00B536C6" w:rsidRPr="00B536C6">
        <w:rPr>
          <w:i/>
          <w:iCs/>
        </w:rPr>
        <w:t>six</w:t>
      </w:r>
      <w:r w:rsidR="009473AD" w:rsidRPr="00B536C6">
        <w:rPr>
          <w:i/>
          <w:iCs/>
        </w:rPr>
        <w:t xml:space="preserve"> time blocks assigned to them</w:t>
      </w:r>
      <w:r w:rsidR="00B536C6" w:rsidRPr="00B536C6">
        <w:rPr>
          <w:i/>
          <w:iCs/>
        </w:rPr>
        <w:t>,</w:t>
      </w:r>
      <w:r w:rsidR="009473AD" w:rsidRPr="00B536C6">
        <w:rPr>
          <w:i/>
          <w:iCs/>
        </w:rPr>
        <w:t xml:space="preserve"> and each view can show up to 20 individual time blocks at a time. Additional time blocks past the allowed 20 established for the view will not be visible.</w:t>
      </w:r>
    </w:p>
    <w:p w14:paraId="105438D9" w14:textId="0408B046" w:rsidR="0084256E" w:rsidRPr="0084256E" w:rsidRDefault="009473AD" w:rsidP="00D42C5A">
      <w:pPr>
        <w:pStyle w:val="Heading3"/>
        <w:rPr>
          <w:bCs/>
        </w:rPr>
      </w:pPr>
      <w:bookmarkStart w:id="252" w:name="_Toc135416749"/>
      <w:bookmarkStart w:id="253" w:name="_Toc166834404"/>
      <w:r w:rsidRPr="0084256E">
        <w:t>Clinical Setup</w:t>
      </w:r>
      <w:bookmarkEnd w:id="252"/>
      <w:bookmarkEnd w:id="253"/>
    </w:p>
    <w:p w14:paraId="4FF99F60" w14:textId="4546FD8A" w:rsidR="009473AD" w:rsidRDefault="00AB1AC6" w:rsidP="0084256E">
      <w:pPr>
        <w:pStyle w:val="BodyText"/>
      </w:pPr>
      <w:r>
        <w:rPr>
          <w:noProof/>
        </w:rPr>
        <w:drawing>
          <wp:anchor distT="0" distB="0" distL="0" distR="91440" simplePos="0" relativeHeight="251977732" behindDoc="1" locked="0" layoutInCell="1" allowOverlap="1" wp14:anchorId="7CB2C2A5" wp14:editId="3DDFBC0D">
            <wp:simplePos x="0" y="0"/>
            <wp:positionH relativeFrom="column">
              <wp:posOffset>-457200</wp:posOffset>
            </wp:positionH>
            <wp:positionV relativeFrom="paragraph">
              <wp:posOffset>405603</wp:posOffset>
            </wp:positionV>
            <wp:extent cx="365760" cy="484505"/>
            <wp:effectExtent l="0" t="0" r="0" b="0"/>
            <wp:wrapTight wrapText="right">
              <wp:wrapPolygon edited="0">
                <wp:start x="0" y="0"/>
                <wp:lineTo x="0" y="20383"/>
                <wp:lineTo x="20250" y="20383"/>
                <wp:lineTo x="20250" y="0"/>
                <wp:lineTo x="0" y="0"/>
              </wp:wrapPolygon>
            </wp:wrapTight>
            <wp:docPr id="830498248"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505"/>
                    </a:xfrm>
                    <a:prstGeom prst="rect">
                      <a:avLst/>
                    </a:prstGeom>
                  </pic:spPr>
                </pic:pic>
              </a:graphicData>
            </a:graphic>
            <wp14:sizeRelH relativeFrom="margin">
              <wp14:pctWidth>0</wp14:pctWidth>
            </wp14:sizeRelH>
            <wp14:sizeRelV relativeFrom="margin">
              <wp14:pctHeight>0</wp14:pctHeight>
            </wp14:sizeRelV>
          </wp:anchor>
        </w:drawing>
      </w:r>
      <w:r w:rsidR="009473AD" w:rsidRPr="559ADB64">
        <w:t xml:space="preserve">The design elements </w:t>
      </w:r>
      <w:r w:rsidR="00B536C6">
        <w:t>discussed in</w:t>
      </w:r>
      <w:r w:rsidR="009473AD" w:rsidRPr="559ADB64">
        <w:t xml:space="preserve"> this section will drive customization of your clinical modules to enhance your </w:t>
      </w:r>
      <w:r w:rsidR="00B536C6">
        <w:t>c</w:t>
      </w:r>
      <w:r w:rsidR="009473AD" w:rsidRPr="559ADB64">
        <w:t xml:space="preserve">linical </w:t>
      </w:r>
      <w:r w:rsidR="00B536C6">
        <w:t>r</w:t>
      </w:r>
      <w:r w:rsidR="009473AD" w:rsidRPr="559ADB64">
        <w:t xml:space="preserve">ecords </w:t>
      </w:r>
      <w:r w:rsidR="00B536C6">
        <w:t>m</w:t>
      </w:r>
      <w:r w:rsidR="009473AD" w:rsidRPr="559ADB64">
        <w:t>anagement workflows. Re</w:t>
      </w:r>
      <w:r w:rsidR="00B536C6">
        <w:t>fer to the “</w:t>
      </w:r>
      <w:r w:rsidR="009473AD" w:rsidRPr="559ADB64">
        <w:t>Clinical Records Management</w:t>
      </w:r>
      <w:r w:rsidR="00B536C6">
        <w:t xml:space="preserve">” section </w:t>
      </w:r>
      <w:r w:rsidR="009473AD" w:rsidRPr="559ADB64">
        <w:t xml:space="preserve">for </w:t>
      </w:r>
      <w:r w:rsidR="00B536C6">
        <w:t xml:space="preserve">information about </w:t>
      </w:r>
      <w:r w:rsidR="009473AD" w:rsidRPr="559ADB64">
        <w:t xml:space="preserve">managing and maintaining all clinical records.  </w:t>
      </w:r>
    </w:p>
    <w:p w14:paraId="35B1DD04" w14:textId="0D7464AD" w:rsidR="009473AD" w:rsidRPr="0084256E" w:rsidRDefault="009473AD" w:rsidP="003638EB">
      <w:pPr>
        <w:pStyle w:val="BodyText"/>
      </w:pPr>
      <w:r w:rsidRPr="00454D84">
        <w:rPr>
          <w:color w:val="00B050"/>
        </w:rPr>
        <w:t>&lt;&lt;Insert Clinical SOP/Guideline here&gt;&gt;</w:t>
      </w:r>
    </w:p>
    <w:p w14:paraId="0378AB10" w14:textId="7A461320" w:rsidR="009473AD" w:rsidRPr="00E45677" w:rsidRDefault="009473AD" w:rsidP="00E92EA5">
      <w:pPr>
        <w:pStyle w:val="Heading4"/>
      </w:pPr>
      <w:r w:rsidRPr="00E45677">
        <w:t>Chart</w:t>
      </w:r>
    </w:p>
    <w:p w14:paraId="12559FE9" w14:textId="7EFD4A35" w:rsidR="009473AD" w:rsidRDefault="009473AD" w:rsidP="004F45B6">
      <w:pPr>
        <w:pStyle w:val="BodyText"/>
        <w:numPr>
          <w:ilvl w:val="0"/>
          <w:numId w:val="97"/>
        </w:numPr>
        <w:ind w:left="540"/>
      </w:pPr>
      <w:r w:rsidRPr="00F763F6">
        <w:rPr>
          <w:b/>
          <w:bCs/>
        </w:rPr>
        <w:t>Procedure Buttons</w:t>
      </w:r>
      <w:r w:rsidR="003638EB">
        <w:t xml:space="preserve"> </w:t>
      </w:r>
      <w:r w:rsidR="00B536C6">
        <w:t>–</w:t>
      </w:r>
      <w:r w:rsidR="003638EB">
        <w:t xml:space="preserve"> </w:t>
      </w:r>
      <w:r w:rsidR="00B536C6">
        <w:t xml:space="preserve">You can </w:t>
      </w:r>
      <w:r>
        <w:t>assign</w:t>
      </w:r>
      <w:r w:rsidR="00B536C6">
        <w:t xml:space="preserve"> a </w:t>
      </w:r>
      <w:r>
        <w:t xml:space="preserve">procedure code and images </w:t>
      </w:r>
      <w:r w:rsidR="00B536C6">
        <w:t xml:space="preserve">to each of the </w:t>
      </w:r>
      <w:r w:rsidRPr="006D08E2">
        <w:t xml:space="preserve">24 buttons </w:t>
      </w:r>
      <w:r w:rsidR="00B536C6">
        <w:t>to quickly</w:t>
      </w:r>
      <w:r>
        <w:t xml:space="preserve"> </w:t>
      </w:r>
      <w:r w:rsidR="00B536C6">
        <w:t>chart procedures for a</w:t>
      </w:r>
      <w:r>
        <w:t xml:space="preserve"> patient</w:t>
      </w:r>
      <w:r w:rsidRPr="006D08E2">
        <w:t>.</w:t>
      </w:r>
    </w:p>
    <w:p w14:paraId="79E4726D" w14:textId="3F41C8A4" w:rsidR="009473AD" w:rsidRPr="00B536C6" w:rsidRDefault="0066566F" w:rsidP="00F763F6">
      <w:pPr>
        <w:pStyle w:val="BodyText"/>
        <w:ind w:left="540"/>
        <w:rPr>
          <w:i/>
          <w:iCs/>
        </w:rPr>
      </w:pPr>
      <w:r>
        <w:rPr>
          <w:noProof/>
        </w:rPr>
        <w:drawing>
          <wp:anchor distT="0" distB="0" distL="0" distR="91440" simplePos="0" relativeHeight="251955204" behindDoc="1" locked="0" layoutInCell="1" allowOverlap="1" wp14:anchorId="59BB0335" wp14:editId="52E52EE5">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881509022"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B536C6">
        <w:rPr>
          <w:b/>
          <w:bCs/>
          <w:i/>
          <w:iCs/>
        </w:rPr>
        <w:t>Operations Insight</w:t>
      </w:r>
      <w:r w:rsidR="00B536C6" w:rsidRPr="00B536C6">
        <w:rPr>
          <w:i/>
          <w:iCs/>
        </w:rPr>
        <w:t xml:space="preserve">: </w:t>
      </w:r>
      <w:r w:rsidR="009473AD" w:rsidRPr="00B536C6">
        <w:rPr>
          <w:i/>
          <w:iCs/>
        </w:rPr>
        <w:t xml:space="preserve">Procedure </w:t>
      </w:r>
      <w:r w:rsidR="00B536C6" w:rsidRPr="00B536C6">
        <w:rPr>
          <w:i/>
          <w:iCs/>
        </w:rPr>
        <w:t>b</w:t>
      </w:r>
      <w:r w:rsidR="009473AD" w:rsidRPr="00B536C6">
        <w:rPr>
          <w:i/>
          <w:iCs/>
        </w:rPr>
        <w:t xml:space="preserve">utton </w:t>
      </w:r>
      <w:r w:rsidR="00B536C6" w:rsidRPr="00B536C6">
        <w:rPr>
          <w:i/>
          <w:iCs/>
        </w:rPr>
        <w:t>t</w:t>
      </w:r>
      <w:r w:rsidR="009473AD" w:rsidRPr="00B536C6">
        <w:rPr>
          <w:i/>
          <w:iCs/>
        </w:rPr>
        <w:t xml:space="preserve">emplates </w:t>
      </w:r>
      <w:r w:rsidR="00B536C6" w:rsidRPr="00B536C6">
        <w:rPr>
          <w:i/>
          <w:iCs/>
        </w:rPr>
        <w:t>that you create are</w:t>
      </w:r>
      <w:r w:rsidR="009473AD" w:rsidRPr="00B536C6">
        <w:rPr>
          <w:i/>
          <w:iCs/>
        </w:rPr>
        <w:t xml:space="preserve"> stored </w:t>
      </w:r>
      <w:r w:rsidR="00B536C6" w:rsidRPr="00B536C6">
        <w:rPr>
          <w:i/>
          <w:iCs/>
        </w:rPr>
        <w:t>in</w:t>
      </w:r>
      <w:r w:rsidR="009473AD" w:rsidRPr="00B536C6">
        <w:rPr>
          <w:i/>
          <w:iCs/>
        </w:rPr>
        <w:t xml:space="preserve"> the Dentrix Enterprise database.</w:t>
      </w:r>
    </w:p>
    <w:p w14:paraId="656F8E0B" w14:textId="0351C48A" w:rsidR="00AB1AC6" w:rsidRDefault="00AB1AC6" w:rsidP="00B536C6">
      <w:pPr>
        <w:pStyle w:val="BodyText"/>
        <w:ind w:left="540"/>
        <w:rPr>
          <w:color w:val="00B050"/>
        </w:rPr>
      </w:pPr>
      <w:r>
        <w:rPr>
          <w:noProof/>
        </w:rPr>
        <w:drawing>
          <wp:anchor distT="0" distB="0" distL="0" distR="91440" simplePos="0" relativeHeight="251979780" behindDoc="1" locked="0" layoutInCell="1" allowOverlap="1" wp14:anchorId="17DF4F40" wp14:editId="6B9E95A5">
            <wp:simplePos x="0" y="0"/>
            <wp:positionH relativeFrom="column">
              <wp:posOffset>-457200</wp:posOffset>
            </wp:positionH>
            <wp:positionV relativeFrom="paragraph">
              <wp:posOffset>98631</wp:posOffset>
            </wp:positionV>
            <wp:extent cx="365856" cy="484632"/>
            <wp:effectExtent l="0" t="0" r="0" b="0"/>
            <wp:wrapTight wrapText="right">
              <wp:wrapPolygon edited="0">
                <wp:start x="0" y="0"/>
                <wp:lineTo x="0" y="20383"/>
                <wp:lineTo x="20250" y="20383"/>
                <wp:lineTo x="20250" y="0"/>
                <wp:lineTo x="0" y="0"/>
              </wp:wrapPolygon>
            </wp:wrapTight>
            <wp:docPr id="1842535136"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p>
    <w:p w14:paraId="38833E08" w14:textId="530509B2" w:rsidR="009473AD" w:rsidRPr="00B536C6" w:rsidRDefault="009473AD" w:rsidP="00B536C6">
      <w:pPr>
        <w:pStyle w:val="BodyText"/>
        <w:ind w:left="540"/>
        <w:rPr>
          <w:color w:val="00B050"/>
        </w:rPr>
      </w:pPr>
      <w:r w:rsidRPr="00454D84">
        <w:rPr>
          <w:color w:val="00B050"/>
        </w:rPr>
        <w:t>&lt;&lt;Insert Procedure Buttons SOP/guideline here&gt;&gt;</w:t>
      </w:r>
    </w:p>
    <w:p w14:paraId="1DEF97EB" w14:textId="09A5348A" w:rsidR="009473AD" w:rsidRPr="004A4D7F" w:rsidRDefault="009473AD" w:rsidP="004F45B6">
      <w:pPr>
        <w:pStyle w:val="BodyText"/>
        <w:keepNext/>
        <w:keepLines/>
        <w:numPr>
          <w:ilvl w:val="0"/>
          <w:numId w:val="97"/>
        </w:numPr>
        <w:ind w:left="1080"/>
      </w:pPr>
      <w:r w:rsidRPr="00F763F6">
        <w:rPr>
          <w:b/>
          <w:bCs/>
        </w:rPr>
        <w:lastRenderedPageBreak/>
        <w:t>Select Code</w:t>
      </w:r>
      <w:r>
        <w:t xml:space="preserve"> – </w:t>
      </w:r>
      <w:r w:rsidR="00B536C6">
        <w:t xml:space="preserve">Select </w:t>
      </w:r>
      <w:r w:rsidRPr="00B536C6">
        <w:rPr>
          <w:b/>
          <w:bCs/>
        </w:rPr>
        <w:t>Procedure</w:t>
      </w:r>
      <w:r>
        <w:t xml:space="preserve"> or </w:t>
      </w:r>
      <w:r w:rsidRPr="00B536C6">
        <w:rPr>
          <w:b/>
          <w:bCs/>
        </w:rPr>
        <w:t>Dental Diagnostic</w:t>
      </w:r>
      <w:r w:rsidR="00B536C6">
        <w:t>. Then, s</w:t>
      </w:r>
      <w:r w:rsidRPr="00215157">
        <w:t xml:space="preserve">elect </w:t>
      </w:r>
      <w:r>
        <w:t>the desired procedure (</w:t>
      </w:r>
      <w:r w:rsidRPr="00215157">
        <w:t>ADA, administrative</w:t>
      </w:r>
      <w:r>
        <w:t>, in-house</w:t>
      </w:r>
      <w:r w:rsidR="00B536C6">
        <w:t>)</w:t>
      </w:r>
      <w:r>
        <w:t>, condition</w:t>
      </w:r>
      <w:r w:rsidR="00B536C6">
        <w:t>,</w:t>
      </w:r>
      <w:r w:rsidRPr="00215157">
        <w:t xml:space="preserve"> multi-co</w:t>
      </w:r>
      <w:r>
        <w:t>de</w:t>
      </w:r>
      <w:r w:rsidR="00B536C6">
        <w:t>,</w:t>
      </w:r>
      <w:r>
        <w:t xml:space="preserve"> or dental diagnostic code.</w:t>
      </w:r>
    </w:p>
    <w:p w14:paraId="26C1524C" w14:textId="75654CDC" w:rsidR="009473AD" w:rsidRPr="00B536C6" w:rsidRDefault="00000B10" w:rsidP="00AB1AC6">
      <w:pPr>
        <w:pStyle w:val="BodyText"/>
        <w:keepLines/>
        <w:ind w:left="1080"/>
        <w:rPr>
          <w:i/>
          <w:iCs/>
        </w:rPr>
      </w:pPr>
      <w:r>
        <w:rPr>
          <w:noProof/>
        </w:rPr>
        <w:drawing>
          <wp:anchor distT="0" distB="0" distL="0" distR="91440" simplePos="0" relativeHeight="252012548" behindDoc="1" locked="0" layoutInCell="1" allowOverlap="1" wp14:anchorId="4A4281FE" wp14:editId="2B6557E5">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52863071"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B536C6">
        <w:rPr>
          <w:b/>
          <w:bCs/>
          <w:i/>
          <w:iCs/>
        </w:rPr>
        <w:t>Workflow Insight</w:t>
      </w:r>
      <w:r w:rsidR="00B536C6" w:rsidRPr="00B536C6">
        <w:rPr>
          <w:i/>
          <w:iCs/>
        </w:rPr>
        <w:t xml:space="preserve">: </w:t>
      </w:r>
      <w:r w:rsidR="009473AD" w:rsidRPr="00B536C6">
        <w:rPr>
          <w:i/>
          <w:iCs/>
        </w:rPr>
        <w:t>While only a single code may be selected per procedure button, Dentrix Enterprise eliminates the need for unique buttons for like-procedures by automatically applying an alternate procedure code through a “smart-code” feature, called procedure flags.  Procedure flags are assigned in Procedure Code Setup and control the automatic application (change) of a procedure code depending on the number of surfaces, tooth location</w:t>
      </w:r>
      <w:r w:rsidR="00B536C6" w:rsidRPr="00B536C6">
        <w:rPr>
          <w:i/>
          <w:iCs/>
        </w:rPr>
        <w:t>,</w:t>
      </w:r>
      <w:r w:rsidR="009473AD" w:rsidRPr="00B536C6">
        <w:rPr>
          <w:i/>
          <w:iCs/>
        </w:rPr>
        <w:t xml:space="preserve"> or roots present. For example, if you chart a one-surface amalgam (D2140) but select three surfaces, Dentrix Enterprise will automatically post the three-surface amalgam (D2160) procedure code.</w:t>
      </w:r>
    </w:p>
    <w:p w14:paraId="617EEF52" w14:textId="44A028E9" w:rsidR="009473AD" w:rsidRDefault="009473AD" w:rsidP="004F45B6">
      <w:pPr>
        <w:pStyle w:val="BodyText"/>
        <w:keepNext/>
        <w:keepLines/>
        <w:numPr>
          <w:ilvl w:val="0"/>
          <w:numId w:val="97"/>
        </w:numPr>
        <w:ind w:left="1080"/>
      </w:pPr>
      <w:r w:rsidRPr="00F763F6">
        <w:rPr>
          <w:b/>
          <w:bCs/>
        </w:rPr>
        <w:t>Select Tooltip Text</w:t>
      </w:r>
      <w:r>
        <w:t xml:space="preserve"> – This selection controls the tooltip </w:t>
      </w:r>
      <w:r w:rsidR="00762A6E">
        <w:t>that appears when you position your mouse pointer over the button i</w:t>
      </w:r>
      <w:r>
        <w:t>n Chart.</w:t>
      </w:r>
    </w:p>
    <w:p w14:paraId="5DB00217" w14:textId="69E9BEAF" w:rsidR="009473AD" w:rsidRPr="000D7FFC" w:rsidRDefault="00000B10" w:rsidP="000D7FFC">
      <w:pPr>
        <w:pStyle w:val="BodyText"/>
        <w:keepNext/>
        <w:keepLines/>
        <w:ind w:left="1080"/>
        <w:rPr>
          <w:i/>
          <w:iCs/>
        </w:rPr>
      </w:pPr>
      <w:r>
        <w:rPr>
          <w:noProof/>
        </w:rPr>
        <w:drawing>
          <wp:anchor distT="0" distB="0" distL="0" distR="91440" simplePos="0" relativeHeight="252014596" behindDoc="1" locked="0" layoutInCell="1" allowOverlap="1" wp14:anchorId="47453F40" wp14:editId="1BF4001C">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2013714969"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0D7FFC">
        <w:rPr>
          <w:b/>
          <w:bCs/>
          <w:i/>
          <w:iCs/>
        </w:rPr>
        <w:t>Workflow Insight</w:t>
      </w:r>
      <w:r w:rsidR="00762A6E" w:rsidRPr="000D7FFC">
        <w:rPr>
          <w:i/>
          <w:iCs/>
        </w:rPr>
        <w:t>:</w:t>
      </w:r>
      <w:r w:rsidR="009473AD" w:rsidRPr="000D7FFC">
        <w:rPr>
          <w:i/>
          <w:iCs/>
        </w:rPr>
        <w:t xml:space="preserve"> The tooltip assigned to a procedure button will have a direct impact on your team’s ability to easily identify which code is assigned to a particular procedure button.  Efficient code selection = efficient clinical data entry.</w:t>
      </w:r>
    </w:p>
    <w:p w14:paraId="5D46578E" w14:textId="3A0F0838" w:rsidR="009473AD" w:rsidRPr="00762A6E" w:rsidRDefault="0066566F" w:rsidP="00F763F6">
      <w:pPr>
        <w:pStyle w:val="BodyText"/>
        <w:ind w:left="1080"/>
        <w:rPr>
          <w:i/>
          <w:iCs/>
        </w:rPr>
      </w:pPr>
      <w:r>
        <w:rPr>
          <w:noProof/>
        </w:rPr>
        <w:drawing>
          <wp:anchor distT="0" distB="0" distL="0" distR="91440" simplePos="0" relativeHeight="251957252" behindDoc="1" locked="0" layoutInCell="1" allowOverlap="1" wp14:anchorId="6DBB1C24" wp14:editId="7AB4FF1F">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16845226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762A6E">
        <w:rPr>
          <w:b/>
          <w:bCs/>
          <w:i/>
          <w:iCs/>
        </w:rPr>
        <w:t>Operations Insight</w:t>
      </w:r>
      <w:r w:rsidR="00762A6E" w:rsidRPr="00762A6E">
        <w:rPr>
          <w:i/>
          <w:iCs/>
        </w:rPr>
        <w:t>:</w:t>
      </w:r>
      <w:r w:rsidR="009473AD" w:rsidRPr="00762A6E">
        <w:rPr>
          <w:i/>
          <w:iCs/>
        </w:rPr>
        <w:t xml:space="preserve"> </w:t>
      </w:r>
      <w:r w:rsidR="00762A6E">
        <w:rPr>
          <w:i/>
          <w:iCs/>
        </w:rPr>
        <w:t>You can select</w:t>
      </w:r>
      <w:r w:rsidR="009473AD" w:rsidRPr="00762A6E">
        <w:rPr>
          <w:i/>
          <w:iCs/>
        </w:rPr>
        <w:t xml:space="preserve"> </w:t>
      </w:r>
      <w:r w:rsidR="009473AD" w:rsidRPr="00762A6E">
        <w:rPr>
          <w:b/>
          <w:bCs/>
          <w:i/>
          <w:iCs/>
        </w:rPr>
        <w:t>Procedure Description</w:t>
      </w:r>
      <w:r w:rsidR="009473AD" w:rsidRPr="00762A6E">
        <w:rPr>
          <w:i/>
          <w:iCs/>
        </w:rPr>
        <w:t xml:space="preserve"> or </w:t>
      </w:r>
      <w:r w:rsidR="009473AD" w:rsidRPr="00762A6E">
        <w:rPr>
          <w:b/>
          <w:bCs/>
          <w:i/>
          <w:iCs/>
        </w:rPr>
        <w:t>Custom Text</w:t>
      </w:r>
      <w:r w:rsidR="009473AD" w:rsidRPr="00762A6E">
        <w:rPr>
          <w:i/>
          <w:iCs/>
        </w:rPr>
        <w:t xml:space="preserve">. </w:t>
      </w:r>
      <w:r w:rsidR="00762A6E" w:rsidRPr="00762A6E">
        <w:rPr>
          <w:i/>
          <w:iCs/>
        </w:rPr>
        <w:t xml:space="preserve">The </w:t>
      </w:r>
      <w:r w:rsidR="009473AD" w:rsidRPr="00762A6E">
        <w:rPr>
          <w:b/>
          <w:bCs/>
          <w:i/>
          <w:iCs/>
        </w:rPr>
        <w:t>Procedure Description</w:t>
      </w:r>
      <w:r w:rsidR="009473AD" w:rsidRPr="00762A6E">
        <w:rPr>
          <w:i/>
          <w:iCs/>
        </w:rPr>
        <w:t xml:space="preserve"> display</w:t>
      </w:r>
      <w:r w:rsidR="00762A6E" w:rsidRPr="00762A6E">
        <w:rPr>
          <w:i/>
          <w:iCs/>
        </w:rPr>
        <w:t>s</w:t>
      </w:r>
      <w:r w:rsidR="009473AD" w:rsidRPr="00762A6E">
        <w:rPr>
          <w:i/>
          <w:iCs/>
        </w:rPr>
        <w:t xml:space="preserve"> the code description as assigned within the Procedure Code Setup, </w:t>
      </w:r>
      <w:r w:rsidR="00762A6E" w:rsidRPr="00762A6E">
        <w:rPr>
          <w:i/>
          <w:iCs/>
        </w:rPr>
        <w:t>and</w:t>
      </w:r>
      <w:r w:rsidR="009473AD" w:rsidRPr="00762A6E">
        <w:rPr>
          <w:i/>
          <w:iCs/>
        </w:rPr>
        <w:t xml:space="preserve"> </w:t>
      </w:r>
      <w:r w:rsidR="009473AD" w:rsidRPr="00762A6E">
        <w:rPr>
          <w:b/>
          <w:bCs/>
          <w:i/>
          <w:iCs/>
        </w:rPr>
        <w:t>Custom Text</w:t>
      </w:r>
      <w:r w:rsidR="009473AD" w:rsidRPr="00762A6E">
        <w:rPr>
          <w:i/>
          <w:iCs/>
        </w:rPr>
        <w:t xml:space="preserve"> allows for unique identification based on naming conventions used by your organization.</w:t>
      </w:r>
    </w:p>
    <w:p w14:paraId="6E99C3C4" w14:textId="7592B207" w:rsidR="009473AD" w:rsidRDefault="009473AD" w:rsidP="004F45B6">
      <w:pPr>
        <w:pStyle w:val="BodyText"/>
        <w:numPr>
          <w:ilvl w:val="0"/>
          <w:numId w:val="97"/>
        </w:numPr>
        <w:ind w:left="1080"/>
      </w:pPr>
      <w:r w:rsidRPr="00F763F6">
        <w:rPr>
          <w:b/>
          <w:bCs/>
        </w:rPr>
        <w:t>Select Button Face</w:t>
      </w:r>
      <w:r>
        <w:t xml:space="preserve"> – The selection controls the image </w:t>
      </w:r>
      <w:r w:rsidR="00762A6E">
        <w:t xml:space="preserve">that is </w:t>
      </w:r>
      <w:r>
        <w:t>assigned to the button face of the procedure button.</w:t>
      </w:r>
    </w:p>
    <w:p w14:paraId="1BF82699" w14:textId="0CAC3702" w:rsidR="009473AD" w:rsidRPr="00762A6E" w:rsidRDefault="00000B10" w:rsidP="00F763F6">
      <w:pPr>
        <w:pStyle w:val="BodyText"/>
        <w:ind w:left="1080"/>
        <w:rPr>
          <w:i/>
          <w:iCs/>
        </w:rPr>
      </w:pPr>
      <w:r>
        <w:rPr>
          <w:noProof/>
        </w:rPr>
        <w:drawing>
          <wp:anchor distT="0" distB="0" distL="0" distR="91440" simplePos="0" relativeHeight="252016644" behindDoc="1" locked="0" layoutInCell="1" allowOverlap="1" wp14:anchorId="45C70D2F" wp14:editId="6150A10E">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02876055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762A6E">
        <w:rPr>
          <w:b/>
          <w:bCs/>
          <w:i/>
          <w:iCs/>
        </w:rPr>
        <w:t>Workflow Insigh</w:t>
      </w:r>
      <w:r w:rsidR="00762A6E" w:rsidRPr="00762A6E">
        <w:rPr>
          <w:b/>
          <w:bCs/>
          <w:i/>
          <w:iCs/>
        </w:rPr>
        <w:t>t</w:t>
      </w:r>
      <w:r w:rsidR="00762A6E" w:rsidRPr="00762A6E">
        <w:rPr>
          <w:i/>
          <w:iCs/>
        </w:rPr>
        <w:t>: Like</w:t>
      </w:r>
      <w:r w:rsidR="009473AD" w:rsidRPr="00762A6E">
        <w:rPr>
          <w:i/>
          <w:iCs/>
        </w:rPr>
        <w:t xml:space="preserve"> the </w:t>
      </w:r>
      <w:r w:rsidR="00762A6E" w:rsidRPr="00762A6E">
        <w:rPr>
          <w:i/>
          <w:iCs/>
        </w:rPr>
        <w:t>t</w:t>
      </w:r>
      <w:r w:rsidR="009473AD" w:rsidRPr="00762A6E">
        <w:rPr>
          <w:i/>
          <w:iCs/>
        </w:rPr>
        <w:t xml:space="preserve">ooltip </w:t>
      </w:r>
      <w:r w:rsidR="00762A6E" w:rsidRPr="00762A6E">
        <w:rPr>
          <w:i/>
          <w:iCs/>
        </w:rPr>
        <w:t>t</w:t>
      </w:r>
      <w:r w:rsidR="009473AD" w:rsidRPr="00762A6E">
        <w:rPr>
          <w:i/>
          <w:iCs/>
        </w:rPr>
        <w:t>ext, the strategic button face assignment to a procedure has an equal if not greater impact on your team’s ability to easily identify which code is assigned to a particular procedure button.</w:t>
      </w:r>
    </w:p>
    <w:p w14:paraId="4770C59A" w14:textId="669EFE60" w:rsidR="009473AD" w:rsidRPr="00762A6E" w:rsidRDefault="0066566F" w:rsidP="00F763F6">
      <w:pPr>
        <w:pStyle w:val="BodyText"/>
        <w:ind w:left="1080"/>
        <w:rPr>
          <w:i/>
          <w:iCs/>
        </w:rPr>
      </w:pPr>
      <w:r>
        <w:rPr>
          <w:noProof/>
        </w:rPr>
        <w:drawing>
          <wp:anchor distT="0" distB="0" distL="0" distR="91440" simplePos="0" relativeHeight="251959300" behindDoc="1" locked="0" layoutInCell="1" allowOverlap="1" wp14:anchorId="7C91A64D" wp14:editId="6D3F7BB0">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318101851"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762A6E">
        <w:rPr>
          <w:b/>
          <w:bCs/>
          <w:i/>
          <w:iCs/>
        </w:rPr>
        <w:t>Operations Insight</w:t>
      </w:r>
      <w:r w:rsidR="00762A6E" w:rsidRPr="00762A6E">
        <w:rPr>
          <w:i/>
          <w:iCs/>
        </w:rPr>
        <w:t>:</w:t>
      </w:r>
      <w:r w:rsidR="009473AD" w:rsidRPr="00762A6E">
        <w:rPr>
          <w:i/>
          <w:iCs/>
        </w:rPr>
        <w:t xml:space="preserve"> The strategic placement of buttons into procedure groups and </w:t>
      </w:r>
      <w:r w:rsidR="00762A6E" w:rsidRPr="00762A6E">
        <w:rPr>
          <w:i/>
          <w:iCs/>
        </w:rPr>
        <w:t xml:space="preserve">the </w:t>
      </w:r>
      <w:r w:rsidR="009473AD" w:rsidRPr="00762A6E">
        <w:rPr>
          <w:i/>
          <w:iCs/>
        </w:rPr>
        <w:t xml:space="preserve">organization of button images </w:t>
      </w:r>
      <w:r w:rsidR="00762A6E" w:rsidRPr="00762A6E">
        <w:rPr>
          <w:i/>
          <w:iCs/>
        </w:rPr>
        <w:t>to allow</w:t>
      </w:r>
      <w:r w:rsidR="009473AD" w:rsidRPr="00762A6E">
        <w:rPr>
          <w:i/>
          <w:iCs/>
        </w:rPr>
        <w:t xml:space="preserve"> for quick </w:t>
      </w:r>
      <w:r w:rsidR="00762A6E" w:rsidRPr="00762A6E">
        <w:rPr>
          <w:i/>
          <w:iCs/>
        </w:rPr>
        <w:t>identification</w:t>
      </w:r>
      <w:r w:rsidR="009473AD" w:rsidRPr="00762A6E">
        <w:rPr>
          <w:i/>
          <w:iCs/>
        </w:rPr>
        <w:t xml:space="preserve"> of a procedure will speed up data entry. Dentrix Enterprise provides 65 bitmap graphic images or the option to use code text. Code text displays the procedure code instead of an image and is often selected when a relevant image is not present</w:t>
      </w:r>
      <w:r w:rsidR="00762A6E" w:rsidRPr="00762A6E">
        <w:rPr>
          <w:i/>
          <w:iCs/>
        </w:rPr>
        <w:t xml:space="preserve">, </w:t>
      </w:r>
      <w:r w:rsidR="009473AD" w:rsidRPr="00762A6E">
        <w:rPr>
          <w:i/>
          <w:iCs/>
        </w:rPr>
        <w:t>when users are proficient with codes</w:t>
      </w:r>
      <w:r w:rsidR="00762A6E" w:rsidRPr="00762A6E">
        <w:rPr>
          <w:i/>
          <w:iCs/>
        </w:rPr>
        <w:t>,</w:t>
      </w:r>
      <w:r w:rsidR="009473AD" w:rsidRPr="00762A6E">
        <w:rPr>
          <w:i/>
          <w:iCs/>
        </w:rPr>
        <w:t xml:space="preserve"> or to drive faster identification of a code.</w:t>
      </w:r>
    </w:p>
    <w:p w14:paraId="4C5970D9" w14:textId="409A8E93" w:rsidR="009473AD" w:rsidRDefault="009473AD" w:rsidP="004F45B6">
      <w:pPr>
        <w:pStyle w:val="BodyText"/>
        <w:numPr>
          <w:ilvl w:val="0"/>
          <w:numId w:val="97"/>
        </w:numPr>
        <w:ind w:left="1080"/>
      </w:pPr>
      <w:r w:rsidRPr="00F763F6">
        <w:rPr>
          <w:b/>
          <w:bCs/>
        </w:rPr>
        <w:t>Assign a Default Procedure Button Template to Users</w:t>
      </w:r>
      <w:r w:rsidR="003638EB">
        <w:t xml:space="preserve"> </w:t>
      </w:r>
      <w:r w:rsidR="00762A6E">
        <w:t>–</w:t>
      </w:r>
      <w:r w:rsidR="003638EB">
        <w:t xml:space="preserve"> </w:t>
      </w:r>
      <w:r>
        <w:t>Dentrix Enterprise allows for the</w:t>
      </w:r>
      <w:r w:rsidRPr="00E24F38">
        <w:t xml:space="preserve"> assign</w:t>
      </w:r>
      <w:r>
        <w:t>ment of</w:t>
      </w:r>
      <w:r w:rsidRPr="00E24F38">
        <w:t xml:space="preserve"> any procedure button template as the default for all users or </w:t>
      </w:r>
      <w:r w:rsidR="00762A6E">
        <w:t>as</w:t>
      </w:r>
      <w:r>
        <w:t xml:space="preserve"> the template </w:t>
      </w:r>
      <w:r w:rsidR="00762A6E">
        <w:t>for</w:t>
      </w:r>
      <w:r>
        <w:t xml:space="preserve"> </w:t>
      </w:r>
      <w:r w:rsidRPr="00E24F38">
        <w:t>specific users</w:t>
      </w:r>
      <w:r>
        <w:t>/user groups.</w:t>
      </w:r>
    </w:p>
    <w:p w14:paraId="453277D0" w14:textId="3BC275E3" w:rsidR="009473AD" w:rsidRPr="00762A6E" w:rsidRDefault="0066566F" w:rsidP="00F763F6">
      <w:pPr>
        <w:pStyle w:val="BodyText"/>
        <w:ind w:left="1080"/>
        <w:rPr>
          <w:i/>
          <w:iCs/>
        </w:rPr>
      </w:pPr>
      <w:r>
        <w:rPr>
          <w:noProof/>
        </w:rPr>
        <w:drawing>
          <wp:anchor distT="0" distB="0" distL="0" distR="91440" simplePos="0" relativeHeight="251961348" behindDoc="1" locked="0" layoutInCell="1" allowOverlap="1" wp14:anchorId="2E3158DD" wp14:editId="3778F477">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94675896"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762A6E">
        <w:rPr>
          <w:b/>
          <w:bCs/>
          <w:i/>
          <w:iCs/>
        </w:rPr>
        <w:t>Operations Insight</w:t>
      </w:r>
      <w:r w:rsidR="00762A6E" w:rsidRPr="00762A6E">
        <w:rPr>
          <w:i/>
          <w:iCs/>
        </w:rPr>
        <w:t>:</w:t>
      </w:r>
      <w:r w:rsidR="009473AD" w:rsidRPr="00762A6E">
        <w:rPr>
          <w:i/>
          <w:iCs/>
        </w:rPr>
        <w:t xml:space="preserve"> The procedure button template may be assigned to a user as a default or selected from Chart by the user when necessary. The customization of procedure button templates is commonly arranged by workstation, user, provider, specialty</w:t>
      </w:r>
      <w:r w:rsidR="00762A6E" w:rsidRPr="00762A6E">
        <w:rPr>
          <w:i/>
          <w:iCs/>
        </w:rPr>
        <w:t>, and</w:t>
      </w:r>
      <w:r w:rsidR="009473AD" w:rsidRPr="00762A6E">
        <w:rPr>
          <w:i/>
          <w:iCs/>
        </w:rPr>
        <w:t xml:space="preserve"> specific needs.</w:t>
      </w:r>
    </w:p>
    <w:p w14:paraId="60A3547D" w14:textId="7E77FA4B" w:rsidR="009473AD" w:rsidRPr="0084256E" w:rsidRDefault="009473AD" w:rsidP="004F45B6">
      <w:pPr>
        <w:pStyle w:val="BodyText"/>
        <w:numPr>
          <w:ilvl w:val="0"/>
          <w:numId w:val="97"/>
        </w:numPr>
        <w:ind w:left="540"/>
      </w:pPr>
      <w:r w:rsidRPr="00F763F6">
        <w:rPr>
          <w:b/>
        </w:rPr>
        <w:t>Procedure Categories</w:t>
      </w:r>
      <w:r w:rsidR="003638EB">
        <w:rPr>
          <w:bCs/>
        </w:rPr>
        <w:t xml:space="preserve"> </w:t>
      </w:r>
      <w:r w:rsidR="00762A6E">
        <w:rPr>
          <w:bCs/>
        </w:rPr>
        <w:t>–</w:t>
      </w:r>
      <w:r w:rsidR="003638EB">
        <w:rPr>
          <w:bCs/>
        </w:rPr>
        <w:t xml:space="preserve"> </w:t>
      </w:r>
      <w:r w:rsidRPr="559ADB64">
        <w:t xml:space="preserve">Dentrix Enterprise comes with the ADA categories and codes. </w:t>
      </w:r>
      <w:r w:rsidR="00762A6E">
        <w:t xml:space="preserve">You can define and rename </w:t>
      </w:r>
      <w:r w:rsidRPr="559ADB64">
        <w:t xml:space="preserve">the categories </w:t>
      </w:r>
      <w:r w:rsidR="00762A6E">
        <w:t>in the Practice Definitions, and you reassign procedure codes to different categories in the Procedure Code Setup. Categories allow</w:t>
      </w:r>
      <w:r w:rsidRPr="559ADB64">
        <w:t xml:space="preserve"> maximum efficiency in the clinical chart. You can select treatment to post from the procedure code category buttons.</w:t>
      </w:r>
    </w:p>
    <w:p w14:paraId="74ED1D24" w14:textId="5D85459A" w:rsidR="009473AD" w:rsidRPr="00E24F38" w:rsidRDefault="009473AD" w:rsidP="004F45B6">
      <w:pPr>
        <w:pStyle w:val="BodyText"/>
        <w:keepNext/>
        <w:keepLines/>
        <w:numPr>
          <w:ilvl w:val="0"/>
          <w:numId w:val="97"/>
        </w:numPr>
        <w:ind w:left="547"/>
      </w:pPr>
      <w:r w:rsidRPr="00F763F6">
        <w:rPr>
          <w:b/>
          <w:bCs/>
        </w:rPr>
        <w:lastRenderedPageBreak/>
        <w:t>Multi Codes</w:t>
      </w:r>
      <w:r w:rsidR="003638EB">
        <w:t xml:space="preserve"> </w:t>
      </w:r>
      <w:r w:rsidR="00762A6E">
        <w:t>–</w:t>
      </w:r>
      <w:r w:rsidR="003638EB">
        <w:t xml:space="preserve"> </w:t>
      </w:r>
      <w:r w:rsidRPr="559ADB64">
        <w:t>Multi-</w:t>
      </w:r>
      <w:r w:rsidR="00762A6E">
        <w:t>c</w:t>
      </w:r>
      <w:r w:rsidRPr="559ADB64">
        <w:t xml:space="preserve">odes are a combination of codes </w:t>
      </w:r>
      <w:r w:rsidR="00762A6E">
        <w:t>that</w:t>
      </w:r>
      <w:r w:rsidRPr="559ADB64">
        <w:t xml:space="preserve"> make charting</w:t>
      </w:r>
      <w:r w:rsidR="00762A6E">
        <w:t xml:space="preserve"> or </w:t>
      </w:r>
      <w:r w:rsidRPr="559ADB64">
        <w:t xml:space="preserve">posting fast and efficient. </w:t>
      </w:r>
      <w:r w:rsidR="00762A6E">
        <w:t>You can use m</w:t>
      </w:r>
      <w:r w:rsidRPr="559ADB64">
        <w:t>ulti</w:t>
      </w:r>
      <w:r w:rsidR="00762A6E">
        <w:t>-</w:t>
      </w:r>
      <w:r w:rsidRPr="559ADB64">
        <w:t xml:space="preserve">codes for services rendered as well as treatment plans. </w:t>
      </w:r>
      <w:r w:rsidR="00D27223">
        <w:t>To add a procedure</w:t>
      </w:r>
      <w:r w:rsidRPr="559ADB64">
        <w:t xml:space="preserve"> code </w:t>
      </w:r>
      <w:r w:rsidR="00D27223">
        <w:t>to a multi-code, the procedure code must already exist in the system.</w:t>
      </w:r>
    </w:p>
    <w:p w14:paraId="2CAF2297" w14:textId="3B414EFE" w:rsidR="009473AD" w:rsidRPr="00D27223" w:rsidRDefault="0066566F" w:rsidP="00F763F6">
      <w:pPr>
        <w:pStyle w:val="BodyText"/>
        <w:ind w:left="540"/>
        <w:rPr>
          <w:i/>
          <w:iCs/>
        </w:rPr>
      </w:pPr>
      <w:r>
        <w:rPr>
          <w:noProof/>
        </w:rPr>
        <w:drawing>
          <wp:anchor distT="0" distB="0" distL="0" distR="91440" simplePos="0" relativeHeight="251963396" behindDoc="1" locked="0" layoutInCell="1" allowOverlap="1" wp14:anchorId="5380328D" wp14:editId="364757DE">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17179122"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27223">
        <w:rPr>
          <w:b/>
          <w:bCs/>
          <w:i/>
          <w:iCs/>
        </w:rPr>
        <w:t xml:space="preserve">Operations </w:t>
      </w:r>
      <w:r w:rsidR="00D27223" w:rsidRPr="00D27223">
        <w:rPr>
          <w:b/>
          <w:bCs/>
          <w:i/>
          <w:iCs/>
        </w:rPr>
        <w:t>I</w:t>
      </w:r>
      <w:r w:rsidR="009473AD" w:rsidRPr="00D27223">
        <w:rPr>
          <w:b/>
          <w:bCs/>
          <w:i/>
          <w:iCs/>
        </w:rPr>
        <w:t>nsight</w:t>
      </w:r>
      <w:r w:rsidR="00D27223" w:rsidRPr="00D27223">
        <w:rPr>
          <w:i/>
          <w:iCs/>
        </w:rPr>
        <w:t>:</w:t>
      </w:r>
      <w:r w:rsidR="009473AD" w:rsidRPr="00D27223">
        <w:rPr>
          <w:i/>
          <w:iCs/>
        </w:rPr>
        <w:t xml:space="preserve"> A multi-code may consist of one or more procedures that require additional treatment information to be entered, such as a tooth number. Multi-codes that require additional information </w:t>
      </w:r>
      <w:r w:rsidR="00D27223" w:rsidRPr="00D27223">
        <w:rPr>
          <w:i/>
          <w:iCs/>
        </w:rPr>
        <w:t>are</w:t>
      </w:r>
      <w:r w:rsidR="009473AD" w:rsidRPr="00D27223">
        <w:rPr>
          <w:i/>
          <w:iCs/>
        </w:rPr>
        <w:t xml:space="preserve"> flagged with an asterisk (*) in the list. The additional information must be supplied when </w:t>
      </w:r>
      <w:r w:rsidR="00D27223" w:rsidRPr="00D27223">
        <w:rPr>
          <w:i/>
          <w:iCs/>
        </w:rPr>
        <w:t>you post</w:t>
      </w:r>
      <w:r w:rsidR="009473AD" w:rsidRPr="00D27223">
        <w:rPr>
          <w:i/>
          <w:iCs/>
        </w:rPr>
        <w:t xml:space="preserve"> the multi-code. A single multi</w:t>
      </w:r>
      <w:r w:rsidR="00D27223" w:rsidRPr="00D27223">
        <w:rPr>
          <w:i/>
          <w:iCs/>
        </w:rPr>
        <w:t>-</w:t>
      </w:r>
      <w:r w:rsidR="009473AD" w:rsidRPr="00D27223">
        <w:rPr>
          <w:i/>
          <w:iCs/>
        </w:rPr>
        <w:t xml:space="preserve">code can have up to </w:t>
      </w:r>
      <w:r w:rsidR="00D27223" w:rsidRPr="00D27223">
        <w:rPr>
          <w:i/>
          <w:iCs/>
        </w:rPr>
        <w:t>eight procedure codes</w:t>
      </w:r>
      <w:r w:rsidR="009473AD" w:rsidRPr="00D27223">
        <w:rPr>
          <w:i/>
          <w:iCs/>
        </w:rPr>
        <w:t xml:space="preserve">, </w:t>
      </w:r>
      <w:r w:rsidR="00D27223" w:rsidRPr="00D27223">
        <w:rPr>
          <w:i/>
          <w:iCs/>
        </w:rPr>
        <w:t xml:space="preserve">and </w:t>
      </w:r>
      <w:r w:rsidR="009473AD" w:rsidRPr="00D27223">
        <w:rPr>
          <w:i/>
          <w:iCs/>
        </w:rPr>
        <w:t xml:space="preserve">you can </w:t>
      </w:r>
      <w:r w:rsidR="00D27223" w:rsidRPr="00D27223">
        <w:rPr>
          <w:i/>
          <w:iCs/>
        </w:rPr>
        <w:t xml:space="preserve">combine </w:t>
      </w:r>
      <w:r w:rsidR="009473AD" w:rsidRPr="00D27223">
        <w:rPr>
          <w:i/>
          <w:iCs/>
        </w:rPr>
        <w:t>multiple multi-codes together.</w:t>
      </w:r>
    </w:p>
    <w:p w14:paraId="67373643" w14:textId="6A8ACFA5" w:rsidR="009473AD" w:rsidRPr="00F763F6" w:rsidRDefault="009473AD" w:rsidP="004F45B6">
      <w:pPr>
        <w:pStyle w:val="BodyText"/>
        <w:keepNext/>
        <w:keepLines/>
        <w:numPr>
          <w:ilvl w:val="0"/>
          <w:numId w:val="97"/>
        </w:numPr>
        <w:ind w:left="540"/>
      </w:pPr>
      <w:r w:rsidRPr="00F763F6">
        <w:rPr>
          <w:b/>
          <w:bCs/>
        </w:rPr>
        <w:t>Chart colors</w:t>
      </w:r>
      <w:r w:rsidR="003638EB">
        <w:t xml:space="preserve"> </w:t>
      </w:r>
      <w:r w:rsidR="00D27223">
        <w:t>–</w:t>
      </w:r>
      <w:r w:rsidR="003638EB">
        <w:t xml:space="preserve"> </w:t>
      </w:r>
      <w:r w:rsidRPr="559ADB64">
        <w:t>See at a glance what work is existing, completed</w:t>
      </w:r>
      <w:r w:rsidR="00D27223">
        <w:t>,</w:t>
      </w:r>
      <w:r w:rsidRPr="559ADB64">
        <w:t xml:space="preserve"> or </w:t>
      </w:r>
      <w:r w:rsidR="00D27223">
        <w:t>needed</w:t>
      </w:r>
      <w:r w:rsidRPr="559ADB64">
        <w:t xml:space="preserve"> by assigning colors</w:t>
      </w:r>
      <w:r w:rsidR="00D27223">
        <w:t xml:space="preserve"> to statuses</w:t>
      </w:r>
      <w:r w:rsidRPr="559ADB64">
        <w:t>.</w:t>
      </w:r>
      <w:r w:rsidR="0084256E">
        <w:t xml:space="preserve"> </w:t>
      </w:r>
      <w:r w:rsidRPr="00215157">
        <w:t>Set up the following options for the graphical chart and progress notes:</w:t>
      </w:r>
    </w:p>
    <w:p w14:paraId="4C29A578" w14:textId="130A4610" w:rsidR="009473AD" w:rsidRPr="003638EB" w:rsidRDefault="009473AD" w:rsidP="004F45B6">
      <w:pPr>
        <w:pStyle w:val="BodyText"/>
        <w:keepNext/>
        <w:keepLines/>
        <w:numPr>
          <w:ilvl w:val="1"/>
          <w:numId w:val="98"/>
        </w:numPr>
        <w:ind w:left="1080"/>
      </w:pPr>
      <w:r w:rsidRPr="00F763F6">
        <w:rPr>
          <w:b/>
          <w:bCs/>
        </w:rPr>
        <w:t>Paint Colors</w:t>
      </w:r>
      <w:r w:rsidRPr="003638EB">
        <w:t xml:space="preserve"> - Each treatment status (Treatment Plan, Completed Work, Existing, Existing Other, and Conditions/Diagnoses) can be assigned a unique color. This color will be used to color code charting symbols in the graphical chart. As you select a color, the color change is not immediately visible in Chart; you must click </w:t>
      </w:r>
      <w:r w:rsidRPr="00D27223">
        <w:rPr>
          <w:b/>
          <w:bCs/>
        </w:rPr>
        <w:t>OK</w:t>
      </w:r>
      <w:r w:rsidRPr="003638EB">
        <w:t xml:space="preserve"> to see the change.</w:t>
      </w:r>
    </w:p>
    <w:p w14:paraId="74BDD378" w14:textId="35C9CB69" w:rsidR="009473AD" w:rsidRPr="00D27223" w:rsidRDefault="0066566F" w:rsidP="00F763F6">
      <w:pPr>
        <w:pStyle w:val="BodyText"/>
        <w:ind w:left="1080"/>
        <w:rPr>
          <w:i/>
          <w:iCs/>
        </w:rPr>
      </w:pPr>
      <w:r>
        <w:rPr>
          <w:noProof/>
        </w:rPr>
        <w:drawing>
          <wp:anchor distT="0" distB="0" distL="0" distR="91440" simplePos="0" relativeHeight="251965444" behindDoc="1" locked="0" layoutInCell="1" allowOverlap="1" wp14:anchorId="198D46E7" wp14:editId="6A02A2EF">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844384284"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27223">
        <w:rPr>
          <w:b/>
          <w:bCs/>
          <w:i/>
          <w:iCs/>
        </w:rPr>
        <w:t xml:space="preserve">Operations </w:t>
      </w:r>
      <w:r w:rsidR="00D27223" w:rsidRPr="00D27223">
        <w:rPr>
          <w:b/>
          <w:bCs/>
          <w:i/>
          <w:iCs/>
        </w:rPr>
        <w:t>I</w:t>
      </w:r>
      <w:r w:rsidR="009473AD" w:rsidRPr="00D27223">
        <w:rPr>
          <w:b/>
          <w:bCs/>
          <w:i/>
          <w:iCs/>
        </w:rPr>
        <w:t>nsight</w:t>
      </w:r>
      <w:r w:rsidR="00D27223" w:rsidRPr="00D27223">
        <w:rPr>
          <w:i/>
          <w:iCs/>
        </w:rPr>
        <w:t>:</w:t>
      </w:r>
      <w:r w:rsidR="009473AD" w:rsidRPr="00D27223">
        <w:rPr>
          <w:i/>
          <w:iCs/>
        </w:rPr>
        <w:t xml:space="preserve"> By default, Chart displays all progress notes in black. If you want items on the Progress Notes panel to be displayed in the status color, select </w:t>
      </w:r>
      <w:r w:rsidR="009473AD" w:rsidRPr="00D27223">
        <w:rPr>
          <w:b/>
          <w:bCs/>
          <w:i/>
          <w:iCs/>
        </w:rPr>
        <w:t>Use colors for progress notes</w:t>
      </w:r>
      <w:r w:rsidR="009473AD" w:rsidRPr="00D27223">
        <w:rPr>
          <w:i/>
          <w:iCs/>
        </w:rPr>
        <w:t>.</w:t>
      </w:r>
    </w:p>
    <w:p w14:paraId="31668B7F" w14:textId="02D6F4A5" w:rsidR="009473AD" w:rsidRPr="003638EB" w:rsidRDefault="009473AD" w:rsidP="004F45B6">
      <w:pPr>
        <w:pStyle w:val="BodyText"/>
        <w:numPr>
          <w:ilvl w:val="1"/>
          <w:numId w:val="98"/>
        </w:numPr>
        <w:ind w:left="1080"/>
      </w:pPr>
      <w:r w:rsidRPr="00F763F6">
        <w:rPr>
          <w:b/>
          <w:bCs/>
        </w:rPr>
        <w:t>Screen Colors</w:t>
      </w:r>
      <w:r w:rsidRPr="003638EB">
        <w:t xml:space="preserve"> </w:t>
      </w:r>
      <w:r w:rsidR="00D27223">
        <w:t>–</w:t>
      </w:r>
      <w:r w:rsidRPr="003638EB">
        <w:t xml:space="preserve"> You can select the colors you want to use for the </w:t>
      </w:r>
      <w:r w:rsidRPr="00D27223">
        <w:rPr>
          <w:b/>
          <w:bCs/>
        </w:rPr>
        <w:t>Screen Background</w:t>
      </w:r>
      <w:r w:rsidRPr="003638EB">
        <w:t xml:space="preserve"> and </w:t>
      </w:r>
      <w:r w:rsidRPr="00D27223">
        <w:rPr>
          <w:b/>
          <w:bCs/>
        </w:rPr>
        <w:t>Screen Gingiva</w:t>
      </w:r>
      <w:r w:rsidRPr="003638EB">
        <w:t xml:space="preserve"> in the graphical chart. As you select a color, the color change is not immediately visible in Chart; you must click </w:t>
      </w:r>
      <w:r w:rsidRPr="00D27223">
        <w:rPr>
          <w:b/>
          <w:bCs/>
        </w:rPr>
        <w:t>OK</w:t>
      </w:r>
      <w:r w:rsidRPr="003638EB">
        <w:t xml:space="preserve"> to see the change.</w:t>
      </w:r>
    </w:p>
    <w:p w14:paraId="6044570C" w14:textId="32D2E155" w:rsidR="009473AD" w:rsidRPr="00D27223" w:rsidRDefault="0066566F" w:rsidP="00F763F6">
      <w:pPr>
        <w:pStyle w:val="BodyText"/>
        <w:ind w:left="1080"/>
        <w:rPr>
          <w:i/>
          <w:iCs/>
        </w:rPr>
      </w:pPr>
      <w:r>
        <w:rPr>
          <w:noProof/>
        </w:rPr>
        <w:drawing>
          <wp:anchor distT="0" distB="0" distL="0" distR="91440" simplePos="0" relativeHeight="251967492" behindDoc="1" locked="0" layoutInCell="1" allowOverlap="1" wp14:anchorId="5F1B3C6A" wp14:editId="02318903">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18797957"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D27223">
        <w:rPr>
          <w:b/>
          <w:bCs/>
          <w:i/>
          <w:iCs/>
        </w:rPr>
        <w:t>Operations</w:t>
      </w:r>
      <w:r w:rsidR="00D27223" w:rsidRPr="00D27223">
        <w:rPr>
          <w:b/>
          <w:bCs/>
          <w:i/>
          <w:iCs/>
        </w:rPr>
        <w:t xml:space="preserve"> In</w:t>
      </w:r>
      <w:r w:rsidR="009473AD" w:rsidRPr="00D27223">
        <w:rPr>
          <w:b/>
          <w:bCs/>
          <w:i/>
          <w:iCs/>
        </w:rPr>
        <w:t>sight</w:t>
      </w:r>
      <w:r w:rsidR="00D27223" w:rsidRPr="00D27223">
        <w:rPr>
          <w:i/>
          <w:iCs/>
        </w:rPr>
        <w:t>:</w:t>
      </w:r>
      <w:r w:rsidR="009473AD" w:rsidRPr="00D27223">
        <w:rPr>
          <w:i/>
          <w:iCs/>
        </w:rPr>
        <w:t xml:space="preserve"> Chart colors are workstation-specific, meaning that different computers on the network can have their own colors. Also, the changes applied to a workstation will remain in effect even after Chart is closed and reopened. </w:t>
      </w:r>
      <w:r w:rsidR="00D27223" w:rsidRPr="00D27223">
        <w:rPr>
          <w:i/>
          <w:iCs/>
        </w:rPr>
        <w:t>Refer to the appendix that identifies all workstation-specific settings.</w:t>
      </w:r>
    </w:p>
    <w:p w14:paraId="12B9A77D" w14:textId="227C562B" w:rsidR="009473AD" w:rsidRPr="003638EB" w:rsidRDefault="009473AD" w:rsidP="004F45B6">
      <w:pPr>
        <w:pStyle w:val="BodyText"/>
        <w:numPr>
          <w:ilvl w:val="0"/>
          <w:numId w:val="97"/>
        </w:numPr>
        <w:ind w:left="540"/>
      </w:pPr>
      <w:r w:rsidRPr="00F763F6">
        <w:rPr>
          <w:b/>
          <w:bCs/>
        </w:rPr>
        <w:t>Views</w:t>
      </w:r>
      <w:r w:rsidR="003638EB">
        <w:t xml:space="preserve"> </w:t>
      </w:r>
      <w:r w:rsidR="00D27223">
        <w:t>–</w:t>
      </w:r>
      <w:r w:rsidR="003638EB">
        <w:t xml:space="preserve"> </w:t>
      </w:r>
      <w:r w:rsidRPr="00E24F38">
        <w:t xml:space="preserve">When a condition or diagnosis is corrected or no longer exists, you can choose to invalidate the condition instead of deleting it to preserve a history of the condition or diagnosis. You can specify if you want invalidated conditions and diagnoses to </w:t>
      </w:r>
      <w:r w:rsidR="00D27223">
        <w:t>appear</w:t>
      </w:r>
      <w:r w:rsidRPr="00E24F38">
        <w:t xml:space="preserve"> in the progress notes.</w:t>
      </w:r>
    </w:p>
    <w:p w14:paraId="775B33F5" w14:textId="77777777" w:rsidR="009473AD" w:rsidRPr="00215157" w:rsidRDefault="009473AD" w:rsidP="00F763F6">
      <w:pPr>
        <w:pStyle w:val="BodyText"/>
        <w:ind w:left="540"/>
      </w:pPr>
      <w:r w:rsidRPr="00215157">
        <w:t>Select one of the following options:</w:t>
      </w:r>
    </w:p>
    <w:p w14:paraId="00E53E23" w14:textId="24BB5664" w:rsidR="009473AD" w:rsidRPr="00215157" w:rsidRDefault="009473AD" w:rsidP="004F45B6">
      <w:pPr>
        <w:pStyle w:val="BodyText"/>
        <w:numPr>
          <w:ilvl w:val="1"/>
          <w:numId w:val="99"/>
        </w:numPr>
        <w:ind w:left="1080"/>
      </w:pPr>
      <w:r w:rsidRPr="00F763F6">
        <w:rPr>
          <w:b/>
          <w:bCs/>
        </w:rPr>
        <w:t>View Existing</w:t>
      </w:r>
      <w:r w:rsidRPr="00215157">
        <w:t xml:space="preserve"> </w:t>
      </w:r>
      <w:r w:rsidR="00D27223">
        <w:t>–</w:t>
      </w:r>
      <w:r w:rsidRPr="00215157">
        <w:t xml:space="preserve"> To display invalidated diagnoses when the </w:t>
      </w:r>
      <w:r w:rsidRPr="00D27223">
        <w:rPr>
          <w:b/>
          <w:bCs/>
        </w:rPr>
        <w:t>Existing</w:t>
      </w:r>
      <w:r w:rsidRPr="00215157">
        <w:t xml:space="preserve"> view option is selected.</w:t>
      </w:r>
    </w:p>
    <w:p w14:paraId="758D6934" w14:textId="03E74559" w:rsidR="009473AD" w:rsidRPr="00215157" w:rsidRDefault="009473AD" w:rsidP="004F45B6">
      <w:pPr>
        <w:pStyle w:val="BodyText"/>
        <w:numPr>
          <w:ilvl w:val="1"/>
          <w:numId w:val="99"/>
        </w:numPr>
        <w:ind w:left="1080"/>
      </w:pPr>
      <w:r w:rsidRPr="00F763F6">
        <w:rPr>
          <w:b/>
          <w:bCs/>
        </w:rPr>
        <w:t>View Conditions</w:t>
      </w:r>
      <w:r w:rsidRPr="00215157">
        <w:t xml:space="preserve"> </w:t>
      </w:r>
      <w:r w:rsidR="00D27223">
        <w:t>–</w:t>
      </w:r>
      <w:r w:rsidRPr="00215157">
        <w:t xml:space="preserve"> To display invalidated conditions when the </w:t>
      </w:r>
      <w:r w:rsidRPr="00D27223">
        <w:rPr>
          <w:b/>
          <w:bCs/>
        </w:rPr>
        <w:t>Conditions</w:t>
      </w:r>
      <w:r w:rsidRPr="00215157">
        <w:t xml:space="preserve"> view option is selected.</w:t>
      </w:r>
    </w:p>
    <w:p w14:paraId="0E3069C2" w14:textId="4FC2E14F" w:rsidR="009473AD" w:rsidRPr="0084256E" w:rsidRDefault="009473AD" w:rsidP="004F45B6">
      <w:pPr>
        <w:pStyle w:val="BodyText"/>
        <w:numPr>
          <w:ilvl w:val="1"/>
          <w:numId w:val="99"/>
        </w:numPr>
        <w:ind w:left="1080"/>
      </w:pPr>
      <w:r w:rsidRPr="00F763F6">
        <w:rPr>
          <w:b/>
          <w:bCs/>
        </w:rPr>
        <w:t>Do not display Invalidated Conditions/Diagnoses</w:t>
      </w:r>
      <w:r w:rsidRPr="00215157">
        <w:t xml:space="preserve"> </w:t>
      </w:r>
      <w:r w:rsidR="00D27223">
        <w:t>–</w:t>
      </w:r>
      <w:r w:rsidRPr="00215157">
        <w:t xml:space="preserve"> To hide invalidated conditions and diagnoses from your view in the progress notes, regardless of the selected view options.</w:t>
      </w:r>
    </w:p>
    <w:p w14:paraId="7CADB383" w14:textId="77777777" w:rsidR="0084256E" w:rsidRDefault="009473AD" w:rsidP="00E92EA5">
      <w:pPr>
        <w:pStyle w:val="Heading4"/>
      </w:pPr>
      <w:r w:rsidRPr="00E24F38">
        <w:t>Clinical Notes</w:t>
      </w:r>
    </w:p>
    <w:p w14:paraId="7255E016" w14:textId="09B61D59" w:rsidR="009473AD" w:rsidRDefault="009473AD" w:rsidP="0084256E">
      <w:pPr>
        <w:pStyle w:val="BodyText"/>
      </w:pPr>
      <w:r w:rsidRPr="00E24F38">
        <w:t>Using a clinical note template as a guide, you can quickly and accurately document a patient's visit with minimal typing or editing. Templates are grouped by category. Also, each template can have any number of prompts, which are messages that prompt you to enter responses to user-defined questions.</w:t>
      </w:r>
    </w:p>
    <w:p w14:paraId="2A9096B5" w14:textId="2A2CC2FC" w:rsidR="00756A9E" w:rsidRPr="00E24F38" w:rsidRDefault="00756A9E" w:rsidP="0084256E">
      <w:pPr>
        <w:pStyle w:val="BodyText"/>
      </w:pPr>
      <w:r>
        <w:t>Templates r</w:t>
      </w:r>
      <w:r w:rsidRPr="00F763F6">
        <w:t xml:space="preserve">egulate </w:t>
      </w:r>
      <w:r>
        <w:t>c</w:t>
      </w:r>
      <w:r w:rsidRPr="00F763F6">
        <w:t xml:space="preserve">linical documentation with </w:t>
      </w:r>
      <w:r>
        <w:t xml:space="preserve">a defined </w:t>
      </w:r>
      <w:r w:rsidRPr="00F763F6">
        <w:t>question and answer</w:t>
      </w:r>
      <w:r>
        <w:t xml:space="preserve"> format</w:t>
      </w:r>
      <w:r w:rsidRPr="00F763F6">
        <w:t>. Templates will guide the user and encourages comprehensive documentation of a patients</w:t>
      </w:r>
      <w:r>
        <w:t>’</w:t>
      </w:r>
      <w:r w:rsidRPr="00F763F6">
        <w:t xml:space="preserve"> visit</w:t>
      </w:r>
      <w:r>
        <w:t>s</w:t>
      </w:r>
      <w:r w:rsidRPr="00F763F6">
        <w:t>.</w:t>
      </w:r>
    </w:p>
    <w:p w14:paraId="23EA3062" w14:textId="5CB11032" w:rsidR="009473AD" w:rsidRPr="00F763F6" w:rsidRDefault="009473AD" w:rsidP="004F45B6">
      <w:pPr>
        <w:pStyle w:val="BodyText"/>
        <w:keepNext/>
        <w:keepLines/>
        <w:numPr>
          <w:ilvl w:val="0"/>
          <w:numId w:val="100"/>
        </w:numPr>
        <w:ind w:left="540"/>
      </w:pPr>
      <w:r w:rsidRPr="00F763F6">
        <w:rPr>
          <w:b/>
          <w:bCs/>
        </w:rPr>
        <w:lastRenderedPageBreak/>
        <w:t xml:space="preserve">Clinical </w:t>
      </w:r>
      <w:r w:rsidR="00D27223">
        <w:rPr>
          <w:b/>
          <w:bCs/>
        </w:rPr>
        <w:t>n</w:t>
      </w:r>
      <w:r w:rsidRPr="00F763F6">
        <w:rPr>
          <w:b/>
          <w:bCs/>
        </w:rPr>
        <w:t xml:space="preserve">ote </w:t>
      </w:r>
      <w:r w:rsidR="00D27223">
        <w:rPr>
          <w:b/>
          <w:bCs/>
        </w:rPr>
        <w:t>c</w:t>
      </w:r>
      <w:r w:rsidRPr="00F763F6">
        <w:rPr>
          <w:b/>
          <w:bCs/>
        </w:rPr>
        <w:t>ategories</w:t>
      </w:r>
      <w:r w:rsidR="00D27223">
        <w:t xml:space="preserve"> – To o</w:t>
      </w:r>
      <w:r w:rsidRPr="00F763F6">
        <w:t xml:space="preserve">rganize </w:t>
      </w:r>
      <w:r w:rsidR="00D27223">
        <w:t>c</w:t>
      </w:r>
      <w:r w:rsidRPr="00F763F6">
        <w:t xml:space="preserve">linical </w:t>
      </w:r>
      <w:r w:rsidR="00D27223">
        <w:t>n</w:t>
      </w:r>
      <w:r w:rsidRPr="00F763F6">
        <w:t xml:space="preserve">ote </w:t>
      </w:r>
      <w:r w:rsidR="00D27223">
        <w:t>t</w:t>
      </w:r>
      <w:r w:rsidRPr="00F763F6">
        <w:t>emplates</w:t>
      </w:r>
      <w:r w:rsidR="00D27223">
        <w:t>, do the following:</w:t>
      </w:r>
    </w:p>
    <w:p w14:paraId="6A4EE4D5" w14:textId="37B9C802" w:rsidR="009473AD" w:rsidRDefault="009473AD" w:rsidP="004F45B6">
      <w:pPr>
        <w:pStyle w:val="BodyText"/>
        <w:keepNext/>
        <w:keepLines/>
        <w:numPr>
          <w:ilvl w:val="0"/>
          <w:numId w:val="103"/>
        </w:numPr>
      </w:pPr>
      <w:r w:rsidRPr="00F763F6">
        <w:t xml:space="preserve">Click </w:t>
      </w:r>
      <w:r w:rsidRPr="00D27223">
        <w:rPr>
          <w:b/>
          <w:bCs/>
        </w:rPr>
        <w:t>Category Setup</w:t>
      </w:r>
      <w:r w:rsidRPr="00F763F6">
        <w:t>.</w:t>
      </w:r>
    </w:p>
    <w:p w14:paraId="6D3AD681" w14:textId="34312C56" w:rsidR="00F763F6" w:rsidRPr="00F763F6" w:rsidRDefault="00F763F6" w:rsidP="004F45B6">
      <w:pPr>
        <w:pStyle w:val="BodyText"/>
        <w:keepNext/>
        <w:keepLines/>
        <w:numPr>
          <w:ilvl w:val="0"/>
          <w:numId w:val="103"/>
        </w:numPr>
      </w:pPr>
      <w:r>
        <w:t xml:space="preserve">Do </w:t>
      </w:r>
      <w:r w:rsidRPr="00F763F6">
        <w:t>the following</w:t>
      </w:r>
      <w:r>
        <w:t>:</w:t>
      </w:r>
    </w:p>
    <w:p w14:paraId="6FADB949" w14:textId="5781ED6F" w:rsidR="009473AD" w:rsidRPr="00F763F6" w:rsidRDefault="00D27223" w:rsidP="004F45B6">
      <w:pPr>
        <w:pStyle w:val="BodyText"/>
        <w:numPr>
          <w:ilvl w:val="2"/>
          <w:numId w:val="104"/>
        </w:numPr>
        <w:ind w:left="1620"/>
      </w:pPr>
      <w:r>
        <w:t xml:space="preserve">Click </w:t>
      </w:r>
      <w:r w:rsidR="009473AD" w:rsidRPr="00D27223">
        <w:rPr>
          <w:b/>
          <w:bCs/>
        </w:rPr>
        <w:t>New Category</w:t>
      </w:r>
      <w:r>
        <w:t>, and t</w:t>
      </w:r>
      <w:r w:rsidR="009473AD" w:rsidRPr="00F763F6">
        <w:t>ype the category name in the field</w:t>
      </w:r>
      <w:r>
        <w:t>.</w:t>
      </w:r>
    </w:p>
    <w:p w14:paraId="75C13B31" w14:textId="78C6679B" w:rsidR="009473AD" w:rsidRPr="00F763F6" w:rsidRDefault="00D27223" w:rsidP="004F45B6">
      <w:pPr>
        <w:pStyle w:val="BodyText"/>
        <w:numPr>
          <w:ilvl w:val="2"/>
          <w:numId w:val="104"/>
        </w:numPr>
        <w:ind w:left="1620"/>
      </w:pPr>
      <w:r>
        <w:t xml:space="preserve">Click </w:t>
      </w:r>
      <w:r w:rsidR="009473AD" w:rsidRPr="00D27223">
        <w:rPr>
          <w:b/>
          <w:bCs/>
        </w:rPr>
        <w:t>Move Up</w:t>
      </w:r>
      <w:r w:rsidR="009473AD" w:rsidRPr="00F763F6">
        <w:t xml:space="preserve"> or </w:t>
      </w:r>
      <w:r w:rsidRPr="00D27223">
        <w:rPr>
          <w:b/>
          <w:bCs/>
        </w:rPr>
        <w:t xml:space="preserve">Move </w:t>
      </w:r>
      <w:r w:rsidR="009473AD" w:rsidRPr="00D27223">
        <w:rPr>
          <w:b/>
          <w:bCs/>
        </w:rPr>
        <w:t>Down</w:t>
      </w:r>
      <w:r w:rsidR="009473AD" w:rsidRPr="00F763F6">
        <w:t xml:space="preserve"> </w:t>
      </w:r>
      <w:r>
        <w:t>t</w:t>
      </w:r>
      <w:r w:rsidR="009473AD" w:rsidRPr="00F763F6">
        <w:t>o change the order of the categories</w:t>
      </w:r>
      <w:r>
        <w:t>.</w:t>
      </w:r>
    </w:p>
    <w:p w14:paraId="1108D04C" w14:textId="67DBEACD" w:rsidR="009473AD" w:rsidRPr="00F763F6" w:rsidRDefault="009473AD" w:rsidP="004F45B6">
      <w:pPr>
        <w:pStyle w:val="BodyText"/>
        <w:keepNext/>
        <w:keepLines/>
        <w:numPr>
          <w:ilvl w:val="0"/>
          <w:numId w:val="100"/>
        </w:numPr>
        <w:ind w:left="540"/>
      </w:pPr>
      <w:r w:rsidRPr="00F763F6">
        <w:rPr>
          <w:b/>
          <w:bCs/>
        </w:rPr>
        <w:t>Clinical note prompts</w:t>
      </w:r>
      <w:r w:rsidRPr="00F763F6">
        <w:t xml:space="preserve"> </w:t>
      </w:r>
      <w:r w:rsidR="00D27223">
        <w:t>– To customize the q</w:t>
      </w:r>
      <w:r w:rsidRPr="00F763F6">
        <w:t>uestions and answers that aid in building the clinical note</w:t>
      </w:r>
      <w:r w:rsidR="00D27223">
        <w:t>, do the following:</w:t>
      </w:r>
    </w:p>
    <w:p w14:paraId="1A2BB314" w14:textId="7ACB9AC1" w:rsidR="009473AD" w:rsidRPr="00F763F6" w:rsidRDefault="00F763F6" w:rsidP="004F45B6">
      <w:pPr>
        <w:pStyle w:val="BodyText"/>
        <w:keepNext/>
        <w:keepLines/>
        <w:numPr>
          <w:ilvl w:val="0"/>
          <w:numId w:val="101"/>
        </w:numPr>
      </w:pPr>
      <w:r>
        <w:t xml:space="preserve">Click </w:t>
      </w:r>
      <w:r w:rsidR="009473AD" w:rsidRPr="00D27223">
        <w:rPr>
          <w:b/>
          <w:bCs/>
        </w:rPr>
        <w:t>Template Setup</w:t>
      </w:r>
      <w:r w:rsidR="00D27223">
        <w:t>.</w:t>
      </w:r>
    </w:p>
    <w:p w14:paraId="1981B3F9" w14:textId="77777777" w:rsidR="009473AD" w:rsidRPr="00F763F6" w:rsidRDefault="009473AD" w:rsidP="004F45B6">
      <w:pPr>
        <w:pStyle w:val="BodyText"/>
        <w:keepNext/>
        <w:keepLines/>
        <w:numPr>
          <w:ilvl w:val="0"/>
          <w:numId w:val="101"/>
        </w:numPr>
      </w:pPr>
      <w:r w:rsidRPr="00F763F6">
        <w:t>Set up the following options:</w:t>
      </w:r>
    </w:p>
    <w:p w14:paraId="1FE229A8" w14:textId="170C6B0D" w:rsidR="009473AD" w:rsidRPr="00F763F6" w:rsidRDefault="009473AD" w:rsidP="004F45B6">
      <w:pPr>
        <w:pStyle w:val="BodyText"/>
        <w:numPr>
          <w:ilvl w:val="1"/>
          <w:numId w:val="102"/>
        </w:numPr>
        <w:ind w:left="1620"/>
      </w:pPr>
      <w:r w:rsidRPr="00756A9E">
        <w:rPr>
          <w:b/>
          <w:bCs/>
        </w:rPr>
        <w:t>Prompt Name</w:t>
      </w:r>
      <w:r w:rsidRPr="00F763F6">
        <w:t xml:space="preserve"> </w:t>
      </w:r>
      <w:r w:rsidR="00D27223">
        <w:t>–</w:t>
      </w:r>
      <w:r w:rsidRPr="00F763F6">
        <w:t xml:space="preserve"> Type a name for the prompt. The name is used to identify the prompt in the list and clinical note text</w:t>
      </w:r>
      <w:r w:rsidR="00756A9E">
        <w:t xml:space="preserve">. When you are </w:t>
      </w:r>
      <w:r w:rsidRPr="00F763F6">
        <w:t>setting up the template, the prompt appears in the text where it has been inserted and is set off by a tilde (˜) before and after the name.</w:t>
      </w:r>
    </w:p>
    <w:p w14:paraId="4264CF79" w14:textId="1C9CC3A4" w:rsidR="009473AD" w:rsidRPr="00F763F6" w:rsidRDefault="009473AD" w:rsidP="004F45B6">
      <w:pPr>
        <w:pStyle w:val="BodyText"/>
        <w:numPr>
          <w:ilvl w:val="1"/>
          <w:numId w:val="102"/>
        </w:numPr>
        <w:ind w:left="1620"/>
      </w:pPr>
      <w:r w:rsidRPr="00756A9E">
        <w:rPr>
          <w:b/>
          <w:bCs/>
        </w:rPr>
        <w:t>Prompt Text</w:t>
      </w:r>
      <w:r w:rsidRPr="00F763F6">
        <w:t xml:space="preserve"> </w:t>
      </w:r>
      <w:r w:rsidR="00D27223">
        <w:t>–</w:t>
      </w:r>
      <w:r w:rsidRPr="00F763F6">
        <w:t xml:space="preserve"> Type the text to be associated with the prompt. When </w:t>
      </w:r>
      <w:r w:rsidR="00756A9E">
        <w:t xml:space="preserve">you are </w:t>
      </w:r>
      <w:r w:rsidRPr="00F763F6">
        <w:t>adding a clinical note using a template with this prompt, you will see this text, which can be a question or statement, when a message appears and prompts you to enter a response.</w:t>
      </w:r>
    </w:p>
    <w:p w14:paraId="0D579D68" w14:textId="6538DA90" w:rsidR="009473AD" w:rsidRPr="00F763F6" w:rsidRDefault="009473AD" w:rsidP="004F45B6">
      <w:pPr>
        <w:pStyle w:val="BodyText"/>
        <w:numPr>
          <w:ilvl w:val="1"/>
          <w:numId w:val="102"/>
        </w:numPr>
        <w:ind w:left="1620"/>
      </w:pPr>
      <w:r w:rsidRPr="00756A9E">
        <w:rPr>
          <w:b/>
          <w:bCs/>
        </w:rPr>
        <w:t xml:space="preserve">Response </w:t>
      </w:r>
      <w:r w:rsidR="00D27223" w:rsidRPr="00756A9E">
        <w:rPr>
          <w:b/>
          <w:bCs/>
        </w:rPr>
        <w:t>T</w:t>
      </w:r>
      <w:r w:rsidRPr="00756A9E">
        <w:rPr>
          <w:b/>
          <w:bCs/>
        </w:rPr>
        <w:t>ype</w:t>
      </w:r>
      <w:r w:rsidR="00D27223">
        <w:t xml:space="preserve"> – The response c</w:t>
      </w:r>
      <w:r w:rsidRPr="00F763F6">
        <w:t xml:space="preserve">an consist of </w:t>
      </w:r>
      <w:r w:rsidR="00D27223">
        <w:t xml:space="preserve">a </w:t>
      </w:r>
      <w:r w:rsidRPr="00F763F6">
        <w:t xml:space="preserve">confirmation only, one response from a list, check box responses, </w:t>
      </w:r>
      <w:r w:rsidR="00D27223">
        <w:t xml:space="preserve">a </w:t>
      </w:r>
      <w:r w:rsidRPr="00F763F6">
        <w:t xml:space="preserve">date, </w:t>
      </w:r>
      <w:r w:rsidR="00D27223">
        <w:t xml:space="preserve">a </w:t>
      </w:r>
      <w:r w:rsidRPr="00F763F6">
        <w:t>number/amount, text, select</w:t>
      </w:r>
      <w:r w:rsidR="00D27223">
        <w:t>ing a</w:t>
      </w:r>
      <w:r w:rsidRPr="00F763F6">
        <w:t xml:space="preserve"> tooth, </w:t>
      </w:r>
      <w:r w:rsidR="00756A9E">
        <w:t xml:space="preserve">selecting </w:t>
      </w:r>
      <w:r w:rsidRPr="00F763F6">
        <w:t xml:space="preserve">surfaces, </w:t>
      </w:r>
      <w:r w:rsidR="00756A9E">
        <w:t xml:space="preserve">selecting a </w:t>
      </w:r>
      <w:r w:rsidRPr="00F763F6">
        <w:t xml:space="preserve">quadrant, or </w:t>
      </w:r>
      <w:r w:rsidR="00756A9E">
        <w:t xml:space="preserve">selecting a </w:t>
      </w:r>
      <w:r w:rsidRPr="00F763F6">
        <w:t xml:space="preserve">sextant.  </w:t>
      </w:r>
    </w:p>
    <w:p w14:paraId="332F08EA" w14:textId="7BEC22E0" w:rsidR="009473AD" w:rsidRPr="00756A9E" w:rsidRDefault="00242545" w:rsidP="00F763F6">
      <w:pPr>
        <w:pStyle w:val="BodyText"/>
        <w:ind w:left="540"/>
        <w:rPr>
          <w:i/>
          <w:iCs/>
        </w:rPr>
      </w:pPr>
      <w:r>
        <w:rPr>
          <w:noProof/>
        </w:rPr>
        <w:drawing>
          <wp:anchor distT="0" distB="0" distL="0" distR="91440" simplePos="0" relativeHeight="252018692" behindDoc="1" locked="0" layoutInCell="1" allowOverlap="1" wp14:anchorId="2D02EEBA" wp14:editId="609E497D">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91596487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756A9E">
        <w:rPr>
          <w:b/>
          <w:bCs/>
          <w:i/>
          <w:iCs/>
        </w:rPr>
        <w:t>Workflow</w:t>
      </w:r>
      <w:r w:rsidR="00756A9E" w:rsidRPr="00756A9E">
        <w:rPr>
          <w:b/>
          <w:bCs/>
          <w:i/>
          <w:iCs/>
        </w:rPr>
        <w:t xml:space="preserve"> I</w:t>
      </w:r>
      <w:r w:rsidR="009473AD" w:rsidRPr="00756A9E">
        <w:rPr>
          <w:b/>
          <w:bCs/>
          <w:i/>
          <w:iCs/>
        </w:rPr>
        <w:t>nsight</w:t>
      </w:r>
      <w:r w:rsidR="00756A9E" w:rsidRPr="00756A9E">
        <w:rPr>
          <w:i/>
          <w:iCs/>
        </w:rPr>
        <w:t xml:space="preserve">: </w:t>
      </w:r>
      <w:r w:rsidR="009473AD" w:rsidRPr="00756A9E">
        <w:rPr>
          <w:i/>
          <w:iCs/>
        </w:rPr>
        <w:t xml:space="preserve">Use </w:t>
      </w:r>
      <w:r w:rsidR="00756A9E" w:rsidRPr="00756A9E">
        <w:rPr>
          <w:i/>
          <w:iCs/>
        </w:rPr>
        <w:t xml:space="preserve">an </w:t>
      </w:r>
      <w:r w:rsidR="009473AD" w:rsidRPr="00756A9E">
        <w:rPr>
          <w:i/>
          <w:iCs/>
        </w:rPr>
        <w:t>outline form for a clean</w:t>
      </w:r>
      <w:r w:rsidR="00756A9E" w:rsidRPr="00756A9E">
        <w:rPr>
          <w:i/>
          <w:iCs/>
        </w:rPr>
        <w:t xml:space="preserve">, </w:t>
      </w:r>
      <w:r w:rsidR="009473AD" w:rsidRPr="00756A9E">
        <w:rPr>
          <w:i/>
          <w:iCs/>
        </w:rPr>
        <w:t>easy</w:t>
      </w:r>
      <w:r w:rsidR="00756A9E" w:rsidRPr="00756A9E">
        <w:rPr>
          <w:i/>
          <w:iCs/>
        </w:rPr>
        <w:t>-</w:t>
      </w:r>
      <w:r w:rsidR="009473AD" w:rsidRPr="00756A9E">
        <w:rPr>
          <w:i/>
          <w:iCs/>
        </w:rPr>
        <w:t>to</w:t>
      </w:r>
      <w:r w:rsidR="00756A9E" w:rsidRPr="00756A9E">
        <w:rPr>
          <w:i/>
          <w:iCs/>
        </w:rPr>
        <w:t>-</w:t>
      </w:r>
      <w:r w:rsidR="009473AD" w:rsidRPr="00756A9E">
        <w:rPr>
          <w:i/>
          <w:iCs/>
        </w:rPr>
        <w:t>audit note. Make sure you leave a space before and after the inserted prompt name so that the completed clinical note will be displayed properly.</w:t>
      </w:r>
    </w:p>
    <w:p w14:paraId="3C531D9E" w14:textId="77777777" w:rsidR="00E745C2" w:rsidRDefault="009473AD" w:rsidP="00E92EA5">
      <w:pPr>
        <w:pStyle w:val="Heading4"/>
      </w:pPr>
      <w:r w:rsidRPr="00E45677">
        <w:t>Treatment Planner</w:t>
      </w:r>
    </w:p>
    <w:p w14:paraId="2E75C68F" w14:textId="5F0B95B8" w:rsidR="009473AD" w:rsidRDefault="009473AD" w:rsidP="00E745C2">
      <w:pPr>
        <w:pStyle w:val="BodyText"/>
      </w:pPr>
      <w:r w:rsidRPr="00E24F38">
        <w:t>Treatment Planner can help you provide your patients with easy-to-understand treatment options. When you open Treatment Planner for a selected patient, his or her entire treatment plan is used to create a default treatment plan case. You can set up additional cases and visits and view detailed treatment and insurance information. Also, you can group procedures in a treatment plan case by visit or organized by case to provide patients with different treatment options.</w:t>
      </w:r>
    </w:p>
    <w:p w14:paraId="774F35B6" w14:textId="1E455608" w:rsidR="009473AD" w:rsidRPr="00E745C2" w:rsidRDefault="00D82038" w:rsidP="00F763F6">
      <w:pPr>
        <w:pStyle w:val="BodyText"/>
      </w:pPr>
      <w:r>
        <w:rPr>
          <w:noProof/>
        </w:rPr>
        <w:drawing>
          <wp:anchor distT="0" distB="0" distL="0" distR="91440" simplePos="0" relativeHeight="251981828" behindDoc="1" locked="0" layoutInCell="1" allowOverlap="1" wp14:anchorId="65023D2E" wp14:editId="10677274">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1170006477"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 for treatment plans here&gt;&gt;</w:t>
      </w:r>
    </w:p>
    <w:p w14:paraId="56F3A836" w14:textId="6B14E01E" w:rsidR="009473AD" w:rsidRPr="00F763F6" w:rsidRDefault="009473AD" w:rsidP="00F763F6">
      <w:pPr>
        <w:pStyle w:val="BodyText"/>
      </w:pPr>
      <w:r w:rsidRPr="00E24F38">
        <w:t>Before treatment planning a case, set up the case default</w:t>
      </w:r>
      <w:r w:rsidR="00F763F6">
        <w:t xml:space="preserve"> settings</w:t>
      </w:r>
      <w:r w:rsidRPr="00E24F38">
        <w:t>. Changes made to the default case settings affect all other computers on your practice</w:t>
      </w:r>
      <w:r w:rsidR="00756A9E">
        <w:t>’</w:t>
      </w:r>
      <w:r w:rsidRPr="00E24F38">
        <w:t>s network, and the selected settings will be used for every new case that is created</w:t>
      </w:r>
      <w:r w:rsidR="00DE69BA">
        <w:t>.</w:t>
      </w:r>
    </w:p>
    <w:p w14:paraId="23C18030" w14:textId="1C6DA650" w:rsidR="009473AD" w:rsidRPr="00C553C5" w:rsidRDefault="009473AD" w:rsidP="00C553C5">
      <w:pPr>
        <w:pStyle w:val="BodyText"/>
      </w:pPr>
      <w:r w:rsidRPr="00215157">
        <w:t xml:space="preserve">Set up the following </w:t>
      </w:r>
      <w:r w:rsidR="00C553C5">
        <w:t>d</w:t>
      </w:r>
      <w:r w:rsidRPr="00C553C5">
        <w:t xml:space="preserve">efault </w:t>
      </w:r>
      <w:r w:rsidR="00C553C5">
        <w:t>s</w:t>
      </w:r>
      <w:r w:rsidRPr="00C553C5">
        <w:t xml:space="preserve">ettings for </w:t>
      </w:r>
      <w:r w:rsidR="00C553C5">
        <w:t>n</w:t>
      </w:r>
      <w:r w:rsidRPr="00C553C5">
        <w:t xml:space="preserve">ew </w:t>
      </w:r>
      <w:r w:rsidR="00C553C5">
        <w:t>c</w:t>
      </w:r>
      <w:r w:rsidRPr="00C553C5">
        <w:t>ases</w:t>
      </w:r>
      <w:r w:rsidR="00C553C5">
        <w:t>:</w:t>
      </w:r>
    </w:p>
    <w:p w14:paraId="515F82F5" w14:textId="398EEAA6" w:rsidR="009473AD" w:rsidRPr="00C553C5" w:rsidRDefault="009473AD" w:rsidP="004F45B6">
      <w:pPr>
        <w:pStyle w:val="BodyText"/>
        <w:numPr>
          <w:ilvl w:val="0"/>
          <w:numId w:val="100"/>
        </w:numPr>
        <w:ind w:left="540"/>
      </w:pPr>
      <w:r w:rsidRPr="00C553C5">
        <w:rPr>
          <w:b/>
          <w:bCs/>
        </w:rPr>
        <w:t>Estimate Expires</w:t>
      </w:r>
      <w:r w:rsidRPr="00C553C5">
        <w:t xml:space="preserve"> </w:t>
      </w:r>
      <w:r w:rsidR="00756A9E">
        <w:t>–</w:t>
      </w:r>
      <w:r w:rsidRPr="00C553C5">
        <w:t xml:space="preserve"> Select the default expiration date for all cases: </w:t>
      </w:r>
      <w:r w:rsidR="00756A9E">
        <w:t>“</w:t>
      </w:r>
      <w:r w:rsidRPr="00C553C5">
        <w:t>1 year from current date,</w:t>
      </w:r>
      <w:r w:rsidR="00756A9E">
        <w:t>” “</w:t>
      </w:r>
      <w:r w:rsidRPr="00C553C5">
        <w:t>3 months from current date,</w:t>
      </w:r>
      <w:r w:rsidR="00756A9E">
        <w:t>” “</w:t>
      </w:r>
      <w:r w:rsidRPr="00C553C5">
        <w:t>1 month from current date,</w:t>
      </w:r>
      <w:r w:rsidR="00756A9E">
        <w:t>” “</w:t>
      </w:r>
      <w:r w:rsidRPr="00C553C5">
        <w:t>Beginning of next calendar year,</w:t>
      </w:r>
      <w:r w:rsidR="00756A9E">
        <w:t>”</w:t>
      </w:r>
      <w:r w:rsidRPr="00C553C5">
        <w:t xml:space="preserve"> </w:t>
      </w:r>
      <w:r w:rsidR="00756A9E">
        <w:t>“</w:t>
      </w:r>
      <w:r w:rsidRPr="00C553C5">
        <w:t>Beginning of next fiscal year,</w:t>
      </w:r>
      <w:r w:rsidR="00756A9E">
        <w:t>” “</w:t>
      </w:r>
      <w:r w:rsidRPr="00C553C5">
        <w:t>Beginning of next month,</w:t>
      </w:r>
      <w:r w:rsidR="00756A9E">
        <w:t>”</w:t>
      </w:r>
      <w:r w:rsidRPr="00C553C5">
        <w:t xml:space="preserve"> or </w:t>
      </w:r>
      <w:r w:rsidR="00756A9E">
        <w:t>“</w:t>
      </w:r>
      <w:r w:rsidRPr="00C553C5">
        <w:t>Prim. Ins. Benefit renewal month.</w:t>
      </w:r>
      <w:r w:rsidR="00756A9E">
        <w:t>”</w:t>
      </w:r>
    </w:p>
    <w:p w14:paraId="582FE2D2" w14:textId="423EB409" w:rsidR="009473AD" w:rsidRPr="00C553C5" w:rsidRDefault="009473AD" w:rsidP="004F45B6">
      <w:pPr>
        <w:pStyle w:val="BodyText"/>
        <w:numPr>
          <w:ilvl w:val="0"/>
          <w:numId w:val="100"/>
        </w:numPr>
        <w:ind w:left="540"/>
      </w:pPr>
      <w:r w:rsidRPr="00C553C5">
        <w:rPr>
          <w:b/>
          <w:bCs/>
        </w:rPr>
        <w:t>Default Case Note Template</w:t>
      </w:r>
      <w:r w:rsidRPr="00C553C5">
        <w:t xml:space="preserve"> </w:t>
      </w:r>
      <w:r w:rsidR="00756A9E">
        <w:t>–</w:t>
      </w:r>
      <w:r w:rsidRPr="00C553C5">
        <w:t xml:space="preserve"> Select the default that will be used to create case notes from a template. By default, </w:t>
      </w:r>
      <w:r w:rsidR="00756A9E">
        <w:t>“</w:t>
      </w:r>
      <w:r w:rsidRPr="00C553C5">
        <w:t>[NONE]</w:t>
      </w:r>
      <w:r w:rsidR="00756A9E">
        <w:t>”</w:t>
      </w:r>
      <w:r w:rsidRPr="00C553C5">
        <w:t xml:space="preserve"> is selected; no other options are available until at least one template has been set up.</w:t>
      </w:r>
      <w:r w:rsidR="00756A9E">
        <w:t xml:space="preserve"> Do any of the following:</w:t>
      </w:r>
    </w:p>
    <w:p w14:paraId="401D68C2" w14:textId="3C2518A6" w:rsidR="009473AD" w:rsidRPr="00C553C5" w:rsidRDefault="009473AD" w:rsidP="004F45B6">
      <w:pPr>
        <w:pStyle w:val="BodyText"/>
        <w:numPr>
          <w:ilvl w:val="1"/>
          <w:numId w:val="107"/>
        </w:numPr>
        <w:ind w:left="1080"/>
      </w:pPr>
      <w:r w:rsidRPr="00C553C5">
        <w:rPr>
          <w:b/>
          <w:bCs/>
        </w:rPr>
        <w:t>Add</w:t>
      </w:r>
      <w:r w:rsidRPr="00C553C5">
        <w:t xml:space="preserve"> </w:t>
      </w:r>
      <w:r w:rsidR="00756A9E">
        <w:t>–</w:t>
      </w:r>
      <w:r w:rsidRPr="00C553C5">
        <w:t xml:space="preserve"> To add a template, type a </w:t>
      </w:r>
      <w:r w:rsidRPr="00756A9E">
        <w:rPr>
          <w:b/>
          <w:bCs/>
        </w:rPr>
        <w:t>Template Name</w:t>
      </w:r>
      <w:r w:rsidRPr="00C553C5">
        <w:t xml:space="preserve"> and the </w:t>
      </w:r>
      <w:r w:rsidR="00756A9E">
        <w:t>applicable</w:t>
      </w:r>
      <w:r w:rsidRPr="00C553C5">
        <w:t xml:space="preserve"> </w:t>
      </w:r>
      <w:r w:rsidRPr="00756A9E">
        <w:rPr>
          <w:b/>
          <w:bCs/>
        </w:rPr>
        <w:t>Template Text</w:t>
      </w:r>
      <w:r w:rsidR="00756A9E">
        <w:t>.</w:t>
      </w:r>
    </w:p>
    <w:p w14:paraId="4348A57B" w14:textId="7056248D" w:rsidR="009473AD" w:rsidRPr="00C553C5" w:rsidRDefault="009473AD" w:rsidP="004F45B6">
      <w:pPr>
        <w:pStyle w:val="BodyText"/>
        <w:numPr>
          <w:ilvl w:val="1"/>
          <w:numId w:val="107"/>
        </w:numPr>
        <w:ind w:left="1080"/>
      </w:pPr>
      <w:r w:rsidRPr="00C553C5">
        <w:rPr>
          <w:b/>
          <w:bCs/>
        </w:rPr>
        <w:lastRenderedPageBreak/>
        <w:t>Modify</w:t>
      </w:r>
      <w:r w:rsidRPr="00C553C5">
        <w:t xml:space="preserve"> </w:t>
      </w:r>
      <w:r w:rsidR="00756A9E">
        <w:t>–</w:t>
      </w:r>
      <w:r w:rsidRPr="00C553C5">
        <w:t xml:space="preserve"> To modify a template, select the template you want to change, make the necessary changes to the </w:t>
      </w:r>
      <w:r w:rsidRPr="00756A9E">
        <w:rPr>
          <w:b/>
          <w:bCs/>
        </w:rPr>
        <w:t>Template Name</w:t>
      </w:r>
      <w:r w:rsidRPr="00C553C5">
        <w:t xml:space="preserve"> or </w:t>
      </w:r>
      <w:r w:rsidRPr="00756A9E">
        <w:rPr>
          <w:b/>
          <w:bCs/>
        </w:rPr>
        <w:t>Template Text</w:t>
      </w:r>
      <w:r w:rsidRPr="00C553C5">
        <w:t xml:space="preserve">, and then click </w:t>
      </w:r>
      <w:r w:rsidRPr="00756A9E">
        <w:rPr>
          <w:b/>
          <w:bCs/>
        </w:rPr>
        <w:t>Modify</w:t>
      </w:r>
      <w:r w:rsidRPr="00C553C5">
        <w:t xml:space="preserve"> to save the changes.</w:t>
      </w:r>
    </w:p>
    <w:p w14:paraId="550132B4" w14:textId="109682B0" w:rsidR="009473AD" w:rsidRPr="00C553C5" w:rsidRDefault="009473AD" w:rsidP="004F45B6">
      <w:pPr>
        <w:pStyle w:val="BodyText"/>
        <w:numPr>
          <w:ilvl w:val="1"/>
          <w:numId w:val="107"/>
        </w:numPr>
        <w:ind w:left="1080"/>
      </w:pPr>
      <w:r w:rsidRPr="00C553C5">
        <w:rPr>
          <w:b/>
          <w:bCs/>
        </w:rPr>
        <w:t>Delete</w:t>
      </w:r>
      <w:r w:rsidRPr="00C553C5">
        <w:t xml:space="preserve"> </w:t>
      </w:r>
      <w:r w:rsidR="00756A9E">
        <w:t>–</w:t>
      </w:r>
      <w:r w:rsidRPr="00C553C5">
        <w:t xml:space="preserve"> To delete a template, select the template you want to delete, and then click </w:t>
      </w:r>
      <w:r w:rsidRPr="00756A9E">
        <w:rPr>
          <w:b/>
          <w:bCs/>
        </w:rPr>
        <w:t>Delete</w:t>
      </w:r>
      <w:r w:rsidRPr="00C553C5">
        <w:t>.</w:t>
      </w:r>
    </w:p>
    <w:p w14:paraId="2A03071F" w14:textId="442EB19E" w:rsidR="009473AD" w:rsidRPr="00C553C5" w:rsidRDefault="009473AD" w:rsidP="004F45B6">
      <w:pPr>
        <w:pStyle w:val="BodyText"/>
        <w:keepNext/>
        <w:keepLines/>
        <w:numPr>
          <w:ilvl w:val="0"/>
          <w:numId w:val="100"/>
        </w:numPr>
        <w:ind w:left="547"/>
      </w:pPr>
      <w:r w:rsidRPr="00C553C5">
        <w:rPr>
          <w:b/>
          <w:bCs/>
        </w:rPr>
        <w:t>Automatic Case Status Updates</w:t>
      </w:r>
      <w:r w:rsidRPr="00C553C5">
        <w:t xml:space="preserve"> </w:t>
      </w:r>
      <w:r w:rsidR="000D7FFC">
        <w:t>–</w:t>
      </w:r>
      <w:r w:rsidRPr="00C553C5">
        <w:t xml:space="preserve"> Select the case statuses that you want to be added automatically to the case status history</w:t>
      </w:r>
      <w:r w:rsidR="00756A9E">
        <w:t>:</w:t>
      </w:r>
    </w:p>
    <w:p w14:paraId="51350109" w14:textId="29C2A714" w:rsidR="009473AD" w:rsidRPr="00C553C5" w:rsidRDefault="009473AD" w:rsidP="004F45B6">
      <w:pPr>
        <w:pStyle w:val="BodyText"/>
        <w:numPr>
          <w:ilvl w:val="1"/>
          <w:numId w:val="106"/>
        </w:numPr>
        <w:ind w:left="1080"/>
      </w:pPr>
      <w:r w:rsidRPr="00C553C5">
        <w:rPr>
          <w:b/>
          <w:bCs/>
        </w:rPr>
        <w:t>Printed</w:t>
      </w:r>
      <w:r w:rsidRPr="00C553C5">
        <w:t xml:space="preserve"> </w:t>
      </w:r>
      <w:r w:rsidR="00756A9E">
        <w:t>–</w:t>
      </w:r>
      <w:r w:rsidRPr="00C553C5">
        <w:t xml:space="preserve"> A selected cases will be updated with the </w:t>
      </w:r>
      <w:r w:rsidR="00756A9E">
        <w:t>“Printed”</w:t>
      </w:r>
      <w:r w:rsidRPr="00C553C5">
        <w:t xml:space="preserve"> status when the case is printed.</w:t>
      </w:r>
    </w:p>
    <w:p w14:paraId="797588C3" w14:textId="37227636" w:rsidR="009473AD" w:rsidRPr="00C553C5" w:rsidRDefault="009473AD" w:rsidP="004F45B6">
      <w:pPr>
        <w:pStyle w:val="BodyText"/>
        <w:numPr>
          <w:ilvl w:val="1"/>
          <w:numId w:val="106"/>
        </w:numPr>
        <w:ind w:left="1080"/>
      </w:pPr>
      <w:r w:rsidRPr="00C553C5">
        <w:rPr>
          <w:b/>
          <w:bCs/>
        </w:rPr>
        <w:t>Proposed</w:t>
      </w:r>
      <w:r w:rsidRPr="00C553C5">
        <w:t xml:space="preserve"> </w:t>
      </w:r>
      <w:r w:rsidR="00756A9E">
        <w:t>–</w:t>
      </w:r>
      <w:r w:rsidRPr="00C553C5">
        <w:t xml:space="preserve"> A selected case will be updated with the </w:t>
      </w:r>
      <w:r w:rsidR="00756A9E">
        <w:t>“Proposed”</w:t>
      </w:r>
      <w:r w:rsidRPr="00C553C5">
        <w:t xml:space="preserve"> status to present or propose the case to the patient.</w:t>
      </w:r>
    </w:p>
    <w:p w14:paraId="2D0CA085" w14:textId="2ACF0E94" w:rsidR="009473AD" w:rsidRPr="00C553C5" w:rsidRDefault="009473AD" w:rsidP="004F45B6">
      <w:pPr>
        <w:pStyle w:val="BodyText"/>
        <w:numPr>
          <w:ilvl w:val="0"/>
          <w:numId w:val="100"/>
        </w:numPr>
        <w:ind w:left="540"/>
      </w:pPr>
      <w:r w:rsidRPr="00C553C5">
        <w:rPr>
          <w:b/>
          <w:bCs/>
        </w:rPr>
        <w:t>Case Financing Setup</w:t>
      </w:r>
      <w:r w:rsidRPr="00C553C5">
        <w:t xml:space="preserve"> </w:t>
      </w:r>
      <w:r w:rsidR="00756A9E">
        <w:t>–</w:t>
      </w:r>
      <w:r w:rsidRPr="00C553C5">
        <w:t xml:space="preserve"> Case financing statuses must be set up before </w:t>
      </w:r>
      <w:r w:rsidR="00756A9E">
        <w:t>you can apply them</w:t>
      </w:r>
      <w:r w:rsidRPr="00C553C5">
        <w:t xml:space="preserve"> to a case. If you want to add, rename, or delete a case financing status, click </w:t>
      </w:r>
      <w:r w:rsidRPr="00756A9E">
        <w:rPr>
          <w:b/>
          <w:bCs/>
        </w:rPr>
        <w:t>Case Financing Setup</w:t>
      </w:r>
      <w:r w:rsidRPr="00C553C5">
        <w:t xml:space="preserve"> to open the </w:t>
      </w:r>
      <w:r w:rsidRPr="00756A9E">
        <w:rPr>
          <w:b/>
          <w:bCs/>
        </w:rPr>
        <w:t>Case Financing Status Setup</w:t>
      </w:r>
      <w:r w:rsidRPr="00C553C5">
        <w:t xml:space="preserve"> dialog box</w:t>
      </w:r>
      <w:r w:rsidR="00756A9E">
        <w:t xml:space="preserve"> and do any of the following:</w:t>
      </w:r>
    </w:p>
    <w:p w14:paraId="5876D592" w14:textId="6EAD2926" w:rsidR="009473AD" w:rsidRPr="00C553C5" w:rsidRDefault="009473AD" w:rsidP="004F45B6">
      <w:pPr>
        <w:pStyle w:val="BodyText"/>
        <w:numPr>
          <w:ilvl w:val="1"/>
          <w:numId w:val="105"/>
        </w:numPr>
        <w:ind w:left="1080"/>
      </w:pPr>
      <w:r w:rsidRPr="00C553C5">
        <w:rPr>
          <w:b/>
          <w:bCs/>
        </w:rPr>
        <w:t>Add</w:t>
      </w:r>
      <w:r w:rsidRPr="00C553C5">
        <w:t xml:space="preserve"> </w:t>
      </w:r>
      <w:r w:rsidR="00756A9E">
        <w:t>–</w:t>
      </w:r>
      <w:r w:rsidRPr="00C553C5">
        <w:t xml:space="preserve"> To add a case financing status, type a name in the </w:t>
      </w:r>
      <w:r w:rsidRPr="00756A9E">
        <w:rPr>
          <w:b/>
          <w:bCs/>
        </w:rPr>
        <w:t>Case Financing Status</w:t>
      </w:r>
      <w:r w:rsidRPr="00C553C5">
        <w:t xml:space="preserve"> </w:t>
      </w:r>
      <w:r w:rsidR="00756A9E">
        <w:t>box</w:t>
      </w:r>
      <w:r w:rsidRPr="00C553C5">
        <w:t xml:space="preserve">, and then click </w:t>
      </w:r>
      <w:r w:rsidRPr="00756A9E">
        <w:rPr>
          <w:b/>
          <w:bCs/>
        </w:rPr>
        <w:t>Add</w:t>
      </w:r>
      <w:r w:rsidRPr="00C553C5">
        <w:t>. By default, the following case financing statuses are provided: In Progress, Needed, Not Necessary, and Pending More Information.</w:t>
      </w:r>
    </w:p>
    <w:p w14:paraId="61EC3846" w14:textId="71891C84" w:rsidR="009473AD" w:rsidRPr="00C553C5" w:rsidRDefault="009473AD" w:rsidP="004F45B6">
      <w:pPr>
        <w:pStyle w:val="BodyText"/>
        <w:numPr>
          <w:ilvl w:val="1"/>
          <w:numId w:val="105"/>
        </w:numPr>
        <w:ind w:left="1080"/>
      </w:pPr>
      <w:r w:rsidRPr="00C553C5">
        <w:rPr>
          <w:b/>
          <w:bCs/>
        </w:rPr>
        <w:t>Rename</w:t>
      </w:r>
      <w:r w:rsidRPr="00C553C5">
        <w:t xml:space="preserve"> </w:t>
      </w:r>
      <w:r w:rsidR="00756A9E">
        <w:t>–</w:t>
      </w:r>
      <w:r w:rsidRPr="00C553C5">
        <w:t xml:space="preserve"> To rename a case financing status, select the status you want to rename, type the new name for the status, and then click </w:t>
      </w:r>
      <w:r w:rsidRPr="00756A9E">
        <w:rPr>
          <w:b/>
          <w:bCs/>
        </w:rPr>
        <w:t>Rename</w:t>
      </w:r>
      <w:r w:rsidRPr="00C553C5">
        <w:t>.</w:t>
      </w:r>
    </w:p>
    <w:p w14:paraId="3E37C765" w14:textId="65318EBB" w:rsidR="009473AD" w:rsidRPr="00C553C5" w:rsidRDefault="009473AD" w:rsidP="004F45B6">
      <w:pPr>
        <w:pStyle w:val="BodyText"/>
        <w:numPr>
          <w:ilvl w:val="1"/>
          <w:numId w:val="105"/>
        </w:numPr>
        <w:ind w:left="1080"/>
      </w:pPr>
      <w:r w:rsidRPr="00C553C5">
        <w:rPr>
          <w:b/>
          <w:bCs/>
        </w:rPr>
        <w:t>Delete</w:t>
      </w:r>
      <w:r w:rsidRPr="00C553C5">
        <w:t xml:space="preserve"> </w:t>
      </w:r>
      <w:r w:rsidR="00756A9E">
        <w:t>–</w:t>
      </w:r>
      <w:r w:rsidRPr="00C553C5">
        <w:t xml:space="preserve"> To delete a case financing status, select the status you want to delete, and then click </w:t>
      </w:r>
      <w:r w:rsidRPr="00756A9E">
        <w:rPr>
          <w:b/>
          <w:bCs/>
        </w:rPr>
        <w:t>Delete</w:t>
      </w:r>
      <w:r w:rsidRPr="00C553C5">
        <w:t>.</w:t>
      </w:r>
    </w:p>
    <w:p w14:paraId="7CE95218" w14:textId="5FB2CD79" w:rsidR="009473AD" w:rsidRPr="00C553C5" w:rsidRDefault="009473AD" w:rsidP="004F45B6">
      <w:pPr>
        <w:pStyle w:val="BodyText"/>
        <w:numPr>
          <w:ilvl w:val="0"/>
          <w:numId w:val="100"/>
        </w:numPr>
        <w:ind w:left="540"/>
      </w:pPr>
      <w:r w:rsidRPr="00C553C5">
        <w:rPr>
          <w:b/>
          <w:bCs/>
        </w:rPr>
        <w:t>Patient-Friendly Description</w:t>
      </w:r>
      <w:r w:rsidRPr="00C553C5">
        <w:t xml:space="preserve"> </w:t>
      </w:r>
      <w:r w:rsidR="00756A9E">
        <w:t>–</w:t>
      </w:r>
      <w:r w:rsidRPr="00C553C5">
        <w:t xml:space="preserve"> Patient-friendly descriptions can be entered and saved for any procedure code. When that code is selected, instead of displaying the technical description for the procedure, a less-technical description can be displayed so patients </w:t>
      </w:r>
      <w:r w:rsidR="00756A9E">
        <w:t>cab</w:t>
      </w:r>
      <w:r w:rsidRPr="00C553C5">
        <w:t xml:space="preserve"> better understand the procedures in their treatment plans.</w:t>
      </w:r>
    </w:p>
    <w:p w14:paraId="1DFF4BD8" w14:textId="496E8330" w:rsidR="009473AD" w:rsidRPr="00C553C5" w:rsidRDefault="00C553C5" w:rsidP="004F45B6">
      <w:pPr>
        <w:pStyle w:val="BodyText"/>
        <w:numPr>
          <w:ilvl w:val="1"/>
          <w:numId w:val="154"/>
        </w:numPr>
        <w:ind w:left="1080"/>
      </w:pPr>
      <w:r>
        <w:t>S</w:t>
      </w:r>
      <w:r w:rsidR="009473AD" w:rsidRPr="00C553C5">
        <w:t xml:space="preserve">elect a </w:t>
      </w:r>
      <w:r w:rsidR="009473AD" w:rsidRPr="00756A9E">
        <w:rPr>
          <w:b/>
          <w:bCs/>
        </w:rPr>
        <w:t>Procedure</w:t>
      </w:r>
      <w:r w:rsidR="009473AD" w:rsidRPr="00C553C5">
        <w:t xml:space="preserve"> (the default description appears in the </w:t>
      </w:r>
      <w:r w:rsidR="009473AD" w:rsidRPr="00756A9E">
        <w:rPr>
          <w:b/>
          <w:bCs/>
        </w:rPr>
        <w:t>Description</w:t>
      </w:r>
      <w:r w:rsidR="009473AD" w:rsidRPr="00C553C5">
        <w:t xml:space="preserve"> </w:t>
      </w:r>
      <w:r w:rsidR="00756A9E">
        <w:t>box</w:t>
      </w:r>
      <w:r w:rsidR="009473AD" w:rsidRPr="00C553C5">
        <w:t>)</w:t>
      </w:r>
      <w:r w:rsidR="00756A9E">
        <w:t>.</w:t>
      </w:r>
    </w:p>
    <w:p w14:paraId="660D7150" w14:textId="2FABA07B" w:rsidR="009473AD" w:rsidRPr="00C553C5" w:rsidRDefault="00C553C5" w:rsidP="004F45B6">
      <w:pPr>
        <w:pStyle w:val="BodyText"/>
        <w:numPr>
          <w:ilvl w:val="1"/>
          <w:numId w:val="154"/>
        </w:numPr>
        <w:ind w:left="1080"/>
      </w:pPr>
      <w:r>
        <w:t>T</w:t>
      </w:r>
      <w:r w:rsidR="009473AD" w:rsidRPr="00C553C5">
        <w:t xml:space="preserve">ype a </w:t>
      </w:r>
      <w:r w:rsidR="009473AD" w:rsidRPr="00756A9E">
        <w:rPr>
          <w:b/>
          <w:bCs/>
        </w:rPr>
        <w:t>Patient-Friendly Description</w:t>
      </w:r>
      <w:r w:rsidR="009473AD" w:rsidRPr="00C553C5">
        <w:t xml:space="preserve"> (some procedures may already have patient-friendly descriptions, which can be edited</w:t>
      </w:r>
      <w:r w:rsidR="00756A9E">
        <w:t>)</w:t>
      </w:r>
      <w:r w:rsidR="009473AD" w:rsidRPr="00C553C5">
        <w:t>.</w:t>
      </w:r>
    </w:p>
    <w:p w14:paraId="2CC0EDB8" w14:textId="32A6D9E2" w:rsidR="009473AD" w:rsidRPr="00756A9E" w:rsidRDefault="001B702E" w:rsidP="00C553C5">
      <w:pPr>
        <w:pStyle w:val="BodyText"/>
        <w:ind w:left="540"/>
        <w:rPr>
          <w:i/>
          <w:iCs/>
        </w:rPr>
      </w:pPr>
      <w:r>
        <w:rPr>
          <w:noProof/>
        </w:rPr>
        <w:drawing>
          <wp:anchor distT="0" distB="0" distL="0" distR="91440" simplePos="0" relativeHeight="251996164" behindDoc="0" locked="0" layoutInCell="1" allowOverlap="1" wp14:anchorId="460171AB" wp14:editId="55F94DFD">
            <wp:simplePos x="0" y="0"/>
            <wp:positionH relativeFrom="column">
              <wp:posOffset>-457200</wp:posOffset>
            </wp:positionH>
            <wp:positionV relativeFrom="paragraph">
              <wp:posOffset>-91440</wp:posOffset>
            </wp:positionV>
            <wp:extent cx="365981" cy="420624"/>
            <wp:effectExtent l="0" t="0" r="0" b="0"/>
            <wp:wrapTight wrapText="right">
              <wp:wrapPolygon edited="0">
                <wp:start x="0" y="0"/>
                <wp:lineTo x="0" y="20556"/>
                <wp:lineTo x="20250" y="20556"/>
                <wp:lineTo x="20250" y="0"/>
                <wp:lineTo x="0" y="0"/>
              </wp:wrapPolygon>
            </wp:wrapTight>
            <wp:docPr id="1793307981"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756A9E">
        <w:rPr>
          <w:b/>
          <w:bCs/>
          <w:i/>
          <w:iCs/>
        </w:rPr>
        <w:t>Note</w:t>
      </w:r>
      <w:r w:rsidR="009473AD" w:rsidRPr="00756A9E">
        <w:rPr>
          <w:i/>
          <w:iCs/>
        </w:rPr>
        <w:t xml:space="preserve">: </w:t>
      </w:r>
      <w:r w:rsidR="00756A9E" w:rsidRPr="00756A9E">
        <w:rPr>
          <w:i/>
          <w:iCs/>
        </w:rPr>
        <w:t>You can also set up patient-friendly descriptions in the</w:t>
      </w:r>
      <w:r w:rsidR="009473AD" w:rsidRPr="00756A9E">
        <w:rPr>
          <w:i/>
          <w:iCs/>
        </w:rPr>
        <w:t xml:space="preserve"> Procedure Code Setup</w:t>
      </w:r>
      <w:r w:rsidR="00756A9E" w:rsidRPr="00756A9E">
        <w:rPr>
          <w:i/>
          <w:iCs/>
        </w:rPr>
        <w:t>.</w:t>
      </w:r>
    </w:p>
    <w:p w14:paraId="006C75A7" w14:textId="1B4CCAC0" w:rsidR="009473AD" w:rsidRPr="00C553C5" w:rsidRDefault="009473AD" w:rsidP="004F45B6">
      <w:pPr>
        <w:pStyle w:val="BodyText"/>
        <w:numPr>
          <w:ilvl w:val="0"/>
          <w:numId w:val="100"/>
        </w:numPr>
        <w:ind w:left="540"/>
      </w:pPr>
      <w:r w:rsidRPr="00C553C5">
        <w:rPr>
          <w:b/>
          <w:bCs/>
        </w:rPr>
        <w:t>Setup Consent Forms</w:t>
      </w:r>
      <w:r w:rsidRPr="00C553C5">
        <w:t xml:space="preserve"> </w:t>
      </w:r>
      <w:r w:rsidR="00756A9E">
        <w:t>–</w:t>
      </w:r>
      <w:r w:rsidRPr="00C553C5">
        <w:t xml:space="preserve"> Any existing consent forms that will be used for new cases are shown in the list box. You can customize the list, choose the procedures that can appear on all forms, and select a signing device</w:t>
      </w:r>
      <w:r w:rsidR="00AD6DEA">
        <w:t>. Do the following:</w:t>
      </w:r>
    </w:p>
    <w:p w14:paraId="5425DF9C" w14:textId="10ED61BC" w:rsidR="00AD6DEA" w:rsidRDefault="00AD6DEA" w:rsidP="004F45B6">
      <w:pPr>
        <w:pStyle w:val="BodyText"/>
        <w:numPr>
          <w:ilvl w:val="0"/>
          <w:numId w:val="155"/>
        </w:numPr>
        <w:ind w:left="1080"/>
      </w:pPr>
      <w:r>
        <w:t xml:space="preserve">Either click </w:t>
      </w:r>
      <w:r w:rsidRPr="00AD6DEA">
        <w:rPr>
          <w:b/>
          <w:bCs/>
        </w:rPr>
        <w:t>New</w:t>
      </w:r>
      <w:r>
        <w:t xml:space="preserve"> to add a form, or select a form and then click </w:t>
      </w:r>
      <w:r w:rsidRPr="00AD6DEA">
        <w:rPr>
          <w:b/>
          <w:bCs/>
        </w:rPr>
        <w:t>Edit</w:t>
      </w:r>
      <w:r>
        <w:t xml:space="preserve"> to edit that form.</w:t>
      </w:r>
    </w:p>
    <w:p w14:paraId="268D9C62" w14:textId="4C004A66" w:rsidR="00AD6DEA" w:rsidRDefault="00AD6DEA" w:rsidP="004F45B6">
      <w:pPr>
        <w:pStyle w:val="BodyText"/>
        <w:numPr>
          <w:ilvl w:val="0"/>
          <w:numId w:val="155"/>
        </w:numPr>
        <w:ind w:left="1080"/>
      </w:pPr>
      <w:r>
        <w:t>T</w:t>
      </w:r>
      <w:r w:rsidR="009473AD" w:rsidRPr="00C553C5">
        <w:t xml:space="preserve">ype or change the name and/or text of the consent form using the </w:t>
      </w:r>
      <w:r w:rsidR="009473AD" w:rsidRPr="00AD6DEA">
        <w:rPr>
          <w:b/>
          <w:bCs/>
        </w:rPr>
        <w:t>Cut</w:t>
      </w:r>
      <w:r w:rsidR="009473AD" w:rsidRPr="00C553C5">
        <w:t xml:space="preserve"> ,</w:t>
      </w:r>
      <w:r w:rsidR="009473AD" w:rsidRPr="00AD6DEA">
        <w:rPr>
          <w:b/>
          <w:bCs/>
        </w:rPr>
        <w:t>Copy</w:t>
      </w:r>
      <w:r w:rsidR="009473AD" w:rsidRPr="00C553C5">
        <w:t xml:space="preserve">, and </w:t>
      </w:r>
      <w:r w:rsidR="009473AD" w:rsidRPr="00AD6DEA">
        <w:rPr>
          <w:b/>
          <w:bCs/>
        </w:rPr>
        <w:t>Paste</w:t>
      </w:r>
      <w:r w:rsidR="009473AD" w:rsidRPr="00C553C5">
        <w:t xml:space="preserve"> buttons to manipulate text as needed</w:t>
      </w:r>
      <w:r>
        <w:t>. T</w:t>
      </w:r>
      <w:r w:rsidR="009473AD" w:rsidRPr="00C553C5">
        <w:t xml:space="preserve">he form can be up to 5,000 characters </w:t>
      </w:r>
      <w:r>
        <w:t>long.</w:t>
      </w:r>
      <w:r w:rsidR="009473AD" w:rsidRPr="00C553C5">
        <w:t xml:space="preserve"> </w:t>
      </w:r>
    </w:p>
    <w:p w14:paraId="5BEA37EC" w14:textId="42330605" w:rsidR="009473AD" w:rsidRDefault="00AD6DEA" w:rsidP="004F45B6">
      <w:pPr>
        <w:pStyle w:val="BodyText"/>
        <w:numPr>
          <w:ilvl w:val="0"/>
          <w:numId w:val="155"/>
        </w:numPr>
        <w:ind w:left="1080"/>
      </w:pPr>
      <w:r>
        <w:t>S</w:t>
      </w:r>
      <w:r w:rsidR="009473AD" w:rsidRPr="00C553C5">
        <w:t xml:space="preserve">elect </w:t>
      </w:r>
      <w:r w:rsidR="009473AD" w:rsidRPr="00AD6DEA">
        <w:rPr>
          <w:b/>
          <w:bCs/>
        </w:rPr>
        <w:t>Do not include Procedure Codes on Consent Form</w:t>
      </w:r>
      <w:r w:rsidR="009473AD" w:rsidRPr="00C553C5">
        <w:t xml:space="preserve"> if you do not want to allow procedure information to show on the consent form (the default selections that indicate what procedure information can be shown on consent forms will be overridden)</w:t>
      </w:r>
      <w:r>
        <w:t>.</w:t>
      </w:r>
    </w:p>
    <w:p w14:paraId="3A7AB4ED" w14:textId="7A66810C" w:rsidR="00AD6DEA" w:rsidRPr="00C553C5" w:rsidRDefault="00AD6DEA" w:rsidP="004F45B6">
      <w:pPr>
        <w:pStyle w:val="BodyText"/>
        <w:numPr>
          <w:ilvl w:val="0"/>
          <w:numId w:val="155"/>
        </w:numPr>
        <w:ind w:left="1080"/>
      </w:pPr>
      <w:r>
        <w:t xml:space="preserve">Click </w:t>
      </w:r>
      <w:r w:rsidRPr="00AD6DEA">
        <w:rPr>
          <w:b/>
          <w:bCs/>
        </w:rPr>
        <w:t>Save</w:t>
      </w:r>
      <w:r>
        <w:t>.</w:t>
      </w:r>
    </w:p>
    <w:p w14:paraId="437031AD" w14:textId="3FFA3DBD" w:rsidR="009473AD" w:rsidRPr="00C553C5" w:rsidRDefault="00AD6DEA" w:rsidP="004F45B6">
      <w:pPr>
        <w:pStyle w:val="BodyText"/>
        <w:keepNext/>
        <w:keepLines/>
        <w:numPr>
          <w:ilvl w:val="0"/>
          <w:numId w:val="155"/>
        </w:numPr>
        <w:ind w:left="1080"/>
      </w:pPr>
      <w:r>
        <w:lastRenderedPageBreak/>
        <w:t xml:space="preserve">From the </w:t>
      </w:r>
      <w:r w:rsidR="009473AD" w:rsidRPr="00C553C5">
        <w:rPr>
          <w:b/>
          <w:bCs/>
        </w:rPr>
        <w:t>Select Electronic Signature Device</w:t>
      </w:r>
      <w:r w:rsidR="009473AD" w:rsidRPr="00C553C5">
        <w:t xml:space="preserve"> </w:t>
      </w:r>
      <w:r>
        <w:t>list, s</w:t>
      </w:r>
      <w:r w:rsidR="009473AD" w:rsidRPr="00C553C5">
        <w:t>elect the device that will be used to sign cases at this computer:</w:t>
      </w:r>
    </w:p>
    <w:p w14:paraId="422E9017" w14:textId="0DCF9E43" w:rsidR="009473AD" w:rsidRPr="00C553C5" w:rsidRDefault="009473AD" w:rsidP="004F45B6">
      <w:pPr>
        <w:pStyle w:val="BodyText"/>
        <w:keepNext/>
        <w:keepLines/>
        <w:numPr>
          <w:ilvl w:val="2"/>
          <w:numId w:val="156"/>
        </w:numPr>
        <w:ind w:left="1620"/>
      </w:pPr>
      <w:r w:rsidRPr="00C553C5">
        <w:rPr>
          <w:b/>
          <w:bCs/>
        </w:rPr>
        <w:t>Pointing Device</w:t>
      </w:r>
      <w:r w:rsidRPr="00C553C5">
        <w:t xml:space="preserve"> </w:t>
      </w:r>
      <w:r w:rsidR="00AD6DEA">
        <w:t>–</w:t>
      </w:r>
      <w:r w:rsidRPr="00C553C5">
        <w:t xml:space="preserve"> Use for mice, touch screens, and writing tablets.</w:t>
      </w:r>
    </w:p>
    <w:p w14:paraId="228B9750" w14:textId="48B133FD" w:rsidR="009473AD" w:rsidRDefault="009473AD" w:rsidP="004F45B6">
      <w:pPr>
        <w:pStyle w:val="BodyText"/>
        <w:numPr>
          <w:ilvl w:val="2"/>
          <w:numId w:val="156"/>
        </w:numPr>
        <w:ind w:left="1620"/>
      </w:pPr>
      <w:r w:rsidRPr="00C553C5">
        <w:rPr>
          <w:b/>
          <w:bCs/>
        </w:rPr>
        <w:t>Interlink ePad or Interlink ePad II</w:t>
      </w:r>
      <w:r w:rsidRPr="00C553C5">
        <w:t xml:space="preserve"> </w:t>
      </w:r>
      <w:r w:rsidR="00AD6DEA">
        <w:t>–</w:t>
      </w:r>
      <w:r w:rsidRPr="00C553C5">
        <w:t xml:space="preserve"> Use if either of these devices are connected and set up at the computer from which a signature will be acquired.</w:t>
      </w:r>
    </w:p>
    <w:p w14:paraId="06B73A0A" w14:textId="77777777" w:rsidR="00B43E86" w:rsidRPr="00C1612C" w:rsidRDefault="00B43E86" w:rsidP="00D459EB">
      <w:pPr>
        <w:pStyle w:val="BodyText"/>
        <w:ind w:left="540"/>
        <w:rPr>
          <w:i/>
          <w:iCs/>
        </w:rPr>
      </w:pPr>
      <w:r w:rsidRPr="00C1612C">
        <w:rPr>
          <w:b/>
          <w:bCs/>
          <w:i/>
          <w:iCs/>
          <w:noProof/>
        </w:rPr>
        <w:drawing>
          <wp:anchor distT="0" distB="0" distL="0" distR="91440" simplePos="0" relativeHeight="252099588" behindDoc="1" locked="0" layoutInCell="1" allowOverlap="1" wp14:anchorId="3E3A42C9" wp14:editId="5C20F8DA">
            <wp:simplePos x="0" y="0"/>
            <wp:positionH relativeFrom="column">
              <wp:posOffset>-452755</wp:posOffset>
            </wp:positionH>
            <wp:positionV relativeFrom="paragraph">
              <wp:posOffset>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1614949125"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C1612C">
        <w:rPr>
          <w:b/>
          <w:bCs/>
          <w:i/>
          <w:iCs/>
        </w:rPr>
        <w:t>*NEW* Workflow Insights</w:t>
      </w:r>
      <w:r w:rsidRPr="00C1612C">
        <w:rPr>
          <w:i/>
          <w:iCs/>
        </w:rPr>
        <w:t>:</w:t>
      </w:r>
    </w:p>
    <w:p w14:paraId="0473194C" w14:textId="1577BB0C" w:rsidR="000B78DD" w:rsidRPr="00C1612C" w:rsidRDefault="000B78DD" w:rsidP="004F45B6">
      <w:pPr>
        <w:pStyle w:val="BodyText"/>
        <w:numPr>
          <w:ilvl w:val="0"/>
          <w:numId w:val="165"/>
        </w:numPr>
        <w:rPr>
          <w:i/>
          <w:iCs/>
        </w:rPr>
      </w:pPr>
      <w:r w:rsidRPr="00C1612C">
        <w:rPr>
          <w:i/>
          <w:iCs/>
        </w:rPr>
        <w:t xml:space="preserve">In version 11.0.20.745 (Component Update 4), </w:t>
      </w:r>
      <w:r w:rsidR="0019137A" w:rsidRPr="00C1612C">
        <w:rPr>
          <w:i/>
          <w:iCs/>
        </w:rPr>
        <w:t>c</w:t>
      </w:r>
      <w:r w:rsidRPr="00C1612C">
        <w:rPr>
          <w:i/>
          <w:iCs/>
        </w:rPr>
        <w:t xml:space="preserve">onsent </w:t>
      </w:r>
      <w:r w:rsidR="0019137A" w:rsidRPr="00C1612C">
        <w:rPr>
          <w:i/>
          <w:iCs/>
        </w:rPr>
        <w:t>f</w:t>
      </w:r>
      <w:r w:rsidRPr="00C1612C">
        <w:rPr>
          <w:i/>
          <w:iCs/>
        </w:rPr>
        <w:t>orm templates can be created to allow you to follow a guide of questions (prompts) to create a custom consent form quickly and accurately with minimal typing or editing.</w:t>
      </w:r>
    </w:p>
    <w:p w14:paraId="05AF4151" w14:textId="50387EB4" w:rsidR="0019137A" w:rsidRPr="00C1612C" w:rsidRDefault="0019137A" w:rsidP="004F45B6">
      <w:pPr>
        <w:pStyle w:val="BodyText"/>
        <w:numPr>
          <w:ilvl w:val="0"/>
          <w:numId w:val="165"/>
        </w:numPr>
        <w:rPr>
          <w:i/>
          <w:iCs/>
        </w:rPr>
      </w:pPr>
      <w:r w:rsidRPr="00C1612C">
        <w:rPr>
          <w:i/>
          <w:iCs/>
        </w:rPr>
        <w:t xml:space="preserve">In version 11.0.43, with the global setting </w:t>
      </w:r>
      <w:r w:rsidR="00E02227" w:rsidRPr="00C1612C">
        <w:rPr>
          <w:i/>
          <w:iCs/>
        </w:rPr>
        <w:t xml:space="preserve">for </w:t>
      </w:r>
      <w:r w:rsidRPr="00C1612C">
        <w:rPr>
          <w:i/>
          <w:iCs/>
        </w:rPr>
        <w:t>enhanced consent forms enabled</w:t>
      </w:r>
      <w:r w:rsidR="00E02227" w:rsidRPr="00C1612C">
        <w:rPr>
          <w:i/>
          <w:iCs/>
        </w:rPr>
        <w:t>,</w:t>
      </w:r>
      <w:r w:rsidRPr="00C1612C">
        <w:rPr>
          <w:i/>
          <w:iCs/>
        </w:rPr>
        <w:t xml:space="preserve"> three (3) signatures </w:t>
      </w:r>
      <w:r w:rsidR="00E02227" w:rsidRPr="00C1612C">
        <w:rPr>
          <w:i/>
          <w:iCs/>
        </w:rPr>
        <w:t xml:space="preserve">are required </w:t>
      </w:r>
      <w:r w:rsidRPr="00C1612C">
        <w:rPr>
          <w:i/>
          <w:iCs/>
        </w:rPr>
        <w:t xml:space="preserve">for treatment consent, the enhanced consent form will now populate the name box for </w:t>
      </w:r>
      <w:r w:rsidR="00E02227" w:rsidRPr="00C1612C">
        <w:rPr>
          <w:i/>
          <w:iCs/>
        </w:rPr>
        <w:t xml:space="preserve">the </w:t>
      </w:r>
      <w:r w:rsidRPr="00C1612C">
        <w:rPr>
          <w:i/>
          <w:iCs/>
        </w:rPr>
        <w:t>practice signature automatically with the name of the user who is currently logged in to Dentrix Enterprise.</w:t>
      </w:r>
    </w:p>
    <w:p w14:paraId="17D2A2AB" w14:textId="77777777" w:rsidR="00B43E86" w:rsidRPr="00C553C5" w:rsidRDefault="00B43E86" w:rsidP="00B43E86">
      <w:pPr>
        <w:pStyle w:val="BodyText"/>
      </w:pPr>
    </w:p>
    <w:p w14:paraId="4862C709" w14:textId="77777777" w:rsidR="00E745C2" w:rsidRDefault="009473AD" w:rsidP="00E92EA5">
      <w:pPr>
        <w:pStyle w:val="Heading4"/>
      </w:pPr>
      <w:r w:rsidRPr="00E45677">
        <w:t>Perio Chart</w:t>
      </w:r>
    </w:p>
    <w:p w14:paraId="6038944E" w14:textId="6A7AA67A" w:rsidR="009473AD" w:rsidRDefault="009473AD" w:rsidP="00E745C2">
      <w:pPr>
        <w:pStyle w:val="BodyText"/>
      </w:pPr>
      <w:r w:rsidRPr="00E24F38">
        <w:t>Because perio exam methods and philosophies differ from provider to provider, in Perio Chart you can set up scripts and paths that represent your preferred examination method.</w:t>
      </w:r>
    </w:p>
    <w:p w14:paraId="5563636F" w14:textId="32C96D87" w:rsidR="009473AD" w:rsidRPr="00454D84" w:rsidRDefault="00D82038" w:rsidP="00C553C5">
      <w:pPr>
        <w:pStyle w:val="BodyText"/>
        <w:rPr>
          <w:color w:val="00B050"/>
        </w:rPr>
      </w:pPr>
      <w:r>
        <w:rPr>
          <w:noProof/>
        </w:rPr>
        <w:drawing>
          <wp:anchor distT="0" distB="0" distL="0" distR="91440" simplePos="0" relativeHeight="251983876" behindDoc="1" locked="0" layoutInCell="1" allowOverlap="1" wp14:anchorId="747BA410" wp14:editId="726B1091">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1833237752"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 here&gt;&gt;</w:t>
      </w:r>
    </w:p>
    <w:p w14:paraId="60EA6D2B" w14:textId="4131B156" w:rsidR="009473AD" w:rsidRPr="00215157" w:rsidRDefault="009473AD" w:rsidP="00C553C5">
      <w:pPr>
        <w:pStyle w:val="BodyText"/>
      </w:pPr>
      <w:r w:rsidRPr="00215157">
        <w:t xml:space="preserve">Set up the following </w:t>
      </w:r>
      <w:r w:rsidR="00AA6AB3">
        <w:t xml:space="preserve">options for </w:t>
      </w:r>
      <w:r w:rsidR="00AA6AB3" w:rsidRPr="00AA6AB3">
        <w:rPr>
          <w:b/>
          <w:bCs/>
        </w:rPr>
        <w:t>Perio Entry Setup</w:t>
      </w:r>
      <w:r w:rsidRPr="00215157">
        <w:t>:</w:t>
      </w:r>
    </w:p>
    <w:p w14:paraId="1C6AEE47" w14:textId="7FA57BBF" w:rsidR="009473AD" w:rsidRPr="00C553C5" w:rsidRDefault="009473AD" w:rsidP="004F45B6">
      <w:pPr>
        <w:pStyle w:val="BodyText"/>
        <w:numPr>
          <w:ilvl w:val="0"/>
          <w:numId w:val="108"/>
        </w:numPr>
        <w:ind w:left="540"/>
      </w:pPr>
      <w:r w:rsidRPr="00C553C5">
        <w:rPr>
          <w:b/>
          <w:bCs/>
        </w:rPr>
        <w:t>Auto Settings</w:t>
      </w:r>
      <w:r w:rsidR="00C553C5">
        <w:t>:</w:t>
      </w:r>
    </w:p>
    <w:p w14:paraId="4D43E399" w14:textId="0ED4337F" w:rsidR="009473AD" w:rsidRPr="00C553C5" w:rsidRDefault="009473AD" w:rsidP="004F45B6">
      <w:pPr>
        <w:pStyle w:val="BodyText"/>
        <w:numPr>
          <w:ilvl w:val="1"/>
          <w:numId w:val="109"/>
        </w:numPr>
        <w:ind w:left="1080"/>
      </w:pPr>
      <w:r w:rsidRPr="00C553C5">
        <w:rPr>
          <w:b/>
          <w:bCs/>
        </w:rPr>
        <w:t>Path Advance</w:t>
      </w:r>
      <w:r w:rsidRPr="00C553C5">
        <w:t xml:space="preserve"> </w:t>
      </w:r>
      <w:r w:rsidR="00AD6DEA">
        <w:t>–</w:t>
      </w:r>
      <w:r w:rsidRPr="00C553C5">
        <w:t xml:space="preserve"> You can control the order of movement through the probing areas of each tooth. To enable the use of the Path Settings, select this option. If the check box is clear, the automatic path advance will not work, and you must press the E</w:t>
      </w:r>
      <w:r w:rsidR="00AD6DEA">
        <w:t>nter</w:t>
      </w:r>
      <w:r w:rsidRPr="00C553C5">
        <w:t xml:space="preserve"> key each time a measurement has been entered to advance to the next site.</w:t>
      </w:r>
    </w:p>
    <w:p w14:paraId="407F3B33" w14:textId="1E05A92F" w:rsidR="009473AD" w:rsidRPr="00C553C5" w:rsidRDefault="009473AD" w:rsidP="004F45B6">
      <w:pPr>
        <w:pStyle w:val="BodyText"/>
        <w:numPr>
          <w:ilvl w:val="1"/>
          <w:numId w:val="109"/>
        </w:numPr>
        <w:ind w:left="1080"/>
      </w:pPr>
      <w:r w:rsidRPr="00C553C5">
        <w:rPr>
          <w:b/>
          <w:bCs/>
        </w:rPr>
        <w:t>Tooth Advance</w:t>
      </w:r>
      <w:r w:rsidRPr="00C553C5">
        <w:t xml:space="preserve"> </w:t>
      </w:r>
      <w:r w:rsidR="00AD6DEA">
        <w:t>–</w:t>
      </w:r>
      <w:r w:rsidRPr="00C553C5">
        <w:t xml:space="preserve"> You can control the order of movement from tooth to tooth. To enable the use of the </w:t>
      </w:r>
      <w:r w:rsidRPr="00AD6DEA">
        <w:rPr>
          <w:b/>
          <w:bCs/>
        </w:rPr>
        <w:t>Script Settings</w:t>
      </w:r>
      <w:r w:rsidRPr="00C553C5">
        <w:t>, select this option. If the check box is clear, the automatic tooth advance will not work, and you must move from tooth to tooth manually.</w:t>
      </w:r>
    </w:p>
    <w:p w14:paraId="6C0EEC77" w14:textId="2DD598B0" w:rsidR="009473AD" w:rsidRPr="00C553C5" w:rsidRDefault="009473AD" w:rsidP="004F45B6">
      <w:pPr>
        <w:pStyle w:val="BodyText"/>
        <w:numPr>
          <w:ilvl w:val="0"/>
          <w:numId w:val="108"/>
        </w:numPr>
        <w:ind w:left="540"/>
      </w:pPr>
      <w:r w:rsidRPr="00C553C5">
        <w:rPr>
          <w:b/>
          <w:bCs/>
        </w:rPr>
        <w:t>Calculation Options</w:t>
      </w:r>
      <w:r w:rsidRPr="00C553C5">
        <w:t xml:space="preserve"> </w:t>
      </w:r>
      <w:r w:rsidR="00AD6DEA">
        <w:t>–</w:t>
      </w:r>
      <w:r w:rsidRPr="00C553C5">
        <w:t xml:space="preserve"> When </w:t>
      </w:r>
      <w:r w:rsidR="00AD6DEA">
        <w:t xml:space="preserve">you are </w:t>
      </w:r>
      <w:r w:rsidRPr="00C553C5">
        <w:t>p</w:t>
      </w:r>
      <w:r w:rsidR="00DE69BA">
        <w:t>er</w:t>
      </w:r>
      <w:r w:rsidRPr="00C553C5">
        <w:t xml:space="preserve">forming a periodontal exam, it is important to remember that the pocket depth, gingival margin, and clinical attachment level measurements have a mathematical relationship. That relationship is such that, given any two of the three measurements, you can mathematically calculate the third. With that in mind, you can enter two measurements; and, based on your chosen calculation method, Dentrix Enterprise will automatically calculate and input the third measurement for you. </w:t>
      </w:r>
    </w:p>
    <w:p w14:paraId="13928260" w14:textId="53646BCE" w:rsidR="009473AD" w:rsidRPr="00AD6DEA" w:rsidRDefault="003B6C2F" w:rsidP="00C553C5">
      <w:pPr>
        <w:pStyle w:val="BodyText"/>
        <w:ind w:left="540"/>
        <w:rPr>
          <w:i/>
          <w:iCs/>
        </w:rPr>
      </w:pPr>
      <w:r>
        <w:rPr>
          <w:noProof/>
        </w:rPr>
        <w:drawing>
          <wp:anchor distT="0" distB="0" distL="0" distR="91440" simplePos="0" relativeHeight="252020740" behindDoc="1" locked="0" layoutInCell="1" allowOverlap="1" wp14:anchorId="4E88950D" wp14:editId="5D019097">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877200539"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AD6DEA">
        <w:rPr>
          <w:b/>
          <w:bCs/>
          <w:i/>
          <w:iCs/>
        </w:rPr>
        <w:t xml:space="preserve">Workflow </w:t>
      </w:r>
      <w:r w:rsidR="00AD6DEA" w:rsidRPr="00AD6DEA">
        <w:rPr>
          <w:b/>
          <w:bCs/>
          <w:i/>
          <w:iCs/>
        </w:rPr>
        <w:t>Insight</w:t>
      </w:r>
      <w:r w:rsidR="00AD6DEA" w:rsidRPr="00AD6DEA">
        <w:rPr>
          <w:i/>
          <w:iCs/>
        </w:rPr>
        <w:t>:</w:t>
      </w:r>
      <w:r w:rsidR="009473AD" w:rsidRPr="00AD6DEA">
        <w:rPr>
          <w:i/>
          <w:iCs/>
        </w:rPr>
        <w:t xml:space="preserve"> If you select any one of the calculation methods, Perio Chart will make the measurement </w:t>
      </w:r>
      <w:r w:rsidR="00AD6DEA" w:rsidRPr="00AD6DEA">
        <w:rPr>
          <w:i/>
          <w:iCs/>
        </w:rPr>
        <w:t xml:space="preserve">options </w:t>
      </w:r>
      <w:r w:rsidR="009473AD" w:rsidRPr="00AD6DEA">
        <w:rPr>
          <w:i/>
          <w:iCs/>
        </w:rPr>
        <w:t xml:space="preserve">that are automatically calculated unavailable. For example, if you use the CAL calculation method, Perio Chart will make the </w:t>
      </w:r>
      <w:r w:rsidR="009473AD" w:rsidRPr="00AD6DEA">
        <w:rPr>
          <w:b/>
          <w:bCs/>
          <w:i/>
          <w:iCs/>
        </w:rPr>
        <w:t>Clinical Att. Level</w:t>
      </w:r>
      <w:r w:rsidR="009473AD" w:rsidRPr="00AD6DEA">
        <w:rPr>
          <w:i/>
          <w:iCs/>
        </w:rPr>
        <w:t xml:space="preserve"> </w:t>
      </w:r>
      <w:r w:rsidR="00AD6DEA" w:rsidRPr="00AD6DEA">
        <w:rPr>
          <w:i/>
          <w:iCs/>
        </w:rPr>
        <w:t>options</w:t>
      </w:r>
      <w:r w:rsidR="009473AD" w:rsidRPr="00AD6DEA">
        <w:rPr>
          <w:i/>
          <w:iCs/>
        </w:rPr>
        <w:t xml:space="preserve"> unavailable. If you choose not to use a calculation, all of the fields will be available.</w:t>
      </w:r>
    </w:p>
    <w:p w14:paraId="76A05B23" w14:textId="7BFADF4B" w:rsidR="009473AD" w:rsidRPr="00C553C5" w:rsidRDefault="009473AD" w:rsidP="004F45B6">
      <w:pPr>
        <w:pStyle w:val="BodyText"/>
        <w:keepNext/>
        <w:keepLines/>
        <w:numPr>
          <w:ilvl w:val="0"/>
          <w:numId w:val="108"/>
        </w:numPr>
        <w:ind w:left="547"/>
      </w:pPr>
      <w:r w:rsidRPr="00C553C5">
        <w:rPr>
          <w:b/>
          <w:bCs/>
        </w:rPr>
        <w:lastRenderedPageBreak/>
        <w:t>Flag Red Limit</w:t>
      </w:r>
      <w:r w:rsidRPr="00C553C5">
        <w:t xml:space="preserve"> </w:t>
      </w:r>
      <w:r w:rsidR="00AD6DEA">
        <w:t>–</w:t>
      </w:r>
      <w:r w:rsidRPr="00C553C5">
        <w:t xml:space="preserve"> You can choose to have a certain degree of pocket depth and clinical attachment level be displayed in red. As measurements are entered, if the pocket depth or CAL is equal to or greater than the selected red flag limit, the measurement will be displayed in red on the data chart.</w:t>
      </w:r>
    </w:p>
    <w:p w14:paraId="00D54BC0" w14:textId="5AC55CE3" w:rsidR="009473AD" w:rsidRPr="00AA6AB3" w:rsidRDefault="003B6C2F" w:rsidP="00C553C5">
      <w:pPr>
        <w:pStyle w:val="BodyText"/>
        <w:ind w:left="540"/>
        <w:rPr>
          <w:i/>
          <w:iCs/>
        </w:rPr>
      </w:pPr>
      <w:r>
        <w:rPr>
          <w:noProof/>
        </w:rPr>
        <w:drawing>
          <wp:anchor distT="0" distB="0" distL="0" distR="91440" simplePos="0" relativeHeight="252022788" behindDoc="1" locked="0" layoutInCell="1" allowOverlap="1" wp14:anchorId="608967F9" wp14:editId="2014C873">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589325445"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AA6AB3">
        <w:rPr>
          <w:b/>
          <w:bCs/>
          <w:i/>
          <w:iCs/>
        </w:rPr>
        <w:t>Workflow</w:t>
      </w:r>
      <w:r w:rsidR="00AD6DEA" w:rsidRPr="00AA6AB3">
        <w:rPr>
          <w:b/>
          <w:bCs/>
          <w:i/>
          <w:iCs/>
        </w:rPr>
        <w:t xml:space="preserve"> Insight</w:t>
      </w:r>
      <w:r w:rsidR="00AD6DEA" w:rsidRPr="00AA6AB3">
        <w:rPr>
          <w:i/>
          <w:iCs/>
        </w:rPr>
        <w:t>:</w:t>
      </w:r>
      <w:r w:rsidR="009473AD" w:rsidRPr="00AA6AB3">
        <w:rPr>
          <w:i/>
          <w:iCs/>
        </w:rPr>
        <w:t xml:space="preserve"> Measurements can be flagged red in the graphic chart, as well. However, only the area on or above the selected limit is displayed in red. The area below the limit is displayed in green (the default color). If you want to display the area above and below the limit in red, select </w:t>
      </w:r>
      <w:r w:rsidR="009473AD" w:rsidRPr="00AA6AB3">
        <w:rPr>
          <w:b/>
          <w:bCs/>
          <w:i/>
          <w:iCs/>
        </w:rPr>
        <w:t>All Red in Graphic Chart</w:t>
      </w:r>
      <w:r w:rsidR="009473AD" w:rsidRPr="00AA6AB3">
        <w:rPr>
          <w:i/>
          <w:iCs/>
        </w:rPr>
        <w:t xml:space="preserve"> to help you locate problem areas faster.</w:t>
      </w:r>
    </w:p>
    <w:p w14:paraId="11C7A5F2" w14:textId="77AA2796" w:rsidR="009473AD" w:rsidRPr="00C553C5" w:rsidRDefault="009473AD" w:rsidP="004F45B6">
      <w:pPr>
        <w:pStyle w:val="BodyText"/>
        <w:numPr>
          <w:ilvl w:val="0"/>
          <w:numId w:val="108"/>
        </w:numPr>
        <w:ind w:left="540"/>
      </w:pPr>
      <w:r w:rsidRPr="00C553C5">
        <w:rPr>
          <w:b/>
          <w:bCs/>
        </w:rPr>
        <w:t>Path Settings</w:t>
      </w:r>
      <w:r w:rsidRPr="00C553C5">
        <w:t xml:space="preserve"> </w:t>
      </w:r>
      <w:r w:rsidR="00AA6AB3">
        <w:t>–</w:t>
      </w:r>
      <w:r w:rsidRPr="00C553C5">
        <w:t xml:space="preserve"> Path settings dictate the sequential order of movement through the probing areas of each individual tooth. Since each care provider will not take the same measurements in the same order, Dentrix Enterprise allows the path settings to be customized.</w:t>
      </w:r>
    </w:p>
    <w:p w14:paraId="3335FA4D" w14:textId="0C4D4EDB" w:rsidR="009473AD" w:rsidRPr="00AA6AB3" w:rsidRDefault="003B6C2F" w:rsidP="00C553C5">
      <w:pPr>
        <w:pStyle w:val="BodyText"/>
        <w:ind w:left="540"/>
        <w:rPr>
          <w:i/>
          <w:iCs/>
        </w:rPr>
      </w:pPr>
      <w:r>
        <w:rPr>
          <w:noProof/>
        </w:rPr>
        <w:drawing>
          <wp:anchor distT="0" distB="0" distL="0" distR="91440" simplePos="0" relativeHeight="252024836" behindDoc="1" locked="0" layoutInCell="1" allowOverlap="1" wp14:anchorId="0CD6E3E1" wp14:editId="585AA437">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995280232"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AA6AB3">
        <w:rPr>
          <w:b/>
          <w:bCs/>
          <w:i/>
          <w:iCs/>
        </w:rPr>
        <w:t xml:space="preserve">Workflow </w:t>
      </w:r>
      <w:r w:rsidR="00AA6AB3" w:rsidRPr="00AA6AB3">
        <w:rPr>
          <w:b/>
          <w:bCs/>
          <w:i/>
          <w:iCs/>
        </w:rPr>
        <w:t>I</w:t>
      </w:r>
      <w:r w:rsidR="009473AD" w:rsidRPr="00AA6AB3">
        <w:rPr>
          <w:b/>
          <w:bCs/>
          <w:i/>
          <w:iCs/>
        </w:rPr>
        <w:t>nsight</w:t>
      </w:r>
      <w:r w:rsidR="00AA6AB3" w:rsidRPr="00AA6AB3">
        <w:rPr>
          <w:i/>
          <w:iCs/>
        </w:rPr>
        <w:t>:</w:t>
      </w:r>
      <w:r w:rsidR="009473AD" w:rsidRPr="00AA6AB3">
        <w:rPr>
          <w:i/>
          <w:iCs/>
        </w:rPr>
        <w:t xml:space="preserve"> By default, Dentrix Enterprise has two paths: </w:t>
      </w:r>
      <w:r w:rsidR="009473AD" w:rsidRPr="00AA6AB3">
        <w:rPr>
          <w:b/>
          <w:bCs/>
          <w:i/>
          <w:iCs/>
        </w:rPr>
        <w:t>P1</w:t>
      </w:r>
      <w:r w:rsidR="009473AD" w:rsidRPr="00AA6AB3">
        <w:rPr>
          <w:i/>
          <w:iCs/>
        </w:rPr>
        <w:t xml:space="preserve"> and </w:t>
      </w:r>
      <w:r w:rsidR="009473AD" w:rsidRPr="00AA6AB3">
        <w:rPr>
          <w:b/>
          <w:bCs/>
          <w:i/>
          <w:iCs/>
        </w:rPr>
        <w:t>P2</w:t>
      </w:r>
      <w:r w:rsidR="009473AD" w:rsidRPr="00AA6AB3">
        <w:rPr>
          <w:i/>
          <w:iCs/>
        </w:rPr>
        <w:t xml:space="preserve">. Both paths move you through entering pocket depths, bleeding, and suppuration measurements. </w:t>
      </w:r>
      <w:r w:rsidR="009473AD" w:rsidRPr="00AA6AB3">
        <w:rPr>
          <w:b/>
          <w:bCs/>
          <w:i/>
          <w:iCs/>
        </w:rPr>
        <w:t>P1</w:t>
      </w:r>
      <w:r w:rsidR="009473AD" w:rsidRPr="00AA6AB3">
        <w:rPr>
          <w:i/>
          <w:iCs/>
        </w:rPr>
        <w:t xml:space="preserve"> charts from left (the provider's left) to right, and </w:t>
      </w:r>
      <w:r w:rsidR="009473AD" w:rsidRPr="00AA6AB3">
        <w:rPr>
          <w:b/>
          <w:bCs/>
          <w:i/>
          <w:iCs/>
        </w:rPr>
        <w:t>P2</w:t>
      </w:r>
      <w:r w:rsidR="009473AD" w:rsidRPr="00AA6AB3">
        <w:rPr>
          <w:i/>
          <w:iCs/>
        </w:rPr>
        <w:t xml:space="preserve"> charts from right (the provider's right) to left.</w:t>
      </w:r>
    </w:p>
    <w:p w14:paraId="61AC4431" w14:textId="7B787B2E" w:rsidR="009473AD" w:rsidRPr="00C553C5" w:rsidRDefault="009473AD" w:rsidP="00C553C5">
      <w:pPr>
        <w:pStyle w:val="BodyText"/>
        <w:ind w:left="540"/>
      </w:pPr>
      <w:r w:rsidRPr="00C553C5">
        <w:t>You can customize the default paths or create up to two more paths.</w:t>
      </w:r>
      <w:r w:rsidR="00AA6AB3">
        <w:t xml:space="preserve"> </w:t>
      </w:r>
      <w:r w:rsidRPr="00C553C5">
        <w:t xml:space="preserve">For a given path, in the </w:t>
      </w:r>
      <w:r w:rsidRPr="00AA6AB3">
        <w:rPr>
          <w:b/>
          <w:bCs/>
        </w:rPr>
        <w:t>Name</w:t>
      </w:r>
      <w:r w:rsidRPr="00C553C5">
        <w:t xml:space="preserve"> field, type the name of the path to represent the measurements th</w:t>
      </w:r>
      <w:r w:rsidR="00AA6AB3">
        <w:t>at</w:t>
      </w:r>
      <w:r w:rsidRPr="00C553C5">
        <w:t xml:space="preserve"> will be charted (for example, PBSL might indicate Pocket Depth Bleeding Suppuration from Left to Right.) The name can be up to six characters </w:t>
      </w:r>
      <w:r w:rsidR="00AA6AB3">
        <w:t>long</w:t>
      </w:r>
      <w:r w:rsidRPr="00C553C5">
        <w:t>.</w:t>
      </w:r>
    </w:p>
    <w:p w14:paraId="28C0FCB8" w14:textId="55BDA3E5" w:rsidR="009473AD" w:rsidRPr="00C553C5" w:rsidRDefault="009473AD" w:rsidP="004F45B6">
      <w:pPr>
        <w:pStyle w:val="BodyText"/>
        <w:keepNext/>
        <w:keepLines/>
        <w:numPr>
          <w:ilvl w:val="0"/>
          <w:numId w:val="108"/>
        </w:numPr>
        <w:ind w:left="547"/>
      </w:pPr>
      <w:r w:rsidRPr="00C553C5">
        <w:rPr>
          <w:b/>
          <w:bCs/>
        </w:rPr>
        <w:t>Script Settings</w:t>
      </w:r>
      <w:r w:rsidRPr="00C553C5">
        <w:t xml:space="preserve"> </w:t>
      </w:r>
      <w:r w:rsidR="00AA6AB3">
        <w:t>–</w:t>
      </w:r>
      <w:r w:rsidRPr="00C553C5">
        <w:t xml:space="preserve"> Whereas path settings determine the entry method for the measurements, direction, and processes that will occur on each tooth that is examined, script settings dictate the sequential order of movement from tooth to tooth with the ability to designate the facial and lingual surfaces.  </w:t>
      </w:r>
    </w:p>
    <w:p w14:paraId="0EABEE6C" w14:textId="285AB3EA" w:rsidR="009473AD" w:rsidRPr="00AA6AB3" w:rsidRDefault="003B6C2F" w:rsidP="00C553C5">
      <w:pPr>
        <w:pStyle w:val="BodyText"/>
        <w:ind w:left="540"/>
        <w:rPr>
          <w:i/>
          <w:iCs/>
        </w:rPr>
      </w:pPr>
      <w:r>
        <w:rPr>
          <w:noProof/>
        </w:rPr>
        <w:drawing>
          <wp:anchor distT="0" distB="0" distL="0" distR="91440" simplePos="0" relativeHeight="252026884" behindDoc="1" locked="0" layoutInCell="1" allowOverlap="1" wp14:anchorId="3AB4DAFF" wp14:editId="27236844">
            <wp:simplePos x="0" y="0"/>
            <wp:positionH relativeFrom="column">
              <wp:posOffset>-457200</wp:posOffset>
            </wp:positionH>
            <wp:positionV relativeFrom="paragraph">
              <wp:posOffset>91440</wp:posOffset>
            </wp:positionV>
            <wp:extent cx="365760" cy="365760"/>
            <wp:effectExtent l="0" t="0" r="0" b="0"/>
            <wp:wrapTight wrapText="right">
              <wp:wrapPolygon edited="0">
                <wp:start x="0" y="0"/>
                <wp:lineTo x="0" y="20250"/>
                <wp:lineTo x="20250" y="20250"/>
                <wp:lineTo x="20250" y="0"/>
                <wp:lineTo x="0" y="0"/>
              </wp:wrapPolygon>
            </wp:wrapTight>
            <wp:docPr id="1538937033"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2976"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473AD" w:rsidRPr="00AA6AB3">
        <w:rPr>
          <w:b/>
          <w:bCs/>
          <w:i/>
          <w:iCs/>
        </w:rPr>
        <w:t xml:space="preserve">Workflow </w:t>
      </w:r>
      <w:r w:rsidR="00AA6AB3" w:rsidRPr="00AA6AB3">
        <w:rPr>
          <w:b/>
          <w:bCs/>
          <w:i/>
          <w:iCs/>
        </w:rPr>
        <w:t>I</w:t>
      </w:r>
      <w:r w:rsidR="009473AD" w:rsidRPr="00AA6AB3">
        <w:rPr>
          <w:b/>
          <w:bCs/>
          <w:i/>
          <w:iCs/>
        </w:rPr>
        <w:t>nsight</w:t>
      </w:r>
      <w:r w:rsidR="00AA6AB3" w:rsidRPr="00AA6AB3">
        <w:rPr>
          <w:i/>
          <w:iCs/>
        </w:rPr>
        <w:t>:</w:t>
      </w:r>
      <w:r w:rsidR="009473AD" w:rsidRPr="00AA6AB3">
        <w:rPr>
          <w:i/>
          <w:iCs/>
        </w:rPr>
        <w:t xml:space="preserve"> The default Dentrix Enterprise script starts you on tooth number 1 on the facial side. The script advances from left to right, advancing from tooth 1 until reaching the end of the arch at tooth 16. At the end of the arch, the script reverses direction, advancing from tooth 16 back to tooth 1 on the lingual side. Next, the script drops down to the lower arch and advances from tooth 32 to 17 on the facial side. Finally, the script reverses again and advances from tooth 17 to tooth 32 on the lingual side.</w:t>
      </w:r>
    </w:p>
    <w:p w14:paraId="43565641" w14:textId="2BAFB93A" w:rsidR="009473AD" w:rsidRPr="00C553C5" w:rsidRDefault="009473AD" w:rsidP="00C553C5">
      <w:pPr>
        <w:pStyle w:val="BodyText"/>
        <w:ind w:left="540"/>
      </w:pPr>
      <w:r w:rsidRPr="00C553C5">
        <w:t>You can customize the default script or create up to two more scripts. The selected script will be used during the examination.</w:t>
      </w:r>
    </w:p>
    <w:p w14:paraId="15157D05" w14:textId="0A5198DA" w:rsidR="009473AD" w:rsidRPr="00C553C5" w:rsidRDefault="00AA6AB3" w:rsidP="00AA6AB3">
      <w:pPr>
        <w:pStyle w:val="BodyText"/>
      </w:pPr>
      <w:r>
        <w:t xml:space="preserve">Set up the </w:t>
      </w:r>
      <w:r w:rsidRPr="00AA6AB3">
        <w:rPr>
          <w:b/>
          <w:bCs/>
        </w:rPr>
        <w:t>Display Options</w:t>
      </w:r>
      <w:r w:rsidR="009473AD" w:rsidRPr="00AA6AB3">
        <w:t xml:space="preserve"> </w:t>
      </w:r>
      <w:r>
        <w:t>to c</w:t>
      </w:r>
      <w:r w:rsidR="009473AD" w:rsidRPr="00C553C5">
        <w:t>hoose which data elements to show and customize the color of certain objects on the graphic chart in Perio Chart</w:t>
      </w:r>
      <w:r>
        <w:t>:</w:t>
      </w:r>
    </w:p>
    <w:p w14:paraId="7469E4D5" w14:textId="77777777" w:rsidR="009473AD" w:rsidRPr="00C553C5" w:rsidRDefault="009473AD" w:rsidP="004F45B6">
      <w:pPr>
        <w:pStyle w:val="BodyText"/>
        <w:numPr>
          <w:ilvl w:val="0"/>
          <w:numId w:val="110"/>
        </w:numPr>
        <w:ind w:left="540"/>
      </w:pPr>
      <w:r w:rsidRPr="00C553C5">
        <w:t xml:space="preserve">Select or clear the check box of any of the following data elements you want to show or hide: </w:t>
      </w:r>
      <w:r w:rsidRPr="00AA6AB3">
        <w:rPr>
          <w:b/>
          <w:bCs/>
        </w:rPr>
        <w:t>Gingival Margin</w:t>
      </w:r>
      <w:r w:rsidRPr="00C553C5">
        <w:t xml:space="preserve">, </w:t>
      </w:r>
      <w:r w:rsidRPr="00AA6AB3">
        <w:rPr>
          <w:b/>
          <w:bCs/>
        </w:rPr>
        <w:t>CAL</w:t>
      </w:r>
      <w:r w:rsidRPr="00C553C5">
        <w:t xml:space="preserve">, </w:t>
      </w:r>
      <w:r w:rsidRPr="00AA6AB3">
        <w:rPr>
          <w:b/>
          <w:bCs/>
        </w:rPr>
        <w:t>Probing Depth</w:t>
      </w:r>
      <w:r w:rsidRPr="00C553C5">
        <w:t xml:space="preserve">, </w:t>
      </w:r>
      <w:r w:rsidRPr="00AA6AB3">
        <w:rPr>
          <w:b/>
          <w:bCs/>
        </w:rPr>
        <w:t>Bleeding</w:t>
      </w:r>
      <w:r w:rsidRPr="00C553C5">
        <w:t xml:space="preserve">, </w:t>
      </w:r>
      <w:r w:rsidRPr="00AA6AB3">
        <w:rPr>
          <w:b/>
          <w:bCs/>
        </w:rPr>
        <w:t>Suppuration</w:t>
      </w:r>
      <w:r w:rsidRPr="00C553C5">
        <w:t xml:space="preserve">, </w:t>
      </w:r>
      <w:r w:rsidRPr="00AA6AB3">
        <w:rPr>
          <w:b/>
          <w:bCs/>
        </w:rPr>
        <w:t>MGJ</w:t>
      </w:r>
      <w:r w:rsidRPr="00C553C5">
        <w:t xml:space="preserve">, </w:t>
      </w:r>
      <w:r w:rsidRPr="00AA6AB3">
        <w:rPr>
          <w:b/>
          <w:bCs/>
        </w:rPr>
        <w:t>Mobility</w:t>
      </w:r>
      <w:r w:rsidRPr="00C553C5">
        <w:t xml:space="preserve">, and/or </w:t>
      </w:r>
      <w:r w:rsidRPr="00AA6AB3">
        <w:rPr>
          <w:b/>
          <w:bCs/>
        </w:rPr>
        <w:t>Furcation</w:t>
      </w:r>
      <w:r w:rsidRPr="00C553C5">
        <w:t>.</w:t>
      </w:r>
    </w:p>
    <w:p w14:paraId="1D7CAC2D" w14:textId="77777777" w:rsidR="009473AD" w:rsidRPr="00C553C5" w:rsidRDefault="009473AD" w:rsidP="004F45B6">
      <w:pPr>
        <w:pStyle w:val="BodyText"/>
        <w:numPr>
          <w:ilvl w:val="0"/>
          <w:numId w:val="110"/>
        </w:numPr>
        <w:ind w:left="540"/>
      </w:pPr>
      <w:r w:rsidRPr="00AA6AB3">
        <w:rPr>
          <w:b/>
          <w:bCs/>
        </w:rPr>
        <w:t>Red Flag Limit</w:t>
      </w:r>
      <w:r w:rsidRPr="00C553C5">
        <w:t xml:space="preserve">, </w:t>
      </w:r>
      <w:r w:rsidRPr="00AA6AB3">
        <w:rPr>
          <w:b/>
          <w:bCs/>
        </w:rPr>
        <w:t>Background</w:t>
      </w:r>
      <w:r w:rsidRPr="00C553C5">
        <w:t xml:space="preserve">, and </w:t>
      </w:r>
      <w:r w:rsidRPr="00AA6AB3">
        <w:rPr>
          <w:b/>
          <w:bCs/>
        </w:rPr>
        <w:t>Tooth Roots</w:t>
      </w:r>
      <w:r w:rsidRPr="00C553C5">
        <w:t xml:space="preserve"> are always shown.</w:t>
      </w:r>
    </w:p>
    <w:p w14:paraId="52E60A4C" w14:textId="77777777" w:rsidR="009473AD" w:rsidRPr="00C553C5" w:rsidRDefault="009473AD" w:rsidP="004F45B6">
      <w:pPr>
        <w:pStyle w:val="BodyText"/>
        <w:numPr>
          <w:ilvl w:val="0"/>
          <w:numId w:val="110"/>
        </w:numPr>
        <w:ind w:left="540"/>
      </w:pPr>
      <w:r w:rsidRPr="00C553C5">
        <w:t xml:space="preserve">If you want to change the color for any of the data elements that have a color, click the color swatch next to the corresponding element to open the </w:t>
      </w:r>
      <w:r w:rsidRPr="00AA6AB3">
        <w:rPr>
          <w:b/>
          <w:bCs/>
        </w:rPr>
        <w:t>Colors</w:t>
      </w:r>
      <w:r w:rsidRPr="00C553C5">
        <w:t xml:space="preserve"> dialog box and choose the desired color.</w:t>
      </w:r>
    </w:p>
    <w:p w14:paraId="39856102" w14:textId="77777777" w:rsidR="00C553C5" w:rsidRDefault="009473AD" w:rsidP="004F45B6">
      <w:pPr>
        <w:pStyle w:val="BodyText"/>
        <w:numPr>
          <w:ilvl w:val="0"/>
          <w:numId w:val="110"/>
        </w:numPr>
        <w:ind w:left="540"/>
      </w:pPr>
      <w:r w:rsidRPr="00C553C5">
        <w:t>To change the colors used for exam comparisons</w:t>
      </w:r>
      <w:r w:rsidR="00C553C5">
        <w:t>:</w:t>
      </w:r>
    </w:p>
    <w:p w14:paraId="58080B44" w14:textId="77777777" w:rsidR="00C553C5" w:rsidRDefault="00C553C5" w:rsidP="004F45B6">
      <w:pPr>
        <w:pStyle w:val="BodyText"/>
        <w:numPr>
          <w:ilvl w:val="1"/>
          <w:numId w:val="110"/>
        </w:numPr>
        <w:ind w:left="1080"/>
      </w:pPr>
      <w:r>
        <w:t>C</w:t>
      </w:r>
      <w:r w:rsidR="009473AD" w:rsidRPr="00C553C5">
        <w:t xml:space="preserve">lick the </w:t>
      </w:r>
      <w:r w:rsidR="009473AD" w:rsidRPr="00AA6AB3">
        <w:rPr>
          <w:b/>
          <w:bCs/>
        </w:rPr>
        <w:t>Comparison Colors</w:t>
      </w:r>
      <w:r w:rsidR="009473AD" w:rsidRPr="00C553C5">
        <w:t xml:space="preserve"> button.</w:t>
      </w:r>
    </w:p>
    <w:p w14:paraId="03BAB523" w14:textId="20F0FC34" w:rsidR="00C553C5" w:rsidRDefault="009473AD" w:rsidP="00AA6AB3">
      <w:pPr>
        <w:pStyle w:val="BodyText"/>
        <w:ind w:left="1080"/>
      </w:pPr>
      <w:r w:rsidRPr="00C553C5">
        <w:t xml:space="preserve">The </w:t>
      </w:r>
      <w:r w:rsidRPr="00AA6AB3">
        <w:rPr>
          <w:b/>
          <w:bCs/>
        </w:rPr>
        <w:t>Comparison Colors</w:t>
      </w:r>
      <w:r w:rsidRPr="00C553C5">
        <w:t xml:space="preserve"> dialog box appears.</w:t>
      </w:r>
    </w:p>
    <w:p w14:paraId="5F0D7F7E" w14:textId="77777777" w:rsidR="00C553C5" w:rsidRDefault="009473AD" w:rsidP="004F45B6">
      <w:pPr>
        <w:pStyle w:val="BodyText"/>
        <w:numPr>
          <w:ilvl w:val="1"/>
          <w:numId w:val="110"/>
        </w:numPr>
        <w:ind w:left="1080"/>
      </w:pPr>
      <w:r w:rsidRPr="00C553C5">
        <w:t xml:space="preserve">Click a color swatch to customize the color for that exam. Click </w:t>
      </w:r>
      <w:r w:rsidRPr="00AA6AB3">
        <w:rPr>
          <w:b/>
          <w:bCs/>
        </w:rPr>
        <w:t>Defaults</w:t>
      </w:r>
      <w:r w:rsidRPr="00C553C5">
        <w:t xml:space="preserve"> if you want to return the comparison colors to the default colors when Dentrix Enterprise was originally installed. Click </w:t>
      </w:r>
      <w:r w:rsidRPr="00AA6AB3">
        <w:rPr>
          <w:b/>
          <w:bCs/>
        </w:rPr>
        <w:t>OK</w:t>
      </w:r>
      <w:r w:rsidRPr="00C553C5">
        <w:t xml:space="preserve"> to save the color changes.</w:t>
      </w:r>
    </w:p>
    <w:p w14:paraId="271565CB" w14:textId="302037E8" w:rsidR="009473AD" w:rsidRPr="00C553C5" w:rsidRDefault="009473AD" w:rsidP="004F45B6">
      <w:pPr>
        <w:pStyle w:val="BodyText"/>
        <w:numPr>
          <w:ilvl w:val="0"/>
          <w:numId w:val="110"/>
        </w:numPr>
        <w:ind w:left="540"/>
      </w:pPr>
      <w:r w:rsidRPr="00C553C5">
        <w:lastRenderedPageBreak/>
        <w:t xml:space="preserve">If you want to return the color settings for the data elements but not the comparison colors to the default colors when Dentrix Enterprise was originally installed, click </w:t>
      </w:r>
      <w:r w:rsidRPr="00AA6AB3">
        <w:rPr>
          <w:b/>
          <w:bCs/>
        </w:rPr>
        <w:t>Defaults</w:t>
      </w:r>
      <w:r w:rsidRPr="00C553C5">
        <w:t>.</w:t>
      </w:r>
    </w:p>
    <w:p w14:paraId="62CA3966" w14:textId="77777777" w:rsidR="00E745C2" w:rsidRDefault="009473AD" w:rsidP="00D42C5A">
      <w:pPr>
        <w:pStyle w:val="Heading3"/>
      </w:pPr>
      <w:bookmarkStart w:id="254" w:name="_Toc135416750"/>
      <w:bookmarkStart w:id="255" w:name="_Toc166834405"/>
      <w:r w:rsidRPr="00E45677">
        <w:t>Prescriptions</w:t>
      </w:r>
      <w:bookmarkEnd w:id="254"/>
      <w:bookmarkEnd w:id="255"/>
    </w:p>
    <w:p w14:paraId="3AF57B7F" w14:textId="5B1CE16B" w:rsidR="009473AD" w:rsidRPr="00C553C5" w:rsidRDefault="00372A97" w:rsidP="00C553C5">
      <w:pPr>
        <w:pStyle w:val="BodyText"/>
      </w:pPr>
      <w:r>
        <w:t xml:space="preserve">Patient </w:t>
      </w:r>
      <w:r w:rsidR="009473AD" w:rsidRPr="00E24F38">
        <w:t>Prescriptions can help you quickly create and accurately track medicines</w:t>
      </w:r>
      <w:r>
        <w:t xml:space="preserve"> that providers</w:t>
      </w:r>
      <w:r w:rsidR="009473AD" w:rsidRPr="00E24F38">
        <w:t xml:space="preserve"> prescribe to your patients.</w:t>
      </w:r>
    </w:p>
    <w:p w14:paraId="768F794C" w14:textId="331D3D12" w:rsidR="009473AD" w:rsidRDefault="009473AD" w:rsidP="00C553C5">
      <w:pPr>
        <w:pStyle w:val="BodyText"/>
      </w:pPr>
      <w:r w:rsidRPr="00215157">
        <w:t xml:space="preserve">Do </w:t>
      </w:r>
      <w:r w:rsidR="00372A97">
        <w:t>any</w:t>
      </w:r>
      <w:r w:rsidRPr="00215157">
        <w:t xml:space="preserve"> of the following:</w:t>
      </w:r>
    </w:p>
    <w:p w14:paraId="792D415B" w14:textId="77777777" w:rsidR="009473AD" w:rsidRPr="00C553C5" w:rsidRDefault="009473AD" w:rsidP="004F45B6">
      <w:pPr>
        <w:pStyle w:val="BodyText"/>
        <w:numPr>
          <w:ilvl w:val="0"/>
          <w:numId w:val="108"/>
        </w:numPr>
        <w:ind w:left="540"/>
      </w:pPr>
      <w:r w:rsidRPr="00C553C5">
        <w:t xml:space="preserve">Click </w:t>
      </w:r>
      <w:r w:rsidRPr="00372A97">
        <w:rPr>
          <w:b/>
          <w:bCs/>
        </w:rPr>
        <w:t>New</w:t>
      </w:r>
      <w:r w:rsidRPr="00C553C5">
        <w:t xml:space="preserve"> to add a prescription. The </w:t>
      </w:r>
      <w:r w:rsidRPr="00372A97">
        <w:rPr>
          <w:b/>
          <w:bCs/>
        </w:rPr>
        <w:t>New Standard Prescription</w:t>
      </w:r>
      <w:r w:rsidRPr="00C553C5">
        <w:t xml:space="preserve"> dialog box appears.</w:t>
      </w:r>
    </w:p>
    <w:p w14:paraId="58313DDD" w14:textId="77777777" w:rsidR="009473AD" w:rsidRPr="00C553C5" w:rsidRDefault="009473AD" w:rsidP="004F45B6">
      <w:pPr>
        <w:pStyle w:val="BodyText"/>
        <w:numPr>
          <w:ilvl w:val="0"/>
          <w:numId w:val="108"/>
        </w:numPr>
        <w:ind w:left="540"/>
      </w:pPr>
      <w:r w:rsidRPr="00C553C5">
        <w:t xml:space="preserve">Select an existing prescription, and then click </w:t>
      </w:r>
      <w:r w:rsidRPr="00372A97">
        <w:rPr>
          <w:b/>
          <w:bCs/>
        </w:rPr>
        <w:t>Edit</w:t>
      </w:r>
      <w:r w:rsidRPr="00C553C5">
        <w:t xml:space="preserve"> to edit that prescription. The </w:t>
      </w:r>
      <w:r w:rsidRPr="00372A97">
        <w:rPr>
          <w:b/>
          <w:bCs/>
        </w:rPr>
        <w:t>Edit Standard Prescription</w:t>
      </w:r>
      <w:r w:rsidRPr="00C553C5">
        <w:t xml:space="preserve"> dialog box appears.</w:t>
      </w:r>
    </w:p>
    <w:p w14:paraId="741F2039" w14:textId="418BCD6A" w:rsidR="009473AD" w:rsidRPr="00372A97" w:rsidRDefault="00D82038" w:rsidP="00C553C5">
      <w:pPr>
        <w:pStyle w:val="BodyText"/>
        <w:rPr>
          <w:i/>
          <w:iCs/>
        </w:rPr>
      </w:pPr>
      <w:r>
        <w:rPr>
          <w:noProof/>
        </w:rPr>
        <w:drawing>
          <wp:anchor distT="0" distB="0" distL="0" distR="91440" simplePos="0" relativeHeight="251969540" behindDoc="1" locked="0" layoutInCell="1" allowOverlap="1" wp14:anchorId="2B5433B3" wp14:editId="1463B1A7">
            <wp:simplePos x="0" y="0"/>
            <wp:positionH relativeFrom="column">
              <wp:posOffset>-457200</wp:posOffset>
            </wp:positionH>
            <wp:positionV relativeFrom="paragraph">
              <wp:posOffset>0</wp:posOffset>
            </wp:positionV>
            <wp:extent cx="365760" cy="365760"/>
            <wp:effectExtent l="0" t="0" r="0" b="0"/>
            <wp:wrapTight wrapText="right">
              <wp:wrapPolygon edited="0">
                <wp:start x="0" y="0"/>
                <wp:lineTo x="0" y="20250"/>
                <wp:lineTo x="20250" y="20250"/>
                <wp:lineTo x="20250" y="0"/>
                <wp:lineTo x="0" y="0"/>
              </wp:wrapPolygon>
            </wp:wrapTight>
            <wp:docPr id="1371250734"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473AD" w:rsidRPr="00372A97">
        <w:rPr>
          <w:b/>
          <w:bCs/>
          <w:i/>
          <w:iCs/>
        </w:rPr>
        <w:t xml:space="preserve">Operations </w:t>
      </w:r>
      <w:r w:rsidR="00372A97" w:rsidRPr="00372A97">
        <w:rPr>
          <w:b/>
          <w:bCs/>
          <w:i/>
          <w:iCs/>
        </w:rPr>
        <w:t>Insight</w:t>
      </w:r>
      <w:r w:rsidR="00372A97" w:rsidRPr="00372A97">
        <w:rPr>
          <w:i/>
          <w:iCs/>
        </w:rPr>
        <w:t>:</w:t>
      </w:r>
      <w:r w:rsidR="009473AD" w:rsidRPr="00372A97">
        <w:rPr>
          <w:i/>
          <w:iCs/>
        </w:rPr>
        <w:t xml:space="preserve"> </w:t>
      </w:r>
      <w:r w:rsidR="00372A97" w:rsidRPr="00372A97">
        <w:rPr>
          <w:i/>
          <w:iCs/>
        </w:rPr>
        <w:t>You can enter prescription</w:t>
      </w:r>
      <w:r w:rsidR="00DE69BA">
        <w:rPr>
          <w:i/>
          <w:iCs/>
        </w:rPr>
        <w:t>s</w:t>
      </w:r>
      <w:r w:rsidR="00372A97" w:rsidRPr="00372A97">
        <w:rPr>
          <w:i/>
          <w:iCs/>
        </w:rPr>
        <w:t xml:space="preserve"> </w:t>
      </w:r>
      <w:r w:rsidR="009473AD" w:rsidRPr="00372A97">
        <w:rPr>
          <w:i/>
          <w:iCs/>
        </w:rPr>
        <w:t>as they are prescribed to patients, or a list can be pre-populated in the database.</w:t>
      </w:r>
    </w:p>
    <w:p w14:paraId="59857DA2" w14:textId="77777777" w:rsidR="00E745C2" w:rsidRPr="00E745C2" w:rsidRDefault="009473AD" w:rsidP="00D42C5A">
      <w:pPr>
        <w:pStyle w:val="Heading3"/>
      </w:pPr>
      <w:bookmarkStart w:id="256" w:name="_Toc135416751"/>
      <w:bookmarkStart w:id="257" w:name="_Toc166834406"/>
      <w:r w:rsidRPr="00E745C2">
        <w:t>Ledger Setup</w:t>
      </w:r>
      <w:bookmarkEnd w:id="256"/>
      <w:bookmarkEnd w:id="257"/>
    </w:p>
    <w:p w14:paraId="69241BD9" w14:textId="53FEB3D2" w:rsidR="009473AD" w:rsidRDefault="00372A97" w:rsidP="00E745C2">
      <w:pPr>
        <w:pStyle w:val="BodyText"/>
      </w:pPr>
      <w:r>
        <w:t>You can s</w:t>
      </w:r>
      <w:r w:rsidR="009473AD" w:rsidRPr="00244671">
        <w:t xml:space="preserve">tandardize the system settings </w:t>
      </w:r>
      <w:r>
        <w:t xml:space="preserve">that are </w:t>
      </w:r>
      <w:r w:rsidR="009473AD" w:rsidRPr="00244671">
        <w:t>used across the organization to support your revenue cycle workflows</w:t>
      </w:r>
      <w:r w:rsidR="009473AD">
        <w:t>.</w:t>
      </w:r>
    </w:p>
    <w:p w14:paraId="127BDE89" w14:textId="402D1E01" w:rsidR="009473AD" w:rsidRPr="00454D84" w:rsidRDefault="00D82038" w:rsidP="00C553C5">
      <w:pPr>
        <w:pStyle w:val="BodyText"/>
        <w:rPr>
          <w:color w:val="00B050"/>
        </w:rPr>
      </w:pPr>
      <w:r>
        <w:rPr>
          <w:noProof/>
        </w:rPr>
        <w:drawing>
          <wp:anchor distT="0" distB="0" distL="0" distR="91440" simplePos="0" relativeHeight="251985924" behindDoc="1" locked="0" layoutInCell="1" allowOverlap="1" wp14:anchorId="1DE4EC59" wp14:editId="5F379564">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1885824356"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 for ledger settings here&gt;&gt;</w:t>
      </w:r>
    </w:p>
    <w:p w14:paraId="1ACC9A18" w14:textId="77777777" w:rsidR="00E745C2" w:rsidRDefault="009473AD" w:rsidP="00E92EA5">
      <w:pPr>
        <w:pStyle w:val="Heading4"/>
      </w:pPr>
      <w:r w:rsidRPr="00E45677">
        <w:t>Ledger Colors</w:t>
      </w:r>
    </w:p>
    <w:p w14:paraId="000E9D29" w14:textId="1DE5A02C" w:rsidR="009473AD" w:rsidRPr="00E745C2" w:rsidRDefault="00372A97" w:rsidP="00E745C2">
      <w:pPr>
        <w:pStyle w:val="BodyText"/>
      </w:pPr>
      <w:r>
        <w:t>To q</w:t>
      </w:r>
      <w:r w:rsidR="009473AD" w:rsidRPr="00215157">
        <w:t>uickly identify different financial transaction types, you can assign each transaction type a unique color.</w:t>
      </w:r>
    </w:p>
    <w:p w14:paraId="37C72FC5" w14:textId="1C511480" w:rsidR="009473AD" w:rsidRPr="00454D84" w:rsidRDefault="009473AD" w:rsidP="004F45B6">
      <w:pPr>
        <w:pStyle w:val="BodyText"/>
        <w:numPr>
          <w:ilvl w:val="0"/>
          <w:numId w:val="111"/>
        </w:numPr>
        <w:ind w:left="540"/>
      </w:pPr>
      <w:r w:rsidRPr="00244671">
        <w:t xml:space="preserve">From the </w:t>
      </w:r>
      <w:r w:rsidRPr="00372A97">
        <w:rPr>
          <w:b/>
          <w:bCs/>
        </w:rPr>
        <w:t>Color</w:t>
      </w:r>
      <w:r w:rsidRPr="00244671">
        <w:t xml:space="preserve"> dialog box, choose the desired color, click </w:t>
      </w:r>
      <w:r w:rsidRPr="00372A97">
        <w:rPr>
          <w:b/>
          <w:bCs/>
        </w:rPr>
        <w:t>OK</w:t>
      </w:r>
      <w:r w:rsidRPr="00244671">
        <w:t>, and then assign colors to other transaction types, as appropriate.</w:t>
      </w:r>
    </w:p>
    <w:p w14:paraId="2B396DE8" w14:textId="64E031BC" w:rsidR="009473AD" w:rsidRPr="00E745C2" w:rsidRDefault="009473AD" w:rsidP="004F45B6">
      <w:pPr>
        <w:pStyle w:val="BodyText"/>
        <w:numPr>
          <w:ilvl w:val="0"/>
          <w:numId w:val="111"/>
        </w:numPr>
        <w:ind w:left="540"/>
      </w:pPr>
      <w:r w:rsidRPr="00244671">
        <w:t>The Ledger view shows you all work completed for the patient. The Ledger-Treatment Plan view shows all recommended work not yet completed. To help you distinguish between the two views, you can assign one background color to the Ledger view and another background color to the Ledger-Treatment Plan view (choose a color that will contrast with the other colors).</w:t>
      </w:r>
    </w:p>
    <w:p w14:paraId="6CED4312" w14:textId="77777777" w:rsidR="00E745C2" w:rsidRDefault="009473AD" w:rsidP="00E92EA5">
      <w:pPr>
        <w:pStyle w:val="Heading4"/>
      </w:pPr>
      <w:r w:rsidRPr="00E45677">
        <w:t>Checkout Options</w:t>
      </w:r>
    </w:p>
    <w:p w14:paraId="553A28BC" w14:textId="7B90038C" w:rsidR="009473AD" w:rsidRDefault="009473AD" w:rsidP="00E745C2">
      <w:pPr>
        <w:pStyle w:val="BodyText"/>
      </w:pPr>
      <w:r w:rsidRPr="00215157">
        <w:t xml:space="preserve">In most offices, three tasks are typically completed as a patient checks out after a visit. The </w:t>
      </w:r>
      <w:r w:rsidRPr="00372A97">
        <w:rPr>
          <w:b/>
          <w:bCs/>
        </w:rPr>
        <w:t>Fast Checkout</w:t>
      </w:r>
      <w:r w:rsidRPr="00215157">
        <w:t xml:space="preserve"> button combines these three tasks. With the click of a button</w:t>
      </w:r>
      <w:r w:rsidR="00372A97">
        <w:t>,</w:t>
      </w:r>
      <w:r w:rsidRPr="00215157">
        <w:t xml:space="preserve"> you can collect a payment, generate an insurance claim, and print a receipt. Also, you can have a patient's clinical summary uploaded automatically to his or her patient portal if you have a subscription to use Patient Portal.</w:t>
      </w:r>
    </w:p>
    <w:p w14:paraId="418D4C35" w14:textId="77777777" w:rsidR="009473AD" w:rsidRPr="00244671" w:rsidRDefault="009473AD" w:rsidP="005A5AC4">
      <w:pPr>
        <w:pStyle w:val="BodyText"/>
      </w:pPr>
      <w:r w:rsidRPr="00244671">
        <w:t xml:space="preserve">Select the task options that you want to complete when you click the </w:t>
      </w:r>
      <w:r w:rsidRPr="00372A97">
        <w:rPr>
          <w:b/>
          <w:bCs/>
        </w:rPr>
        <w:t>Fast Checkout</w:t>
      </w:r>
      <w:r w:rsidRPr="00244671">
        <w:t xml:space="preserve"> button:</w:t>
      </w:r>
    </w:p>
    <w:p w14:paraId="64B16046" w14:textId="3F912D8B" w:rsidR="009473AD" w:rsidRDefault="009473AD" w:rsidP="004F45B6">
      <w:pPr>
        <w:pStyle w:val="BodyText"/>
        <w:numPr>
          <w:ilvl w:val="0"/>
          <w:numId w:val="112"/>
        </w:numPr>
        <w:ind w:left="540"/>
      </w:pPr>
      <w:r w:rsidRPr="005A5AC4">
        <w:rPr>
          <w:b/>
          <w:bCs/>
        </w:rPr>
        <w:t>Enter Guarantor Payment</w:t>
      </w:r>
      <w:r w:rsidRPr="00244671">
        <w:t xml:space="preserve"> </w:t>
      </w:r>
      <w:r w:rsidR="00372A97">
        <w:t>–</w:t>
      </w:r>
      <w:r w:rsidRPr="00244671">
        <w:t xml:space="preserve"> </w:t>
      </w:r>
      <w:r w:rsidR="00372A97">
        <w:t>T</w:t>
      </w:r>
      <w:r w:rsidRPr="00244671">
        <w:t xml:space="preserve">o post a patient payment to the Ledger. When you click the </w:t>
      </w:r>
      <w:r w:rsidRPr="00372A97">
        <w:rPr>
          <w:b/>
          <w:bCs/>
        </w:rPr>
        <w:t>Fast Checkout</w:t>
      </w:r>
      <w:r w:rsidRPr="00244671">
        <w:t xml:space="preserve"> button, Dentrix Enterprise opens a dialog box that prompts you to enter a payment.</w:t>
      </w:r>
    </w:p>
    <w:p w14:paraId="0E1B92AC" w14:textId="004E15E5" w:rsidR="009473AD" w:rsidRDefault="009473AD" w:rsidP="004F45B6">
      <w:pPr>
        <w:pStyle w:val="BodyText"/>
        <w:numPr>
          <w:ilvl w:val="0"/>
          <w:numId w:val="112"/>
        </w:numPr>
        <w:ind w:left="540"/>
      </w:pPr>
      <w:r w:rsidRPr="005A5AC4">
        <w:rPr>
          <w:b/>
          <w:bCs/>
        </w:rPr>
        <w:t>Create Insurance Claim</w:t>
      </w:r>
      <w:r w:rsidRPr="00244671">
        <w:t xml:space="preserve"> </w:t>
      </w:r>
      <w:r w:rsidR="00372A97">
        <w:t>–</w:t>
      </w:r>
      <w:r w:rsidRPr="00244671">
        <w:t xml:space="preserve"> </w:t>
      </w:r>
      <w:r w:rsidR="00372A97">
        <w:t>T</w:t>
      </w:r>
      <w:r w:rsidRPr="00244671">
        <w:t>o generate an insurance claim. Also, select whether you want to send the claim to the Batch Processor in the Office Manager (</w:t>
      </w:r>
      <w:r w:rsidRPr="00372A97">
        <w:rPr>
          <w:b/>
          <w:bCs/>
        </w:rPr>
        <w:t>Batch</w:t>
      </w:r>
      <w:r w:rsidRPr="00244671">
        <w:t>) or print the claim immediately (</w:t>
      </w:r>
      <w:r w:rsidRPr="00372A97">
        <w:rPr>
          <w:b/>
          <w:bCs/>
        </w:rPr>
        <w:t>Print</w:t>
      </w:r>
      <w:r w:rsidRPr="00244671">
        <w:t xml:space="preserve">) when you click the </w:t>
      </w:r>
      <w:r w:rsidRPr="00372A97">
        <w:rPr>
          <w:b/>
          <w:bCs/>
        </w:rPr>
        <w:t>Fast Checkout</w:t>
      </w:r>
      <w:r w:rsidRPr="00244671">
        <w:t xml:space="preserve"> button.</w:t>
      </w:r>
    </w:p>
    <w:p w14:paraId="097792B7" w14:textId="4414F3BC" w:rsidR="009473AD" w:rsidRDefault="009473AD" w:rsidP="004F45B6">
      <w:pPr>
        <w:pStyle w:val="BodyText"/>
        <w:numPr>
          <w:ilvl w:val="0"/>
          <w:numId w:val="112"/>
        </w:numPr>
        <w:ind w:left="540"/>
      </w:pPr>
      <w:r w:rsidRPr="005A5AC4">
        <w:rPr>
          <w:b/>
          <w:bCs/>
        </w:rPr>
        <w:t>Walkout</w:t>
      </w:r>
      <w:r w:rsidRPr="00244671">
        <w:t xml:space="preserve"> </w:t>
      </w:r>
      <w:r w:rsidR="00372A97">
        <w:t>–</w:t>
      </w:r>
      <w:r w:rsidRPr="00244671">
        <w:t xml:space="preserve"> </w:t>
      </w:r>
      <w:r w:rsidR="00372A97">
        <w:t>To</w:t>
      </w:r>
      <w:r w:rsidRPr="00244671">
        <w:t xml:space="preserve"> print a receipt for the patient. Also, select whether you want to send the report to the Batch Processor in the Office Manager (</w:t>
      </w:r>
      <w:r w:rsidRPr="00372A97">
        <w:rPr>
          <w:b/>
          <w:bCs/>
        </w:rPr>
        <w:t>Batch</w:t>
      </w:r>
      <w:r w:rsidRPr="00244671">
        <w:t>) or print the report immediately (</w:t>
      </w:r>
      <w:r w:rsidRPr="00372A97">
        <w:rPr>
          <w:b/>
          <w:bCs/>
        </w:rPr>
        <w:t>Print</w:t>
      </w:r>
      <w:r w:rsidRPr="00244671">
        <w:t xml:space="preserve">) when you click the </w:t>
      </w:r>
      <w:r w:rsidRPr="00372A97">
        <w:rPr>
          <w:b/>
          <w:bCs/>
        </w:rPr>
        <w:t>Fast Checkout</w:t>
      </w:r>
      <w:r w:rsidRPr="00244671">
        <w:t xml:space="preserve"> button.</w:t>
      </w:r>
    </w:p>
    <w:p w14:paraId="14014B89" w14:textId="03493AFC" w:rsidR="009473AD" w:rsidRPr="00244671" w:rsidRDefault="009473AD" w:rsidP="004F45B6">
      <w:pPr>
        <w:pStyle w:val="BodyText"/>
        <w:numPr>
          <w:ilvl w:val="0"/>
          <w:numId w:val="112"/>
        </w:numPr>
        <w:ind w:left="540"/>
      </w:pPr>
      <w:r w:rsidRPr="005A5AC4">
        <w:rPr>
          <w:b/>
          <w:bCs/>
        </w:rPr>
        <w:lastRenderedPageBreak/>
        <w:t>Send Clinical Summary to Portal</w:t>
      </w:r>
      <w:r w:rsidRPr="00244671">
        <w:t xml:space="preserve"> </w:t>
      </w:r>
      <w:r w:rsidR="00372A97">
        <w:t>–</w:t>
      </w:r>
      <w:r w:rsidRPr="00244671">
        <w:t xml:space="preserve"> </w:t>
      </w:r>
      <w:r w:rsidR="00372A97">
        <w:t>T</w:t>
      </w:r>
      <w:r w:rsidRPr="00244671">
        <w:t>o send a clinical summary for the patient for whom you perform a fast checkout to his or her patient portal.</w:t>
      </w:r>
    </w:p>
    <w:p w14:paraId="10BB9260" w14:textId="425B7002" w:rsidR="009473AD" w:rsidRPr="00372A97" w:rsidRDefault="001B702E" w:rsidP="005A5AC4">
      <w:pPr>
        <w:pStyle w:val="BodyText"/>
        <w:ind w:left="540"/>
        <w:rPr>
          <w:i/>
          <w:iCs/>
        </w:rPr>
      </w:pPr>
      <w:r>
        <w:rPr>
          <w:noProof/>
        </w:rPr>
        <w:drawing>
          <wp:anchor distT="0" distB="0" distL="0" distR="91440" simplePos="0" relativeHeight="251998212" behindDoc="0" locked="0" layoutInCell="1" allowOverlap="1" wp14:anchorId="48E4C435" wp14:editId="1D50674E">
            <wp:simplePos x="0" y="0"/>
            <wp:positionH relativeFrom="column">
              <wp:posOffset>-457200</wp:posOffset>
            </wp:positionH>
            <wp:positionV relativeFrom="paragraph">
              <wp:posOffset>91440</wp:posOffset>
            </wp:positionV>
            <wp:extent cx="365981" cy="420624"/>
            <wp:effectExtent l="0" t="0" r="0" b="0"/>
            <wp:wrapTight wrapText="right">
              <wp:wrapPolygon edited="0">
                <wp:start x="0" y="0"/>
                <wp:lineTo x="0" y="20556"/>
                <wp:lineTo x="20250" y="20556"/>
                <wp:lineTo x="20250" y="0"/>
                <wp:lineTo x="0" y="0"/>
              </wp:wrapPolygon>
            </wp:wrapTight>
            <wp:docPr id="745040910"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372A97">
        <w:rPr>
          <w:b/>
          <w:bCs/>
          <w:i/>
          <w:iCs/>
        </w:rPr>
        <w:t>Notes</w:t>
      </w:r>
      <w:r w:rsidR="009473AD" w:rsidRPr="00372A97">
        <w:rPr>
          <w:i/>
          <w:iCs/>
        </w:rPr>
        <w:t>:</w:t>
      </w:r>
    </w:p>
    <w:p w14:paraId="06EB2AEB" w14:textId="16331432" w:rsidR="009473AD" w:rsidRPr="00372A97" w:rsidRDefault="005A5AC4" w:rsidP="004F45B6">
      <w:pPr>
        <w:pStyle w:val="BodyText"/>
        <w:numPr>
          <w:ilvl w:val="2"/>
          <w:numId w:val="114"/>
        </w:numPr>
        <w:ind w:left="1080"/>
        <w:rPr>
          <w:i/>
          <w:iCs/>
        </w:rPr>
      </w:pPr>
      <w:r w:rsidRPr="00372A97">
        <w:rPr>
          <w:i/>
          <w:iCs/>
        </w:rPr>
        <w:t>The p</w:t>
      </w:r>
      <w:r w:rsidR="009473AD" w:rsidRPr="00372A97">
        <w:rPr>
          <w:i/>
          <w:iCs/>
        </w:rPr>
        <w:t>atient for whom you perform a fast checkout must have an Updox patient portal account set up (the account is free of charge to the patient).</w:t>
      </w:r>
    </w:p>
    <w:p w14:paraId="06DA3C23" w14:textId="77777777" w:rsidR="009473AD" w:rsidRPr="00372A97" w:rsidRDefault="009473AD" w:rsidP="004F45B6">
      <w:pPr>
        <w:pStyle w:val="BodyText"/>
        <w:numPr>
          <w:ilvl w:val="2"/>
          <w:numId w:val="114"/>
        </w:numPr>
        <w:ind w:left="1080"/>
        <w:rPr>
          <w:i/>
          <w:iCs/>
        </w:rPr>
      </w:pPr>
      <w:r w:rsidRPr="00372A97">
        <w:rPr>
          <w:i/>
          <w:iCs/>
        </w:rPr>
        <w:t xml:space="preserve">The user who is logged in when you click the </w:t>
      </w:r>
      <w:r w:rsidRPr="00372A97">
        <w:rPr>
          <w:b/>
          <w:bCs/>
          <w:i/>
          <w:iCs/>
        </w:rPr>
        <w:t>Fast Checkout</w:t>
      </w:r>
      <w:r w:rsidRPr="00372A97">
        <w:rPr>
          <w:i/>
          <w:iCs/>
        </w:rPr>
        <w:t xml:space="preserve"> button must be licensed and set up to use Updox patient portal. The patient portal requires a paid subscription.</w:t>
      </w:r>
    </w:p>
    <w:p w14:paraId="5D4159F2" w14:textId="632CF697" w:rsidR="009473AD" w:rsidRPr="00244671" w:rsidRDefault="009473AD" w:rsidP="004F45B6">
      <w:pPr>
        <w:pStyle w:val="BodyText"/>
        <w:numPr>
          <w:ilvl w:val="0"/>
          <w:numId w:val="113"/>
        </w:numPr>
        <w:ind w:left="540"/>
      </w:pPr>
      <w:r w:rsidRPr="005A5AC4">
        <w:rPr>
          <w:b/>
          <w:bCs/>
        </w:rPr>
        <w:t>Always Show Checkout Options</w:t>
      </w:r>
      <w:r w:rsidRPr="00244671">
        <w:t xml:space="preserve"> </w:t>
      </w:r>
      <w:r w:rsidR="00372A97">
        <w:t>–</w:t>
      </w:r>
      <w:r w:rsidRPr="00244671">
        <w:t xml:space="preserve"> Select </w:t>
      </w:r>
      <w:r w:rsidR="00372A97">
        <w:t xml:space="preserve">this </w:t>
      </w:r>
      <w:r w:rsidRPr="00244671">
        <w:t>if the tasks you perform as a patient leaves vary</w:t>
      </w:r>
      <w:r w:rsidR="00372A97">
        <w:t>. With this option selected</w:t>
      </w:r>
      <w:r w:rsidRPr="00244671">
        <w:t xml:space="preserve"> the </w:t>
      </w:r>
      <w:r w:rsidRPr="00372A97">
        <w:rPr>
          <w:b/>
          <w:bCs/>
        </w:rPr>
        <w:t>Checkout Options</w:t>
      </w:r>
      <w:r w:rsidRPr="00244671">
        <w:t xml:space="preserve"> dialog box appears each time you click the </w:t>
      </w:r>
      <w:r w:rsidRPr="00372A97">
        <w:rPr>
          <w:b/>
          <w:bCs/>
        </w:rPr>
        <w:t>Fast Checkout</w:t>
      </w:r>
      <w:r w:rsidRPr="00244671">
        <w:t xml:space="preserve"> button</w:t>
      </w:r>
      <w:r w:rsidR="00372A97">
        <w:t xml:space="preserve"> so you can</w:t>
      </w:r>
      <w:r w:rsidRPr="00244671">
        <w:t xml:space="preserve"> select the options you need for each patient individually.</w:t>
      </w:r>
    </w:p>
    <w:p w14:paraId="4D1BCF16" w14:textId="77777777" w:rsidR="00E745C2" w:rsidRDefault="009473AD" w:rsidP="00E92EA5">
      <w:pPr>
        <w:pStyle w:val="Heading4"/>
      </w:pPr>
      <w:r w:rsidRPr="00E45677">
        <w:t>Automatic Credit Allocation Options</w:t>
      </w:r>
    </w:p>
    <w:p w14:paraId="2F248D47" w14:textId="4F8F722C" w:rsidR="009473AD" w:rsidRDefault="009473AD" w:rsidP="00E745C2">
      <w:pPr>
        <w:pStyle w:val="BodyText"/>
      </w:pPr>
      <w:r w:rsidRPr="00215157">
        <w:t>Dentrix Enterprise can automatically apply suspended credits and post automatic adjustments for re-allocating credits according to selections you make. You can also set up options for handling negative payments and electronic EOBs.</w:t>
      </w:r>
    </w:p>
    <w:p w14:paraId="228890B5" w14:textId="77777777" w:rsidR="009473AD" w:rsidRDefault="009473AD" w:rsidP="005A5AC4">
      <w:pPr>
        <w:pStyle w:val="BodyText"/>
      </w:pPr>
      <w:r w:rsidRPr="00244671">
        <w:t>Set up the following options:</w:t>
      </w:r>
    </w:p>
    <w:p w14:paraId="424B75E4" w14:textId="7488B9BC" w:rsidR="009473AD" w:rsidRPr="00244671" w:rsidRDefault="009473AD" w:rsidP="004F45B6">
      <w:pPr>
        <w:pStyle w:val="BodyText"/>
        <w:numPr>
          <w:ilvl w:val="0"/>
          <w:numId w:val="113"/>
        </w:numPr>
        <w:ind w:left="540"/>
      </w:pPr>
      <w:r w:rsidRPr="005A5AC4">
        <w:rPr>
          <w:b/>
          <w:bCs/>
        </w:rPr>
        <w:t>Automatic Suspended Credit Allocation Options</w:t>
      </w:r>
      <w:r w:rsidR="005A5AC4">
        <w:t>:</w:t>
      </w:r>
    </w:p>
    <w:p w14:paraId="63F672A2" w14:textId="5FB605EA" w:rsidR="009473AD" w:rsidRPr="00244671" w:rsidRDefault="009473AD" w:rsidP="004F45B6">
      <w:pPr>
        <w:pStyle w:val="BodyText"/>
        <w:numPr>
          <w:ilvl w:val="1"/>
          <w:numId w:val="115"/>
        </w:numPr>
        <w:ind w:left="1080"/>
      </w:pPr>
      <w:r w:rsidRPr="005A5AC4">
        <w:rPr>
          <w:b/>
          <w:bCs/>
        </w:rPr>
        <w:t>Automatically Allocate Suspended Credits when Applicable</w:t>
      </w:r>
      <w:r w:rsidRPr="00244671">
        <w:t xml:space="preserve"> </w:t>
      </w:r>
      <w:r w:rsidR="00372A97">
        <w:t>–</w:t>
      </w:r>
      <w:r w:rsidRPr="00244671">
        <w:t xml:space="preserve"> </w:t>
      </w:r>
      <w:r w:rsidR="00372A97">
        <w:t>Select t</w:t>
      </w:r>
      <w:r w:rsidRPr="00244671">
        <w:t>o automatically allocate any suspended credits to all charges that have a remaining balance. This applies all applicable suspended credits to all applicable charges, not just the recently posted charges.</w:t>
      </w:r>
    </w:p>
    <w:p w14:paraId="0098A3A5" w14:textId="698FE372" w:rsidR="009473AD" w:rsidRDefault="009473AD" w:rsidP="004F45B6">
      <w:pPr>
        <w:pStyle w:val="BodyText"/>
        <w:numPr>
          <w:ilvl w:val="1"/>
          <w:numId w:val="115"/>
        </w:numPr>
        <w:ind w:left="1080"/>
      </w:pPr>
      <w:r w:rsidRPr="005A5AC4">
        <w:rPr>
          <w:b/>
          <w:bCs/>
        </w:rPr>
        <w:t>Do Not Automatically Allocate Suspended Credits</w:t>
      </w:r>
      <w:r w:rsidRPr="00244671">
        <w:t xml:space="preserve"> </w:t>
      </w:r>
      <w:r w:rsidR="00372A97">
        <w:t>–</w:t>
      </w:r>
      <w:r w:rsidRPr="00244671">
        <w:t xml:space="preserve"> </w:t>
      </w:r>
      <w:r w:rsidR="00372A97">
        <w:t>Select t</w:t>
      </w:r>
      <w:r w:rsidRPr="00244671">
        <w:t>o prevent Dentrix Enterprise from automatically allocating any suspended credits.</w:t>
      </w:r>
    </w:p>
    <w:p w14:paraId="7ACAAEE7" w14:textId="77777777" w:rsidR="009473AD" w:rsidRPr="00215157" w:rsidRDefault="009473AD" w:rsidP="005A5AC4">
      <w:pPr>
        <w:pStyle w:val="BodyText"/>
        <w:ind w:left="540"/>
        <w:rPr>
          <w:sz w:val="16"/>
          <w:szCs w:val="16"/>
        </w:rPr>
      </w:pPr>
    </w:p>
    <w:p w14:paraId="4CA4DC70" w14:textId="3C4A501E" w:rsidR="009473AD" w:rsidRPr="00244671" w:rsidRDefault="009473AD" w:rsidP="004F45B6">
      <w:pPr>
        <w:pStyle w:val="BodyText"/>
        <w:numPr>
          <w:ilvl w:val="0"/>
          <w:numId w:val="113"/>
        </w:numPr>
        <w:ind w:left="540"/>
      </w:pPr>
      <w:r w:rsidRPr="005A5AC4">
        <w:rPr>
          <w:b/>
          <w:bCs/>
        </w:rPr>
        <w:t>Automatic Insurance Payment Adjustment Options</w:t>
      </w:r>
      <w:r w:rsidR="005A5AC4">
        <w:t>:</w:t>
      </w:r>
    </w:p>
    <w:p w14:paraId="6BA9981D" w14:textId="7248DF01" w:rsidR="009473AD" w:rsidRPr="00244671" w:rsidRDefault="009473AD" w:rsidP="004F45B6">
      <w:pPr>
        <w:pStyle w:val="BodyText"/>
        <w:numPr>
          <w:ilvl w:val="1"/>
          <w:numId w:val="116"/>
        </w:numPr>
        <w:ind w:left="1080"/>
      </w:pPr>
      <w:r w:rsidRPr="005A5AC4">
        <w:rPr>
          <w:b/>
          <w:bCs/>
        </w:rPr>
        <w:t>Credit Adjustment Type</w:t>
      </w:r>
      <w:r w:rsidRPr="00244671">
        <w:t xml:space="preserve"> </w:t>
      </w:r>
      <w:r w:rsidR="00372A97">
        <w:t>–</w:t>
      </w:r>
      <w:r w:rsidRPr="00244671">
        <w:t xml:space="preserve"> Click the search button to select the adjustment type that you want to use for the credit adjustment to offset a charge adjustment when a leftover insurance payment amount needs to be automatically allocated.</w:t>
      </w:r>
    </w:p>
    <w:p w14:paraId="643D9229" w14:textId="33507117" w:rsidR="009473AD" w:rsidRPr="00244671" w:rsidRDefault="009473AD" w:rsidP="004F45B6">
      <w:pPr>
        <w:pStyle w:val="BodyText"/>
        <w:numPr>
          <w:ilvl w:val="1"/>
          <w:numId w:val="116"/>
        </w:numPr>
        <w:ind w:left="1080"/>
      </w:pPr>
      <w:r w:rsidRPr="005A5AC4">
        <w:rPr>
          <w:b/>
          <w:bCs/>
        </w:rPr>
        <w:t>Automatically Allocate</w:t>
      </w:r>
      <w:r w:rsidRPr="00244671">
        <w:t xml:space="preserve"> </w:t>
      </w:r>
      <w:r w:rsidR="00372A97">
        <w:t>–</w:t>
      </w:r>
      <w:r w:rsidRPr="00244671">
        <w:t xml:space="preserve"> Select </w:t>
      </w:r>
      <w:r w:rsidRPr="00372A97">
        <w:rPr>
          <w:b/>
          <w:bCs/>
        </w:rPr>
        <w:t>Use Automatic Suspended Credit Allocation Options</w:t>
      </w:r>
      <w:r w:rsidRPr="00244671">
        <w:t xml:space="preserve"> to default to the selection made under </w:t>
      </w:r>
      <w:r w:rsidRPr="00372A97">
        <w:rPr>
          <w:b/>
          <w:bCs/>
        </w:rPr>
        <w:t>Automatic Suspended Credit Allocation Options</w:t>
      </w:r>
      <w:r w:rsidRPr="00244671">
        <w:t xml:space="preserve"> for insurance credit adjustments. </w:t>
      </w:r>
      <w:r w:rsidR="00372A97">
        <w:t>Select</w:t>
      </w:r>
      <w:r w:rsidRPr="00244671">
        <w:t xml:space="preserve"> </w:t>
      </w:r>
      <w:r w:rsidRPr="00372A97">
        <w:rPr>
          <w:b/>
          <w:bCs/>
        </w:rPr>
        <w:t>Flag Adjustment "Do not automatically allocate"</w:t>
      </w:r>
      <w:r w:rsidRPr="00244671">
        <w:t xml:space="preserve"> to not have the insurance credit adjustment allocated automatically regardless of selection under </w:t>
      </w:r>
      <w:r w:rsidRPr="00372A97">
        <w:rPr>
          <w:b/>
          <w:bCs/>
        </w:rPr>
        <w:t>Automatic Suspended Credit Allocation Options</w:t>
      </w:r>
      <w:r w:rsidRPr="00244671">
        <w:t>.</w:t>
      </w:r>
    </w:p>
    <w:p w14:paraId="291D1207" w14:textId="7B026031" w:rsidR="009473AD" w:rsidRPr="00244671" w:rsidRDefault="009473AD" w:rsidP="004F45B6">
      <w:pPr>
        <w:pStyle w:val="BodyText"/>
        <w:numPr>
          <w:ilvl w:val="1"/>
          <w:numId w:val="116"/>
        </w:numPr>
        <w:ind w:left="1080"/>
      </w:pPr>
      <w:r w:rsidRPr="005A5AC4">
        <w:rPr>
          <w:b/>
          <w:bCs/>
        </w:rPr>
        <w:t>Charge Adjustment Type</w:t>
      </w:r>
      <w:r w:rsidRPr="00244671">
        <w:t xml:space="preserve"> </w:t>
      </w:r>
      <w:r w:rsidR="00372A97">
        <w:t>–</w:t>
      </w:r>
      <w:r w:rsidRPr="00244671">
        <w:t xml:space="preserve"> Click the </w:t>
      </w:r>
      <w:r>
        <w:t>search button</w:t>
      </w:r>
      <w:r w:rsidRPr="00244671">
        <w:t xml:space="preserve"> to select the adjustment type that you want to use for the charge adjustment when a leftover insurance payment amount needs to be automatically allocated.</w:t>
      </w:r>
    </w:p>
    <w:p w14:paraId="27727EED" w14:textId="2864C345" w:rsidR="009473AD" w:rsidRPr="005A5AC4" w:rsidRDefault="009473AD" w:rsidP="004F45B6">
      <w:pPr>
        <w:pStyle w:val="BodyText"/>
        <w:numPr>
          <w:ilvl w:val="1"/>
          <w:numId w:val="116"/>
        </w:numPr>
        <w:ind w:left="1080"/>
      </w:pPr>
      <w:r w:rsidRPr="005A5AC4">
        <w:rPr>
          <w:b/>
          <w:bCs/>
        </w:rPr>
        <w:t>Itemize Automatic Adjustments for Billing Statements</w:t>
      </w:r>
      <w:r w:rsidRPr="00244671">
        <w:t xml:space="preserve"> </w:t>
      </w:r>
      <w:r w:rsidR="00372A97">
        <w:t>–</w:t>
      </w:r>
      <w:r w:rsidRPr="00244671">
        <w:t xml:space="preserve"> Select to itemize automatic adjustments on billing statements. We recommend that this option remain clear because automatic adjustments are always offsetting adjustments, so they will not affect an account balance and can be confusing if included on billing statem</w:t>
      </w:r>
      <w:r>
        <w:t>ents.</w:t>
      </w:r>
    </w:p>
    <w:p w14:paraId="6E7C206A" w14:textId="11FB34A6" w:rsidR="009473AD" w:rsidRPr="00244671" w:rsidRDefault="009473AD" w:rsidP="004F45B6">
      <w:pPr>
        <w:pStyle w:val="BodyText"/>
        <w:numPr>
          <w:ilvl w:val="0"/>
          <w:numId w:val="113"/>
        </w:numPr>
        <w:ind w:left="540"/>
      </w:pPr>
      <w:r w:rsidRPr="005A5AC4">
        <w:rPr>
          <w:b/>
          <w:bCs/>
        </w:rPr>
        <w:t>Adjustment Type for Negative Payments</w:t>
      </w:r>
      <w:r w:rsidR="005A5AC4">
        <w:t>:</w:t>
      </w:r>
    </w:p>
    <w:p w14:paraId="2AF465F0" w14:textId="117243C2" w:rsidR="009473AD" w:rsidRPr="00244671" w:rsidRDefault="009473AD" w:rsidP="004F45B6">
      <w:pPr>
        <w:pStyle w:val="BodyText"/>
        <w:numPr>
          <w:ilvl w:val="1"/>
          <w:numId w:val="117"/>
        </w:numPr>
        <w:ind w:left="1080"/>
      </w:pPr>
      <w:r w:rsidRPr="005A5AC4">
        <w:rPr>
          <w:b/>
          <w:bCs/>
        </w:rPr>
        <w:t>Enable Automatic Adjustments for Insurance Payments</w:t>
      </w:r>
      <w:r w:rsidRPr="00244671">
        <w:t xml:space="preserve"> </w:t>
      </w:r>
      <w:r w:rsidR="00372A97">
        <w:t>–</w:t>
      </w:r>
      <w:r w:rsidRPr="00244671">
        <w:t xml:space="preserve"> Select to post negative insurance payments to claims.</w:t>
      </w:r>
    </w:p>
    <w:p w14:paraId="7CF78386" w14:textId="6357C721" w:rsidR="009473AD" w:rsidRDefault="009473AD" w:rsidP="004F45B6">
      <w:pPr>
        <w:pStyle w:val="BodyText"/>
        <w:numPr>
          <w:ilvl w:val="1"/>
          <w:numId w:val="117"/>
        </w:numPr>
        <w:ind w:left="1080"/>
      </w:pPr>
      <w:r w:rsidRPr="005A5AC4">
        <w:rPr>
          <w:b/>
          <w:bCs/>
        </w:rPr>
        <w:lastRenderedPageBreak/>
        <w:t>Auto-post Refund adjustments to replace negative payments</w:t>
      </w:r>
      <w:r w:rsidRPr="00244671">
        <w:t xml:space="preserve"> </w:t>
      </w:r>
      <w:r w:rsidR="00372A97">
        <w:t>–</w:t>
      </w:r>
      <w:r w:rsidRPr="00244671">
        <w:t xml:space="preserve"> Select to automatically post refund adjustments to replace negative insurance payments to claims. A negative payment appears as a charge adjustment on the Ledger. Next, select the </w:t>
      </w:r>
      <w:r w:rsidRPr="00372A97">
        <w:rPr>
          <w:b/>
          <w:bCs/>
        </w:rPr>
        <w:t>Charge Adjustment Type</w:t>
      </w:r>
      <w:r w:rsidRPr="00244671">
        <w:t xml:space="preserve"> you want to use as the charge adjustment that automatically replaces a negative insurance payment.</w:t>
      </w:r>
    </w:p>
    <w:p w14:paraId="72E21555" w14:textId="11905A26" w:rsidR="009473AD" w:rsidRPr="00372A97" w:rsidRDefault="001B702E" w:rsidP="005A5AC4">
      <w:pPr>
        <w:pStyle w:val="BodyText"/>
        <w:ind w:left="1080"/>
        <w:rPr>
          <w:i/>
          <w:iCs/>
        </w:rPr>
      </w:pPr>
      <w:r>
        <w:rPr>
          <w:noProof/>
        </w:rPr>
        <w:drawing>
          <wp:anchor distT="0" distB="0" distL="0" distR="91440" simplePos="0" relativeHeight="252000260" behindDoc="0" locked="0" layoutInCell="1" allowOverlap="1" wp14:anchorId="69DF2DFB" wp14:editId="3097CC31">
            <wp:simplePos x="0" y="0"/>
            <wp:positionH relativeFrom="column">
              <wp:posOffset>-457200</wp:posOffset>
            </wp:positionH>
            <wp:positionV relativeFrom="paragraph">
              <wp:posOffset>0</wp:posOffset>
            </wp:positionV>
            <wp:extent cx="365981" cy="420624"/>
            <wp:effectExtent l="0" t="0" r="0" b="0"/>
            <wp:wrapTight wrapText="right">
              <wp:wrapPolygon edited="0">
                <wp:start x="0" y="0"/>
                <wp:lineTo x="0" y="20556"/>
                <wp:lineTo x="20250" y="20556"/>
                <wp:lineTo x="20250" y="0"/>
                <wp:lineTo x="0" y="0"/>
              </wp:wrapPolygon>
            </wp:wrapTight>
            <wp:docPr id="163492446"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372A97">
        <w:rPr>
          <w:b/>
          <w:bCs/>
          <w:i/>
          <w:iCs/>
        </w:rPr>
        <w:t>Tip</w:t>
      </w:r>
      <w:r w:rsidR="009473AD" w:rsidRPr="00372A97">
        <w:rPr>
          <w:i/>
          <w:iCs/>
        </w:rPr>
        <w:t>: You may need to add a new adjustment type in the Practice Definitions for this charge adjustment.</w:t>
      </w:r>
    </w:p>
    <w:p w14:paraId="66594188" w14:textId="02EA7ED3" w:rsidR="009473AD" w:rsidRPr="00244671" w:rsidRDefault="009473AD" w:rsidP="004F45B6">
      <w:pPr>
        <w:pStyle w:val="BodyText"/>
        <w:keepNext/>
        <w:keepLines/>
        <w:numPr>
          <w:ilvl w:val="0"/>
          <w:numId w:val="113"/>
        </w:numPr>
        <w:ind w:left="540"/>
      </w:pPr>
      <w:r w:rsidRPr="005A5AC4">
        <w:rPr>
          <w:b/>
          <w:bCs/>
        </w:rPr>
        <w:t>Electronic EOB Options</w:t>
      </w:r>
      <w:r w:rsidR="005A5AC4">
        <w:t>:</w:t>
      </w:r>
    </w:p>
    <w:p w14:paraId="0933EEBA" w14:textId="77777777" w:rsidR="009473AD" w:rsidRPr="00244671" w:rsidRDefault="009473AD" w:rsidP="004F45B6">
      <w:pPr>
        <w:pStyle w:val="BodyText"/>
        <w:keepNext/>
        <w:keepLines/>
        <w:numPr>
          <w:ilvl w:val="1"/>
          <w:numId w:val="118"/>
        </w:numPr>
        <w:ind w:left="1080"/>
      </w:pPr>
      <w:r w:rsidRPr="005A5AC4">
        <w:rPr>
          <w:b/>
          <w:bCs/>
        </w:rPr>
        <w:t>Default Provider for Non-Itemized eEOB Charges</w:t>
      </w:r>
      <w:r w:rsidRPr="00244671">
        <w:t xml:space="preserve"> - Select which provider to attach to a charge adjustment if an adjustment claim in an eEOB is not itemized. The provider can be the patient’s primary provider (Prov1 from Family File), the pay-to provider on the claim, the rendering provider on the claim, or the billing provider on the claim.</w:t>
      </w:r>
    </w:p>
    <w:p w14:paraId="127CA9AA" w14:textId="3A559E73" w:rsidR="009473AD" w:rsidRPr="005A5AC4" w:rsidRDefault="009473AD" w:rsidP="004F45B6">
      <w:pPr>
        <w:pStyle w:val="BodyText"/>
        <w:numPr>
          <w:ilvl w:val="1"/>
          <w:numId w:val="118"/>
        </w:numPr>
        <w:ind w:left="1080"/>
      </w:pPr>
      <w:r w:rsidRPr="005A5AC4">
        <w:rPr>
          <w:b/>
          <w:bCs/>
        </w:rPr>
        <w:t>Copy Electronic EOBs to Document Center</w:t>
      </w:r>
      <w:r w:rsidRPr="00244671">
        <w:t xml:space="preserve"> - Select to copy electronic EOBs imported into Dentrix En</w:t>
      </w:r>
      <w:r>
        <w:t>terprise to the Document Center.</w:t>
      </w:r>
    </w:p>
    <w:p w14:paraId="0569CE1A" w14:textId="77777777" w:rsidR="00E745C2" w:rsidRDefault="009473AD" w:rsidP="00E92EA5">
      <w:pPr>
        <w:pStyle w:val="Heading4"/>
      </w:pPr>
      <w:r w:rsidRPr="00E45677">
        <w:t>Direct Print Options</w:t>
      </w:r>
    </w:p>
    <w:p w14:paraId="538595D4" w14:textId="66ED0345" w:rsidR="009473AD" w:rsidRDefault="009473AD" w:rsidP="00E745C2">
      <w:pPr>
        <w:pStyle w:val="BodyText"/>
      </w:pPr>
      <w:r w:rsidRPr="00215157">
        <w:t xml:space="preserve">You can print several reports from the Ledger: insurance claims, walkout statements, billing statements, and a family ledger report. A button for each of these reports is located on the toolbar. With the direct print options, you can indicate whether to print the report immediately or send it to the Batch Processor in the Office Manager to print </w:t>
      </w:r>
      <w:r w:rsidR="00372A97">
        <w:t xml:space="preserve">it </w:t>
      </w:r>
      <w:r w:rsidRPr="00215157">
        <w:t>later.</w:t>
      </w:r>
    </w:p>
    <w:p w14:paraId="7AA284BB" w14:textId="77777777" w:rsidR="009473AD" w:rsidRPr="00244671" w:rsidRDefault="009473AD" w:rsidP="005A5AC4">
      <w:pPr>
        <w:pStyle w:val="BodyText"/>
      </w:pPr>
      <w:r w:rsidRPr="00244671">
        <w:t xml:space="preserve">For each report, select </w:t>
      </w:r>
      <w:r w:rsidRPr="00372A97">
        <w:rPr>
          <w:b/>
          <w:bCs/>
        </w:rPr>
        <w:t>Batch</w:t>
      </w:r>
      <w:r w:rsidRPr="00244671">
        <w:t xml:space="preserve"> or </w:t>
      </w:r>
      <w:r w:rsidRPr="00372A97">
        <w:rPr>
          <w:b/>
          <w:bCs/>
        </w:rPr>
        <w:t>Print</w:t>
      </w:r>
      <w:r w:rsidRPr="00244671">
        <w:t xml:space="preserve"> to indicate whether you want the report to go directly to your printer or to the Batch Processor.</w:t>
      </w:r>
    </w:p>
    <w:p w14:paraId="51DF3765" w14:textId="1A0ACE5F" w:rsidR="009473AD" w:rsidRPr="00372A97" w:rsidRDefault="001B702E" w:rsidP="005A5AC4">
      <w:pPr>
        <w:pStyle w:val="BodyText"/>
        <w:rPr>
          <w:i/>
          <w:iCs/>
        </w:rPr>
      </w:pPr>
      <w:r>
        <w:rPr>
          <w:noProof/>
        </w:rPr>
        <w:drawing>
          <wp:anchor distT="0" distB="0" distL="0" distR="91440" simplePos="0" relativeHeight="252002308" behindDoc="0" locked="0" layoutInCell="1" allowOverlap="1" wp14:anchorId="2B9BD5CD" wp14:editId="4A8137C3">
            <wp:simplePos x="0" y="0"/>
            <wp:positionH relativeFrom="column">
              <wp:posOffset>-457200</wp:posOffset>
            </wp:positionH>
            <wp:positionV relativeFrom="paragraph">
              <wp:posOffset>91440</wp:posOffset>
            </wp:positionV>
            <wp:extent cx="365981" cy="420624"/>
            <wp:effectExtent l="0" t="0" r="0" b="0"/>
            <wp:wrapTight wrapText="right">
              <wp:wrapPolygon edited="0">
                <wp:start x="0" y="0"/>
                <wp:lineTo x="0" y="20556"/>
                <wp:lineTo x="20250" y="20556"/>
                <wp:lineTo x="20250" y="0"/>
                <wp:lineTo x="0" y="0"/>
              </wp:wrapPolygon>
            </wp:wrapTight>
            <wp:docPr id="1061441368"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699"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981" cy="420624"/>
                    </a:xfrm>
                    <a:prstGeom prst="rect">
                      <a:avLst/>
                    </a:prstGeom>
                  </pic:spPr>
                </pic:pic>
              </a:graphicData>
            </a:graphic>
            <wp14:sizeRelH relativeFrom="margin">
              <wp14:pctWidth>0</wp14:pctWidth>
            </wp14:sizeRelH>
            <wp14:sizeRelV relativeFrom="margin">
              <wp14:pctHeight>0</wp14:pctHeight>
            </wp14:sizeRelV>
          </wp:anchor>
        </w:drawing>
      </w:r>
      <w:r w:rsidR="009473AD" w:rsidRPr="00372A97">
        <w:rPr>
          <w:b/>
          <w:bCs/>
          <w:i/>
          <w:iCs/>
        </w:rPr>
        <w:t>Tip</w:t>
      </w:r>
      <w:r w:rsidR="009473AD" w:rsidRPr="00372A97">
        <w:rPr>
          <w:i/>
          <w:iCs/>
        </w:rPr>
        <w:t xml:space="preserve">: If your office will be sending claims electronically, click </w:t>
      </w:r>
      <w:r w:rsidR="009473AD" w:rsidRPr="00372A97">
        <w:rPr>
          <w:b/>
          <w:bCs/>
          <w:i/>
          <w:iCs/>
        </w:rPr>
        <w:t>Batch</w:t>
      </w:r>
      <w:r w:rsidR="009473AD" w:rsidRPr="00372A97">
        <w:rPr>
          <w:i/>
          <w:iCs/>
        </w:rPr>
        <w:t xml:space="preserve"> for insurance claims so all insurance claims generated during the day will be sent to the Batch Processor and can be transmitted simultaneously at the end of the day.</w:t>
      </w:r>
    </w:p>
    <w:p w14:paraId="20D40F1A" w14:textId="77777777" w:rsidR="00E745C2" w:rsidRPr="00E745C2" w:rsidRDefault="009473AD" w:rsidP="00D42C5A">
      <w:pPr>
        <w:pStyle w:val="Heading3"/>
      </w:pPr>
      <w:bookmarkStart w:id="258" w:name="_Toc135416752"/>
      <w:bookmarkStart w:id="259" w:name="_Toc166834407"/>
      <w:r w:rsidRPr="00E745C2">
        <w:t>Document Center Setup</w:t>
      </w:r>
      <w:bookmarkEnd w:id="258"/>
      <w:bookmarkEnd w:id="259"/>
    </w:p>
    <w:p w14:paraId="38F61CB6" w14:textId="1CE24D47" w:rsidR="009473AD" w:rsidRDefault="009473AD" w:rsidP="00E745C2">
      <w:pPr>
        <w:pStyle w:val="BodyText"/>
      </w:pPr>
      <w:r w:rsidRPr="00244671">
        <w:t xml:space="preserve">Create the standards for document storage management. Document Center is a place to </w:t>
      </w:r>
      <w:r w:rsidR="004A2A35">
        <w:t xml:space="preserve">store and </w:t>
      </w:r>
      <w:r w:rsidRPr="00244671">
        <w:t xml:space="preserve">organize documents </w:t>
      </w:r>
      <w:r w:rsidR="004A2A35">
        <w:t xml:space="preserve">that have been </w:t>
      </w:r>
      <w:r w:rsidRPr="00244671">
        <w:t>scanned or imported into Dentrix Enterprise. By setting up templates</w:t>
      </w:r>
      <w:r w:rsidR="004A2A35">
        <w:t>,</w:t>
      </w:r>
      <w:r w:rsidRPr="00244671">
        <w:t xml:space="preserve"> Document Center is standardized and limits effort by the team.</w:t>
      </w:r>
    </w:p>
    <w:p w14:paraId="54B85253" w14:textId="43363B0A" w:rsidR="009473AD" w:rsidRPr="00454D84" w:rsidRDefault="00D82038" w:rsidP="00E745C2">
      <w:pPr>
        <w:pStyle w:val="BodyText"/>
        <w:rPr>
          <w:color w:val="00B050"/>
        </w:rPr>
      </w:pPr>
      <w:r>
        <w:rPr>
          <w:noProof/>
        </w:rPr>
        <w:drawing>
          <wp:anchor distT="0" distB="0" distL="0" distR="91440" simplePos="0" relativeHeight="251987972" behindDoc="1" locked="0" layoutInCell="1" allowOverlap="1" wp14:anchorId="1283C900" wp14:editId="3820D928">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729919702"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 here&gt;&gt;</w:t>
      </w:r>
    </w:p>
    <w:p w14:paraId="381AE787" w14:textId="77777777" w:rsidR="00E745C2" w:rsidRDefault="009473AD" w:rsidP="00E92EA5">
      <w:pPr>
        <w:pStyle w:val="Heading4"/>
      </w:pPr>
      <w:r w:rsidRPr="559ADB64">
        <w:t>Document Types</w:t>
      </w:r>
    </w:p>
    <w:p w14:paraId="7CC839F1" w14:textId="5BF06234" w:rsidR="009473AD" w:rsidRPr="00244671" w:rsidRDefault="009473AD" w:rsidP="00E745C2">
      <w:pPr>
        <w:pStyle w:val="BodyText"/>
      </w:pPr>
      <w:r w:rsidRPr="559ADB64">
        <w:t xml:space="preserve">You must assign a document type to all documents in Document Center. Document Types are the folders in which the scanned items are stored. This is a method to sort documents for standard storage processes as well as how information will be quickly accessed. With standard document types, all users should have a clear direction on where to store and find any documents stored in the system.  </w:t>
      </w:r>
    </w:p>
    <w:p w14:paraId="29B79384" w14:textId="77777777" w:rsidR="00E745C2" w:rsidRDefault="009473AD" w:rsidP="00E92EA5">
      <w:pPr>
        <w:pStyle w:val="Heading4"/>
      </w:pPr>
      <w:r w:rsidRPr="559ADB64">
        <w:t>Document Type Templates</w:t>
      </w:r>
    </w:p>
    <w:p w14:paraId="15E16729" w14:textId="0C136CC0" w:rsidR="009473AD" w:rsidRPr="00244671" w:rsidRDefault="009473AD" w:rsidP="00E745C2">
      <w:pPr>
        <w:pStyle w:val="BodyText"/>
      </w:pPr>
      <w:r w:rsidRPr="559ADB64">
        <w:t>Templates assist with using the document types in a uniform way</w:t>
      </w:r>
      <w:r w:rsidR="004A2A35">
        <w:t xml:space="preserve"> </w:t>
      </w:r>
      <w:r w:rsidRPr="559ADB64">
        <w:t>and help to define the de</w:t>
      </w:r>
      <w:r w:rsidR="004A2A35">
        <w:t>s</w:t>
      </w:r>
      <w:r w:rsidRPr="559ADB64">
        <w:t xml:space="preserve">criptions that should be used when storing documents. The templates allow you to define a document type that will be stored, pre-select the document type, and enter a standard description or guidance for the description to make the process of storing and labeling documents streamlined and standard process. </w:t>
      </w:r>
    </w:p>
    <w:p w14:paraId="667CDA57" w14:textId="77777777" w:rsidR="0098706C" w:rsidRDefault="00D82038" w:rsidP="0098706C">
      <w:pPr>
        <w:pStyle w:val="BodyText"/>
        <w:rPr>
          <w:color w:val="00B050"/>
        </w:rPr>
      </w:pPr>
      <w:r>
        <w:rPr>
          <w:noProof/>
        </w:rPr>
        <w:drawing>
          <wp:anchor distT="0" distB="0" distL="0" distR="91440" simplePos="0" relativeHeight="251990020" behindDoc="1" locked="0" layoutInCell="1" allowOverlap="1" wp14:anchorId="3C54BE96" wp14:editId="7ED7CEAE">
            <wp:simplePos x="0" y="0"/>
            <wp:positionH relativeFrom="column">
              <wp:posOffset>-457200</wp:posOffset>
            </wp:positionH>
            <wp:positionV relativeFrom="paragraph">
              <wp:posOffset>-182880</wp:posOffset>
            </wp:positionV>
            <wp:extent cx="365856" cy="484632"/>
            <wp:effectExtent l="0" t="0" r="0" b="0"/>
            <wp:wrapTight wrapText="right">
              <wp:wrapPolygon edited="0">
                <wp:start x="0" y="0"/>
                <wp:lineTo x="0" y="20383"/>
                <wp:lineTo x="20250" y="20383"/>
                <wp:lineTo x="20250" y="0"/>
                <wp:lineTo x="0" y="0"/>
              </wp:wrapPolygon>
            </wp:wrapTight>
            <wp:docPr id="653558494" name="Picture 1" descr="A green and black clip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4633" name="Picture 1" descr="A green and black clipboar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856" cy="484632"/>
                    </a:xfrm>
                    <a:prstGeom prst="rect">
                      <a:avLst/>
                    </a:prstGeom>
                  </pic:spPr>
                </pic:pic>
              </a:graphicData>
            </a:graphic>
            <wp14:sizeRelH relativeFrom="margin">
              <wp14:pctWidth>0</wp14:pctWidth>
            </wp14:sizeRelH>
            <wp14:sizeRelV relativeFrom="margin">
              <wp14:pctHeight>0</wp14:pctHeight>
            </wp14:sizeRelV>
          </wp:anchor>
        </w:drawing>
      </w:r>
      <w:r w:rsidR="009473AD" w:rsidRPr="00454D84">
        <w:rPr>
          <w:color w:val="00B050"/>
        </w:rPr>
        <w:t>&lt;&lt;Insert SOP/Guidelines for document storage here&gt;&gt;</w:t>
      </w:r>
    </w:p>
    <w:p w14:paraId="5ED13A62" w14:textId="7C38FA15" w:rsidR="0098706C" w:rsidRPr="00C1612C" w:rsidRDefault="00895542" w:rsidP="0098706C">
      <w:pPr>
        <w:pStyle w:val="Heading4"/>
        <w:rPr>
          <w:color w:val="auto"/>
        </w:rPr>
      </w:pPr>
      <w:r w:rsidRPr="00C1612C">
        <w:rPr>
          <w:noProof/>
          <w:color w:val="auto"/>
        </w:rPr>
        <w:lastRenderedPageBreak/>
        <w:drawing>
          <wp:anchor distT="0" distB="0" distL="0" distR="91440" simplePos="0" relativeHeight="252100612" behindDoc="1" locked="0" layoutInCell="1" allowOverlap="1" wp14:anchorId="218E2078" wp14:editId="30DEE5ED">
            <wp:simplePos x="0" y="0"/>
            <wp:positionH relativeFrom="column">
              <wp:posOffset>-453224</wp:posOffset>
            </wp:positionH>
            <wp:positionV relativeFrom="paragraph">
              <wp:posOffset>234950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6875" y="0"/>
                <wp:lineTo x="10125" y="0"/>
              </wp:wrapPolygon>
            </wp:wrapTight>
            <wp:docPr id="1933990656"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0656"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98706C" w:rsidRPr="00C1612C">
        <w:rPr>
          <w:color w:val="auto"/>
        </w:rPr>
        <w:t>Document Center Repositories</w:t>
      </w:r>
    </w:p>
    <w:p w14:paraId="1BB9A855" w14:textId="3AB7C482" w:rsidR="0098706C" w:rsidRPr="00C1612C" w:rsidRDefault="0098706C" w:rsidP="0098706C">
      <w:pPr>
        <w:pStyle w:val="BodyText"/>
      </w:pPr>
      <w:r w:rsidRPr="00C1612C">
        <w:t>*NEW</w:t>
      </w:r>
      <w:r w:rsidR="00895542" w:rsidRPr="00C1612C">
        <w:t>*</w:t>
      </w:r>
      <w:r w:rsidR="0023617A" w:rsidRPr="00C1612C">
        <w:t xml:space="preserve"> I</w:t>
      </w:r>
      <w:r w:rsidRPr="00C1612C">
        <w:t xml:space="preserve">n version 11.0.1, </w:t>
      </w:r>
      <w:r w:rsidR="0023617A" w:rsidRPr="00C1612C">
        <w:t>t</w:t>
      </w:r>
      <w:r w:rsidRPr="00C1612C">
        <w:t xml:space="preserve">he Document Center Repositories </w:t>
      </w:r>
      <w:r w:rsidR="0023617A" w:rsidRPr="00C1612C">
        <w:t>S</w:t>
      </w:r>
      <w:r w:rsidRPr="00C1612C">
        <w:t xml:space="preserve">etup controls where document files are stored on your network. By default, Document Center stores the documents in the network location that was specified during the installation of Dentrix Enterprise. Viewing the Document Center Repositories </w:t>
      </w:r>
      <w:r w:rsidR="0023617A" w:rsidRPr="00C1612C">
        <w:t>S</w:t>
      </w:r>
      <w:r w:rsidRPr="00C1612C">
        <w:t>etup requires security right access and should only be customized on an as</w:t>
      </w:r>
      <w:r w:rsidR="0029787A" w:rsidRPr="00C1612C">
        <w:t>-</w:t>
      </w:r>
      <w:r w:rsidRPr="00C1612C">
        <w:t xml:space="preserve">needed basis under the advisement of </w:t>
      </w:r>
      <w:r w:rsidR="0029787A" w:rsidRPr="00C1612C">
        <w:t xml:space="preserve">your </w:t>
      </w:r>
      <w:r w:rsidRPr="00C1612C">
        <w:t>local IT</w:t>
      </w:r>
      <w:r w:rsidR="0029787A" w:rsidRPr="00C1612C">
        <w:t xml:space="preserve"> staff</w:t>
      </w:r>
      <w:r w:rsidRPr="00C1612C">
        <w:t>.</w:t>
      </w:r>
    </w:p>
    <w:p w14:paraId="2565E9C8" w14:textId="03BF8C7A" w:rsidR="0098706C" w:rsidRPr="0098706C" w:rsidRDefault="009473AD" w:rsidP="0098706C">
      <w:pPr>
        <w:pStyle w:val="BodyText"/>
        <w:sectPr w:rsidR="0098706C" w:rsidRPr="0098706C" w:rsidSect="00C616BD">
          <w:pgSz w:w="12240" w:h="15840"/>
          <w:pgMar w:top="1440" w:right="1440" w:bottom="1440" w:left="1440" w:header="360" w:footer="360" w:gutter="0"/>
          <w:cols w:space="720"/>
          <w:docGrid w:linePitch="299"/>
        </w:sectPr>
      </w:pPr>
      <w:r w:rsidRPr="559ADB64">
        <w:t xml:space="preserve"> </w:t>
      </w:r>
    </w:p>
    <w:p w14:paraId="31AFC342" w14:textId="7FCB7BFA" w:rsidR="00A01E31" w:rsidRDefault="00A01E31" w:rsidP="00A01E31">
      <w:pPr>
        <w:pStyle w:val="Heading1"/>
      </w:pPr>
      <w:bookmarkStart w:id="260" w:name="_Toc135416600"/>
      <w:bookmarkStart w:id="261" w:name="_Toc135416753"/>
      <w:bookmarkStart w:id="262" w:name="_Toc166834408"/>
      <w:r>
        <w:lastRenderedPageBreak/>
        <w:t>Summary of Features</w:t>
      </w:r>
      <w:bookmarkEnd w:id="262"/>
    </w:p>
    <w:p w14:paraId="3EE2944B" w14:textId="1D81FDAA" w:rsidR="00A01E31" w:rsidRDefault="00A01E31" w:rsidP="00A01E31">
      <w:pPr>
        <w:pStyle w:val="BodyText"/>
      </w:pPr>
      <w:r w:rsidRPr="00A6155C">
        <w:t xml:space="preserve">The following list </w:t>
      </w:r>
      <w:r>
        <w:t>provides details regarding</w:t>
      </w:r>
      <w:r w:rsidRPr="00A6155C">
        <w:t xml:space="preserve"> features and enhancements </w:t>
      </w:r>
      <w:r>
        <w:t>that are available in</w:t>
      </w:r>
      <w:r w:rsidRPr="00A6155C">
        <w:t xml:space="preserve"> the IHS EDR Dentrix Enterprise</w:t>
      </w:r>
      <w:r>
        <w:t xml:space="preserve"> program</w:t>
      </w:r>
      <w:r w:rsidRPr="00A6155C">
        <w:t>. Review this list to better understand how each feature works</w:t>
      </w:r>
      <w:r w:rsidR="009D5585">
        <w:t xml:space="preserve">, </w:t>
      </w:r>
      <w:r w:rsidRPr="00A6155C">
        <w:t>which version of Dentrix Enterprise</w:t>
      </w:r>
      <w:r w:rsidR="009D5585">
        <w:t>, and year</w:t>
      </w:r>
      <w:r w:rsidRPr="00A6155C">
        <w:t xml:space="preserve"> the feature </w:t>
      </w:r>
      <w:r>
        <w:t>wa</w:t>
      </w:r>
      <w:r w:rsidRPr="00A6155C">
        <w:t>s released.</w:t>
      </w:r>
    </w:p>
    <w:p w14:paraId="030A6CE3" w14:textId="41FFE0D6" w:rsidR="002C27D3" w:rsidRDefault="002C27D3" w:rsidP="002C27D3">
      <w:pPr>
        <w:pStyle w:val="Heading2"/>
        <w:numPr>
          <w:ilvl w:val="0"/>
          <w:numId w:val="0"/>
        </w:numPr>
      </w:pPr>
      <w:bookmarkStart w:id="263" w:name="_Toc166834409"/>
      <w:r w:rsidRPr="00A01E31">
        <w:t>More Information Window Updates</w:t>
      </w:r>
      <w:bookmarkEnd w:id="2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0"/>
        <w:gridCol w:w="8010"/>
      </w:tblGrid>
      <w:tr w:rsidR="007F5E9D" w14:paraId="64987FEE" w14:textId="77777777" w:rsidTr="002C27D3">
        <w:tc>
          <w:tcPr>
            <w:tcW w:w="12960" w:type="dxa"/>
            <w:gridSpan w:val="2"/>
            <w:tcMar>
              <w:right w:w="0" w:type="dxa"/>
            </w:tcMar>
          </w:tcPr>
          <w:p w14:paraId="39EA179C" w14:textId="2F6DDA4E" w:rsidR="007F5E9D" w:rsidRPr="00A01E31" w:rsidRDefault="007F5E9D" w:rsidP="002C27D3">
            <w:pPr>
              <w:pStyle w:val="BodyText"/>
            </w:pPr>
            <w:r>
              <w:t xml:space="preserve">The </w:t>
            </w:r>
            <w:r w:rsidRPr="007F5E9D">
              <w:rPr>
                <w:b/>
                <w:bCs/>
              </w:rPr>
              <w:t>More Information</w:t>
            </w:r>
            <w:r>
              <w:t xml:space="preserve"> window has patient information for every staff member in the dental clinic to access. Access the window to view a summary of patient information, patient tags, appointments, completed treatment, planned treatment, medical alerts, billing, treatment requests, OHS history, and </w:t>
            </w:r>
            <w:r w:rsidR="0016465B">
              <w:t>more</w:t>
            </w:r>
            <w:r>
              <w:t>!</w:t>
            </w:r>
          </w:p>
        </w:tc>
      </w:tr>
      <w:tr w:rsidR="006108B2" w14:paraId="3F7EAF6D" w14:textId="77777777" w:rsidTr="0016465B">
        <w:tc>
          <w:tcPr>
            <w:tcW w:w="4950" w:type="dxa"/>
            <w:tcMar>
              <w:right w:w="72" w:type="dxa"/>
            </w:tcMar>
          </w:tcPr>
          <w:p w14:paraId="49346DA2" w14:textId="77777777" w:rsidR="006108B2" w:rsidRDefault="006108B2" w:rsidP="002C27D3">
            <w:pPr>
              <w:pStyle w:val="BodyText"/>
            </w:pPr>
            <w:r>
              <w:t xml:space="preserve">The </w:t>
            </w:r>
            <w:r w:rsidRPr="002C27D3">
              <w:rPr>
                <w:b/>
                <w:bCs/>
              </w:rPr>
              <w:t>More Information</w:t>
            </w:r>
            <w:r>
              <w:t xml:space="preserve"> window now includes several exciting updates:</w:t>
            </w:r>
          </w:p>
          <w:p w14:paraId="7B5EBBEF" w14:textId="450190A6" w:rsidR="006108B2" w:rsidRDefault="006108B2" w:rsidP="002C27D3">
            <w:pPr>
              <w:pStyle w:val="BodyText"/>
              <w:numPr>
                <w:ilvl w:val="0"/>
                <w:numId w:val="197"/>
              </w:numPr>
              <w:ind w:left="350" w:hanging="270"/>
            </w:pPr>
            <w:r>
              <w:t>Patient name hyperlink to Patient Information</w:t>
            </w:r>
            <w:r w:rsidR="009E1B79">
              <w:t>.</w:t>
            </w:r>
            <w:r>
              <w:t xml:space="preserve"> </w:t>
            </w:r>
            <w:r w:rsidRPr="009D5585">
              <w:rPr>
                <w:i/>
                <w:iCs/>
                <w:sz w:val="20"/>
                <w:szCs w:val="22"/>
              </w:rPr>
              <w:t>(11.0.1.44</w:t>
            </w:r>
            <w:r>
              <w:rPr>
                <w:i/>
                <w:iCs/>
                <w:sz w:val="20"/>
                <w:szCs w:val="22"/>
              </w:rPr>
              <w:t>,</w:t>
            </w:r>
            <w:r w:rsidRPr="009D5585">
              <w:rPr>
                <w:i/>
                <w:iCs/>
                <w:sz w:val="20"/>
                <w:szCs w:val="22"/>
              </w:rPr>
              <w:t xml:space="preserve"> 2019)</w:t>
            </w:r>
          </w:p>
          <w:p w14:paraId="7C5CC917" w14:textId="681710CF" w:rsidR="006108B2" w:rsidRDefault="006108B2" w:rsidP="002C27D3">
            <w:pPr>
              <w:pStyle w:val="BodyText"/>
              <w:numPr>
                <w:ilvl w:val="0"/>
                <w:numId w:val="197"/>
              </w:numPr>
              <w:ind w:left="350" w:hanging="270"/>
            </w:pPr>
            <w:r>
              <w:t>View patient billing statements</w:t>
            </w:r>
            <w:r w:rsidR="009E1B79">
              <w:t>.</w:t>
            </w:r>
            <w:r>
              <w:t xml:space="preserve"> </w:t>
            </w:r>
            <w:r w:rsidRPr="009D5585">
              <w:rPr>
                <w:i/>
                <w:iCs/>
                <w:sz w:val="20"/>
                <w:szCs w:val="22"/>
              </w:rPr>
              <w:t>(11.0.20.420, 2020)</w:t>
            </w:r>
          </w:p>
          <w:p w14:paraId="0E9B6E92" w14:textId="1BD6C7EF" w:rsidR="006108B2" w:rsidRDefault="006108B2" w:rsidP="002C27D3">
            <w:pPr>
              <w:pStyle w:val="BodyText"/>
              <w:numPr>
                <w:ilvl w:val="0"/>
                <w:numId w:val="197"/>
              </w:numPr>
              <w:ind w:left="350" w:hanging="270"/>
            </w:pPr>
            <w:r>
              <w:t>View and edit Oral Health Status Surveys</w:t>
            </w:r>
            <w:r w:rsidR="009E1B79">
              <w:t xml:space="preserve">. </w:t>
            </w:r>
            <w:r w:rsidRPr="009D5585">
              <w:rPr>
                <w:i/>
                <w:iCs/>
                <w:sz w:val="20"/>
                <w:szCs w:val="22"/>
              </w:rPr>
              <w:t>(11.0.20.745, 2021)</w:t>
            </w:r>
          </w:p>
          <w:p w14:paraId="7BED8A36" w14:textId="17EB6B78" w:rsidR="006108B2" w:rsidRDefault="006108B2" w:rsidP="002C27D3">
            <w:pPr>
              <w:pStyle w:val="BodyText"/>
              <w:numPr>
                <w:ilvl w:val="0"/>
                <w:numId w:val="197"/>
              </w:numPr>
              <w:ind w:left="350" w:hanging="270"/>
            </w:pPr>
            <w:r>
              <w:t>Graph Oral Health Status data</w:t>
            </w:r>
            <w:r w:rsidR="009E1B79">
              <w:t>.</w:t>
            </w:r>
          </w:p>
          <w:p w14:paraId="62DC3C24" w14:textId="3D86AB97" w:rsidR="006108B2" w:rsidRDefault="006108B2" w:rsidP="002C27D3">
            <w:pPr>
              <w:pStyle w:val="BodyText"/>
              <w:numPr>
                <w:ilvl w:val="0"/>
                <w:numId w:val="197"/>
              </w:numPr>
              <w:ind w:left="350" w:hanging="270"/>
            </w:pPr>
            <w:r>
              <w:t>Enter Medical Alert Reviews</w:t>
            </w:r>
            <w:r w:rsidR="009E1B79">
              <w:t>.</w:t>
            </w:r>
          </w:p>
          <w:p w14:paraId="35FC1B1A" w14:textId="7271A741" w:rsidR="006108B2" w:rsidRDefault="006108B2" w:rsidP="002C27D3">
            <w:pPr>
              <w:pStyle w:val="BodyText"/>
              <w:numPr>
                <w:ilvl w:val="0"/>
                <w:numId w:val="197"/>
              </w:numPr>
              <w:ind w:left="350" w:hanging="270"/>
            </w:pPr>
            <w:r>
              <w:t>Ability to resize the More Information window to full screen</w:t>
            </w:r>
            <w:r w:rsidR="009E1B79">
              <w:t>.</w:t>
            </w:r>
          </w:p>
          <w:p w14:paraId="23A88F1C" w14:textId="0D2A5BEE" w:rsidR="006108B2" w:rsidRDefault="006108B2" w:rsidP="002C27D3">
            <w:pPr>
              <w:pStyle w:val="BodyText"/>
              <w:numPr>
                <w:ilvl w:val="0"/>
                <w:numId w:val="197"/>
              </w:numPr>
              <w:ind w:left="350" w:hanging="270"/>
            </w:pPr>
            <w:r>
              <w:t>View Approval Status for Treatment Plans</w:t>
            </w:r>
            <w:r w:rsidR="009E1B79">
              <w:t>.</w:t>
            </w:r>
            <w:r>
              <w:t xml:space="preserve"> </w:t>
            </w:r>
            <w:r w:rsidRPr="009D5585">
              <w:rPr>
                <w:i/>
                <w:iCs/>
                <w:sz w:val="20"/>
                <w:szCs w:val="22"/>
              </w:rPr>
              <w:t>(11.0.20.920, 2021)</w:t>
            </w:r>
          </w:p>
          <w:p w14:paraId="1486F6C6" w14:textId="2D1581EB" w:rsidR="006108B2" w:rsidRDefault="006108B2" w:rsidP="002C27D3">
            <w:pPr>
              <w:pStyle w:val="BodyText"/>
              <w:numPr>
                <w:ilvl w:val="0"/>
                <w:numId w:val="197"/>
              </w:numPr>
              <w:ind w:left="350" w:hanging="270"/>
            </w:pPr>
            <w:r>
              <w:t>Access the More Information window as an independent module; opening the Office Manager is not required</w:t>
            </w:r>
            <w:r w:rsidR="009E1B79">
              <w:t>.</w:t>
            </w:r>
            <w:r>
              <w:t xml:space="preserve"> </w:t>
            </w:r>
            <w:r w:rsidRPr="009D5585">
              <w:rPr>
                <w:i/>
                <w:iCs/>
                <w:sz w:val="20"/>
                <w:szCs w:val="22"/>
              </w:rPr>
              <w:t>(11.0.20.1047, 2022)</w:t>
            </w:r>
          </w:p>
          <w:p w14:paraId="3DDCB2CD" w14:textId="2D25E0A6" w:rsidR="006108B2" w:rsidRDefault="006108B2" w:rsidP="002C27D3">
            <w:pPr>
              <w:pStyle w:val="BodyText"/>
              <w:numPr>
                <w:ilvl w:val="0"/>
                <w:numId w:val="197"/>
              </w:numPr>
              <w:spacing w:after="0"/>
              <w:ind w:left="360" w:hanging="274"/>
            </w:pPr>
            <w:r>
              <w:t>Broken Appointment date and time corresponds to the date and time when the appointment was scheduled instead of when it was broken</w:t>
            </w:r>
            <w:r w:rsidR="009E1B79">
              <w:t>.</w:t>
            </w:r>
            <w:r>
              <w:t xml:space="preserve"> </w:t>
            </w:r>
            <w:r w:rsidRPr="009D5585">
              <w:rPr>
                <w:i/>
                <w:iCs/>
                <w:sz w:val="20"/>
                <w:szCs w:val="22"/>
              </w:rPr>
              <w:t>(11.0.43, 2023)</w:t>
            </w:r>
          </w:p>
        </w:tc>
        <w:tc>
          <w:tcPr>
            <w:tcW w:w="8010" w:type="dxa"/>
          </w:tcPr>
          <w:p w14:paraId="56C43052" w14:textId="1ACE1AA8" w:rsidR="006108B2" w:rsidRDefault="006108B2" w:rsidP="002C27D3">
            <w:pPr>
              <w:pStyle w:val="BodyText"/>
              <w:spacing w:after="0"/>
              <w:jc w:val="right"/>
            </w:pPr>
            <w:r w:rsidRPr="00831552">
              <w:rPr>
                <w:noProof/>
              </w:rPr>
              <w:drawing>
                <wp:inline distT="0" distB="0" distL="0" distR="0" wp14:anchorId="6FE1568D" wp14:editId="63BF2581">
                  <wp:extent cx="5027295" cy="3867150"/>
                  <wp:effectExtent l="19050" t="19050" r="20955" b="19050"/>
                  <wp:docPr id="525823868" name="Picture 5" descr="A screenshot of a medical application&#10;&#10;Description automatically generated">
                    <a:extLst xmlns:a="http://schemas.openxmlformats.org/drawingml/2006/main">
                      <a:ext uri="{FF2B5EF4-FFF2-40B4-BE49-F238E27FC236}">
                        <a16:creationId xmlns:a16="http://schemas.microsoft.com/office/drawing/2014/main" id="{3B3E2261-55BD-2B95-495F-00E73D4B5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23868" name="Picture 5" descr="A screenshot of a medical application&#10;&#10;Description automatically generated">
                            <a:extLst>
                              <a:ext uri="{FF2B5EF4-FFF2-40B4-BE49-F238E27FC236}">
                                <a16:creationId xmlns:a16="http://schemas.microsoft.com/office/drawing/2014/main" id="{3B3E2261-55BD-2B95-495F-00E73D4B5B52}"/>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1918" cy="3870706"/>
                          </a:xfrm>
                          <a:prstGeom prst="rect">
                            <a:avLst/>
                          </a:prstGeom>
                          <a:ln w="12700">
                            <a:solidFill>
                              <a:schemeClr val="tx1"/>
                            </a:solidFill>
                          </a:ln>
                        </pic:spPr>
                      </pic:pic>
                    </a:graphicData>
                  </a:graphic>
                </wp:inline>
              </w:drawing>
            </w:r>
          </w:p>
        </w:tc>
      </w:tr>
    </w:tbl>
    <w:p w14:paraId="5F518F66" w14:textId="4C82B253" w:rsidR="002C27D3" w:rsidRDefault="002C27D3" w:rsidP="002C27D3">
      <w:pPr>
        <w:pStyle w:val="Heading2"/>
        <w:numPr>
          <w:ilvl w:val="0"/>
          <w:numId w:val="0"/>
        </w:numPr>
      </w:pPr>
      <w:bookmarkStart w:id="264" w:name="_Toc166834410"/>
      <w:r w:rsidRPr="009D5585">
        <w:lastRenderedPageBreak/>
        <w:t>Appointment Book Tools</w:t>
      </w:r>
      <w:r>
        <w:t xml:space="preserve">: </w:t>
      </w:r>
      <w:r w:rsidRPr="009D5585">
        <w:t>Perfect Day Scheduling</w:t>
      </w:r>
      <w:r>
        <w:t xml:space="preserve"> &amp; </w:t>
      </w:r>
      <w:r w:rsidRPr="009D5585">
        <w:t>3rd Next Available Appointment</w:t>
      </w:r>
      <w:bookmarkEnd w:id="2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0"/>
        <w:gridCol w:w="8085"/>
      </w:tblGrid>
      <w:tr w:rsidR="00D46DE1" w14:paraId="7AB4D183" w14:textId="77777777" w:rsidTr="002C27D3">
        <w:tc>
          <w:tcPr>
            <w:tcW w:w="12945" w:type="dxa"/>
            <w:gridSpan w:val="2"/>
          </w:tcPr>
          <w:p w14:paraId="7E46BC5A" w14:textId="56895680" w:rsidR="00D46DE1" w:rsidRDefault="002C27D3" w:rsidP="002C27D3">
            <w:pPr>
              <w:pStyle w:val="BodyText"/>
            </w:pPr>
            <w:r w:rsidRPr="009D5585">
              <w:t>The Dentrix Enterprise Appointment Book setup can be customized to your dental clinic needs for appointments, such as emergency care and multiple providers.</w:t>
            </w:r>
            <w:r>
              <w:t xml:space="preserve"> </w:t>
            </w:r>
            <w:r w:rsidRPr="009D5585">
              <w:t>Features and tools in Appointment Book are useful for visuals, reminders, and even viewing access to care. For access to care, the 3rd Next Available Appointment (3NAA) is easy to view by using the Find New Appointment feature. This feature can be implemented with ANY version of the IHS EDR Dentrix Enterprise.</w:t>
            </w:r>
          </w:p>
        </w:tc>
      </w:tr>
      <w:tr w:rsidR="009978AE" w14:paraId="2E129310" w14:textId="77777777" w:rsidTr="009978AE">
        <w:tc>
          <w:tcPr>
            <w:tcW w:w="4860" w:type="dxa"/>
            <w:tcMar>
              <w:right w:w="72" w:type="dxa"/>
            </w:tcMar>
          </w:tcPr>
          <w:p w14:paraId="11C57CCA" w14:textId="77777777" w:rsidR="00D46DE1" w:rsidRDefault="002C27D3" w:rsidP="00AA26C2">
            <w:pPr>
              <w:pStyle w:val="BodyText"/>
            </w:pPr>
            <w:r>
              <w:t xml:space="preserve">Dentrix Enterprise </w:t>
            </w:r>
            <w:r w:rsidRPr="009D5585">
              <w:rPr>
                <w:i/>
                <w:iCs/>
                <w:sz w:val="20"/>
                <w:szCs w:val="20"/>
              </w:rPr>
              <w:t>(version 11.0.43 and higher, 2019)</w:t>
            </w:r>
            <w:r w:rsidRPr="009D5585">
              <w:t xml:space="preserve"> includes several great updates to the Appointment Book:</w:t>
            </w:r>
          </w:p>
          <w:p w14:paraId="55C2BA65" w14:textId="4ECC8267" w:rsidR="009978AE" w:rsidRDefault="009978AE" w:rsidP="009978AE">
            <w:pPr>
              <w:pStyle w:val="BodyText"/>
              <w:numPr>
                <w:ilvl w:val="0"/>
                <w:numId w:val="199"/>
              </w:numPr>
              <w:ind w:left="360" w:hanging="274"/>
            </w:pPr>
            <w:r>
              <w:t>Appointment Outline – A noticeable black outline now appears around a selected appointment tile.</w:t>
            </w:r>
          </w:p>
          <w:p w14:paraId="2A75A2FD" w14:textId="16B3819D" w:rsidR="009978AE" w:rsidRDefault="009978AE" w:rsidP="009978AE">
            <w:pPr>
              <w:pStyle w:val="BodyText"/>
              <w:numPr>
                <w:ilvl w:val="0"/>
                <w:numId w:val="199"/>
              </w:numPr>
              <w:ind w:left="360" w:hanging="274"/>
            </w:pPr>
            <w:r>
              <w:t>Show Time for Open Time Slot – With the pointer positioned over an open time slot, the corresponding time appears on the time slot.</w:t>
            </w:r>
          </w:p>
          <w:p w14:paraId="6514B062" w14:textId="77777777" w:rsidR="009978AE" w:rsidRDefault="009978AE" w:rsidP="009978AE">
            <w:pPr>
              <w:pStyle w:val="BodyText"/>
              <w:numPr>
                <w:ilvl w:val="0"/>
                <w:numId w:val="199"/>
              </w:numPr>
              <w:ind w:left="360" w:hanging="274"/>
            </w:pPr>
            <w:r>
              <w:t>Additional Appointment Information – An appointment tile can now display patient tags, billing type, insurance carrier/payor, and/or financial class.</w:t>
            </w:r>
          </w:p>
          <w:p w14:paraId="05D68282" w14:textId="4E0C7673" w:rsidR="009978AE" w:rsidRDefault="009978AE" w:rsidP="009978AE">
            <w:pPr>
              <w:pStyle w:val="BodyText"/>
              <w:numPr>
                <w:ilvl w:val="0"/>
                <w:numId w:val="199"/>
              </w:numPr>
              <w:ind w:left="360" w:hanging="274"/>
            </w:pPr>
            <w:r>
              <w:t>Additional Information for New Patient Appointments – The patient’s mobile number and email can be added to a new patient appointment.</w:t>
            </w:r>
          </w:p>
        </w:tc>
        <w:tc>
          <w:tcPr>
            <w:tcW w:w="8085" w:type="dxa"/>
          </w:tcPr>
          <w:p w14:paraId="115968B5" w14:textId="79420602" w:rsidR="00D46DE1" w:rsidRDefault="002C27D3" w:rsidP="002C27D3">
            <w:pPr>
              <w:jc w:val="right"/>
            </w:pPr>
            <w:r w:rsidRPr="00831552">
              <w:rPr>
                <w:noProof/>
              </w:rPr>
              <w:drawing>
                <wp:inline distT="0" distB="0" distL="0" distR="0" wp14:anchorId="74ED7070" wp14:editId="1458E7C9">
                  <wp:extent cx="5069172" cy="3553490"/>
                  <wp:effectExtent l="19050" t="19050" r="17780" b="27940"/>
                  <wp:docPr id="956553688" name="Picture 13" descr="A screenshot of a computer&#10;&#10;Description automatically generated">
                    <a:extLst xmlns:a="http://schemas.openxmlformats.org/drawingml/2006/main">
                      <a:ext uri="{FF2B5EF4-FFF2-40B4-BE49-F238E27FC236}">
                        <a16:creationId xmlns:a16="http://schemas.microsoft.com/office/drawing/2014/main" id="{687916D6-C7F0-F00C-749A-E3110C3FB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10;&#10;Description automatically generated">
                            <a:extLst>
                              <a:ext uri="{FF2B5EF4-FFF2-40B4-BE49-F238E27FC236}">
                                <a16:creationId xmlns:a16="http://schemas.microsoft.com/office/drawing/2014/main" id="{687916D6-C7F0-F00C-749A-E3110C3FBE63}"/>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158226" cy="3615917"/>
                          </a:xfrm>
                          <a:prstGeom prst="rect">
                            <a:avLst/>
                          </a:prstGeom>
                          <a:ln>
                            <a:solidFill>
                              <a:schemeClr val="bg1">
                                <a:lumMod val="50000"/>
                              </a:schemeClr>
                            </a:solidFill>
                          </a:ln>
                          <a:effectLst/>
                        </pic:spPr>
                      </pic:pic>
                    </a:graphicData>
                  </a:graphic>
                </wp:inline>
              </w:drawing>
            </w:r>
          </w:p>
        </w:tc>
      </w:tr>
    </w:tbl>
    <w:p w14:paraId="34451CB1" w14:textId="77777777" w:rsidR="00D46DE1" w:rsidRPr="00D46DE1" w:rsidRDefault="00D46DE1" w:rsidP="00D46DE1"/>
    <w:p w14:paraId="4DAD794F" w14:textId="6C7F83B6" w:rsidR="009D5585" w:rsidRDefault="009978AE" w:rsidP="009978AE">
      <w:pPr>
        <w:pStyle w:val="Heading2"/>
        <w:numPr>
          <w:ilvl w:val="0"/>
          <w:numId w:val="0"/>
        </w:numPr>
        <w:rPr>
          <w:rFonts w:ascii="Times New Roman" w:hAnsi="Times New Roman" w:cs="Times New Roman"/>
          <w:sz w:val="22"/>
          <w:szCs w:val="22"/>
        </w:rPr>
      </w:pPr>
      <w:bookmarkStart w:id="265" w:name="_Toc166834411"/>
      <w:r w:rsidRPr="009D5585">
        <w:lastRenderedPageBreak/>
        <w:t>Enhanced Consent Forms</w:t>
      </w:r>
      <w:bookmarkEnd w:id="2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0"/>
        <w:gridCol w:w="7545"/>
      </w:tblGrid>
      <w:tr w:rsidR="009978AE" w14:paraId="2249F4A1" w14:textId="77777777" w:rsidTr="009978AE">
        <w:tc>
          <w:tcPr>
            <w:tcW w:w="5400" w:type="dxa"/>
            <w:tcMar>
              <w:right w:w="72" w:type="dxa"/>
            </w:tcMar>
          </w:tcPr>
          <w:p w14:paraId="6E169288" w14:textId="77777777" w:rsidR="009978AE" w:rsidRDefault="009978AE" w:rsidP="009978AE">
            <w:pPr>
              <w:pStyle w:val="BodyText"/>
            </w:pPr>
            <w:r>
              <w:t xml:space="preserve">Using a consent form template in Treatment Planner, you can follow a guide of questions (prompts) to create a custom consent form quickly and accurately with minimal typing or editing. </w:t>
            </w:r>
            <w:r w:rsidRPr="0004771E">
              <w:rPr>
                <w:i/>
                <w:iCs/>
                <w:sz w:val="20"/>
                <w:szCs w:val="22"/>
              </w:rPr>
              <w:t>(11.0.20.745, 2021)</w:t>
            </w:r>
          </w:p>
          <w:p w14:paraId="064CDDFF" w14:textId="730055BA" w:rsidR="009978AE" w:rsidRPr="009978AE" w:rsidRDefault="009978AE" w:rsidP="009978AE">
            <w:pPr>
              <w:pStyle w:val="BodyText"/>
            </w:pPr>
            <w:r>
              <w:t xml:space="preserve">As of version 11.0.43, the enhanced consent forms will now populate the name box for practice signature automatically with the name of the user who is currently logged in to Dentrix Enterprise. </w:t>
            </w:r>
            <w:r w:rsidRPr="0004771E">
              <w:rPr>
                <w:i/>
                <w:iCs/>
                <w:sz w:val="20"/>
                <w:szCs w:val="22"/>
              </w:rPr>
              <w:t>(11.0.43, 2023)</w:t>
            </w:r>
          </w:p>
        </w:tc>
        <w:tc>
          <w:tcPr>
            <w:tcW w:w="7545" w:type="dxa"/>
          </w:tcPr>
          <w:p w14:paraId="4DED43AC" w14:textId="00E1B4C6" w:rsidR="009978AE" w:rsidRDefault="009978AE" w:rsidP="00B47A80">
            <w:pPr>
              <w:jc w:val="right"/>
            </w:pPr>
            <w:r w:rsidRPr="00831552">
              <w:rPr>
                <w:noProof/>
              </w:rPr>
              <w:drawing>
                <wp:inline distT="0" distB="0" distL="0" distR="0" wp14:anchorId="6DE0CFEA" wp14:editId="0E820704">
                  <wp:extent cx="4676775" cy="3339465"/>
                  <wp:effectExtent l="19050" t="19050" r="28575" b="13335"/>
                  <wp:docPr id="2088038244" name="Picture 6" descr="A screenshot of a computer&#10;&#10;Description automatically generated">
                    <a:extLst xmlns:a="http://schemas.openxmlformats.org/drawingml/2006/main">
                      <a:ext uri="{FF2B5EF4-FFF2-40B4-BE49-F238E27FC236}">
                        <a16:creationId xmlns:a16="http://schemas.microsoft.com/office/drawing/2014/main" id="{B79A7BBF-6D4B-FE40-D46A-0CFCE6B8A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3886" name="Picture 6" descr="A screenshot of a computer&#10;&#10;Description automatically generated">
                            <a:extLst>
                              <a:ext uri="{FF2B5EF4-FFF2-40B4-BE49-F238E27FC236}">
                                <a16:creationId xmlns:a16="http://schemas.microsoft.com/office/drawing/2014/main" id="{B79A7BBF-6D4B-FE40-D46A-0CFCE6B8A1EE}"/>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76775" cy="3339465"/>
                          </a:xfrm>
                          <a:prstGeom prst="rect">
                            <a:avLst/>
                          </a:prstGeom>
                          <a:ln>
                            <a:solidFill>
                              <a:schemeClr val="bg1">
                                <a:lumMod val="50000"/>
                              </a:schemeClr>
                            </a:solidFill>
                          </a:ln>
                          <a:effectLst/>
                        </pic:spPr>
                      </pic:pic>
                    </a:graphicData>
                  </a:graphic>
                </wp:inline>
              </w:drawing>
            </w:r>
          </w:p>
        </w:tc>
      </w:tr>
    </w:tbl>
    <w:p w14:paraId="577A3FEF" w14:textId="29A60BB8" w:rsidR="009D5585" w:rsidRPr="009D5585" w:rsidRDefault="009978AE" w:rsidP="009978AE">
      <w:pPr>
        <w:pStyle w:val="Heading2"/>
        <w:numPr>
          <w:ilvl w:val="0"/>
          <w:numId w:val="0"/>
        </w:numPr>
        <w:rPr>
          <w:rFonts w:ascii="Times New Roman" w:hAnsi="Times New Roman" w:cs="Times New Roman"/>
          <w:sz w:val="22"/>
          <w:szCs w:val="22"/>
        </w:rPr>
      </w:pPr>
      <w:bookmarkStart w:id="266" w:name="_Toc166834412"/>
      <w:r w:rsidRPr="0004771E">
        <w:t>Paint Types: Impacted &amp; Root Tip</w:t>
      </w:r>
      <w:bookmarkEnd w:id="2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gridCol w:w="2145"/>
      </w:tblGrid>
      <w:tr w:rsidR="009978AE" w14:paraId="5256031B" w14:textId="77777777" w:rsidTr="009978AE">
        <w:tc>
          <w:tcPr>
            <w:tcW w:w="10800" w:type="dxa"/>
            <w:tcMar>
              <w:right w:w="72" w:type="dxa"/>
            </w:tcMar>
          </w:tcPr>
          <w:p w14:paraId="68CE9297" w14:textId="4C407623" w:rsidR="009978AE" w:rsidRPr="0004771E" w:rsidRDefault="009978AE" w:rsidP="009978AE">
            <w:pPr>
              <w:pStyle w:val="BodyText"/>
            </w:pPr>
            <w:r w:rsidRPr="0004771E">
              <w:t>You spoke and IHS listened! As one of the more exciting feature updates for users, the new paint types Impacted and Root Tip provide an improved visual to help you quickly identify patient dental conditions.</w:t>
            </w:r>
            <w:r>
              <w:t xml:space="preserve"> </w:t>
            </w:r>
            <w:r w:rsidRPr="0004771E">
              <w:t>You can also choose to skip the impacted and/or root tip teeth in Perio Chart.</w:t>
            </w:r>
          </w:p>
          <w:p w14:paraId="1DC98F5E" w14:textId="011E85C5" w:rsidR="009978AE" w:rsidRPr="009978AE" w:rsidRDefault="009978AE" w:rsidP="00AA26C2">
            <w:pPr>
              <w:pStyle w:val="BodyText"/>
            </w:pPr>
            <w:r w:rsidRPr="0004771E">
              <w:t xml:space="preserve">These paint types have been added to the Dentrix Enterprise Practice Definitions and are available for selection </w:t>
            </w:r>
            <w:r>
              <w:t>with</w:t>
            </w:r>
            <w:r w:rsidRPr="0004771E">
              <w:t xml:space="preserve"> any procedure codes.</w:t>
            </w:r>
            <w:r>
              <w:t xml:space="preserve"> </w:t>
            </w:r>
            <w:r w:rsidRPr="0004771E">
              <w:rPr>
                <w:i/>
                <w:iCs/>
                <w:sz w:val="20"/>
                <w:szCs w:val="20"/>
              </w:rPr>
              <w:t>(11.0.20.862, 2021)</w:t>
            </w:r>
          </w:p>
        </w:tc>
        <w:tc>
          <w:tcPr>
            <w:tcW w:w="2145" w:type="dxa"/>
          </w:tcPr>
          <w:p w14:paraId="588DC89D" w14:textId="297C6759" w:rsidR="009978AE" w:rsidRDefault="009978AE" w:rsidP="009978AE">
            <w:pPr>
              <w:spacing w:after="0"/>
              <w:jc w:val="right"/>
            </w:pPr>
            <w:r w:rsidRPr="00831552">
              <w:rPr>
                <w:noProof/>
              </w:rPr>
              <w:drawing>
                <wp:inline distT="0" distB="0" distL="0" distR="0" wp14:anchorId="24957CFA" wp14:editId="366E3353">
                  <wp:extent cx="1192530" cy="1438275"/>
                  <wp:effectExtent l="19050" t="19050" r="26670" b="28575"/>
                  <wp:docPr id="1436693419" name="Picture 1" descr="A collage of different types of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0304" name="Picture 1" descr="A collage of different types of teeth&#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192530" cy="1438275"/>
                          </a:xfrm>
                          <a:prstGeom prst="rect">
                            <a:avLst/>
                          </a:prstGeom>
                          <a:ln>
                            <a:solidFill>
                              <a:schemeClr val="bg1">
                                <a:lumMod val="50000"/>
                              </a:schemeClr>
                            </a:solidFill>
                          </a:ln>
                          <a:effectLst/>
                        </pic:spPr>
                      </pic:pic>
                    </a:graphicData>
                  </a:graphic>
                </wp:inline>
              </w:drawing>
            </w:r>
          </w:p>
        </w:tc>
      </w:tr>
    </w:tbl>
    <w:p w14:paraId="247206F6" w14:textId="2E087F95" w:rsidR="0065716F" w:rsidRDefault="0065716F" w:rsidP="009978AE">
      <w:pPr>
        <w:pStyle w:val="Heading2"/>
        <w:numPr>
          <w:ilvl w:val="0"/>
          <w:numId w:val="0"/>
        </w:numPr>
      </w:pPr>
      <w:bookmarkStart w:id="267" w:name="_Toc166834413"/>
      <w:r w:rsidRPr="0065716F">
        <w:lastRenderedPageBreak/>
        <w:t>Patient Information for Tribal Enrollment Data</w:t>
      </w:r>
      <w:bookmarkEnd w:id="2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33"/>
        <w:gridCol w:w="8827"/>
      </w:tblGrid>
      <w:tr w:rsidR="004E69C6" w14:paraId="33F9377B" w14:textId="77777777" w:rsidTr="004E69C6">
        <w:tc>
          <w:tcPr>
            <w:tcW w:w="5580" w:type="dxa"/>
            <w:tcMar>
              <w:right w:w="72" w:type="dxa"/>
            </w:tcMar>
          </w:tcPr>
          <w:p w14:paraId="1E69F81B" w14:textId="7E6C45C4" w:rsidR="004E69C6" w:rsidRPr="0065716F" w:rsidRDefault="004E69C6" w:rsidP="00AA26C2">
            <w:pPr>
              <w:pStyle w:val="BodyText"/>
            </w:pPr>
            <w:r w:rsidRPr="0065716F">
              <w:t>Tribal Enrollment, Quantum, and Membership can be entered into Family File (or automatically uploaded from RPMS).</w:t>
            </w:r>
          </w:p>
          <w:p w14:paraId="04F5F9CE" w14:textId="22BACB0A" w:rsidR="009978AE" w:rsidRPr="004E69C6" w:rsidRDefault="004E69C6" w:rsidP="00AA26C2">
            <w:pPr>
              <w:pStyle w:val="BodyText"/>
            </w:pPr>
            <w:r w:rsidRPr="0065716F">
              <w:t xml:space="preserve">Tribal information can be used for specific reports in Dentrix Enterprise, such as the new NPIRS </w:t>
            </w:r>
            <w:r>
              <w:t xml:space="preserve">data export </w:t>
            </w:r>
            <w:r w:rsidRPr="0065716F">
              <w:t>functionality</w:t>
            </w:r>
            <w:r>
              <w:t xml:space="preserve">. </w:t>
            </w:r>
            <w:r w:rsidRPr="0065716F">
              <w:rPr>
                <w:i/>
                <w:iCs/>
                <w:sz w:val="20"/>
                <w:szCs w:val="22"/>
              </w:rPr>
              <w:t>(11.0.44, 2023)</w:t>
            </w:r>
          </w:p>
        </w:tc>
        <w:tc>
          <w:tcPr>
            <w:tcW w:w="7365" w:type="dxa"/>
          </w:tcPr>
          <w:p w14:paraId="6B7CF613" w14:textId="2C427DEA" w:rsidR="009978AE" w:rsidRDefault="009978AE" w:rsidP="004E69C6">
            <w:pPr>
              <w:spacing w:after="0"/>
              <w:jc w:val="right"/>
            </w:pPr>
            <w:r>
              <w:rPr>
                <w:noProof/>
              </w:rPr>
              <w:drawing>
                <wp:inline distT="0" distB="0" distL="0" distR="0" wp14:anchorId="0DE545C4" wp14:editId="63BD208C">
                  <wp:extent cx="5605325" cy="3445727"/>
                  <wp:effectExtent l="0" t="0" r="0" b="2540"/>
                  <wp:docPr id="1343927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27229" name="Picture 1"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605325" cy="3445727"/>
                          </a:xfrm>
                          <a:prstGeom prst="rect">
                            <a:avLst/>
                          </a:prstGeom>
                          <a:ln>
                            <a:noFill/>
                          </a:ln>
                          <a:effectLst/>
                        </pic:spPr>
                      </pic:pic>
                    </a:graphicData>
                  </a:graphic>
                </wp:inline>
              </w:drawing>
            </w:r>
          </w:p>
        </w:tc>
      </w:tr>
    </w:tbl>
    <w:p w14:paraId="1B8426BB" w14:textId="03A7E059" w:rsidR="004E69C6" w:rsidRDefault="004E69C6" w:rsidP="009978AE"/>
    <w:p w14:paraId="5A56666F" w14:textId="77777777" w:rsidR="004E69C6" w:rsidRDefault="004E69C6">
      <w:pPr>
        <w:spacing w:after="0"/>
      </w:pPr>
      <w:r>
        <w:br w:type="page"/>
      </w:r>
    </w:p>
    <w:p w14:paraId="3D6E91ED" w14:textId="020540E4" w:rsidR="0065716F" w:rsidRPr="0065716F" w:rsidRDefault="0065716F" w:rsidP="002B0C72">
      <w:pPr>
        <w:pStyle w:val="Heading2"/>
        <w:numPr>
          <w:ilvl w:val="0"/>
          <w:numId w:val="0"/>
        </w:numPr>
      </w:pPr>
      <w:bookmarkStart w:id="268" w:name="_Toc166834414"/>
      <w:r w:rsidRPr="0065716F">
        <w:lastRenderedPageBreak/>
        <w:t>Electronic Patient Health History</w:t>
      </w:r>
      <w:bookmarkEnd w:id="268"/>
      <w:r w:rsidRPr="0065716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7440"/>
      </w:tblGrid>
      <w:tr w:rsidR="004E69C6" w14:paraId="37B386A1" w14:textId="77777777" w:rsidTr="004E69C6">
        <w:tc>
          <w:tcPr>
            <w:tcW w:w="7380" w:type="dxa"/>
            <w:tcMar>
              <w:right w:w="72" w:type="dxa"/>
            </w:tcMar>
          </w:tcPr>
          <w:p w14:paraId="1143BB2C" w14:textId="1ABD6372" w:rsidR="004E69C6" w:rsidRDefault="004E69C6" w:rsidP="004E69C6">
            <w:pPr>
              <w:pStyle w:val="BodyText"/>
            </w:pPr>
            <w:r>
              <w:t xml:space="preserve">A new </w:t>
            </w:r>
            <w:r w:rsidRPr="009E1B79">
              <w:rPr>
                <w:b/>
                <w:bCs/>
              </w:rPr>
              <w:t>Patient Medical Assessment</w:t>
            </w:r>
            <w:r>
              <w:t xml:space="preserve"> window allows you to record a patient’s medical history using an electronic form.  The form consists of several sections that a provider goes through with the patient. Some fields, such as medical alerts, interact with the patient record to make data entry fast and complete.</w:t>
            </w:r>
          </w:p>
          <w:p w14:paraId="425811CC" w14:textId="08ACB0FF" w:rsidR="004E69C6" w:rsidRPr="004E69C6" w:rsidRDefault="004E69C6" w:rsidP="004E69C6">
            <w:pPr>
              <w:pStyle w:val="BodyText"/>
            </w:pPr>
            <w:r w:rsidRPr="004E69C6">
              <w:t>Once the form is complete, the provider or staff member and, if required, a patient or guardian must sign the form. A copy of the completed form can be saved to the patient</w:t>
            </w:r>
            <w:r w:rsidR="009E1B79">
              <w:t>’s</w:t>
            </w:r>
            <w:r w:rsidRPr="004E69C6">
              <w:t xml:space="preserve"> Document Center record or exported as needed.</w:t>
            </w:r>
            <w:r w:rsidRPr="004E69C6">
              <w:rPr>
                <w:i/>
                <w:iCs/>
              </w:rPr>
              <w:t xml:space="preserve"> (11.0.20.1047, 2022)</w:t>
            </w:r>
          </w:p>
        </w:tc>
        <w:tc>
          <w:tcPr>
            <w:tcW w:w="5565" w:type="dxa"/>
          </w:tcPr>
          <w:p w14:paraId="47AFA0AA" w14:textId="5441B617" w:rsidR="004E69C6" w:rsidRDefault="004E69C6" w:rsidP="004E69C6">
            <w:pPr>
              <w:spacing w:after="0"/>
              <w:jc w:val="right"/>
            </w:pPr>
            <w:r w:rsidRPr="00036327">
              <w:rPr>
                <w:noProof/>
              </w:rPr>
              <w:drawing>
                <wp:inline distT="0" distB="0" distL="0" distR="0" wp14:anchorId="77F360C0" wp14:editId="30F4CD30">
                  <wp:extent cx="4691276" cy="2994431"/>
                  <wp:effectExtent l="19050" t="19050" r="14605" b="15875"/>
                  <wp:docPr id="1455019377" name="Picture 1455019377" descr="A screenshot of a computer&#10;&#10;Description automatically generated">
                    <a:extLst xmlns:a="http://schemas.openxmlformats.org/drawingml/2006/main">
                      <a:ext uri="{FF2B5EF4-FFF2-40B4-BE49-F238E27FC236}">
                        <a16:creationId xmlns:a16="http://schemas.microsoft.com/office/drawing/2014/main" id="{E237542B-11C7-DCDC-1CC8-C555E26AA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19377" name="Picture 1455019377" descr="A screenshot of a computer&#10;&#10;Description automatically generated">
                            <a:extLst>
                              <a:ext uri="{FF2B5EF4-FFF2-40B4-BE49-F238E27FC236}">
                                <a16:creationId xmlns:a16="http://schemas.microsoft.com/office/drawing/2014/main" id="{E237542B-11C7-DCDC-1CC8-C555E26AA0AF}"/>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08684" cy="3005543"/>
                          </a:xfrm>
                          <a:prstGeom prst="rect">
                            <a:avLst/>
                          </a:prstGeom>
                          <a:ln>
                            <a:solidFill>
                              <a:schemeClr val="bg1">
                                <a:lumMod val="50000"/>
                              </a:schemeClr>
                            </a:solidFill>
                          </a:ln>
                          <a:effectLst/>
                        </pic:spPr>
                      </pic:pic>
                    </a:graphicData>
                  </a:graphic>
                </wp:inline>
              </w:drawing>
            </w:r>
          </w:p>
        </w:tc>
      </w:tr>
    </w:tbl>
    <w:p w14:paraId="4F7BB6B4" w14:textId="77777777" w:rsidR="004E69C6" w:rsidRDefault="004E69C6" w:rsidP="004E69C6">
      <w:pPr>
        <w:pStyle w:val="BodyText"/>
      </w:pPr>
    </w:p>
    <w:p w14:paraId="6CEE6D1B" w14:textId="77777777" w:rsidR="004E69C6" w:rsidRDefault="004E69C6">
      <w:pPr>
        <w:spacing w:after="0"/>
        <w:rPr>
          <w:rFonts w:eastAsiaTheme="majorEastAsia"/>
          <w:b/>
          <w:color w:val="000000" w:themeColor="text1"/>
          <w:sz w:val="36"/>
          <w:szCs w:val="36"/>
        </w:rPr>
      </w:pPr>
      <w:r>
        <w:br w:type="page"/>
      </w:r>
    </w:p>
    <w:p w14:paraId="4904DFCA" w14:textId="581D08FB" w:rsidR="0065716F" w:rsidRDefault="0065716F" w:rsidP="002B0C72">
      <w:pPr>
        <w:pStyle w:val="Heading2"/>
        <w:numPr>
          <w:ilvl w:val="0"/>
          <w:numId w:val="0"/>
        </w:numPr>
      </w:pPr>
      <w:bookmarkStart w:id="269" w:name="_Toc166834415"/>
      <w:r w:rsidRPr="0065716F">
        <w:lastRenderedPageBreak/>
        <w:t>Clinical Note Templates</w:t>
      </w:r>
      <w:bookmarkEnd w:id="2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50"/>
        <w:gridCol w:w="1695"/>
      </w:tblGrid>
      <w:tr w:rsidR="004E69C6" w14:paraId="2CFE1B76" w14:textId="77777777" w:rsidTr="004E69C6">
        <w:tc>
          <w:tcPr>
            <w:tcW w:w="11250" w:type="dxa"/>
            <w:tcMar>
              <w:right w:w="72" w:type="dxa"/>
            </w:tcMar>
          </w:tcPr>
          <w:p w14:paraId="62893C51" w14:textId="77777777" w:rsidR="002B0C72" w:rsidRDefault="002B0C72" w:rsidP="00B47A80">
            <w:pPr>
              <w:pStyle w:val="BodyText"/>
              <w:rPr>
                <w:rFonts w:cs="Times New Roman"/>
              </w:rPr>
            </w:pPr>
            <w:r w:rsidRPr="00B11C99">
              <w:rPr>
                <w:rFonts w:cs="Times New Roman"/>
              </w:rPr>
              <w:t>The IHS Customized Clinical Note Templates are used by IHS clinicians to record the details of the patient visit quickly and accurately with minimal to no typing or editing.</w:t>
            </w:r>
          </w:p>
          <w:p w14:paraId="1119D583" w14:textId="640ECDE6" w:rsidR="004E69C6" w:rsidRPr="004E69C6" w:rsidRDefault="004E69C6" w:rsidP="00B47A80">
            <w:pPr>
              <w:pStyle w:val="BodyText"/>
            </w:pPr>
            <w:r w:rsidRPr="00B11C99">
              <w:rPr>
                <w:rFonts w:cs="Times New Roman"/>
              </w:rPr>
              <w:t xml:space="preserve">Clinical note templates are provided to every IHS site and are easily edited to match the staff and materials used by the dental clinic. The clinical note templates for IHS are a tremendous workflow time saver. </w:t>
            </w:r>
            <w:r w:rsidRPr="00B11C99">
              <w:rPr>
                <w:rFonts w:cs="Times New Roman"/>
                <w:i/>
                <w:iCs/>
                <w:sz w:val="20"/>
                <w:szCs w:val="22"/>
              </w:rPr>
              <w:t>(8.0.96, 2018)</w:t>
            </w:r>
          </w:p>
        </w:tc>
        <w:tc>
          <w:tcPr>
            <w:tcW w:w="1695" w:type="dxa"/>
          </w:tcPr>
          <w:p w14:paraId="2720B64B" w14:textId="7B7479CB" w:rsidR="004E69C6" w:rsidRDefault="004E69C6" w:rsidP="004E69C6">
            <w:pPr>
              <w:spacing w:after="0"/>
              <w:jc w:val="right"/>
            </w:pPr>
            <w:r w:rsidRPr="00A64955">
              <w:rPr>
                <w:noProof/>
              </w:rPr>
              <w:drawing>
                <wp:inline distT="0" distB="0" distL="0" distR="0" wp14:anchorId="3E715A6E" wp14:editId="6E866B3A">
                  <wp:extent cx="841248" cy="2404872"/>
                  <wp:effectExtent l="19050" t="19050" r="16510" b="14605"/>
                  <wp:docPr id="431719881" name="Picture 431719881" descr="A white paper with black text&#10;&#10;Description automatically generated">
                    <a:extLst xmlns:a="http://schemas.openxmlformats.org/drawingml/2006/main">
                      <a:ext uri="{FF2B5EF4-FFF2-40B4-BE49-F238E27FC236}">
                        <a16:creationId xmlns:a16="http://schemas.microsoft.com/office/drawing/2014/main" id="{9A78311C-817E-5D8B-99C4-ECA1DF00D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9881" name="Picture 431719881" descr="A white paper with black text&#10;&#10;Description automatically generated">
                            <a:extLst>
                              <a:ext uri="{FF2B5EF4-FFF2-40B4-BE49-F238E27FC236}">
                                <a16:creationId xmlns:a16="http://schemas.microsoft.com/office/drawing/2014/main" id="{9A78311C-817E-5D8B-99C4-ECA1DF00DC1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1248" cy="2404872"/>
                          </a:xfrm>
                          <a:prstGeom prst="rect">
                            <a:avLst/>
                          </a:prstGeom>
                          <a:ln>
                            <a:solidFill>
                              <a:schemeClr val="bg1">
                                <a:lumMod val="50000"/>
                              </a:schemeClr>
                            </a:solidFill>
                          </a:ln>
                          <a:effectLst/>
                        </pic:spPr>
                      </pic:pic>
                    </a:graphicData>
                  </a:graphic>
                </wp:inline>
              </w:drawing>
            </w:r>
          </w:p>
        </w:tc>
      </w:tr>
    </w:tbl>
    <w:p w14:paraId="668D48F5" w14:textId="03F2625C" w:rsidR="004E69C6" w:rsidRPr="00B11C99" w:rsidRDefault="004E69C6" w:rsidP="004E69C6">
      <w:pPr>
        <w:pStyle w:val="Heading2"/>
        <w:numPr>
          <w:ilvl w:val="0"/>
          <w:numId w:val="0"/>
        </w:numPr>
      </w:pPr>
      <w:bookmarkStart w:id="270" w:name="_Toc166834416"/>
      <w:r w:rsidRPr="00B11C99">
        <w:t>Clinical Note Transfer to RPMS</w:t>
      </w:r>
      <w:bookmarkEnd w:id="270"/>
    </w:p>
    <w:p w14:paraId="10702DC5" w14:textId="26FDD14A" w:rsidR="00B11C99" w:rsidRPr="002B0C72" w:rsidRDefault="004E69C6" w:rsidP="00A079A3">
      <w:pPr>
        <w:pStyle w:val="BodyText"/>
        <w:rPr>
          <w:b/>
          <w:i/>
          <w:iCs/>
          <w:sz w:val="20"/>
          <w:szCs w:val="22"/>
        </w:rPr>
      </w:pPr>
      <w:r w:rsidRPr="00B11C99">
        <w:t>A new capability available to RPMS clinics automatically transfers the dental patient clinical notes to the medical record. The ability to view dental notes from the medical chart optimizes patient care by giving clinicians access to a combined record of patient dental and medical history inside of RPMS.</w:t>
      </w:r>
      <w:r w:rsidR="00A079A3">
        <w:t xml:space="preserve"> </w:t>
      </w:r>
      <w:r w:rsidRPr="00B11C99">
        <w:rPr>
          <w:i/>
          <w:iCs/>
          <w:sz w:val="20"/>
          <w:szCs w:val="22"/>
        </w:rPr>
        <w:t>(11.0.20, 2019)</w:t>
      </w:r>
    </w:p>
    <w:p w14:paraId="38724BDE" w14:textId="35D86C8A" w:rsidR="00B11C99" w:rsidRDefault="00B11C99" w:rsidP="002B0C72">
      <w:pPr>
        <w:pStyle w:val="Heading2"/>
        <w:numPr>
          <w:ilvl w:val="0"/>
          <w:numId w:val="0"/>
        </w:numPr>
      </w:pPr>
      <w:bookmarkStart w:id="271" w:name="_Toc166834417"/>
      <w:r w:rsidRPr="00B11C99">
        <w:lastRenderedPageBreak/>
        <w:t>Oral Health Status (OHS) Measure</w:t>
      </w:r>
      <w:bookmarkEnd w:id="2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40"/>
        <w:gridCol w:w="5205"/>
      </w:tblGrid>
      <w:tr w:rsidR="002B0C72" w14:paraId="21948A5D" w14:textId="77777777" w:rsidTr="002B0C72">
        <w:tc>
          <w:tcPr>
            <w:tcW w:w="7740" w:type="dxa"/>
            <w:tcMar>
              <w:right w:w="72" w:type="dxa"/>
            </w:tcMar>
          </w:tcPr>
          <w:p w14:paraId="146324A5" w14:textId="6E88C00F" w:rsidR="002B0C72" w:rsidRPr="00B11C99" w:rsidRDefault="002B0C72" w:rsidP="00AA26C2">
            <w:pPr>
              <w:pStyle w:val="BodyText"/>
            </w:pPr>
            <w:r w:rsidRPr="00B11C99">
              <w:t xml:space="preserve">The IHS Electronic Dental Record </w:t>
            </w:r>
            <w:r w:rsidRPr="00900816">
              <w:rPr>
                <w:i/>
                <w:iCs/>
                <w:sz w:val="20"/>
                <w:szCs w:val="22"/>
              </w:rPr>
              <w:t>(8.0.96 and higher, 2018)</w:t>
            </w:r>
            <w:r w:rsidRPr="00900816">
              <w:rPr>
                <w:sz w:val="20"/>
                <w:szCs w:val="22"/>
              </w:rPr>
              <w:t xml:space="preserve"> </w:t>
            </w:r>
            <w:r w:rsidRPr="00B11C99">
              <w:t xml:space="preserve">has a built-in </w:t>
            </w:r>
            <w:r>
              <w:t>O</w:t>
            </w:r>
            <w:r w:rsidRPr="00B11C99">
              <w:t xml:space="preserve">ral </w:t>
            </w:r>
            <w:r>
              <w:t>H</w:t>
            </w:r>
            <w:r w:rsidRPr="00B11C99">
              <w:t xml:space="preserve">ealth </w:t>
            </w:r>
            <w:r>
              <w:t>St</w:t>
            </w:r>
            <w:r w:rsidRPr="00B11C99">
              <w:t>atus</w:t>
            </w:r>
            <w:r>
              <w:t xml:space="preserve"> Measure</w:t>
            </w:r>
            <w:r w:rsidRPr="00B11C99">
              <w:t xml:space="preserve"> (OHS</w:t>
            </w:r>
            <w:r>
              <w:t>M</w:t>
            </w:r>
            <w:r w:rsidRPr="00B11C99">
              <w:t>) with only 9 questions.  It’s designed to efficiently capture a patient’s oral health status and risk factors in 1</w:t>
            </w:r>
            <w:r w:rsidR="009E1B79">
              <w:t>–</w:t>
            </w:r>
            <w:r w:rsidRPr="00B11C99">
              <w:t>3 minutes.</w:t>
            </w:r>
          </w:p>
          <w:p w14:paraId="3A8182FE" w14:textId="77777777" w:rsidR="002B0C72" w:rsidRPr="00B11C99" w:rsidRDefault="002B0C72" w:rsidP="00AA26C2">
            <w:pPr>
              <w:pStyle w:val="BodyText"/>
            </w:pPr>
            <w:r w:rsidRPr="00B11C99">
              <w:t>This prevention-oriented tool provides a way to record and track oral health, leading to early diagnosis and timely intervention, which should decrease the number of emergency room visits for evaluation and/or treatment of serious oral infections.</w:t>
            </w:r>
          </w:p>
          <w:p w14:paraId="1B67A908" w14:textId="6462FFF0" w:rsidR="002B0C72" w:rsidRPr="004E69C6" w:rsidRDefault="002B0C72" w:rsidP="00AA26C2">
            <w:pPr>
              <w:pStyle w:val="BodyText"/>
            </w:pPr>
            <w:r w:rsidRPr="00B11C99">
              <w:t>As the patient’s status changes over time (</w:t>
            </w:r>
            <w:r w:rsidR="009E1B79">
              <w:t xml:space="preserve">for example, </w:t>
            </w:r>
            <w:r w:rsidRPr="00B11C99">
              <w:t xml:space="preserve">when all treatment is completed or during periodic exams) the provider can update the assessment to reflect their current </w:t>
            </w:r>
            <w:r>
              <w:t>Oral Health S</w:t>
            </w:r>
            <w:r w:rsidRPr="00B11C99">
              <w:t>tatus</w:t>
            </w:r>
            <w:r>
              <w:t xml:space="preserve"> Classification (OHSC)</w:t>
            </w:r>
            <w:r w:rsidRPr="00B11C99">
              <w:t>. In addition to tracking individual patients, the OHSM can be used to track the oral health of the clinic population. For example, the reports can help you identify how many patients require immediate care or how many patients who were assessed have an excellent oral health status.</w:t>
            </w:r>
          </w:p>
        </w:tc>
        <w:tc>
          <w:tcPr>
            <w:tcW w:w="5205" w:type="dxa"/>
          </w:tcPr>
          <w:p w14:paraId="72CC4589" w14:textId="456A01C8" w:rsidR="002B0C72" w:rsidRDefault="002B0C72" w:rsidP="00B47A80">
            <w:pPr>
              <w:spacing w:after="0"/>
              <w:jc w:val="right"/>
            </w:pPr>
            <w:r w:rsidRPr="00724304">
              <w:rPr>
                <w:rFonts w:ascii="Calibri" w:eastAsia="Calibri" w:hAnsi="Calibri"/>
                <w:noProof/>
              </w:rPr>
              <w:drawing>
                <wp:inline distT="0" distB="0" distL="0" distR="0" wp14:anchorId="0ED33CB0" wp14:editId="58CBD60C">
                  <wp:extent cx="3162935" cy="4019550"/>
                  <wp:effectExtent l="19050" t="19050" r="18415" b="19050"/>
                  <wp:docPr id="1628316227" name="Picture 16283162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16227" name="Picture 1628316227" descr="A screenshot of a compu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62935" cy="4019550"/>
                          </a:xfrm>
                          <a:prstGeom prst="rect">
                            <a:avLst/>
                          </a:prstGeom>
                          <a:ln>
                            <a:solidFill>
                              <a:schemeClr val="bg1">
                                <a:lumMod val="50000"/>
                              </a:schemeClr>
                            </a:solidFill>
                          </a:ln>
                          <a:effectLst/>
                        </pic:spPr>
                      </pic:pic>
                    </a:graphicData>
                  </a:graphic>
                </wp:inline>
              </w:drawing>
            </w:r>
          </w:p>
        </w:tc>
      </w:tr>
    </w:tbl>
    <w:p w14:paraId="7F5FF4FE" w14:textId="6B9FA868" w:rsidR="00AA26C2" w:rsidRDefault="00AA26C2" w:rsidP="00AA26C2">
      <w:pPr>
        <w:pStyle w:val="BodyText"/>
      </w:pPr>
    </w:p>
    <w:p w14:paraId="670C8315" w14:textId="77777777" w:rsidR="00AA26C2" w:rsidRDefault="00AA26C2">
      <w:pPr>
        <w:spacing w:after="0"/>
        <w:rPr>
          <w:rFonts w:ascii="Times New Roman" w:hAnsi="Times New Roman"/>
        </w:rPr>
      </w:pPr>
      <w:r>
        <w:br w:type="page"/>
      </w:r>
    </w:p>
    <w:p w14:paraId="4646EE0F" w14:textId="40A1199A" w:rsidR="00900816" w:rsidRPr="00900816" w:rsidRDefault="00900816" w:rsidP="002B0C72">
      <w:pPr>
        <w:pStyle w:val="Heading2"/>
        <w:numPr>
          <w:ilvl w:val="0"/>
          <w:numId w:val="0"/>
        </w:numPr>
      </w:pPr>
      <w:bookmarkStart w:id="272" w:name="_Toc166834418"/>
      <w:r w:rsidRPr="00900816">
        <w:lastRenderedPageBreak/>
        <w:t>Oral Health Status (OHS) Reports</w:t>
      </w:r>
      <w:bookmarkEnd w:id="2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30"/>
        <w:gridCol w:w="8130"/>
      </w:tblGrid>
      <w:tr w:rsidR="00AA26C2" w14:paraId="6B389732" w14:textId="77777777" w:rsidTr="00AA26C2">
        <w:tc>
          <w:tcPr>
            <w:tcW w:w="5400" w:type="dxa"/>
            <w:tcMar>
              <w:right w:w="72" w:type="dxa"/>
            </w:tcMar>
          </w:tcPr>
          <w:p w14:paraId="025DF0AB" w14:textId="77777777" w:rsidR="00AA26C2" w:rsidRDefault="00AA26C2" w:rsidP="00AA26C2">
            <w:pPr>
              <w:pStyle w:val="BodyText"/>
            </w:pPr>
            <w:r>
              <w:t>The DXOne Reporting module contains two (2) OHS report options:</w:t>
            </w:r>
          </w:p>
          <w:p w14:paraId="68E67955" w14:textId="77777777" w:rsidR="00AA26C2" w:rsidRDefault="00AA26C2" w:rsidP="00AA26C2">
            <w:pPr>
              <w:pStyle w:val="BodyText"/>
              <w:numPr>
                <w:ilvl w:val="0"/>
                <w:numId w:val="200"/>
              </w:numPr>
              <w:ind w:left="360" w:hanging="274"/>
            </w:pPr>
            <w:r w:rsidRPr="00A617FB">
              <w:rPr>
                <w:b/>
                <w:bCs/>
              </w:rPr>
              <w:t>OHS Report</w:t>
            </w:r>
            <w:r>
              <w:rPr>
                <w:b/>
                <w:bCs/>
              </w:rPr>
              <w:t>:</w:t>
            </w:r>
            <w:r>
              <w:t xml:space="preserve"> This report displays OHS Survey data within a specific date range and can include patient details. </w:t>
            </w:r>
            <w:r w:rsidRPr="00EB7F97">
              <w:rPr>
                <w:i/>
                <w:iCs/>
                <w:sz w:val="20"/>
                <w:szCs w:val="20"/>
              </w:rPr>
              <w:t>(8.0.96</w:t>
            </w:r>
            <w:r>
              <w:rPr>
                <w:i/>
                <w:iCs/>
                <w:sz w:val="20"/>
                <w:szCs w:val="20"/>
              </w:rPr>
              <w:t>, 2018</w:t>
            </w:r>
            <w:r w:rsidRPr="00EB7F97">
              <w:rPr>
                <w:i/>
                <w:iCs/>
                <w:sz w:val="20"/>
                <w:szCs w:val="20"/>
              </w:rPr>
              <w:t>)</w:t>
            </w:r>
          </w:p>
          <w:p w14:paraId="6CC99378" w14:textId="77777777" w:rsidR="00AA26C2" w:rsidRDefault="00AA26C2" w:rsidP="00AA26C2">
            <w:pPr>
              <w:pStyle w:val="BodyText"/>
              <w:numPr>
                <w:ilvl w:val="0"/>
                <w:numId w:val="200"/>
              </w:numPr>
              <w:ind w:left="360" w:hanging="274"/>
            </w:pPr>
            <w:r w:rsidRPr="00A617FB">
              <w:rPr>
                <w:b/>
                <w:bCs/>
              </w:rPr>
              <w:t>OHS Outcome after Appointment Report</w:t>
            </w:r>
            <w:r>
              <w:rPr>
                <w:b/>
                <w:bCs/>
              </w:rPr>
              <w:t>:</w:t>
            </w:r>
            <w:r>
              <w:t xml:space="preserve"> This report measures changes in oral health after appointment, which may indicate the benefit or effectiveness of treatment performed. </w:t>
            </w:r>
            <w:r w:rsidRPr="00EB7F97">
              <w:rPr>
                <w:i/>
                <w:iCs/>
                <w:sz w:val="20"/>
                <w:szCs w:val="20"/>
              </w:rPr>
              <w:t>(</w:t>
            </w:r>
            <w:r>
              <w:rPr>
                <w:i/>
                <w:iCs/>
                <w:sz w:val="20"/>
                <w:szCs w:val="20"/>
              </w:rPr>
              <w:t>11.0.20.862, 2021</w:t>
            </w:r>
            <w:r w:rsidRPr="00EB7F97">
              <w:rPr>
                <w:i/>
                <w:iCs/>
                <w:sz w:val="20"/>
                <w:szCs w:val="20"/>
              </w:rPr>
              <w:t>)</w:t>
            </w:r>
          </w:p>
          <w:p w14:paraId="73D8EF06" w14:textId="0FC1FD3D" w:rsidR="00AA26C2" w:rsidRPr="004E69C6" w:rsidRDefault="00AA26C2" w:rsidP="00AA26C2">
            <w:pPr>
              <w:pStyle w:val="BodyText"/>
            </w:pPr>
            <w:r w:rsidRPr="008B6E01">
              <w:t xml:space="preserve">To access the </w:t>
            </w:r>
            <w:r>
              <w:t>OHS Reports</w:t>
            </w:r>
            <w:r w:rsidRPr="008B6E01">
              <w:t xml:space="preserve">, in the </w:t>
            </w:r>
            <w:r>
              <w:t>DXOne Reporting module</w:t>
            </w:r>
            <w:r w:rsidRPr="008B6E01">
              <w:t xml:space="preserve">, </w:t>
            </w:r>
            <w:r w:rsidR="0016465B">
              <w:t>i</w:t>
            </w:r>
            <w:r w:rsidRPr="008B6E01">
              <w:t xml:space="preserve">n the </w:t>
            </w:r>
            <w:r w:rsidRPr="0016465B">
              <w:rPr>
                <w:b/>
                <w:bCs/>
              </w:rPr>
              <w:t>Custom Reports</w:t>
            </w:r>
            <w:r>
              <w:t xml:space="preserve"> </w:t>
            </w:r>
            <w:r w:rsidR="0016465B">
              <w:t>c</w:t>
            </w:r>
            <w:r>
              <w:t>ategory</w:t>
            </w:r>
            <w:r w:rsidRPr="008B6E01">
              <w:t xml:space="preserve">, </w:t>
            </w:r>
            <w:r w:rsidR="0016465B">
              <w:t>double-</w:t>
            </w:r>
            <w:r w:rsidRPr="008B6E01">
              <w:t xml:space="preserve">click </w:t>
            </w:r>
            <w:r w:rsidRPr="0016465B">
              <w:rPr>
                <w:b/>
                <w:bCs/>
              </w:rPr>
              <w:t>OHS Report</w:t>
            </w:r>
            <w:r>
              <w:t xml:space="preserve"> or </w:t>
            </w:r>
            <w:r w:rsidRPr="0016465B">
              <w:rPr>
                <w:b/>
                <w:bCs/>
              </w:rPr>
              <w:t>OHS Outcome after Appointment Report</w:t>
            </w:r>
            <w:r w:rsidRPr="008B6E01">
              <w:t>.</w:t>
            </w:r>
          </w:p>
        </w:tc>
        <w:tc>
          <w:tcPr>
            <w:tcW w:w="7545" w:type="dxa"/>
          </w:tcPr>
          <w:p w14:paraId="6456A659" w14:textId="30E4F8F5" w:rsidR="00AA26C2" w:rsidRDefault="00AA26C2" w:rsidP="00AA26C2">
            <w:pPr>
              <w:spacing w:after="0"/>
              <w:jc w:val="right"/>
            </w:pPr>
            <w:r>
              <w:rPr>
                <w:noProof/>
              </w:rPr>
              <w:drawing>
                <wp:inline distT="0" distB="0" distL="0" distR="0" wp14:anchorId="5B2F9B94" wp14:editId="0FA4C6CB">
                  <wp:extent cx="5128124" cy="3023944"/>
                  <wp:effectExtent l="19050" t="19050" r="15875" b="24130"/>
                  <wp:docPr id="6447359" name="Picture 1" descr="A char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359" name="Picture 1" descr="A chart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47061" cy="3035111"/>
                          </a:xfrm>
                          <a:prstGeom prst="rect">
                            <a:avLst/>
                          </a:prstGeom>
                          <a:ln>
                            <a:solidFill>
                              <a:schemeClr val="tx1"/>
                            </a:solidFill>
                          </a:ln>
                          <a:effectLst/>
                        </pic:spPr>
                      </pic:pic>
                    </a:graphicData>
                  </a:graphic>
                </wp:inline>
              </w:drawing>
            </w:r>
          </w:p>
        </w:tc>
      </w:tr>
    </w:tbl>
    <w:p w14:paraId="2CD09487" w14:textId="05D04A46" w:rsidR="00900816" w:rsidRDefault="00900816" w:rsidP="00AA26C2">
      <w:pPr>
        <w:pStyle w:val="Heading2"/>
        <w:numPr>
          <w:ilvl w:val="0"/>
          <w:numId w:val="0"/>
        </w:numPr>
      </w:pPr>
      <w:bookmarkStart w:id="273" w:name="_Toc166834419"/>
      <w:r w:rsidRPr="00900816">
        <w:lastRenderedPageBreak/>
        <w:t>Oral Health Surveillance Survey (OHSS)</w:t>
      </w:r>
      <w:bookmarkEnd w:id="2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gridCol w:w="8160"/>
      </w:tblGrid>
      <w:tr w:rsidR="00AA26C2" w14:paraId="401CFD91" w14:textId="77777777" w:rsidTr="00B47A80">
        <w:tc>
          <w:tcPr>
            <w:tcW w:w="5400" w:type="dxa"/>
            <w:tcMar>
              <w:right w:w="72" w:type="dxa"/>
            </w:tcMar>
          </w:tcPr>
          <w:p w14:paraId="34A55C55" w14:textId="50D17DB7" w:rsidR="00AA26C2" w:rsidRPr="00900816" w:rsidRDefault="00AA26C2" w:rsidP="00AA26C2">
            <w:pPr>
              <w:pStyle w:val="BodyText"/>
            </w:pPr>
            <w:r w:rsidRPr="00900816">
              <w:t>The Oral Health Surveillance Survey is a review of the oral health status and treatment needs of American Indian and Alaska Native dental patients served by the IHS, urban, and tribal dental clinics.</w:t>
            </w:r>
            <w:r w:rsidR="0016465B">
              <w:t xml:space="preserve"> </w:t>
            </w:r>
            <w:r w:rsidRPr="00900816">
              <w:t>These reports are gathered from the dental community by IHS to find out if overall American Indian and Alaska Native oral health is improving.</w:t>
            </w:r>
          </w:p>
          <w:p w14:paraId="6F7EEB51" w14:textId="201CCF06" w:rsidR="00AA26C2" w:rsidRPr="004E69C6" w:rsidRDefault="00AA26C2" w:rsidP="00AA26C2">
            <w:pPr>
              <w:pStyle w:val="BodyText"/>
            </w:pPr>
            <w:r w:rsidRPr="00900816">
              <w:t>The OHSS Report indicates, for various ages and age ranges, the percent of patients who have caries and how many do not, the percent of patients with certain conditions, and the percent of patients with certain pocket depths and clinical attachment levels. The values on the report are calculated using the IHS condition codes and sometimes the ADA codes set up from the Office Manager.</w:t>
            </w:r>
            <w:r>
              <w:t xml:space="preserve"> </w:t>
            </w:r>
            <w:r>
              <w:rPr>
                <w:i/>
                <w:iCs/>
              </w:rPr>
              <w:t>(2.0, 2006)</w:t>
            </w:r>
          </w:p>
        </w:tc>
        <w:tc>
          <w:tcPr>
            <w:tcW w:w="7545" w:type="dxa"/>
          </w:tcPr>
          <w:p w14:paraId="73167896" w14:textId="2D3ACD52" w:rsidR="00AA26C2" w:rsidRDefault="00AA26C2" w:rsidP="00B47A80">
            <w:pPr>
              <w:spacing w:after="0"/>
              <w:jc w:val="right"/>
            </w:pPr>
            <w:r>
              <w:rPr>
                <w:noProof/>
              </w:rPr>
              <w:drawing>
                <wp:inline distT="0" distB="0" distL="0" distR="0" wp14:anchorId="43E388C6" wp14:editId="025FF3C8">
                  <wp:extent cx="5179870" cy="3401122"/>
                  <wp:effectExtent l="0" t="0" r="1905" b="8890"/>
                  <wp:docPr id="62119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96817" name=""/>
                          <pic:cNvPicPr/>
                        </pic:nvPicPr>
                        <pic:blipFill>
                          <a:blip r:embed="rId75"/>
                          <a:stretch>
                            <a:fillRect/>
                          </a:stretch>
                        </pic:blipFill>
                        <pic:spPr>
                          <a:xfrm>
                            <a:off x="0" y="0"/>
                            <a:ext cx="5185306" cy="3404691"/>
                          </a:xfrm>
                          <a:prstGeom prst="rect">
                            <a:avLst/>
                          </a:prstGeom>
                        </pic:spPr>
                      </pic:pic>
                    </a:graphicData>
                  </a:graphic>
                </wp:inline>
              </w:drawing>
            </w:r>
          </w:p>
        </w:tc>
      </w:tr>
    </w:tbl>
    <w:p w14:paraId="539BFE88" w14:textId="2D6D7CA1" w:rsidR="00152980" w:rsidRDefault="00152980" w:rsidP="00AA26C2">
      <w:pPr>
        <w:pStyle w:val="Heading2"/>
        <w:numPr>
          <w:ilvl w:val="0"/>
          <w:numId w:val="0"/>
        </w:numPr>
      </w:pPr>
      <w:bookmarkStart w:id="274" w:name="_Toc166834420"/>
      <w:r w:rsidRPr="00152980">
        <w:lastRenderedPageBreak/>
        <w:t>Oral Health Literacy Report</w:t>
      </w:r>
      <w:bookmarkEnd w:id="2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7365"/>
      </w:tblGrid>
      <w:tr w:rsidR="00AA26C2" w14:paraId="089CC179" w14:textId="77777777" w:rsidTr="00AA26C2">
        <w:tc>
          <w:tcPr>
            <w:tcW w:w="5580" w:type="dxa"/>
            <w:tcMar>
              <w:right w:w="72" w:type="dxa"/>
            </w:tcMar>
          </w:tcPr>
          <w:p w14:paraId="4DF0603F" w14:textId="13FFF904" w:rsidR="00AA26C2" w:rsidRPr="004E69C6" w:rsidRDefault="00AA26C2" w:rsidP="00B47A80">
            <w:pPr>
              <w:pStyle w:val="BodyText"/>
              <w:spacing w:after="0"/>
            </w:pPr>
            <w:r w:rsidRPr="00152980">
              <w:rPr>
                <w:rFonts w:cs="Times New Roman"/>
              </w:rPr>
              <w:t>The Oral Health Literacy Report is a new DXOne custom report. Use this report to track information regarding oral health that was provided to patients by providers at the clinic.</w:t>
            </w:r>
            <w:r w:rsidR="0016465B">
              <w:rPr>
                <w:rFonts w:cs="Times New Roman"/>
              </w:rPr>
              <w:t xml:space="preserve"> </w:t>
            </w:r>
            <w:r w:rsidRPr="00152980">
              <w:rPr>
                <w:rFonts w:cs="Times New Roman"/>
              </w:rPr>
              <w:t>This report is aggregated at the service level only and will be used by Administrators or the Health Promotion Disease Prevention (HPDP) specialist at the service unit level.</w:t>
            </w:r>
            <w:r>
              <w:rPr>
                <w:rFonts w:cs="Times New Roman"/>
              </w:rPr>
              <w:t xml:space="preserve"> </w:t>
            </w:r>
            <w:r w:rsidRPr="00152980">
              <w:rPr>
                <w:rFonts w:cs="Times New Roman"/>
                <w:i/>
                <w:iCs/>
                <w:sz w:val="20"/>
                <w:szCs w:val="22"/>
              </w:rPr>
              <w:t>(11.0.20.1141, 2023)</w:t>
            </w:r>
          </w:p>
        </w:tc>
        <w:tc>
          <w:tcPr>
            <w:tcW w:w="7365" w:type="dxa"/>
          </w:tcPr>
          <w:p w14:paraId="19A9227C" w14:textId="0692796E" w:rsidR="00AA26C2" w:rsidRDefault="00AA26C2" w:rsidP="00B47A80">
            <w:pPr>
              <w:spacing w:after="0"/>
              <w:jc w:val="right"/>
            </w:pPr>
            <w:r w:rsidRPr="00152980">
              <w:rPr>
                <w:noProof/>
                <w:sz w:val="24"/>
              </w:rPr>
              <w:drawing>
                <wp:inline distT="0" distB="0" distL="0" distR="0" wp14:anchorId="3C491261" wp14:editId="5A52ED87">
                  <wp:extent cx="4581144" cy="2569464"/>
                  <wp:effectExtent l="19050" t="19050" r="10160" b="21590"/>
                  <wp:docPr id="2047279043" name="Picture 20472790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9043" name="Picture 2047279043" descr="A screenshot of a compute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81144" cy="2569464"/>
                          </a:xfrm>
                          <a:prstGeom prst="rect">
                            <a:avLst/>
                          </a:prstGeom>
                          <a:ln>
                            <a:solidFill>
                              <a:schemeClr val="tx1"/>
                            </a:solidFill>
                          </a:ln>
                        </pic:spPr>
                      </pic:pic>
                    </a:graphicData>
                  </a:graphic>
                </wp:inline>
              </w:drawing>
            </w:r>
          </w:p>
        </w:tc>
      </w:tr>
    </w:tbl>
    <w:p w14:paraId="5623D63C" w14:textId="467D6FB3" w:rsidR="00152980" w:rsidRDefault="00152980" w:rsidP="00AA26C2">
      <w:pPr>
        <w:pStyle w:val="Heading2"/>
        <w:numPr>
          <w:ilvl w:val="0"/>
          <w:numId w:val="0"/>
        </w:numPr>
      </w:pPr>
      <w:bookmarkStart w:id="275" w:name="_Toc166834421"/>
      <w:r w:rsidRPr="00152980">
        <w:lastRenderedPageBreak/>
        <w:t>HIM Document Center QA Review</w:t>
      </w:r>
      <w:bookmarkEnd w:id="2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20"/>
        <w:gridCol w:w="9240"/>
      </w:tblGrid>
      <w:tr w:rsidR="00AA26C2" w14:paraId="6B06E295" w14:textId="77777777" w:rsidTr="00B47A80">
        <w:tc>
          <w:tcPr>
            <w:tcW w:w="5580" w:type="dxa"/>
            <w:tcMar>
              <w:right w:w="72" w:type="dxa"/>
            </w:tcMar>
          </w:tcPr>
          <w:p w14:paraId="192D3FE1" w14:textId="5E00CC1E" w:rsidR="00AA26C2" w:rsidRPr="00152980" w:rsidRDefault="00AA26C2" w:rsidP="00AA26C2">
            <w:pPr>
              <w:pStyle w:val="BodyText"/>
            </w:pPr>
            <w:r w:rsidRPr="00152980">
              <w:t>With the new Document Center Audit Documents utility, you can identify audited documents and documents that have not been audited yet. From the utility, you can also access any document's information to make changes or audit the document as needed.</w:t>
            </w:r>
          </w:p>
          <w:p w14:paraId="00674D46" w14:textId="5FA3878B" w:rsidR="00AA26C2" w:rsidRPr="004E69C6" w:rsidRDefault="00AA26C2" w:rsidP="00AA26C2">
            <w:pPr>
              <w:pStyle w:val="BodyText"/>
              <w:spacing w:after="0"/>
            </w:pPr>
            <w:r w:rsidRPr="00152980">
              <w:t>The Document Center - Documents List Report displays the list of documents that were acquired within a specified date range and their corresponding details. You can filter the list of documents to include documents that are associated with patients, providers/staff, referrals (inbound and outbound), insurance plans (dental and medical), and employers.</w:t>
            </w:r>
            <w:r>
              <w:t xml:space="preserve"> </w:t>
            </w:r>
            <w:r w:rsidRPr="00152980">
              <w:rPr>
                <w:i/>
                <w:iCs/>
                <w:sz w:val="20"/>
                <w:szCs w:val="22"/>
              </w:rPr>
              <w:t>(11.0.20.585, 2020)</w:t>
            </w:r>
          </w:p>
        </w:tc>
        <w:tc>
          <w:tcPr>
            <w:tcW w:w="7365" w:type="dxa"/>
          </w:tcPr>
          <w:p w14:paraId="160C257D" w14:textId="22FFA824" w:rsidR="00AA26C2" w:rsidRDefault="00AA26C2" w:rsidP="00B47A80">
            <w:pPr>
              <w:spacing w:after="0"/>
              <w:jc w:val="right"/>
            </w:pPr>
            <w:r w:rsidRPr="00A86313">
              <w:rPr>
                <w:noProof/>
                <w:sz w:val="24"/>
              </w:rPr>
              <w:drawing>
                <wp:inline distT="0" distB="0" distL="0" distR="0" wp14:anchorId="44E2426C" wp14:editId="606A52A9">
                  <wp:extent cx="5826847" cy="2985407"/>
                  <wp:effectExtent l="19050" t="19050" r="21590" b="24765"/>
                  <wp:docPr id="2044322361" name="Picture 2044322361">
                    <a:extLst xmlns:a="http://schemas.openxmlformats.org/drawingml/2006/main">
                      <a:ext uri="{FF2B5EF4-FFF2-40B4-BE49-F238E27FC236}">
                        <a16:creationId xmlns:a16="http://schemas.microsoft.com/office/drawing/2014/main" id="{9B40D82E-8CA2-5911-B1F4-2BCACF8A1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B40D82E-8CA2-5911-B1F4-2BCACF8A1429}"/>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842365" cy="2993358"/>
                          </a:xfrm>
                          <a:prstGeom prst="rect">
                            <a:avLst/>
                          </a:prstGeom>
                          <a:ln>
                            <a:solidFill>
                              <a:schemeClr val="bg1">
                                <a:lumMod val="50000"/>
                              </a:schemeClr>
                            </a:solidFill>
                          </a:ln>
                          <a:effectLst/>
                        </pic:spPr>
                      </pic:pic>
                    </a:graphicData>
                  </a:graphic>
                </wp:inline>
              </w:drawing>
            </w:r>
          </w:p>
        </w:tc>
      </w:tr>
    </w:tbl>
    <w:p w14:paraId="7C5E063E" w14:textId="24B44003" w:rsidR="0065716F" w:rsidRPr="00152980" w:rsidRDefault="00152980" w:rsidP="00AA26C2">
      <w:pPr>
        <w:pStyle w:val="Heading2"/>
        <w:numPr>
          <w:ilvl w:val="0"/>
          <w:numId w:val="0"/>
        </w:numPr>
        <w:rPr>
          <w:sz w:val="48"/>
        </w:rPr>
      </w:pPr>
      <w:bookmarkStart w:id="276" w:name="_Toc161417057"/>
      <w:bookmarkStart w:id="277" w:name="_Toc166834422"/>
      <w:r w:rsidRPr="00152980">
        <w:t>Dentrix Electronic Claims Form (837i / UB-04)</w:t>
      </w:r>
      <w:bookmarkEnd w:id="276"/>
      <w:bookmarkEnd w:id="277"/>
    </w:p>
    <w:p w14:paraId="5A1D431B" w14:textId="41DDB1FF" w:rsidR="00152980" w:rsidRPr="00152980" w:rsidRDefault="00152980" w:rsidP="00AA26C2">
      <w:pPr>
        <w:pStyle w:val="BodyText"/>
      </w:pPr>
      <w:r w:rsidRPr="00152980">
        <w:t xml:space="preserve">For clinics in submitting UB-04 claims in certain states (North Dakota, Montana, Oklahoma, </w:t>
      </w:r>
      <w:r w:rsidR="0016465B">
        <w:t>and so forth</w:t>
      </w:r>
      <w:r w:rsidRPr="00152980">
        <w:t>), if you submit dental insurance claims using eClaims (also known as eTrans), which is the electronic claims service that is provided by Henry Schein One, you can now use it to submit medical insurance claims electronically as 837i files.</w:t>
      </w:r>
    </w:p>
    <w:p w14:paraId="714432B3" w14:textId="71024EB6" w:rsidR="00A942C2" w:rsidRDefault="00152980" w:rsidP="00AA26C2">
      <w:pPr>
        <w:pStyle w:val="BodyText"/>
      </w:pPr>
      <w:r w:rsidRPr="00152980">
        <w:t>Updates to the Dentrix Enterprise UB-04 printed claim were completed as a first phase. These updates made it possible for clinics to print UB-04 claims directly out of Dentrix Enterprise with all the required claim detail.</w:t>
      </w:r>
      <w:r>
        <w:t xml:space="preserve"> </w:t>
      </w:r>
      <w:r w:rsidRPr="00152980">
        <w:rPr>
          <w:i/>
          <w:iCs/>
          <w:sz w:val="20"/>
          <w:szCs w:val="22"/>
        </w:rPr>
        <w:t>(11.0.44, 2023)</w:t>
      </w:r>
    </w:p>
    <w:p w14:paraId="49C39D3C" w14:textId="4C9A008D" w:rsidR="0065716F" w:rsidRPr="00152980" w:rsidRDefault="00152980" w:rsidP="00A079A3">
      <w:pPr>
        <w:pStyle w:val="Heading2"/>
        <w:numPr>
          <w:ilvl w:val="0"/>
          <w:numId w:val="0"/>
        </w:numPr>
        <w:rPr>
          <w:sz w:val="52"/>
          <w:szCs w:val="40"/>
        </w:rPr>
      </w:pPr>
      <w:bookmarkStart w:id="278" w:name="_Toc161417058"/>
      <w:bookmarkStart w:id="279" w:name="_Toc166834423"/>
      <w:r w:rsidRPr="00152980">
        <w:lastRenderedPageBreak/>
        <w:t>Dynamic Reporting Interface (Ad Hoc Reports</w:t>
      </w:r>
      <w:r>
        <w:t>)</w:t>
      </w:r>
      <w:bookmarkEnd w:id="278"/>
      <w:bookmarkEnd w:id="2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20"/>
        <w:gridCol w:w="6540"/>
      </w:tblGrid>
      <w:tr w:rsidR="00A079A3" w14:paraId="65D3213A" w14:textId="77777777" w:rsidTr="00B6061B">
        <w:trPr>
          <w:trHeight w:val="3879"/>
        </w:trPr>
        <w:tc>
          <w:tcPr>
            <w:tcW w:w="7650" w:type="dxa"/>
            <w:tcMar>
              <w:right w:w="72" w:type="dxa"/>
            </w:tcMar>
          </w:tcPr>
          <w:p w14:paraId="5A2E652B" w14:textId="1E1786EA" w:rsidR="00A079A3" w:rsidRPr="00152980" w:rsidRDefault="00A079A3" w:rsidP="00A079A3">
            <w:pPr>
              <w:pStyle w:val="BodyText"/>
            </w:pPr>
            <w:r w:rsidRPr="00152980">
              <w:t>An exciting new ad hoc reporting tool, called the Dynamic Reporting Interface, is available in the Dentrix Enterprise Office Manager.</w:t>
            </w:r>
            <w:r w:rsidR="0016465B">
              <w:t xml:space="preserve"> </w:t>
            </w:r>
            <w:r w:rsidRPr="00152980">
              <w:t>With the appropriate security rights, clinic leaders and staff can view real-time data on resources, services, RVU, patient visits, and level of care.</w:t>
            </w:r>
            <w:r>
              <w:t xml:space="preserve"> (11.0.43, 2023)</w:t>
            </w:r>
          </w:p>
          <w:p w14:paraId="40EBF904" w14:textId="510F50A0" w:rsidR="00A079A3" w:rsidRPr="00152980" w:rsidRDefault="00A079A3" w:rsidP="00A079A3">
            <w:pPr>
              <w:pStyle w:val="BodyText"/>
            </w:pPr>
            <w:r w:rsidRPr="00152980">
              <w:t>Improved capabilities to the Dynamic Reporting Interface</w:t>
            </w:r>
            <w:r>
              <w:t xml:space="preserve"> </w:t>
            </w:r>
            <w:r w:rsidRPr="00152980">
              <w:t>include filtering, layout, readability, and understanding of the data presented.</w:t>
            </w:r>
            <w:r w:rsidRPr="00152980">
              <w:br/>
              <w:t>Additionally, you can now specify which columns appear on exported reports.</w:t>
            </w:r>
            <w:r>
              <w:t xml:space="preserve"> (11.0.44, 2023)</w:t>
            </w:r>
          </w:p>
          <w:p w14:paraId="44AD14D2" w14:textId="3289097B" w:rsidR="00A079A3" w:rsidRDefault="00562105" w:rsidP="00A079A3">
            <w:pPr>
              <w:pStyle w:val="BodyText"/>
              <w:spacing w:after="0"/>
            </w:pPr>
            <w:r>
              <w:t>To</w:t>
            </w:r>
            <w:r w:rsidR="00A079A3">
              <w:t xml:space="preserve"> a</w:t>
            </w:r>
            <w:r w:rsidR="00A079A3" w:rsidRPr="00152980">
              <w:t>ccess the Dynamic Reporting Interface</w:t>
            </w:r>
            <w:r>
              <w:t>,</w:t>
            </w:r>
            <w:r w:rsidR="00A079A3">
              <w:t xml:space="preserve"> in</w:t>
            </w:r>
            <w:r w:rsidR="00A079A3" w:rsidRPr="00152980">
              <w:t xml:space="preserve"> Office Manager</w:t>
            </w:r>
            <w:r>
              <w:t>, do one of the following</w:t>
            </w:r>
            <w:r w:rsidR="00A079A3">
              <w:t>:</w:t>
            </w:r>
          </w:p>
          <w:p w14:paraId="18A9F625" w14:textId="344580E6" w:rsidR="00A079A3" w:rsidRDefault="00B6061B" w:rsidP="00B6061B">
            <w:pPr>
              <w:pStyle w:val="BodyText"/>
              <w:numPr>
                <w:ilvl w:val="0"/>
                <w:numId w:val="201"/>
              </w:numPr>
              <w:spacing w:after="0"/>
              <w:ind w:left="360" w:hanging="274"/>
            </w:pPr>
            <w:r>
              <w:t>On the toolbar, c</w:t>
            </w:r>
            <w:r w:rsidR="00A079A3" w:rsidRPr="00152980">
              <w:t xml:space="preserve">lick the </w:t>
            </w:r>
            <w:r w:rsidR="00A079A3" w:rsidRPr="00A079A3">
              <w:rPr>
                <w:b/>
                <w:bCs/>
              </w:rPr>
              <w:t>Dynamic Reporting Interface</w:t>
            </w:r>
            <w:r w:rsidR="00A079A3" w:rsidRPr="00152980">
              <w:t xml:space="preserve"> icon</w:t>
            </w:r>
            <w:r>
              <w:t>.</w:t>
            </w:r>
          </w:p>
          <w:p w14:paraId="6904CB3C" w14:textId="08E96B7A" w:rsidR="00A079A3" w:rsidRDefault="00A079A3" w:rsidP="00B6061B">
            <w:pPr>
              <w:pStyle w:val="BodyText"/>
              <w:numPr>
                <w:ilvl w:val="0"/>
                <w:numId w:val="201"/>
              </w:numPr>
              <w:spacing w:after="0"/>
              <w:ind w:left="360" w:hanging="274"/>
            </w:pPr>
            <w:r>
              <w:t>O</w:t>
            </w:r>
            <w:r w:rsidRPr="00152980">
              <w:t xml:space="preserve">n the </w:t>
            </w:r>
            <w:r w:rsidRPr="00A079A3">
              <w:rPr>
                <w:b/>
                <w:bCs/>
              </w:rPr>
              <w:t>File</w:t>
            </w:r>
            <w:r w:rsidRPr="00152980">
              <w:t xml:space="preserve"> menu, click </w:t>
            </w:r>
            <w:r w:rsidRPr="00A079A3">
              <w:rPr>
                <w:b/>
                <w:bCs/>
              </w:rPr>
              <w:t>Dynamic Reporting Interface</w:t>
            </w:r>
            <w:r w:rsidRPr="00152980">
              <w:t>.</w:t>
            </w:r>
          </w:p>
          <w:p w14:paraId="38E4468C" w14:textId="2BA6AC77" w:rsidR="00A079A3" w:rsidRPr="004E69C6" w:rsidRDefault="00A079A3" w:rsidP="00A079A3">
            <w:pPr>
              <w:pStyle w:val="BodyText"/>
              <w:spacing w:after="0"/>
            </w:pPr>
          </w:p>
        </w:tc>
        <w:tc>
          <w:tcPr>
            <w:tcW w:w="5295" w:type="dxa"/>
          </w:tcPr>
          <w:p w14:paraId="66E71923" w14:textId="767FF7E0" w:rsidR="00B6061B" w:rsidRDefault="00000000" w:rsidP="00B6061B">
            <w:pPr>
              <w:pStyle w:val="BodyText"/>
              <w:jc w:val="center"/>
            </w:pPr>
            <w:r>
              <w:pict w14:anchorId="0ED9FBE1">
                <v:shape id="Picture 1" o:spid="_x0000_i1026" type="#_x0000_t75" style="width:17.25pt;height:15.75pt;visibility:visible;mso-wrap-style:square">
                  <v:imagedata r:id="rId78" o:title=""/>
                </v:shape>
              </w:pict>
            </w:r>
          </w:p>
          <w:p w14:paraId="28732EB2" w14:textId="7C61D07B" w:rsidR="00B6061B" w:rsidRDefault="00B6061B" w:rsidP="00B6061B">
            <w:pPr>
              <w:spacing w:after="0"/>
              <w:jc w:val="center"/>
            </w:pPr>
            <w:r>
              <w:rPr>
                <w:noProof/>
              </w:rPr>
              <w:drawing>
                <wp:inline distT="0" distB="0" distL="0" distR="0" wp14:anchorId="4F87F512" wp14:editId="2FEED5BD">
                  <wp:extent cx="4115773" cy="2209800"/>
                  <wp:effectExtent l="19050" t="19050" r="18415" b="19050"/>
                  <wp:docPr id="1037018503" name="Picture 10370185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18503" name="Picture 1037018503" descr="A screenshot of a computer&#10;&#10;Description automatically generated"/>
                          <pic:cNvPicPr/>
                        </pic:nvPicPr>
                        <pic:blipFill rotWithShape="1">
                          <a:blip r:embed="rId79" cstate="print">
                            <a:extLst>
                              <a:ext uri="{28A0092B-C50C-407E-A947-70E740481C1C}">
                                <a14:useLocalDpi xmlns:a14="http://schemas.microsoft.com/office/drawing/2010/main" val="0"/>
                              </a:ext>
                            </a:extLst>
                          </a:blip>
                          <a:srcRect l="822" t="1511" r="717" b="1149"/>
                          <a:stretch/>
                        </pic:blipFill>
                        <pic:spPr bwMode="auto">
                          <a:xfrm>
                            <a:off x="0" y="0"/>
                            <a:ext cx="4118936" cy="221149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r>
    </w:tbl>
    <w:p w14:paraId="1163FBF4" w14:textId="1B9E842B" w:rsidR="00A942C2" w:rsidRPr="00A942C2" w:rsidRDefault="00A942C2" w:rsidP="00A079A3">
      <w:pPr>
        <w:pStyle w:val="Heading2"/>
        <w:numPr>
          <w:ilvl w:val="0"/>
          <w:numId w:val="0"/>
        </w:numPr>
      </w:pPr>
      <w:bookmarkStart w:id="280" w:name="_Toc166834424"/>
      <w:r w:rsidRPr="00A942C2">
        <w:lastRenderedPageBreak/>
        <w:t>National Patient Information Reporting System (NPIRS)</w:t>
      </w:r>
      <w:bookmarkEnd w:id="2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10"/>
        <w:gridCol w:w="6735"/>
      </w:tblGrid>
      <w:tr w:rsidR="00A079A3" w14:paraId="6F5346FA" w14:textId="77777777" w:rsidTr="00B6061B">
        <w:tc>
          <w:tcPr>
            <w:tcW w:w="6210" w:type="dxa"/>
            <w:tcMar>
              <w:right w:w="72" w:type="dxa"/>
            </w:tcMar>
          </w:tcPr>
          <w:p w14:paraId="54B32399" w14:textId="079F6F01" w:rsidR="00B6061B" w:rsidRPr="00A942C2" w:rsidRDefault="00B6061B" w:rsidP="00B6061B">
            <w:pPr>
              <w:rPr>
                <w:rFonts w:ascii="Times New Roman" w:hAnsi="Times New Roman" w:cs="Times New Roman"/>
              </w:rPr>
            </w:pPr>
            <w:r w:rsidRPr="00A942C2">
              <w:rPr>
                <w:rFonts w:ascii="Times New Roman" w:hAnsi="Times New Roman" w:cs="Times New Roman"/>
              </w:rPr>
              <w:t xml:space="preserve">Dentrix Enterprise now supports the ability to extract data to meet the National Patient Information Reporting System (NPIRS) requirements. The NPIRS reporting tool in the Dentrix Enterprise Office Manager can generate the list of </w:t>
            </w:r>
            <w:r>
              <w:rPr>
                <w:rFonts w:ascii="Times New Roman" w:hAnsi="Times New Roman" w:cs="Times New Roman"/>
              </w:rPr>
              <w:t>IH</w:t>
            </w:r>
            <w:r w:rsidRPr="00A942C2">
              <w:rPr>
                <w:rFonts w:ascii="Times New Roman" w:hAnsi="Times New Roman" w:cs="Times New Roman"/>
              </w:rPr>
              <w:t>S Tribal patient information, demographics, and IHS standard code definitions in a file that can be submitted to the NDW.</w:t>
            </w:r>
            <w:r>
              <w:rPr>
                <w:rFonts w:ascii="Times New Roman" w:hAnsi="Times New Roman" w:cs="Times New Roman"/>
              </w:rPr>
              <w:t xml:space="preserve"> </w:t>
            </w:r>
            <w:r w:rsidRPr="00A942C2">
              <w:rPr>
                <w:rFonts w:ascii="Times New Roman" w:hAnsi="Times New Roman" w:cs="Times New Roman"/>
                <w:i/>
                <w:iCs/>
                <w:sz w:val="20"/>
                <w:szCs w:val="22"/>
              </w:rPr>
              <w:t>(11.0.44, 2023)</w:t>
            </w:r>
          </w:p>
          <w:p w14:paraId="19FBCCA1" w14:textId="30D442A8" w:rsidR="00A079A3" w:rsidRPr="004E69C6" w:rsidRDefault="00562105" w:rsidP="00562105">
            <w:pPr>
              <w:pStyle w:val="BodyText"/>
              <w:spacing w:after="0"/>
            </w:pPr>
            <w:r>
              <w:rPr>
                <w:rFonts w:cs="Times New Roman"/>
              </w:rPr>
              <w:t xml:space="preserve">To </w:t>
            </w:r>
            <w:r w:rsidR="00B6061B" w:rsidRPr="00A942C2">
              <w:rPr>
                <w:rFonts w:cs="Times New Roman"/>
              </w:rPr>
              <w:t>access the NPIRS report</w:t>
            </w:r>
            <w:r>
              <w:rPr>
                <w:rFonts w:cs="Times New Roman"/>
              </w:rPr>
              <w:t>,</w:t>
            </w:r>
            <w:r w:rsidR="00B6061B" w:rsidRPr="00A942C2">
              <w:rPr>
                <w:rFonts w:cs="Times New Roman"/>
              </w:rPr>
              <w:t xml:space="preserve"> in Office Manager</w:t>
            </w:r>
            <w:r>
              <w:rPr>
                <w:rFonts w:cs="Times New Roman"/>
              </w:rPr>
              <w:t>, o</w:t>
            </w:r>
            <w:r w:rsidRPr="00A942C2">
              <w:rPr>
                <w:rFonts w:cs="Times New Roman"/>
              </w:rPr>
              <w:t xml:space="preserve">n the </w:t>
            </w:r>
            <w:r w:rsidRPr="00562105">
              <w:rPr>
                <w:rFonts w:cs="Times New Roman"/>
                <w:b/>
                <w:bCs/>
              </w:rPr>
              <w:t>Data Extraction</w:t>
            </w:r>
            <w:r w:rsidRPr="00A942C2">
              <w:rPr>
                <w:rFonts w:cs="Times New Roman"/>
              </w:rPr>
              <w:t xml:space="preserve"> menu, click </w:t>
            </w:r>
            <w:r w:rsidRPr="00562105">
              <w:rPr>
                <w:rFonts w:cs="Times New Roman"/>
                <w:b/>
                <w:bCs/>
              </w:rPr>
              <w:t>National Patient Information Reporting System (NPIRS)</w:t>
            </w:r>
            <w:r w:rsidRPr="00A942C2">
              <w:rPr>
                <w:rFonts w:cs="Times New Roman"/>
              </w:rPr>
              <w:t>.</w:t>
            </w:r>
          </w:p>
        </w:tc>
        <w:tc>
          <w:tcPr>
            <w:tcW w:w="6735" w:type="dxa"/>
          </w:tcPr>
          <w:p w14:paraId="6BE5F0C9" w14:textId="2AC24FDE" w:rsidR="00A079A3" w:rsidRDefault="00B6061B" w:rsidP="00B47A80">
            <w:pPr>
              <w:spacing w:after="0"/>
              <w:jc w:val="right"/>
            </w:pPr>
            <w:r w:rsidRPr="00BA62DD">
              <w:rPr>
                <w:noProof/>
                <w:sz w:val="24"/>
              </w:rPr>
              <w:drawing>
                <wp:inline distT="0" distB="0" distL="0" distR="0" wp14:anchorId="7B7EC98B" wp14:editId="4A06C7CA">
                  <wp:extent cx="4151376" cy="3840480"/>
                  <wp:effectExtent l="19050" t="19050" r="20955" b="26670"/>
                  <wp:docPr id="1674079719" name="Picture 1674079719">
                    <a:extLst xmlns:a="http://schemas.openxmlformats.org/drawingml/2006/main">
                      <a:ext uri="{FF2B5EF4-FFF2-40B4-BE49-F238E27FC236}">
                        <a16:creationId xmlns:a16="http://schemas.microsoft.com/office/drawing/2014/main" id="{AB04C257-8612-BE26-F303-8E60F7887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B04C257-8612-BE26-F303-8E60F78876F1}"/>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51376" cy="3840480"/>
                          </a:xfrm>
                          <a:prstGeom prst="rect">
                            <a:avLst/>
                          </a:prstGeom>
                          <a:ln>
                            <a:solidFill>
                              <a:schemeClr val="bg1">
                                <a:lumMod val="50000"/>
                              </a:schemeClr>
                            </a:solidFill>
                          </a:ln>
                          <a:effectLst/>
                        </pic:spPr>
                      </pic:pic>
                    </a:graphicData>
                  </a:graphic>
                </wp:inline>
              </w:drawing>
            </w:r>
          </w:p>
        </w:tc>
      </w:tr>
    </w:tbl>
    <w:p w14:paraId="5C9AC188" w14:textId="1DB07EB5" w:rsidR="00A942C2" w:rsidRDefault="00A942C2" w:rsidP="00B6061B">
      <w:pPr>
        <w:pStyle w:val="Heading2"/>
        <w:numPr>
          <w:ilvl w:val="0"/>
          <w:numId w:val="0"/>
        </w:numPr>
      </w:pPr>
      <w:bookmarkStart w:id="281" w:name="_Toc166834425"/>
      <w:r w:rsidRPr="00A942C2">
        <w:lastRenderedPageBreak/>
        <w:t>Clinical Note Review Dashboard</w:t>
      </w:r>
      <w:bookmarkEnd w:id="2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0"/>
        <w:gridCol w:w="7800"/>
      </w:tblGrid>
      <w:tr w:rsidR="00B6061B" w14:paraId="34603BC0" w14:textId="77777777" w:rsidTr="00B47A80">
        <w:tc>
          <w:tcPr>
            <w:tcW w:w="6210" w:type="dxa"/>
            <w:tcMar>
              <w:right w:w="72" w:type="dxa"/>
            </w:tcMar>
          </w:tcPr>
          <w:p w14:paraId="09CFF1EA" w14:textId="0A7226BC" w:rsidR="00B6061B" w:rsidRPr="00A942C2" w:rsidRDefault="00B6061B" w:rsidP="00B6061B">
            <w:pPr>
              <w:rPr>
                <w:rFonts w:ascii="Times New Roman" w:hAnsi="Times New Roman" w:cs="Times New Roman"/>
              </w:rPr>
            </w:pPr>
            <w:r w:rsidRPr="00A942C2">
              <w:rPr>
                <w:rFonts w:ascii="Times New Roman" w:hAnsi="Times New Roman" w:cs="Times New Roman"/>
              </w:rPr>
              <w:t xml:space="preserve">The new Clinical Note Review Dashboard helps to automate the process of reviewing clinical notes. The review process includes review criteria and a score sheet. </w:t>
            </w:r>
            <w:r w:rsidRPr="00A942C2">
              <w:rPr>
                <w:rFonts w:ascii="Times New Roman" w:hAnsi="Times New Roman" w:cs="Times New Roman"/>
                <w:i/>
                <w:iCs/>
                <w:sz w:val="20"/>
                <w:szCs w:val="22"/>
              </w:rPr>
              <w:t>(11.0.20.862, 2021)</w:t>
            </w:r>
          </w:p>
          <w:p w14:paraId="2D6DE457" w14:textId="5E7B074F" w:rsidR="00B6061B" w:rsidRPr="004E69C6" w:rsidRDefault="00562105" w:rsidP="00562105">
            <w:pPr>
              <w:pStyle w:val="BodyText"/>
              <w:spacing w:after="0"/>
            </w:pPr>
            <w:r>
              <w:rPr>
                <w:rFonts w:cs="Times New Roman"/>
              </w:rPr>
              <w:t>To</w:t>
            </w:r>
            <w:r w:rsidR="00B6061B" w:rsidRPr="00A942C2">
              <w:rPr>
                <w:rFonts w:cs="Times New Roman"/>
              </w:rPr>
              <w:t xml:space="preserve"> access the dashboard</w:t>
            </w:r>
            <w:r>
              <w:rPr>
                <w:rFonts w:cs="Times New Roman"/>
              </w:rPr>
              <w:t>,</w:t>
            </w:r>
            <w:r w:rsidR="00B6061B" w:rsidRPr="00A942C2">
              <w:rPr>
                <w:rFonts w:cs="Times New Roman"/>
              </w:rPr>
              <w:t xml:space="preserve"> in Office Manager</w:t>
            </w:r>
            <w:r>
              <w:rPr>
                <w:rFonts w:cs="Times New Roman"/>
              </w:rPr>
              <w:t>, o</w:t>
            </w:r>
            <w:r w:rsidR="00B6061B" w:rsidRPr="00A942C2">
              <w:rPr>
                <w:rFonts w:cs="Times New Roman"/>
              </w:rPr>
              <w:t xml:space="preserve">n the </w:t>
            </w:r>
            <w:r w:rsidR="00B6061B" w:rsidRPr="00B6061B">
              <w:rPr>
                <w:rFonts w:cs="Times New Roman"/>
                <w:b/>
                <w:bCs/>
              </w:rPr>
              <w:t>Analysis</w:t>
            </w:r>
            <w:r w:rsidR="00B6061B" w:rsidRPr="00A942C2">
              <w:rPr>
                <w:rFonts w:cs="Times New Roman"/>
              </w:rPr>
              <w:t xml:space="preserve"> menu, click </w:t>
            </w:r>
            <w:r w:rsidR="00B6061B" w:rsidRPr="00B6061B">
              <w:rPr>
                <w:rFonts w:cs="Times New Roman"/>
                <w:b/>
                <w:bCs/>
              </w:rPr>
              <w:t>Clinical Note Review Dashboard</w:t>
            </w:r>
            <w:r w:rsidR="00B6061B" w:rsidRPr="00A942C2">
              <w:rPr>
                <w:rFonts w:cs="Times New Roman"/>
              </w:rPr>
              <w:t>.</w:t>
            </w:r>
          </w:p>
        </w:tc>
        <w:tc>
          <w:tcPr>
            <w:tcW w:w="6735" w:type="dxa"/>
          </w:tcPr>
          <w:p w14:paraId="6BDDBB1D" w14:textId="57EFC8C6" w:rsidR="00B6061B" w:rsidRDefault="00562105" w:rsidP="00B47A80">
            <w:pPr>
              <w:spacing w:after="0"/>
              <w:jc w:val="right"/>
            </w:pPr>
            <w:bookmarkStart w:id="282" w:name="_Toc161417059"/>
            <w:r w:rsidRPr="00D56261">
              <w:rPr>
                <w:noProof/>
              </w:rPr>
              <w:drawing>
                <wp:inline distT="0" distB="0" distL="0" distR="0" wp14:anchorId="24F645F9" wp14:editId="75726AE2">
                  <wp:extent cx="4923155" cy="2542967"/>
                  <wp:effectExtent l="19050" t="19050" r="10795" b="10160"/>
                  <wp:docPr id="1147192249" name="Picture 1147192249" descr="A screenshot of a computer&#10;&#10;Description automatically generated">
                    <a:extLst xmlns:a="http://schemas.openxmlformats.org/drawingml/2006/main">
                      <a:ext uri="{FF2B5EF4-FFF2-40B4-BE49-F238E27FC236}">
                        <a16:creationId xmlns:a16="http://schemas.microsoft.com/office/drawing/2014/main" id="{97F3F8BB-F3ED-C3B7-6783-1E71D9293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2249" name="Picture 1147192249" descr="A screenshot of a computer&#10;&#10;Description automatically generated">
                            <a:extLst>
                              <a:ext uri="{FF2B5EF4-FFF2-40B4-BE49-F238E27FC236}">
                                <a16:creationId xmlns:a16="http://schemas.microsoft.com/office/drawing/2014/main" id="{97F3F8BB-F3ED-C3B7-6783-1E71D9293B88}"/>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923557" cy="25431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bookmarkEnd w:id="282"/>
          </w:p>
        </w:tc>
      </w:tr>
    </w:tbl>
    <w:p w14:paraId="735CD487" w14:textId="77777777" w:rsidR="00B6061B" w:rsidRPr="00B6061B" w:rsidRDefault="00B6061B" w:rsidP="00B6061B"/>
    <w:p w14:paraId="05CC9BED" w14:textId="44584806" w:rsidR="00A942C2" w:rsidRPr="00A942C2" w:rsidRDefault="00A942C2" w:rsidP="00A942C2">
      <w:pPr>
        <w:rPr>
          <w:rFonts w:ascii="Times New Roman" w:hAnsi="Times New Roman" w:cs="Times New Roman"/>
          <w:b/>
          <w:bCs/>
          <w:sz w:val="24"/>
        </w:rPr>
      </w:pPr>
    </w:p>
    <w:p w14:paraId="21A081AC" w14:textId="01489103" w:rsidR="00A942C2" w:rsidRDefault="00A942C2" w:rsidP="006108B2">
      <w:pPr>
        <w:pStyle w:val="BodyText"/>
      </w:pPr>
    </w:p>
    <w:p w14:paraId="5C9BB5D0" w14:textId="277C5A0E" w:rsidR="00A942C2" w:rsidRPr="00A942C2" w:rsidRDefault="00A942C2" w:rsidP="00A942C2"/>
    <w:p w14:paraId="5C922B97" w14:textId="77777777" w:rsidR="00B07EF2" w:rsidRDefault="00B07EF2" w:rsidP="00B4790C">
      <w:pPr>
        <w:pStyle w:val="BodyText"/>
        <w:sectPr w:rsidR="00B07EF2" w:rsidSect="00C616BD">
          <w:headerReference w:type="even" r:id="rId82"/>
          <w:headerReference w:type="default" r:id="rId83"/>
          <w:footerReference w:type="even" r:id="rId84"/>
          <w:footerReference w:type="default" r:id="rId85"/>
          <w:pgSz w:w="15840" w:h="12240" w:orient="landscape"/>
          <w:pgMar w:top="1440" w:right="1440" w:bottom="1440" w:left="1440" w:header="360" w:footer="360" w:gutter="0"/>
          <w:cols w:space="720"/>
          <w:docGrid w:linePitch="299"/>
        </w:sectPr>
      </w:pPr>
    </w:p>
    <w:p w14:paraId="51C65447" w14:textId="4A8D9594" w:rsidR="005A5AC4" w:rsidRPr="005A5AC4" w:rsidRDefault="005A5AC4" w:rsidP="005A5AC4">
      <w:pPr>
        <w:pStyle w:val="Heading1"/>
      </w:pPr>
      <w:bookmarkStart w:id="283" w:name="_Toc166834426"/>
      <w:r w:rsidRPr="005A5AC4">
        <w:lastRenderedPageBreak/>
        <w:t>Indian Health Manual (IHM)</w:t>
      </w:r>
      <w:bookmarkEnd w:id="260"/>
      <w:bookmarkEnd w:id="261"/>
      <w:bookmarkEnd w:id="283"/>
    </w:p>
    <w:p w14:paraId="3E5BB9FA" w14:textId="77777777" w:rsidR="005A5AC4" w:rsidRDefault="005A5AC4" w:rsidP="005A5AC4">
      <w:pPr>
        <w:pStyle w:val="BodyText"/>
        <w:rPr>
          <w:lang w:val="en"/>
        </w:rPr>
      </w:pPr>
      <w:r>
        <w:rPr>
          <w:lang w:val="en"/>
        </w:rPr>
        <w:t>Sections of IHM covered in this review for Electronic Health Records (EHR) (generically) and Electronic Dental Records (EDR) specifically:</w:t>
      </w:r>
    </w:p>
    <w:p w14:paraId="5FFA89C7" w14:textId="77777777" w:rsidR="005A5AC4" w:rsidRDefault="005A5AC4" w:rsidP="005A5AC4">
      <w:pPr>
        <w:pStyle w:val="BodyText"/>
        <w:rPr>
          <w:lang w:val="en"/>
        </w:rPr>
      </w:pPr>
      <w:r>
        <w:rPr>
          <w:lang w:val="en"/>
        </w:rPr>
        <w:t xml:space="preserve">[Indian Health] Manual Exhibit: 3-3-A </w:t>
      </w:r>
    </w:p>
    <w:p w14:paraId="29848EF5" w14:textId="77777777" w:rsidR="005A5AC4" w:rsidRDefault="005A5AC4" w:rsidP="005A5AC4">
      <w:pPr>
        <w:pStyle w:val="BodyText"/>
        <w:rPr>
          <w:lang w:val="en"/>
        </w:rPr>
      </w:pPr>
      <w:r>
        <w:rPr>
          <w:lang w:val="en"/>
        </w:rPr>
        <w:t xml:space="preserve">Chapter 3 Health Information Management </w:t>
      </w:r>
    </w:p>
    <w:p w14:paraId="5D6D038D" w14:textId="77777777" w:rsidR="005A5AC4" w:rsidRDefault="005A5AC4" w:rsidP="005A5AC4">
      <w:pPr>
        <w:pStyle w:val="BodyText"/>
        <w:rPr>
          <w:lang w:val="en"/>
        </w:rPr>
      </w:pPr>
      <w:r>
        <w:rPr>
          <w:lang w:val="en"/>
        </w:rPr>
        <w:t xml:space="preserve">Part 3 – Professional Services </w:t>
      </w:r>
    </w:p>
    <w:p w14:paraId="3A2E1B0E" w14:textId="77777777" w:rsidR="005A5AC4" w:rsidRDefault="005A5AC4" w:rsidP="005A5AC4">
      <w:pPr>
        <w:pStyle w:val="BodyText"/>
        <w:ind w:left="180"/>
        <w:rPr>
          <w:lang w:val="en"/>
        </w:rPr>
      </w:pPr>
      <w:r>
        <w:rPr>
          <w:lang w:val="en"/>
        </w:rPr>
        <w:t>3-3.1 INTRODUCTION</w:t>
      </w:r>
    </w:p>
    <w:p w14:paraId="15D0B1F8" w14:textId="77777777" w:rsidR="005A5AC4" w:rsidRDefault="005A5AC4" w:rsidP="005A5AC4">
      <w:pPr>
        <w:pStyle w:val="BodyText"/>
        <w:ind w:left="180"/>
        <w:rPr>
          <w:lang w:val="en"/>
        </w:rPr>
      </w:pPr>
      <w:r>
        <w:rPr>
          <w:lang w:val="en"/>
        </w:rPr>
        <w:t>3-3.2 HEALTH RECORD</w:t>
      </w:r>
    </w:p>
    <w:p w14:paraId="2625AE3F" w14:textId="77777777" w:rsidR="005A5AC4" w:rsidRDefault="005A5AC4" w:rsidP="005A5AC4">
      <w:pPr>
        <w:pStyle w:val="BodyText"/>
        <w:ind w:left="180"/>
        <w:rPr>
          <w:lang w:val="en"/>
        </w:rPr>
      </w:pPr>
      <w:r>
        <w:rPr>
          <w:lang w:val="en"/>
        </w:rPr>
        <w:t xml:space="preserve">3-3.4 </w:t>
      </w:r>
      <w:r w:rsidRPr="00B974C4">
        <w:rPr>
          <w:lang w:val="en"/>
        </w:rPr>
        <w:t>RESPONSIBILITIES</w:t>
      </w:r>
    </w:p>
    <w:p w14:paraId="0E9A720C" w14:textId="77777777" w:rsidR="005A5AC4" w:rsidRDefault="005A5AC4" w:rsidP="005A5AC4">
      <w:pPr>
        <w:pStyle w:val="BodyText"/>
        <w:ind w:left="180"/>
        <w:rPr>
          <w:lang w:val="en"/>
        </w:rPr>
      </w:pPr>
      <w:bookmarkStart w:id="284" w:name="3-3.5"/>
      <w:bookmarkEnd w:id="284"/>
      <w:r>
        <w:rPr>
          <w:lang w:val="en"/>
        </w:rPr>
        <w:t>3-3.5 </w:t>
      </w:r>
      <w:r w:rsidRPr="004C49F0">
        <w:rPr>
          <w:lang w:val="en"/>
        </w:rPr>
        <w:t>HEALTH INFORMATION MANAGEMENT DEPARTMENT</w:t>
      </w:r>
    </w:p>
    <w:p w14:paraId="5615E198" w14:textId="77777777" w:rsidR="005A5AC4" w:rsidRPr="004C49F0" w:rsidRDefault="005A5AC4" w:rsidP="005A5AC4">
      <w:pPr>
        <w:pStyle w:val="BodyText"/>
        <w:ind w:left="180"/>
        <w:rPr>
          <w:lang w:val="en"/>
        </w:rPr>
      </w:pPr>
      <w:bookmarkStart w:id="285" w:name="3-3.8"/>
      <w:bookmarkEnd w:id="285"/>
      <w:r>
        <w:rPr>
          <w:lang w:val="en"/>
        </w:rPr>
        <w:t>3-3.8 </w:t>
      </w:r>
      <w:r w:rsidRPr="004C49F0">
        <w:rPr>
          <w:lang w:val="en"/>
        </w:rPr>
        <w:t>HEALTH RECORD DOCUMENTATION</w:t>
      </w:r>
    </w:p>
    <w:p w14:paraId="207C56A4" w14:textId="77777777" w:rsidR="005A5AC4" w:rsidRDefault="005A5AC4" w:rsidP="005A5AC4">
      <w:pPr>
        <w:pStyle w:val="BodyText"/>
        <w:ind w:left="180"/>
        <w:rPr>
          <w:lang w:val="en"/>
        </w:rPr>
      </w:pPr>
      <w:r>
        <w:rPr>
          <w:lang w:val="en"/>
        </w:rPr>
        <w:t xml:space="preserve">3-3.9 </w:t>
      </w:r>
      <w:r w:rsidRPr="00544B2F">
        <w:rPr>
          <w:lang w:val="en"/>
        </w:rPr>
        <w:t>ELECTRONIC HEALTH RECORD PRINCIPLES</w:t>
      </w:r>
    </w:p>
    <w:p w14:paraId="5D14A3EC" w14:textId="77777777" w:rsidR="005A5AC4" w:rsidRDefault="005A5AC4" w:rsidP="005A5AC4">
      <w:pPr>
        <w:pStyle w:val="BodyText"/>
        <w:ind w:left="180"/>
        <w:rPr>
          <w:lang w:val="en"/>
        </w:rPr>
      </w:pPr>
      <w:r>
        <w:rPr>
          <w:lang w:val="en"/>
        </w:rPr>
        <w:t xml:space="preserve">3-3.10 </w:t>
      </w:r>
      <w:r w:rsidRPr="00544B2F">
        <w:rPr>
          <w:lang w:val="en"/>
        </w:rPr>
        <w:t>INTERDEPARTMENTAL RESPONSIBILITIES</w:t>
      </w:r>
    </w:p>
    <w:p w14:paraId="7BE18679" w14:textId="77777777" w:rsidR="005A5AC4" w:rsidRDefault="005A5AC4" w:rsidP="005A5AC4">
      <w:pPr>
        <w:pStyle w:val="BodyText"/>
        <w:ind w:left="180"/>
        <w:rPr>
          <w:lang w:val="en"/>
        </w:rPr>
      </w:pPr>
      <w:r>
        <w:rPr>
          <w:lang w:val="en"/>
        </w:rPr>
        <w:t xml:space="preserve">3-3.11 </w:t>
      </w:r>
      <w:r w:rsidRPr="00B974C4">
        <w:rPr>
          <w:lang w:val="en"/>
        </w:rPr>
        <w:t>QUANTITATIVE ANALYSIS OF THE HEALTH RECORD</w:t>
      </w:r>
    </w:p>
    <w:p w14:paraId="57BD4832" w14:textId="77777777" w:rsidR="00F73002" w:rsidRPr="00F73002" w:rsidRDefault="00F73002" w:rsidP="00F73002">
      <w:pPr>
        <w:pStyle w:val="BodyText"/>
        <w:ind w:left="180"/>
        <w:rPr>
          <w:lang w:val="en"/>
        </w:rPr>
      </w:pPr>
      <w:r w:rsidRPr="00F73002">
        <w:rPr>
          <w:lang w:val="en"/>
        </w:rPr>
        <w:t>3-3.12 MEDICO-LEGAL ASPECTS OF HEALTH RECORDS</w:t>
      </w:r>
    </w:p>
    <w:p w14:paraId="4EAFE3F5" w14:textId="138789E6" w:rsidR="00F73002" w:rsidRDefault="00F73002" w:rsidP="00F73002">
      <w:pPr>
        <w:pStyle w:val="BodyText"/>
        <w:ind w:left="180"/>
        <w:rPr>
          <w:lang w:val="en"/>
        </w:rPr>
      </w:pPr>
      <w:r w:rsidRPr="00F73002">
        <w:rPr>
          <w:lang w:val="en"/>
        </w:rPr>
        <w:t>3-3.13 CONSENTS TO MEDICAL AND SURGICAL PROCEDURES</w:t>
      </w:r>
    </w:p>
    <w:p w14:paraId="4FE6F674" w14:textId="77777777" w:rsidR="005A5AC4" w:rsidRPr="00967003" w:rsidRDefault="005A5AC4" w:rsidP="005A5AC4">
      <w:pPr>
        <w:spacing w:before="100" w:beforeAutospacing="1" w:after="100" w:afterAutospacing="1"/>
        <w:rPr>
          <w:rFonts w:eastAsia="Times New Roman"/>
          <w:b/>
          <w:bCs/>
          <w:color w:val="353535"/>
          <w:sz w:val="20"/>
          <w:szCs w:val="20"/>
          <w:lang w:val="en"/>
        </w:rPr>
      </w:pPr>
      <w:bookmarkStart w:id="286" w:name="3-3.1"/>
      <w:bookmarkEnd w:id="286"/>
      <w:r w:rsidRPr="00967003">
        <w:rPr>
          <w:rFonts w:eastAsia="Times New Roman"/>
          <w:b/>
          <w:bCs/>
          <w:color w:val="353535"/>
          <w:sz w:val="20"/>
          <w:szCs w:val="20"/>
          <w:lang w:val="en"/>
        </w:rPr>
        <w:t>3-3.1 INTRODUCTION</w:t>
      </w:r>
    </w:p>
    <w:p w14:paraId="6A89A43C"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87" w:name="3-3.1A"/>
      <w:bookmarkEnd w:id="287"/>
      <w:r w:rsidRPr="005E6202">
        <w:rPr>
          <w:rFonts w:eastAsia="Times New Roman"/>
          <w:color w:val="353535"/>
          <w:sz w:val="20"/>
          <w:szCs w:val="20"/>
          <w:u w:val="single"/>
          <w:lang w:val="en"/>
        </w:rPr>
        <w:t>Purpose</w:t>
      </w:r>
      <w:r w:rsidRPr="005E6202">
        <w:rPr>
          <w:rFonts w:eastAsia="Times New Roman"/>
          <w:color w:val="353535"/>
          <w:sz w:val="20"/>
          <w:szCs w:val="20"/>
          <w:lang w:val="en"/>
        </w:rPr>
        <w:t>.  The purpose of the Health Information Management (HIM) chapter is to establish policy, objectives, staff responsibilities, operating relationships, and standards relating to health record services in the Indian Health Service (IHS).</w:t>
      </w:r>
    </w:p>
    <w:p w14:paraId="3D6E7620"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88" w:name="3-3.1B"/>
      <w:bookmarkEnd w:id="288"/>
      <w:r w:rsidRPr="005E6202">
        <w:rPr>
          <w:rFonts w:eastAsia="Times New Roman"/>
          <w:color w:val="353535"/>
          <w:sz w:val="20"/>
          <w:szCs w:val="20"/>
          <w:u w:val="single"/>
          <w:lang w:val="en"/>
        </w:rPr>
        <w:t>Background</w:t>
      </w:r>
      <w:r w:rsidRPr="005E6202">
        <w:rPr>
          <w:rFonts w:eastAsia="Times New Roman"/>
          <w:color w:val="353535"/>
          <w:sz w:val="20"/>
          <w:szCs w:val="20"/>
          <w:lang w:val="en"/>
        </w:rPr>
        <w:t>.  This chapter integrates current HIM practices with the regulatory requirements of the Health Insurance Portability and Accountability Act (HIPAA), implements an IHS electronic health record (EHR) system, and complies with the Centers for Medicare and Medicaid Services (CMS) regulations and other laws.  The chapter also formally adopts the name change from Medical Records to HIM.</w:t>
      </w:r>
    </w:p>
    <w:p w14:paraId="51B68BC8"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89" w:name="3-3.1C"/>
      <w:bookmarkEnd w:id="289"/>
      <w:r w:rsidRPr="005E6202">
        <w:rPr>
          <w:rFonts w:eastAsia="Times New Roman"/>
          <w:color w:val="353535"/>
          <w:sz w:val="20"/>
          <w:szCs w:val="20"/>
          <w:u w:val="single"/>
          <w:lang w:val="en"/>
        </w:rPr>
        <w:t>Policy</w:t>
      </w:r>
      <w:r w:rsidRPr="005E6202">
        <w:rPr>
          <w:rFonts w:eastAsia="Times New Roman"/>
          <w:color w:val="353535"/>
          <w:sz w:val="20"/>
          <w:szCs w:val="20"/>
          <w:lang w:val="en"/>
        </w:rPr>
        <w:t>.  It is IHS policy that all health information professionals, health care providers, managers, and staff who are responsible for the creation, maintenance and disposition of health records will maintain and preserve the confidentiality of the patient's health record.</w:t>
      </w:r>
    </w:p>
    <w:p w14:paraId="631D4F8C"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90" w:name="3-3.1D"/>
      <w:bookmarkEnd w:id="290"/>
      <w:r w:rsidRPr="005E6202">
        <w:rPr>
          <w:rFonts w:eastAsia="Times New Roman"/>
          <w:color w:val="353535"/>
          <w:sz w:val="20"/>
          <w:szCs w:val="20"/>
          <w:u w:val="single"/>
          <w:lang w:val="en"/>
        </w:rPr>
        <w:t>Authorities</w:t>
      </w:r>
      <w:r w:rsidRPr="005E6202">
        <w:rPr>
          <w:rFonts w:eastAsia="Times New Roman"/>
          <w:color w:val="353535"/>
          <w:sz w:val="20"/>
          <w:szCs w:val="20"/>
          <w:lang w:val="en"/>
        </w:rPr>
        <w:t xml:space="preserve">. </w:t>
      </w:r>
    </w:p>
    <w:p w14:paraId="76818A2B"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Privacy Act of 1974, as amended, 5 United States Code (U.S.C.) § 552a</w:t>
      </w:r>
    </w:p>
    <w:p w14:paraId="629E8B6E"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General Administrative Requirements, 45 Code of Federal Regulations (CFR) Part 160.</w:t>
      </w:r>
    </w:p>
    <w:p w14:paraId="7757E5E1"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Health Insurance Portability and Accountability Act, Privacy and Security Rule, 45 CFR Part 164</w:t>
      </w:r>
    </w:p>
    <w:p w14:paraId="021AF0AA"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Confidentiality of Alcohol and Drug Abuse Patient Records Regulations, 42 CFR Part 2</w:t>
      </w:r>
    </w:p>
    <w:p w14:paraId="5E8F4A0D"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Freedom of Information Act (FOIA), 45 CFR Part 5</w:t>
      </w:r>
    </w:p>
    <w:p w14:paraId="3A18B994"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Indian Health Service Records Disposition Schedule</w:t>
      </w:r>
    </w:p>
    <w:p w14:paraId="61943FFA"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Federal Information Security Management Act</w:t>
      </w:r>
    </w:p>
    <w:p w14:paraId="0F67322A"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Office of Management and Budget (OMB) Circulars A-123 and A-130</w:t>
      </w:r>
    </w:p>
    <w:p w14:paraId="04FC2EA8"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Indian Health Service Rules of Behavior for appropriate use of information systems and technology resources</w:t>
      </w:r>
    </w:p>
    <w:p w14:paraId="59969BC0"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Entry for negotiation of release or settlement, 42 CFR 35.13</w:t>
      </w:r>
    </w:p>
    <w:p w14:paraId="01E201DA"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 xml:space="preserve">Accrediting or certifying organizations such as the Joint Commission and CMS. </w:t>
      </w:r>
    </w:p>
    <w:p w14:paraId="566DA74A"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91" w:name="3-3.1E"/>
      <w:bookmarkEnd w:id="291"/>
      <w:r w:rsidRPr="005E6202">
        <w:rPr>
          <w:rFonts w:eastAsia="Times New Roman"/>
          <w:color w:val="353535"/>
          <w:sz w:val="20"/>
          <w:szCs w:val="20"/>
          <w:u w:val="single"/>
          <w:lang w:val="en"/>
        </w:rPr>
        <w:lastRenderedPageBreak/>
        <w:t>Goal</w:t>
      </w:r>
      <w:r w:rsidRPr="005E6202">
        <w:rPr>
          <w:rFonts w:eastAsia="Times New Roman"/>
          <w:color w:val="353535"/>
          <w:sz w:val="20"/>
          <w:szCs w:val="20"/>
          <w:lang w:val="en"/>
        </w:rPr>
        <w:t>.  To support the IHS mission to raise the health status of American Indians and Alaska Natives (AI/AN) by maintaining a progressive HIM system that encompasses all aspects of a comprehensive health program.</w:t>
      </w:r>
    </w:p>
    <w:p w14:paraId="47B7AA56" w14:textId="77777777" w:rsidR="005A5AC4" w:rsidRPr="005E6202" w:rsidRDefault="005A5AC4" w:rsidP="004F45B6">
      <w:pPr>
        <w:numPr>
          <w:ilvl w:val="0"/>
          <w:numId w:val="128"/>
        </w:numPr>
        <w:tabs>
          <w:tab w:val="clear" w:pos="720"/>
        </w:tabs>
        <w:spacing w:before="100" w:beforeAutospacing="1" w:after="100" w:afterAutospacing="1"/>
        <w:ind w:left="540"/>
        <w:rPr>
          <w:rFonts w:eastAsia="Times New Roman"/>
          <w:color w:val="353535"/>
          <w:sz w:val="20"/>
          <w:szCs w:val="20"/>
          <w:lang w:val="en"/>
        </w:rPr>
      </w:pPr>
      <w:bookmarkStart w:id="292" w:name="3-3.1F"/>
      <w:bookmarkEnd w:id="292"/>
      <w:r w:rsidRPr="005E6202">
        <w:rPr>
          <w:rFonts w:eastAsia="Times New Roman"/>
          <w:color w:val="353535"/>
          <w:sz w:val="20"/>
          <w:szCs w:val="20"/>
          <w:u w:val="single"/>
          <w:lang w:val="en"/>
        </w:rPr>
        <w:t>Objectives</w:t>
      </w:r>
      <w:r w:rsidRPr="005E6202">
        <w:rPr>
          <w:rFonts w:eastAsia="Times New Roman"/>
          <w:color w:val="353535"/>
          <w:sz w:val="20"/>
          <w:szCs w:val="20"/>
          <w:lang w:val="en"/>
        </w:rPr>
        <w:t xml:space="preserve">.  The IHS will: </w:t>
      </w:r>
    </w:p>
    <w:p w14:paraId="6C0E77A9"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Maintain a readily available, complete, and accurate health record on all individuals evaluated and/or treated in an IHS facility or by IHS staff in a community health setting.</w:t>
      </w:r>
    </w:p>
    <w:p w14:paraId="0211871C" w14:textId="28F97B11"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Ensure to the maximum extent possible that patient</w:t>
      </w:r>
      <w:r w:rsidR="00AB1AC6">
        <w:rPr>
          <w:rFonts w:eastAsia="Times New Roman"/>
          <w:color w:val="353535"/>
          <w:sz w:val="20"/>
          <w:szCs w:val="20"/>
          <w:lang w:val="en"/>
        </w:rPr>
        <w:t>’</w:t>
      </w:r>
      <w:r w:rsidRPr="005E6202">
        <w:rPr>
          <w:rFonts w:eastAsia="Times New Roman"/>
          <w:color w:val="353535"/>
          <w:sz w:val="20"/>
          <w:szCs w:val="20"/>
          <w:lang w:val="en"/>
        </w:rPr>
        <w:t>s rights to privacy are protected by all who use the health record or are aware of its contents in the course of supporting patient care activities or providing patient care.</w:t>
      </w:r>
    </w:p>
    <w:p w14:paraId="7578E242"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Facilitate the exchange of health information among health care providers within IHS facilities, contract facilities, or other facilities providing health care to IHS patients.</w:t>
      </w:r>
    </w:p>
    <w:p w14:paraId="398CFACF" w14:textId="77777777" w:rsidR="005A5AC4" w:rsidRPr="005E6202" w:rsidRDefault="005A5AC4" w:rsidP="004F45B6">
      <w:pPr>
        <w:numPr>
          <w:ilvl w:val="1"/>
          <w:numId w:val="128"/>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 xml:space="preserve">Maintain secondary records and indexes (either manual or electronic) in order to provide vital statistics, statistical information, and research information. </w:t>
      </w:r>
    </w:p>
    <w:p w14:paraId="707EB947" w14:textId="04A18E03" w:rsidR="005A5AC4" w:rsidRPr="00967003" w:rsidRDefault="005A5AC4" w:rsidP="005A5AC4">
      <w:pPr>
        <w:spacing w:before="100" w:beforeAutospacing="1" w:after="100" w:afterAutospacing="1"/>
        <w:rPr>
          <w:rFonts w:eastAsia="Times New Roman"/>
          <w:b/>
          <w:bCs/>
          <w:color w:val="353535"/>
          <w:sz w:val="20"/>
          <w:szCs w:val="20"/>
          <w:lang w:val="en"/>
        </w:rPr>
      </w:pPr>
      <w:bookmarkStart w:id="293" w:name="3-3.2"/>
      <w:bookmarkEnd w:id="293"/>
      <w:r w:rsidRPr="00967003">
        <w:rPr>
          <w:rFonts w:eastAsia="Times New Roman"/>
          <w:b/>
          <w:bCs/>
          <w:color w:val="353535"/>
          <w:sz w:val="20"/>
          <w:szCs w:val="20"/>
          <w:lang w:val="en"/>
        </w:rPr>
        <w:t>3-3.2 HEALTH RECORD</w:t>
      </w:r>
    </w:p>
    <w:p w14:paraId="4896D014"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4" w:name="3-3.2A"/>
      <w:bookmarkEnd w:id="294"/>
      <w:r w:rsidRPr="005E6202">
        <w:rPr>
          <w:rFonts w:eastAsia="Times New Roman"/>
          <w:color w:val="353535"/>
          <w:sz w:val="20"/>
          <w:szCs w:val="20"/>
          <w:u w:val="single"/>
          <w:lang w:val="en"/>
        </w:rPr>
        <w:t>Communication</w:t>
      </w:r>
      <w:r w:rsidRPr="005E6202">
        <w:rPr>
          <w:rFonts w:eastAsia="Times New Roman"/>
          <w:color w:val="353535"/>
          <w:sz w:val="20"/>
          <w:szCs w:val="20"/>
          <w:lang w:val="en"/>
        </w:rPr>
        <w:t>.  The health record is a means of communication among the physicians, nurses, and allied health professionals who plan and conduct the care and treatment of the individual patient.</w:t>
      </w:r>
    </w:p>
    <w:p w14:paraId="5CB96FB2"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5" w:name="3-3.2B"/>
      <w:bookmarkEnd w:id="295"/>
      <w:r w:rsidRPr="005E6202">
        <w:rPr>
          <w:rFonts w:eastAsia="Times New Roman"/>
          <w:color w:val="353535"/>
          <w:sz w:val="20"/>
          <w:szCs w:val="20"/>
          <w:u w:val="single"/>
          <w:lang w:val="en"/>
        </w:rPr>
        <w:t>Definition</w:t>
      </w:r>
      <w:r w:rsidRPr="005E6202">
        <w:rPr>
          <w:rFonts w:eastAsia="Times New Roman"/>
          <w:color w:val="353535"/>
          <w:sz w:val="20"/>
          <w:szCs w:val="20"/>
          <w:lang w:val="en"/>
        </w:rPr>
        <w:t xml:space="preserve">.  The health record is a chronological documentation of health care and medical treatment given to a patient by professional members of the health care team and includes all handwritten and electronic components of the documentation.  It is an accurate, prompt recording of their observations including relevant information about the patient, the patient's progress, and the results of the treatment.  The health record: </w:t>
      </w:r>
    </w:p>
    <w:p w14:paraId="50FEF719" w14:textId="77777777" w:rsidR="005A5AC4" w:rsidRPr="00967003" w:rsidRDefault="005A5AC4" w:rsidP="004F45B6">
      <w:pPr>
        <w:pStyle w:val="ListParagraph"/>
        <w:numPr>
          <w:ilvl w:val="1"/>
          <w:numId w:val="129"/>
        </w:numPr>
        <w:tabs>
          <w:tab w:val="clear" w:pos="1440"/>
        </w:tabs>
        <w:spacing w:before="100" w:beforeAutospacing="1" w:after="100" w:afterAutospacing="1"/>
        <w:ind w:left="1080"/>
        <w:rPr>
          <w:rFonts w:eastAsia="Times New Roman"/>
          <w:color w:val="353535"/>
          <w:sz w:val="20"/>
          <w:szCs w:val="20"/>
          <w:lang w:val="en"/>
        </w:rPr>
      </w:pPr>
      <w:r w:rsidRPr="00967003">
        <w:rPr>
          <w:rFonts w:eastAsia="Times New Roman"/>
          <w:color w:val="353535"/>
          <w:sz w:val="20"/>
          <w:szCs w:val="20"/>
          <w:lang w:val="en"/>
        </w:rPr>
        <w:t>may be paper or electronic or both (hybrid).</w:t>
      </w:r>
    </w:p>
    <w:p w14:paraId="605A6873" w14:textId="77777777" w:rsidR="005A5AC4" w:rsidRPr="00967003" w:rsidRDefault="005A5AC4" w:rsidP="004F45B6">
      <w:pPr>
        <w:pStyle w:val="ListParagraph"/>
        <w:numPr>
          <w:ilvl w:val="1"/>
          <w:numId w:val="129"/>
        </w:numPr>
        <w:tabs>
          <w:tab w:val="clear" w:pos="1440"/>
        </w:tabs>
        <w:spacing w:before="100" w:beforeAutospacing="1" w:after="100" w:afterAutospacing="1"/>
        <w:ind w:left="1080"/>
        <w:rPr>
          <w:rFonts w:eastAsia="Times New Roman"/>
          <w:color w:val="353535"/>
          <w:sz w:val="20"/>
          <w:szCs w:val="20"/>
          <w:lang w:val="en"/>
        </w:rPr>
      </w:pPr>
      <w:r w:rsidRPr="00967003">
        <w:rPr>
          <w:rFonts w:eastAsia="Times New Roman"/>
          <w:color w:val="353535"/>
          <w:sz w:val="20"/>
          <w:szCs w:val="20"/>
          <w:lang w:val="en"/>
        </w:rPr>
        <w:t xml:space="preserve">creation, content, maintenance, management, processing, and expected quality measures must be standardized. </w:t>
      </w:r>
    </w:p>
    <w:p w14:paraId="0765F2FA"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6" w:name="3-3.2C"/>
      <w:bookmarkEnd w:id="296"/>
      <w:r w:rsidRPr="005E6202">
        <w:rPr>
          <w:rFonts w:eastAsia="Times New Roman"/>
          <w:color w:val="353535"/>
          <w:sz w:val="20"/>
          <w:szCs w:val="20"/>
          <w:u w:val="single"/>
          <w:lang w:val="en"/>
        </w:rPr>
        <w:t>Division</w:t>
      </w:r>
      <w:r w:rsidRPr="005E6202">
        <w:rPr>
          <w:rFonts w:eastAsia="Times New Roman"/>
          <w:color w:val="353535"/>
          <w:sz w:val="20"/>
          <w:szCs w:val="20"/>
          <w:lang w:val="en"/>
        </w:rPr>
        <w:t xml:space="preserve">.  The health record may be composed of two divisions: </w:t>
      </w:r>
    </w:p>
    <w:p w14:paraId="6D270336" w14:textId="77777777" w:rsidR="005A5AC4" w:rsidRPr="005E6202" w:rsidRDefault="005A5AC4" w:rsidP="004F45B6">
      <w:pPr>
        <w:numPr>
          <w:ilvl w:val="1"/>
          <w:numId w:val="129"/>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Documentation of all types of health care services provided to an individual, in any aspect of health care delivery.  It includes individually identifiable health information, in any medium collected and directly used in and/or for documenting health care.  The term includes records of care in any health-related setting used by health care professionals while providing patient care service, and to review patient data or to document their own observations, actions, and instructions.</w:t>
      </w:r>
    </w:p>
    <w:p w14:paraId="0CB316C5" w14:textId="77777777" w:rsidR="005A5AC4" w:rsidRPr="005E6202" w:rsidRDefault="005A5AC4" w:rsidP="004F45B6">
      <w:pPr>
        <w:numPr>
          <w:ilvl w:val="1"/>
          <w:numId w:val="129"/>
        </w:numPr>
        <w:tabs>
          <w:tab w:val="clear" w:pos="1440"/>
        </w:tabs>
        <w:spacing w:before="100" w:beforeAutospacing="1" w:after="100" w:afterAutospacing="1"/>
        <w:ind w:left="1080"/>
        <w:rPr>
          <w:rFonts w:eastAsia="Times New Roman"/>
          <w:color w:val="353535"/>
          <w:sz w:val="20"/>
          <w:szCs w:val="20"/>
          <w:lang w:val="en"/>
        </w:rPr>
      </w:pPr>
      <w:r w:rsidRPr="005E6202">
        <w:rPr>
          <w:rFonts w:eastAsia="Times New Roman"/>
          <w:color w:val="353535"/>
          <w:sz w:val="20"/>
          <w:szCs w:val="20"/>
          <w:lang w:val="en"/>
        </w:rPr>
        <w:t xml:space="preserve">The administrative record is an official record pertaining to the administrative aspects involved in the care of a patient, including demographics, eligibility, billing, correspondence, and other business-related aspects. </w:t>
      </w:r>
    </w:p>
    <w:p w14:paraId="4D7D49A0"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7" w:name="3-3.2D"/>
      <w:bookmarkEnd w:id="297"/>
      <w:r w:rsidRPr="005E6202">
        <w:rPr>
          <w:rFonts w:eastAsia="Times New Roman"/>
          <w:color w:val="353535"/>
          <w:sz w:val="20"/>
          <w:szCs w:val="20"/>
          <w:u w:val="single"/>
          <w:lang w:val="en"/>
        </w:rPr>
        <w:t>Electronic Health Records</w:t>
      </w:r>
      <w:r w:rsidRPr="005E6202">
        <w:rPr>
          <w:rFonts w:eastAsia="Times New Roman"/>
          <w:color w:val="353535"/>
          <w:sz w:val="20"/>
          <w:szCs w:val="20"/>
          <w:lang w:val="en"/>
        </w:rPr>
        <w:t>.  Electronic capture and storage of patient health information will be implemented to enhance access to patient data by health care practitioners and other authorized users.  Electronically stored and/or printed health information is subject to the same medical and legal requirements as handwritten information in the health record.</w:t>
      </w:r>
    </w:p>
    <w:p w14:paraId="5A7E5298"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8" w:name="3-3.2E"/>
      <w:bookmarkEnd w:id="298"/>
      <w:r w:rsidRPr="005E6202">
        <w:rPr>
          <w:rFonts w:eastAsia="Times New Roman"/>
          <w:color w:val="353535"/>
          <w:sz w:val="20"/>
          <w:szCs w:val="20"/>
          <w:u w:val="single"/>
          <w:lang w:val="en"/>
        </w:rPr>
        <w:t>Encumbered</w:t>
      </w:r>
      <w:r w:rsidRPr="005E6202">
        <w:rPr>
          <w:rFonts w:eastAsia="Times New Roman"/>
          <w:color w:val="353535"/>
          <w:sz w:val="20"/>
          <w:szCs w:val="20"/>
          <w:lang w:val="en"/>
        </w:rPr>
        <w:t>.  An employee who currently occupies an official position.</w:t>
      </w:r>
    </w:p>
    <w:p w14:paraId="3B337865"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299" w:name="3-3.2F"/>
      <w:bookmarkEnd w:id="299"/>
      <w:r w:rsidRPr="005E6202">
        <w:rPr>
          <w:rFonts w:eastAsia="Times New Roman"/>
          <w:color w:val="353535"/>
          <w:sz w:val="20"/>
          <w:szCs w:val="20"/>
          <w:u w:val="single"/>
          <w:lang w:val="en"/>
        </w:rPr>
        <w:t>Finances</w:t>
      </w:r>
      <w:r w:rsidRPr="005E6202">
        <w:rPr>
          <w:rFonts w:eastAsia="Times New Roman"/>
          <w:color w:val="353535"/>
          <w:sz w:val="20"/>
          <w:szCs w:val="20"/>
          <w:lang w:val="en"/>
        </w:rPr>
        <w:t>.  The health record is the original source document for any financial activity involving patient care.  Primary examples are the use of health records in audits of third-party collections by outside payers; in internal audits to verify allocation processes; and to develop and maintain cost management programs and cost management systems.</w:t>
      </w:r>
    </w:p>
    <w:p w14:paraId="409E991A"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300" w:name="3-3.2G"/>
      <w:bookmarkEnd w:id="300"/>
      <w:r w:rsidRPr="005E6202">
        <w:rPr>
          <w:rFonts w:eastAsia="Times New Roman"/>
          <w:color w:val="353535"/>
          <w:sz w:val="20"/>
          <w:szCs w:val="20"/>
          <w:u w:val="single"/>
          <w:lang w:val="en"/>
        </w:rPr>
        <w:t>Legal Document</w:t>
      </w:r>
      <w:r w:rsidRPr="005E6202">
        <w:rPr>
          <w:rFonts w:eastAsia="Times New Roman"/>
          <w:color w:val="353535"/>
          <w:sz w:val="20"/>
          <w:szCs w:val="20"/>
          <w:lang w:val="en"/>
        </w:rPr>
        <w:t>.  The health record is a legal document that benefits the patient, the physician, other health care providers, and the health care program.</w:t>
      </w:r>
    </w:p>
    <w:p w14:paraId="1F644F31"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301" w:name="3-3.2H"/>
      <w:bookmarkEnd w:id="301"/>
      <w:r w:rsidRPr="005E6202">
        <w:rPr>
          <w:rFonts w:eastAsia="Times New Roman"/>
          <w:color w:val="353535"/>
          <w:sz w:val="20"/>
          <w:szCs w:val="20"/>
          <w:u w:val="single"/>
          <w:lang w:val="en"/>
        </w:rPr>
        <w:t>Legal Health Record</w:t>
      </w:r>
      <w:r w:rsidRPr="005E6202">
        <w:rPr>
          <w:rFonts w:eastAsia="Times New Roman"/>
          <w:color w:val="353535"/>
          <w:sz w:val="20"/>
          <w:szCs w:val="20"/>
          <w:lang w:val="en"/>
        </w:rPr>
        <w:t>.  The EHR and the paper record combined is the legal health record.</w:t>
      </w:r>
    </w:p>
    <w:p w14:paraId="663ECEFC"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302" w:name="3-3.2I"/>
      <w:bookmarkEnd w:id="302"/>
      <w:r w:rsidRPr="005E6202">
        <w:rPr>
          <w:rFonts w:eastAsia="Times New Roman"/>
          <w:color w:val="353535"/>
          <w:sz w:val="20"/>
          <w:szCs w:val="20"/>
          <w:u w:val="single"/>
          <w:lang w:val="en"/>
        </w:rPr>
        <w:t>Station</w:t>
      </w:r>
      <w:r w:rsidRPr="005E6202">
        <w:rPr>
          <w:rFonts w:eastAsia="Times New Roman"/>
          <w:color w:val="353535"/>
          <w:sz w:val="20"/>
          <w:szCs w:val="20"/>
          <w:lang w:val="en"/>
        </w:rPr>
        <w:t>.  An IHS health station is an ambulatory care facility (fixed or mobile) which is geographically separate from an inpatient hospital or health center, that provides one or more clinical services, and is operated less than 40 hours per week.</w:t>
      </w:r>
    </w:p>
    <w:p w14:paraId="12977EA1" w14:textId="77777777" w:rsidR="005A5AC4" w:rsidRPr="005E6202" w:rsidRDefault="005A5AC4" w:rsidP="004F45B6">
      <w:pPr>
        <w:keepNext/>
        <w:keepLines/>
        <w:numPr>
          <w:ilvl w:val="0"/>
          <w:numId w:val="129"/>
        </w:numPr>
        <w:tabs>
          <w:tab w:val="clear" w:pos="720"/>
        </w:tabs>
        <w:spacing w:before="100" w:beforeAutospacing="1" w:after="100" w:afterAutospacing="1"/>
        <w:ind w:left="547"/>
        <w:rPr>
          <w:rFonts w:eastAsia="Times New Roman"/>
          <w:color w:val="353535"/>
          <w:sz w:val="20"/>
          <w:szCs w:val="20"/>
          <w:lang w:val="en"/>
        </w:rPr>
      </w:pPr>
      <w:bookmarkStart w:id="303" w:name="3-3.2J"/>
      <w:bookmarkEnd w:id="303"/>
      <w:r w:rsidRPr="005E6202">
        <w:rPr>
          <w:rFonts w:eastAsia="Times New Roman"/>
          <w:color w:val="353535"/>
          <w:sz w:val="20"/>
          <w:szCs w:val="20"/>
          <w:u w:val="single"/>
          <w:lang w:val="en"/>
        </w:rPr>
        <w:lastRenderedPageBreak/>
        <w:t>Statistics</w:t>
      </w:r>
      <w:r w:rsidRPr="005E6202">
        <w:rPr>
          <w:rFonts w:eastAsia="Times New Roman"/>
          <w:color w:val="353535"/>
          <w:sz w:val="20"/>
          <w:szCs w:val="20"/>
          <w:lang w:val="en"/>
        </w:rPr>
        <w:t>.  The health record is the source document for statistical research, planning, and budgeting.</w:t>
      </w:r>
    </w:p>
    <w:p w14:paraId="58E19B3D" w14:textId="77777777" w:rsidR="005A5AC4" w:rsidRPr="005E6202" w:rsidRDefault="005A5AC4" w:rsidP="004F45B6">
      <w:pPr>
        <w:numPr>
          <w:ilvl w:val="0"/>
          <w:numId w:val="129"/>
        </w:numPr>
        <w:tabs>
          <w:tab w:val="clear" w:pos="720"/>
        </w:tabs>
        <w:spacing w:before="100" w:beforeAutospacing="1" w:after="100" w:afterAutospacing="1"/>
        <w:ind w:left="540"/>
        <w:rPr>
          <w:rFonts w:eastAsia="Times New Roman"/>
          <w:color w:val="353535"/>
          <w:sz w:val="20"/>
          <w:szCs w:val="20"/>
          <w:lang w:val="en"/>
        </w:rPr>
      </w:pPr>
      <w:bookmarkStart w:id="304" w:name="3-3.2K"/>
      <w:bookmarkEnd w:id="304"/>
      <w:r w:rsidRPr="005E6202">
        <w:rPr>
          <w:rFonts w:eastAsia="Times New Roman"/>
          <w:color w:val="353535"/>
          <w:sz w:val="20"/>
          <w:szCs w:val="20"/>
          <w:u w:val="single"/>
          <w:lang w:val="en"/>
        </w:rPr>
        <w:t>Training</w:t>
      </w:r>
      <w:r w:rsidRPr="005E6202">
        <w:rPr>
          <w:rFonts w:eastAsia="Times New Roman"/>
          <w:color w:val="353535"/>
          <w:sz w:val="20"/>
          <w:szCs w:val="20"/>
          <w:lang w:val="en"/>
        </w:rPr>
        <w:t xml:space="preserve">.  The health record is a tool for training members of the medical and paramedical professions and for conducting medical research. It is the primary means for evaluating the quality and appropriateness of medical care rendered. </w:t>
      </w:r>
    </w:p>
    <w:p w14:paraId="620D4834" w14:textId="71F19A38" w:rsidR="005A5AC4" w:rsidRPr="00967003" w:rsidRDefault="005A5AC4" w:rsidP="005A5AC4">
      <w:pPr>
        <w:spacing w:before="100" w:beforeAutospacing="1" w:after="100" w:afterAutospacing="1"/>
        <w:rPr>
          <w:rFonts w:eastAsia="Times New Roman"/>
          <w:b/>
          <w:bCs/>
          <w:color w:val="353535"/>
          <w:sz w:val="20"/>
          <w:szCs w:val="20"/>
          <w:lang w:val="en"/>
        </w:rPr>
      </w:pPr>
      <w:bookmarkStart w:id="305" w:name="3-3.4"/>
      <w:bookmarkEnd w:id="305"/>
      <w:r w:rsidRPr="00967003">
        <w:rPr>
          <w:rFonts w:eastAsia="Times New Roman"/>
          <w:b/>
          <w:bCs/>
          <w:color w:val="353535"/>
          <w:sz w:val="20"/>
          <w:szCs w:val="20"/>
          <w:lang w:val="en"/>
        </w:rPr>
        <w:t>3-3.4 RESPONSIBILITIES</w:t>
      </w:r>
    </w:p>
    <w:p w14:paraId="3297D2F3" w14:textId="77777777" w:rsidR="005A5AC4" w:rsidRPr="00B974C4" w:rsidRDefault="005A5AC4" w:rsidP="004F45B6">
      <w:pPr>
        <w:numPr>
          <w:ilvl w:val="0"/>
          <w:numId w:val="130"/>
        </w:numPr>
        <w:tabs>
          <w:tab w:val="clear" w:pos="720"/>
        </w:tabs>
        <w:spacing w:before="100" w:beforeAutospacing="1" w:after="100" w:afterAutospacing="1"/>
        <w:ind w:left="540"/>
        <w:rPr>
          <w:rFonts w:eastAsia="Times New Roman"/>
          <w:color w:val="353535"/>
          <w:sz w:val="20"/>
          <w:szCs w:val="20"/>
          <w:lang w:val="en"/>
        </w:rPr>
      </w:pPr>
      <w:bookmarkStart w:id="306" w:name="3-3.4A"/>
      <w:bookmarkEnd w:id="306"/>
      <w:r w:rsidRPr="00B974C4">
        <w:rPr>
          <w:rFonts w:eastAsia="Times New Roman"/>
          <w:color w:val="353535"/>
          <w:sz w:val="20"/>
          <w:szCs w:val="20"/>
          <w:u w:val="single"/>
          <w:lang w:val="en"/>
        </w:rPr>
        <w:t>Chief, Health Information Management</w:t>
      </w:r>
      <w:r w:rsidRPr="00B974C4">
        <w:rPr>
          <w:rFonts w:eastAsia="Times New Roman"/>
          <w:color w:val="353535"/>
          <w:sz w:val="20"/>
          <w:szCs w:val="20"/>
          <w:lang w:val="en"/>
        </w:rPr>
        <w:t xml:space="preserve">.  The Chief, HIM, is responsible for: </w:t>
      </w:r>
    </w:p>
    <w:p w14:paraId="058488E0"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representing the HIM profession in planning and developing a comprehensive health program for the IHS;</w:t>
      </w:r>
    </w:p>
    <w:p w14:paraId="4883AF9F"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serving in a key role for all activities involving data systems, including planning, developing, implementing, and evaluating systems;</w:t>
      </w:r>
    </w:p>
    <w:p w14:paraId="7EF55414"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advising the IHS Director and members of the Director's staff on policy formulation and activities involving HIM services, data quality, and third party reimbursement in all types of facilities;</w:t>
      </w:r>
    </w:p>
    <w:p w14:paraId="24A783FF"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providing professional and technical guidance to Area HIM consultants in developing and administering HIM programs to enable IHS facilities to meet IHS goals and objectives;</w:t>
      </w:r>
    </w:p>
    <w:p w14:paraId="497F8383"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planning the recruitment, professional development, and effective use of professional and technical level HIM personnel throughout the IHS; and</w:t>
      </w:r>
    </w:p>
    <w:p w14:paraId="3BE50312"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 xml:space="preserve">planning orientation and training activities for HIM personnel. </w:t>
      </w:r>
    </w:p>
    <w:p w14:paraId="5BB39225" w14:textId="77777777" w:rsidR="005A5AC4" w:rsidRPr="00B974C4" w:rsidRDefault="005A5AC4" w:rsidP="004F45B6">
      <w:pPr>
        <w:numPr>
          <w:ilvl w:val="0"/>
          <w:numId w:val="130"/>
        </w:numPr>
        <w:tabs>
          <w:tab w:val="clear" w:pos="720"/>
        </w:tabs>
        <w:spacing w:before="100" w:beforeAutospacing="1" w:after="100" w:afterAutospacing="1"/>
        <w:ind w:left="540"/>
        <w:rPr>
          <w:rFonts w:eastAsia="Times New Roman"/>
          <w:color w:val="353535"/>
          <w:sz w:val="20"/>
          <w:szCs w:val="20"/>
          <w:lang w:val="en"/>
        </w:rPr>
      </w:pPr>
      <w:bookmarkStart w:id="307" w:name="3-3.4B"/>
      <w:bookmarkEnd w:id="307"/>
      <w:r w:rsidRPr="00B974C4">
        <w:rPr>
          <w:rFonts w:eastAsia="Times New Roman"/>
          <w:color w:val="353535"/>
          <w:sz w:val="20"/>
          <w:szCs w:val="20"/>
          <w:u w:val="single"/>
          <w:lang w:val="en"/>
        </w:rPr>
        <w:t>Area HIM Consultant</w:t>
      </w:r>
      <w:r w:rsidRPr="00B974C4">
        <w:rPr>
          <w:rFonts w:eastAsia="Times New Roman"/>
          <w:color w:val="353535"/>
          <w:sz w:val="20"/>
          <w:szCs w:val="20"/>
          <w:lang w:val="en"/>
        </w:rPr>
        <w:t xml:space="preserve">. The Area HIM Consultant is responsible for: </w:t>
      </w:r>
    </w:p>
    <w:p w14:paraId="12FA6FA8"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in planning and developing a comprehensive health program for the Area that is consistent with IHS goals and objectives;</w:t>
      </w:r>
    </w:p>
    <w:p w14:paraId="2C9A4E2F"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advising the Area Director, Area staff, Chief Executive Officers (CEO), and their staffs on the implementation of policies and activities involving health records, data quality, third-party reimbursement, utilization review, and quality improvement;</w:t>
      </w:r>
    </w:p>
    <w:p w14:paraId="36B625DC"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Service Unit HIM Supervisors or Directors in meeting equal employment opportunity objectives;</w:t>
      </w:r>
    </w:p>
    <w:p w14:paraId="04D73906"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participating in planning, developing, implementing, and evaluating data systems;</w:t>
      </w:r>
    </w:p>
    <w:p w14:paraId="4FB35553"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Service Unit personnel in planning facilities construction/remodeling and procuring equipment;</w:t>
      </w:r>
    </w:p>
    <w:p w14:paraId="2DDD2932"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advising and assisting Service Unit HIM staff in performing quality review programs to meet requirements of the Joint Commission, CMS, the Accreditation Association for Ambulatory Health Care, and other regulatory and/or accrediting agencies;</w:t>
      </w:r>
    </w:p>
    <w:p w14:paraId="1882270D"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in recruitment, use, and evaluation of professional and technical level Service Unit HIM staff;</w:t>
      </w:r>
    </w:p>
    <w:p w14:paraId="5420E6ED"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in planning for career advancement and professional development of Area HIM staff using workshops, institutes, online courses, audio seminars, and college-based HIM courses;</w:t>
      </w:r>
    </w:p>
    <w:p w14:paraId="0D47FDB3"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providing orientation to Area professional and administrative personnel on HIM policies and standards training;</w:t>
      </w:r>
    </w:p>
    <w:p w14:paraId="1DDC6936"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assisting the CEO and staff with orientation and indoctrination in HIM;</w:t>
      </w:r>
    </w:p>
    <w:p w14:paraId="2BBD0466"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providing guidance to Area and Service Unit staff in medico-legal matters, including compliance with the Privacy Act of 1974, HIPAA, FOIA, and Confidentiality of Alcohol and Drug Abuse Patient Records regulations;</w:t>
      </w:r>
    </w:p>
    <w:p w14:paraId="0D5E9759"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 xml:space="preserve">writing and submitting narrative reports for submission to the Chief Headquarters HIM Consultant and report at the biannual Area HIM Consultants meeting.  The report should briefly discuss (as appropriate) the following: </w:t>
      </w:r>
    </w:p>
    <w:p w14:paraId="00E0E017"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staffing levels in each facility for the following categories:  Permanent, temporary, credential levels, and positions encumbered by credentialed professionals (Credentialed is defined as an active registration or accreditation by the AHIMA);</w:t>
      </w:r>
    </w:p>
    <w:p w14:paraId="4E019305"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changes in HIM positions, personnel components, and vacancies;</w:t>
      </w:r>
    </w:p>
    <w:p w14:paraId="2D71F74B"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accomplishments;</w:t>
      </w:r>
    </w:p>
    <w:p w14:paraId="0828BA56"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proposed action for future quarter;</w:t>
      </w:r>
    </w:p>
    <w:p w14:paraId="1D8130AA"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recruiting activities;</w:t>
      </w:r>
    </w:p>
    <w:p w14:paraId="00349ED0"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lastRenderedPageBreak/>
        <w:t>problems and, if possible, recommended solutions; and</w:t>
      </w:r>
    </w:p>
    <w:p w14:paraId="7DBD35C0" w14:textId="77777777" w:rsidR="005A5AC4" w:rsidRPr="00B974C4" w:rsidRDefault="005A5AC4" w:rsidP="004F45B6">
      <w:pPr>
        <w:numPr>
          <w:ilvl w:val="2"/>
          <w:numId w:val="130"/>
        </w:numPr>
        <w:spacing w:before="100" w:beforeAutospacing="1" w:after="100" w:afterAutospacing="1"/>
        <w:ind w:left="1620"/>
        <w:rPr>
          <w:rFonts w:eastAsia="Times New Roman"/>
          <w:color w:val="353535"/>
          <w:sz w:val="20"/>
          <w:szCs w:val="20"/>
          <w:lang w:val="en"/>
        </w:rPr>
      </w:pPr>
      <w:r w:rsidRPr="00B974C4">
        <w:rPr>
          <w:rFonts w:eastAsia="Times New Roman"/>
          <w:color w:val="353535"/>
          <w:sz w:val="20"/>
          <w:szCs w:val="20"/>
          <w:lang w:val="en"/>
        </w:rPr>
        <w:t xml:space="preserve">ongoing educational programs, regularly scheduled workshops, and outside training. </w:t>
      </w:r>
    </w:p>
    <w:p w14:paraId="5EC3FCB0" w14:textId="77777777" w:rsidR="005A5AC4" w:rsidRPr="00B974C4" w:rsidRDefault="005A5AC4" w:rsidP="004F45B6">
      <w:pPr>
        <w:numPr>
          <w:ilvl w:val="0"/>
          <w:numId w:val="130"/>
        </w:numPr>
        <w:tabs>
          <w:tab w:val="clear" w:pos="720"/>
        </w:tabs>
        <w:spacing w:before="100" w:beforeAutospacing="1" w:after="100" w:afterAutospacing="1"/>
        <w:ind w:left="540"/>
        <w:rPr>
          <w:rFonts w:eastAsia="Times New Roman"/>
          <w:color w:val="353535"/>
          <w:sz w:val="20"/>
          <w:szCs w:val="20"/>
          <w:lang w:val="en"/>
        </w:rPr>
      </w:pPr>
      <w:bookmarkStart w:id="308" w:name="3-3.4C"/>
      <w:bookmarkEnd w:id="308"/>
      <w:r w:rsidRPr="00B974C4">
        <w:rPr>
          <w:rFonts w:eastAsia="Times New Roman"/>
          <w:color w:val="353535"/>
          <w:sz w:val="20"/>
          <w:szCs w:val="20"/>
          <w:u w:val="single"/>
          <w:lang w:val="en"/>
        </w:rPr>
        <w:t>Service Unit HIM Directors</w:t>
      </w:r>
      <w:r w:rsidRPr="00B974C4">
        <w:rPr>
          <w:rFonts w:eastAsia="Times New Roman"/>
          <w:color w:val="353535"/>
          <w:sz w:val="20"/>
          <w:szCs w:val="20"/>
          <w:lang w:val="en"/>
        </w:rPr>
        <w:t xml:space="preserve">.  Service Unit HIM Directors are administratively responsible for all HIM activities within the Service Unit, hospitals, and clinics; they are responsible to: </w:t>
      </w:r>
    </w:p>
    <w:p w14:paraId="1FC1D06B"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 Service Unit staff in planning and developing a comprehensive health program to meet IHS goals and objectives;</w:t>
      </w:r>
    </w:p>
    <w:p w14:paraId="69656299"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direct HIM department activities, implement IHS policies, and develop procedures to administer the facility HIM program;</w:t>
      </w:r>
    </w:p>
    <w:p w14:paraId="71847D97"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advise the CEO and staff in matters involving HIM policies, data quality, and third-party reimbursement;</w:t>
      </w:r>
    </w:p>
    <w:p w14:paraId="02D30D49"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plan for recruiting, developing, and use of facility HIM personnel;</w:t>
      </w:r>
    </w:p>
    <w:p w14:paraId="75B14DB5"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assist in evaluating and analyzing statistical data for epidemiological or other studies, program planning, and budgeting;</w:t>
      </w:r>
    </w:p>
    <w:p w14:paraId="2DFF0EB2"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collaborate with the clinical application coordinator (CAC) on setting up, maintaining, accessing, and using the Resource and Patient Management System (RPMS) EHR;</w:t>
      </w:r>
    </w:p>
    <w:p w14:paraId="2CE38979"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provide on-the-job training to HIM personnel;</w:t>
      </w:r>
    </w:p>
    <w:p w14:paraId="301DB363"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conduct HIM orientation for department heads and professional employees in HIM policies and procedures; and</w:t>
      </w:r>
    </w:p>
    <w:p w14:paraId="7E779AED" w14:textId="77777777" w:rsidR="005A5AC4" w:rsidRPr="00B974C4" w:rsidRDefault="005A5AC4" w:rsidP="004F45B6">
      <w:pPr>
        <w:numPr>
          <w:ilvl w:val="1"/>
          <w:numId w:val="130"/>
        </w:numPr>
        <w:tabs>
          <w:tab w:val="clear" w:pos="1440"/>
        </w:tabs>
        <w:spacing w:before="100" w:beforeAutospacing="1" w:after="100" w:afterAutospacing="1"/>
        <w:ind w:left="1080"/>
        <w:rPr>
          <w:rFonts w:eastAsia="Times New Roman"/>
          <w:color w:val="353535"/>
          <w:sz w:val="20"/>
          <w:szCs w:val="20"/>
          <w:lang w:val="en"/>
        </w:rPr>
      </w:pPr>
      <w:r w:rsidRPr="00B974C4">
        <w:rPr>
          <w:rFonts w:eastAsia="Times New Roman"/>
          <w:color w:val="353535"/>
          <w:sz w:val="20"/>
          <w:szCs w:val="20"/>
          <w:lang w:val="en"/>
        </w:rPr>
        <w:t xml:space="preserve">perform quality review studies with professional personnel from other disciplines in order to meet IHS requirements and those of certifying or accrediting organizations. </w:t>
      </w:r>
    </w:p>
    <w:p w14:paraId="4D7F7E9E" w14:textId="12D8CB83" w:rsidR="005A5AC4" w:rsidRPr="00967003" w:rsidRDefault="005A5AC4" w:rsidP="005A5AC4">
      <w:pPr>
        <w:spacing w:before="100" w:beforeAutospacing="1" w:after="100" w:afterAutospacing="1"/>
        <w:rPr>
          <w:rFonts w:eastAsia="Times New Roman"/>
          <w:b/>
          <w:bCs/>
          <w:color w:val="353535"/>
          <w:sz w:val="20"/>
          <w:szCs w:val="20"/>
          <w:lang w:val="en"/>
        </w:rPr>
      </w:pPr>
      <w:r w:rsidRPr="00967003">
        <w:rPr>
          <w:rFonts w:eastAsia="Times New Roman"/>
          <w:b/>
          <w:bCs/>
          <w:color w:val="353535"/>
          <w:sz w:val="20"/>
          <w:szCs w:val="20"/>
          <w:lang w:val="en"/>
        </w:rPr>
        <w:t>3-3.5 HEALTH INFORMATION MANAGEMENT DEPARTMENT</w:t>
      </w:r>
    </w:p>
    <w:p w14:paraId="2F294B71" w14:textId="77777777" w:rsidR="005A5AC4" w:rsidRPr="004C49F0" w:rsidRDefault="005A5AC4" w:rsidP="004F45B6">
      <w:pPr>
        <w:numPr>
          <w:ilvl w:val="0"/>
          <w:numId w:val="131"/>
        </w:numPr>
        <w:tabs>
          <w:tab w:val="clear" w:pos="720"/>
        </w:tabs>
        <w:spacing w:before="100" w:beforeAutospacing="1" w:after="100" w:afterAutospacing="1"/>
        <w:ind w:left="540"/>
        <w:rPr>
          <w:rFonts w:eastAsia="Times New Roman"/>
          <w:color w:val="353535"/>
          <w:sz w:val="20"/>
          <w:szCs w:val="20"/>
          <w:lang w:val="en"/>
        </w:rPr>
      </w:pPr>
      <w:bookmarkStart w:id="309" w:name="3-3.5A"/>
      <w:bookmarkEnd w:id="309"/>
      <w:r w:rsidRPr="004C49F0">
        <w:rPr>
          <w:rFonts w:eastAsia="Times New Roman"/>
          <w:color w:val="353535"/>
          <w:sz w:val="20"/>
          <w:szCs w:val="20"/>
          <w:u w:val="single"/>
          <w:lang w:val="en"/>
        </w:rPr>
        <w:t>Administrative Responsibilities</w:t>
      </w:r>
      <w:r w:rsidRPr="004C49F0">
        <w:rPr>
          <w:rFonts w:eastAsia="Times New Roman"/>
          <w:color w:val="353535"/>
          <w:sz w:val="20"/>
          <w:szCs w:val="20"/>
          <w:lang w:val="en"/>
        </w:rPr>
        <w:t>.  The HIM department will maintain the facilities and services necessary to provide health records that are documented accurately and in a timely manner; that are readily accessible and contain all current information; and that permit prompt retrieval of information, including statistical data.</w:t>
      </w:r>
    </w:p>
    <w:p w14:paraId="5E3FF1EF" w14:textId="77777777" w:rsidR="005A5AC4" w:rsidRPr="004C49F0" w:rsidRDefault="005A5AC4" w:rsidP="004F45B6">
      <w:pPr>
        <w:numPr>
          <w:ilvl w:val="0"/>
          <w:numId w:val="131"/>
        </w:numPr>
        <w:tabs>
          <w:tab w:val="clear" w:pos="720"/>
        </w:tabs>
        <w:spacing w:before="100" w:beforeAutospacing="1" w:after="100" w:afterAutospacing="1"/>
        <w:ind w:left="540"/>
        <w:rPr>
          <w:rFonts w:eastAsia="Times New Roman"/>
          <w:color w:val="353535"/>
          <w:sz w:val="20"/>
          <w:szCs w:val="20"/>
          <w:lang w:val="en"/>
        </w:rPr>
      </w:pPr>
      <w:bookmarkStart w:id="310" w:name="3-3.5B"/>
      <w:bookmarkEnd w:id="310"/>
      <w:r w:rsidRPr="004C49F0">
        <w:rPr>
          <w:rFonts w:eastAsia="Times New Roman"/>
          <w:color w:val="353535"/>
          <w:sz w:val="20"/>
          <w:szCs w:val="20"/>
          <w:u w:val="single"/>
          <w:lang w:val="en"/>
        </w:rPr>
        <w:t>Committee Responsibilities</w:t>
      </w:r>
      <w:r w:rsidRPr="004C49F0">
        <w:rPr>
          <w:rFonts w:eastAsia="Times New Roman"/>
          <w:color w:val="353535"/>
          <w:sz w:val="20"/>
          <w:szCs w:val="20"/>
          <w:lang w:val="en"/>
        </w:rPr>
        <w:t xml:space="preserve">.  The HIM Director or Supervisor assists the Medical Record Review Committee with reviewing health records to ensure compliance with accreditation or certification standards; preparing meeting agendas; minutes, and reports; data collection and display; and appraisal of such department resources as equipment, physical environment, and staffing needs. </w:t>
      </w:r>
    </w:p>
    <w:p w14:paraId="56314D64"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Health Record Completion.  The HIM staff must review a representative sample of charts from each inpatient and outpatient service or program to ensure documentation is adequate, timely, complete, and properly authenticated according to all accreditation/certification standards and all IHS directives.  Staff must report inadequate records to the appropriate committees as outlined in the facility's Medical Staff Bylaws, Rules and Regulations.</w:t>
      </w:r>
    </w:p>
    <w:p w14:paraId="3C72E0ED"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Minutes.  Where committees are combined, separate headings for each committee function will be maintained in the minutes.  Minutes will not contain direct patient identifiers such as name or unit health record number.  Patient references will be used only when necessary and only in coded form.  The key to patient identification codes will be maintained by a designated coordinator and destroyed when direct patient reference is no longer needed.</w:t>
      </w:r>
    </w:p>
    <w:p w14:paraId="1E2BB7A5"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 xml:space="preserve">Confidentiality of Committee Minutes.  Committee actions will be maintained in strict confidence.  The distribution and storage of minutes will be controlled. All persons receiving minutes will be held accountable for the document's security and its destruction when the minutes are no longer needed. </w:t>
      </w:r>
    </w:p>
    <w:p w14:paraId="0E30FCBA" w14:textId="77777777" w:rsidR="005A5AC4" w:rsidRPr="004C49F0" w:rsidRDefault="005A5AC4" w:rsidP="004F45B6">
      <w:pPr>
        <w:numPr>
          <w:ilvl w:val="0"/>
          <w:numId w:val="131"/>
        </w:numPr>
        <w:tabs>
          <w:tab w:val="clear" w:pos="720"/>
        </w:tabs>
        <w:spacing w:before="100" w:beforeAutospacing="1" w:after="100" w:afterAutospacing="1"/>
        <w:ind w:left="540"/>
        <w:rPr>
          <w:rFonts w:eastAsia="Times New Roman"/>
          <w:color w:val="353535"/>
          <w:sz w:val="20"/>
          <w:szCs w:val="20"/>
          <w:lang w:val="en"/>
        </w:rPr>
      </w:pPr>
      <w:bookmarkStart w:id="311" w:name="3-3.5C"/>
      <w:bookmarkEnd w:id="311"/>
      <w:r w:rsidRPr="004C49F0">
        <w:rPr>
          <w:rFonts w:eastAsia="Times New Roman"/>
          <w:color w:val="353535"/>
          <w:sz w:val="20"/>
          <w:szCs w:val="20"/>
          <w:u w:val="single"/>
          <w:lang w:val="en"/>
        </w:rPr>
        <w:t>Health Information Management Director</w:t>
      </w:r>
      <w:r w:rsidRPr="004C49F0">
        <w:rPr>
          <w:rFonts w:eastAsia="Times New Roman"/>
          <w:color w:val="353535"/>
          <w:sz w:val="20"/>
          <w:szCs w:val="20"/>
          <w:lang w:val="en"/>
        </w:rPr>
        <w:t xml:space="preserve">.  The HIM Director is administratively responsible for ensuring that: </w:t>
      </w:r>
    </w:p>
    <w:p w14:paraId="085C1F80"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Each individual treated within the facility or in the community by a member of the health care team will be registered. A health record is maintained for each individual who receives service as an outpatient, inpatient, newborn, emergency patient, community health patient, school student, and contract health service (CHS) beneficiary.</w:t>
      </w:r>
    </w:p>
    <w:p w14:paraId="51312041"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The health record is maintained in strict confidence.  Information from health records will be disclosed only in conformance with applicable Federal laws and regulations, policies of the IHS, and the laws of the State or Tribe in which the facility is located.</w:t>
      </w:r>
    </w:p>
    <w:p w14:paraId="64AF44A3"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lastRenderedPageBreak/>
        <w:t>Only authorized personnel will have access to health records.  Service Unit policy and procedures shall specify those employee positions within the Service Unit who are authorized to access health records on a "need-to-know" basis. A listing of specific individuals with health record access is maintained by the CEO or the Service Unit HIPAA Privacy Official and updated as necessary (Refer to Part 2, Chapter 7, IHM).</w:t>
      </w:r>
    </w:p>
    <w:p w14:paraId="32E9180D"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The HIM department will be secured at all times.</w:t>
      </w:r>
    </w:p>
    <w:p w14:paraId="334C87B6"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Health records will be removed from the facility only by court order from a court of competent jurisdiction in consultation with the Office of General Counsel (OGC), or for retirement to the Federal Records Center (FRC).  A court order is necessary for removal of a record (other than for retirement) containing information about alcohol or drug abuse. See Section 3-3.12R, "Court Order and Subpoena Duces Tecum." (Refer to 45 CFR § 2.5 and 45 CFR § b9(b)(11) for discussion of a valid subpoena or court order.)</w:t>
      </w:r>
    </w:p>
    <w:p w14:paraId="19FF148E"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The HIM department assists in medical care evaluation by providing information needed to assess the quality and appropriateness of care provided by the facility.  The specific role of the HIM department will be defined in the policies of each facility and will vary depending on organization and staffing.</w:t>
      </w:r>
    </w:p>
    <w:p w14:paraId="69C45158"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The HIM department maintains a health records identification and filing system.</w:t>
      </w:r>
    </w:p>
    <w:p w14:paraId="2B717AEE"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Statistical information is maintained to provide data as required by State, Federal, and accrediting/certifying organizations.</w:t>
      </w:r>
    </w:p>
    <w:p w14:paraId="3B85CDC2"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Policies and procedures regarding the responsibilities and functions of the HIM department are developed, implemented, and updated.</w:t>
      </w:r>
    </w:p>
    <w:p w14:paraId="17336864" w14:textId="77777777" w:rsidR="005A5AC4" w:rsidRPr="004C49F0"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4C49F0">
        <w:rPr>
          <w:rFonts w:eastAsia="Times New Roman"/>
          <w:color w:val="353535"/>
          <w:sz w:val="20"/>
          <w:szCs w:val="20"/>
          <w:lang w:val="en"/>
        </w:rPr>
        <w:t xml:space="preserve">The HIM department maintains a permanent signature index for each provider who documents patient events in the health record. Providers include a medical doctor (MD), doctor of osteopathy (DO), registered nurse (RN), licensed practical nurse (LPN), registered pharmacist RPh), master social worker (M.S.W.), physician assistant (PA), and physician assistant certified (PA-C).  The signature file shall be secured and maintained permanently in the office of the HIM Director or supervisor and shall contain the following: </w:t>
      </w:r>
    </w:p>
    <w:p w14:paraId="2A3880CC" w14:textId="77777777" w:rsidR="005A5AC4" w:rsidRPr="004C49F0"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name;</w:t>
      </w:r>
    </w:p>
    <w:p w14:paraId="54B1DBFD" w14:textId="77777777" w:rsidR="005A5AC4" w:rsidRPr="004C49F0"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signature;</w:t>
      </w:r>
    </w:p>
    <w:p w14:paraId="4651567F" w14:textId="77777777" w:rsidR="005A5AC4" w:rsidRPr="004C49F0"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initials;</w:t>
      </w:r>
    </w:p>
    <w:p w14:paraId="39701AF5" w14:textId="77777777" w:rsidR="005A5AC4" w:rsidRPr="004C49F0"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professional description;</w:t>
      </w:r>
    </w:p>
    <w:p w14:paraId="1CC6F429" w14:textId="77777777" w:rsidR="005A5AC4" w:rsidRPr="004C49F0"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entry on duty date; and</w:t>
      </w:r>
    </w:p>
    <w:p w14:paraId="446E2DE6" w14:textId="1D0DD9AC" w:rsidR="005A5AC4" w:rsidRPr="00967003"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4C49F0">
        <w:rPr>
          <w:rFonts w:eastAsia="Times New Roman"/>
          <w:color w:val="353535"/>
          <w:sz w:val="20"/>
          <w:szCs w:val="20"/>
          <w:lang w:val="en"/>
        </w:rPr>
        <w:t>provider's exit date.</w:t>
      </w:r>
      <w:r w:rsidRPr="00967003">
        <w:rPr>
          <w:rFonts w:eastAsia="Times New Roman"/>
          <w:color w:val="353535"/>
          <w:sz w:val="20"/>
          <w:szCs w:val="20"/>
          <w:lang w:val="en"/>
        </w:rPr>
        <w:t xml:space="preserve"> </w:t>
      </w:r>
    </w:p>
    <w:p w14:paraId="51E3A213" w14:textId="77777777" w:rsidR="005A5AC4" w:rsidRPr="00967003" w:rsidRDefault="005A5AC4" w:rsidP="004F45B6">
      <w:pPr>
        <w:numPr>
          <w:ilvl w:val="0"/>
          <w:numId w:val="131"/>
        </w:numPr>
        <w:tabs>
          <w:tab w:val="clear" w:pos="720"/>
        </w:tabs>
        <w:spacing w:before="100" w:beforeAutospacing="1" w:after="100" w:afterAutospacing="1"/>
        <w:ind w:left="540"/>
        <w:rPr>
          <w:rFonts w:eastAsia="Times New Roman"/>
          <w:color w:val="353535"/>
          <w:sz w:val="20"/>
          <w:szCs w:val="20"/>
          <w:u w:val="single"/>
          <w:lang w:val="en"/>
        </w:rPr>
      </w:pPr>
      <w:r w:rsidRPr="00967003">
        <w:rPr>
          <w:rFonts w:eastAsia="Times New Roman"/>
          <w:color w:val="353535"/>
          <w:sz w:val="20"/>
          <w:szCs w:val="20"/>
          <w:u w:val="single"/>
          <w:lang w:val="en"/>
        </w:rPr>
        <w:t>Program Responsibilities</w:t>
      </w:r>
    </w:p>
    <w:p w14:paraId="24CDA4B8" w14:textId="77777777" w:rsidR="005A5AC4" w:rsidRPr="004C49F0" w:rsidRDefault="005A5AC4" w:rsidP="00317BC6">
      <w:pPr>
        <w:pStyle w:val="ListParagraph"/>
        <w:spacing w:before="100" w:beforeAutospacing="1" w:after="100" w:afterAutospacing="1"/>
        <w:ind w:left="720" w:firstLine="0"/>
        <w:rPr>
          <w:rFonts w:eastAsia="Times New Roman" w:cs="Arial"/>
          <w:color w:val="353535"/>
          <w:sz w:val="20"/>
          <w:szCs w:val="20"/>
          <w:lang w:val="en"/>
        </w:rPr>
      </w:pPr>
      <w:r>
        <w:rPr>
          <w:rFonts w:eastAsia="Times New Roman" w:cs="Arial"/>
          <w:color w:val="353535"/>
          <w:sz w:val="20"/>
          <w:szCs w:val="20"/>
          <w:u w:val="single"/>
          <w:lang w:val="en"/>
        </w:rPr>
        <w:t xml:space="preserve">(14) </w:t>
      </w:r>
      <w:r w:rsidRPr="004C49F0">
        <w:rPr>
          <w:rFonts w:eastAsia="Times New Roman" w:cs="Arial"/>
          <w:color w:val="353535"/>
          <w:sz w:val="20"/>
          <w:szCs w:val="20"/>
          <w:u w:val="single"/>
          <w:lang w:val="en"/>
        </w:rPr>
        <w:t>Forms</w:t>
      </w:r>
      <w:r w:rsidRPr="004C49F0">
        <w:rPr>
          <w:rFonts w:eastAsia="Times New Roman" w:cs="Arial"/>
          <w:color w:val="353535"/>
          <w:sz w:val="20"/>
          <w:szCs w:val="20"/>
          <w:lang w:val="en"/>
        </w:rPr>
        <w:t>.  Only standard forms (SF) and IHS clinical record forms are used in the health record.  Proposed new or revised forms must be submitted through the Area Office to IHS Headquarters for approval in order to become an authorized part of the health record.  Refer to Part 5, Chapter 24, IHM, TN No. 04-02, 07/16/04.</w:t>
      </w:r>
    </w:p>
    <w:p w14:paraId="0034FD51" w14:textId="77777777" w:rsidR="005A5AC4" w:rsidRPr="004C49F0" w:rsidRDefault="005A5AC4" w:rsidP="00317BC6">
      <w:pPr>
        <w:spacing w:before="100" w:beforeAutospacing="1" w:after="100" w:afterAutospacing="1"/>
        <w:ind w:left="720"/>
        <w:rPr>
          <w:rFonts w:eastAsia="Times New Roman"/>
          <w:color w:val="353535"/>
          <w:sz w:val="20"/>
          <w:szCs w:val="20"/>
          <w:lang w:val="en"/>
        </w:rPr>
      </w:pPr>
      <w:r>
        <w:rPr>
          <w:rFonts w:eastAsia="Times New Roman"/>
          <w:color w:val="353535"/>
          <w:sz w:val="20"/>
          <w:szCs w:val="20"/>
          <w:u w:val="single"/>
          <w:lang w:val="en"/>
        </w:rPr>
        <w:t xml:space="preserve">(15) </w:t>
      </w:r>
      <w:r w:rsidRPr="004C49F0">
        <w:rPr>
          <w:rFonts w:eastAsia="Times New Roman"/>
          <w:color w:val="353535"/>
          <w:sz w:val="20"/>
          <w:szCs w:val="20"/>
          <w:u w:val="single"/>
          <w:lang w:val="en"/>
        </w:rPr>
        <w:t>Electronic Health Records and Patient Care Component + Templates</w:t>
      </w:r>
      <w:r w:rsidRPr="004C49F0">
        <w:rPr>
          <w:rFonts w:eastAsia="Times New Roman"/>
          <w:color w:val="353535"/>
          <w:sz w:val="20"/>
          <w:szCs w:val="20"/>
          <w:lang w:val="en"/>
        </w:rPr>
        <w:t>.  A local process for initiating, developing, and approving new electronic templates must be established under the auspices of the health record review function.  As part of the health record review function, proposed templates must be reviewed for legal, policy, regulatory compliance, and ease of use.  Requests must be approved prior to implementation of electronic health record templates.  All components must reflect the health record number, date of documentation, date of service, and facility name.  Paper forms are preferred for specific components of the record as a guideline for developing electronic templates.</w:t>
      </w:r>
    </w:p>
    <w:p w14:paraId="0BE6B112" w14:textId="15FA1404" w:rsidR="005A5AC4" w:rsidRPr="00967003" w:rsidRDefault="005A5AC4" w:rsidP="005A5AC4">
      <w:pPr>
        <w:spacing w:before="100" w:beforeAutospacing="1" w:after="100" w:afterAutospacing="1"/>
        <w:rPr>
          <w:rFonts w:eastAsia="Times New Roman"/>
          <w:b/>
          <w:bCs/>
          <w:color w:val="353535"/>
          <w:sz w:val="20"/>
          <w:szCs w:val="20"/>
          <w:lang w:val="en"/>
        </w:rPr>
      </w:pPr>
      <w:r w:rsidRPr="00967003">
        <w:rPr>
          <w:rFonts w:eastAsia="Times New Roman"/>
          <w:b/>
          <w:bCs/>
          <w:color w:val="353535"/>
          <w:sz w:val="20"/>
          <w:szCs w:val="20"/>
          <w:lang w:val="en"/>
        </w:rPr>
        <w:t xml:space="preserve">3-3.8 HEALTH RECORD DOCUMENTATION </w:t>
      </w:r>
    </w:p>
    <w:p w14:paraId="2C23AC33"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2" w:name="3-3.8A"/>
      <w:bookmarkEnd w:id="312"/>
      <w:r w:rsidRPr="00D87042">
        <w:rPr>
          <w:rFonts w:eastAsia="Times New Roman"/>
          <w:color w:val="353535"/>
          <w:sz w:val="20"/>
          <w:szCs w:val="20"/>
          <w:u w:val="single"/>
          <w:lang w:val="en"/>
        </w:rPr>
        <w:t>Description</w:t>
      </w:r>
      <w:r w:rsidRPr="00D87042">
        <w:rPr>
          <w:rFonts w:eastAsia="Times New Roman"/>
          <w:color w:val="353535"/>
          <w:sz w:val="20"/>
          <w:szCs w:val="20"/>
          <w:lang w:val="en"/>
        </w:rPr>
        <w:t>.  The health record documents the care of the patient and is an important element contributing to high quality care.  The documentation in a health record contains a compilation of scientific and subjective data from which conclusions or judgments are derived.</w:t>
      </w:r>
    </w:p>
    <w:p w14:paraId="6F91EC45"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3" w:name="3-3.8B"/>
      <w:bookmarkEnd w:id="313"/>
      <w:r w:rsidRPr="00D87042">
        <w:rPr>
          <w:rFonts w:eastAsia="Times New Roman"/>
          <w:color w:val="353535"/>
          <w:sz w:val="20"/>
          <w:szCs w:val="20"/>
          <w:u w:val="single"/>
          <w:lang w:val="en"/>
        </w:rPr>
        <w:lastRenderedPageBreak/>
        <w:t>Purpose</w:t>
      </w:r>
      <w:r w:rsidRPr="00D87042">
        <w:rPr>
          <w:rFonts w:eastAsia="Times New Roman"/>
          <w:color w:val="353535"/>
          <w:sz w:val="20"/>
          <w:szCs w:val="20"/>
          <w:lang w:val="en"/>
        </w:rPr>
        <w:t>.  Health record documentation is required to record pertinent facts, findings, and observations about a patient's health history including past and present illnesses, examinations, tests, treatments, and outcomes.</w:t>
      </w:r>
    </w:p>
    <w:p w14:paraId="4C21F629"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4" w:name="3-3.8C"/>
      <w:bookmarkEnd w:id="314"/>
      <w:r w:rsidRPr="00D87042">
        <w:rPr>
          <w:rFonts w:eastAsia="Times New Roman"/>
          <w:color w:val="353535"/>
          <w:sz w:val="20"/>
          <w:szCs w:val="20"/>
          <w:u w:val="single"/>
          <w:lang w:val="en"/>
        </w:rPr>
        <w:t>Facilitation</w:t>
      </w:r>
      <w:r w:rsidRPr="00D87042">
        <w:rPr>
          <w:rFonts w:eastAsia="Times New Roman"/>
          <w:color w:val="353535"/>
          <w:sz w:val="20"/>
          <w:szCs w:val="20"/>
          <w:lang w:val="en"/>
        </w:rPr>
        <w:t xml:space="preserve">.  The health record facilitates the following: </w:t>
      </w:r>
    </w:p>
    <w:p w14:paraId="4DED5218"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physician and other health care professional's ability to evaluate and plan the patient's immediate treatment, and to monitor the patient's health care over time;</w:t>
      </w:r>
    </w:p>
    <w:p w14:paraId="24733C56"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communication and continuity of care among physicians and other health care professionals involved in the patient's care;</w:t>
      </w:r>
    </w:p>
    <w:p w14:paraId="73DE6C02"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accurate and timely claims review and payment;</w:t>
      </w:r>
    </w:p>
    <w:p w14:paraId="36E26E7B"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appropriate utilization review and quality of care evaluations;</w:t>
      </w:r>
    </w:p>
    <w:p w14:paraId="27B531F0"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collection of data that may be useful for research and education;</w:t>
      </w:r>
    </w:p>
    <w:p w14:paraId="6D498213"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accurate coding of diagnosis and procedures performed; and</w:t>
      </w:r>
    </w:p>
    <w:p w14:paraId="38101474"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 xml:space="preserve">the source of aggregate data to be used as the basis for planning future health programs or initiatives. </w:t>
      </w:r>
    </w:p>
    <w:p w14:paraId="5BED823A"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5" w:name="3-3.8D"/>
      <w:bookmarkEnd w:id="315"/>
      <w:r w:rsidRPr="00D87042">
        <w:rPr>
          <w:rFonts w:eastAsia="Times New Roman"/>
          <w:color w:val="353535"/>
          <w:sz w:val="20"/>
          <w:szCs w:val="20"/>
          <w:u w:val="single"/>
          <w:lang w:val="en"/>
        </w:rPr>
        <w:t>Documentation Principles</w:t>
      </w:r>
      <w:r w:rsidRPr="00D87042">
        <w:rPr>
          <w:rFonts w:eastAsia="Times New Roman"/>
          <w:color w:val="353535"/>
          <w:sz w:val="20"/>
          <w:szCs w:val="20"/>
          <w:lang w:val="en"/>
        </w:rPr>
        <w:t>.  Conducting reviews to evaluate clinical competency and support privileging activities.</w:t>
      </w:r>
    </w:p>
    <w:p w14:paraId="41A9CDFA"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6" w:name="3-3.8E"/>
      <w:bookmarkEnd w:id="316"/>
      <w:r w:rsidRPr="00D87042">
        <w:rPr>
          <w:rFonts w:eastAsia="Times New Roman"/>
          <w:color w:val="353535"/>
          <w:sz w:val="20"/>
          <w:szCs w:val="20"/>
          <w:u w:val="single"/>
          <w:lang w:val="en"/>
        </w:rPr>
        <w:t>Documentation Standards</w:t>
      </w:r>
      <w:r w:rsidRPr="00D87042">
        <w:rPr>
          <w:rFonts w:eastAsia="Times New Roman"/>
          <w:color w:val="353535"/>
          <w:sz w:val="20"/>
          <w:szCs w:val="20"/>
          <w:lang w:val="en"/>
        </w:rPr>
        <w:t xml:space="preserve">.  Documentation standards include, but are not limited to, the following: </w:t>
      </w:r>
    </w:p>
    <w:p w14:paraId="2A4FC0AB"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A complete health record shall be maintained for each patient who receives direct or indirect health services at an IHS facility or field location, whether as an outpatient, inpatient, contract health patient, community health patient, school student, or emergency patient.</w:t>
      </w:r>
    </w:p>
    <w:p w14:paraId="509F3996"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accreditation or certification standards regarding documentation pertinent to care and treatment records apply to both paper and electronic records.</w:t>
      </w:r>
    </w:p>
    <w:p w14:paraId="077104B0"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The RPMS (including the EHR) or the paper record are mediums for documentation of all patient care activities within the IHS.</w:t>
      </w:r>
    </w:p>
    <w:p w14:paraId="15CD9B92"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Attending providers are ultimately responsible for the accuracy of the health record for each patient under their care. The Clinical Director, or designee (equivalent), has oversight responsibility for health record timeliness, accuracy, and completion.</w:t>
      </w:r>
    </w:p>
    <w:p w14:paraId="0BD5FC65"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Medical staff members and other individuals who have been granted such clinical privilege within their scope of practice must document or authenticate opinions requiring medical judgment.</w:t>
      </w:r>
    </w:p>
    <w:p w14:paraId="2B4065B1"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Health care practitioners must document according to regulatory standards and generally accepted documentation practices for completeness and timeliness.</w:t>
      </w:r>
    </w:p>
    <w:p w14:paraId="6089F737"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Health care practitioners involved in the patient's care must document each event of the patient's care in the health record.</w:t>
      </w:r>
    </w:p>
    <w:p w14:paraId="27DDD080"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 xml:space="preserve">The practitioner who treats the patient is responsible for documenting and authenticating the care provided. </w:t>
      </w:r>
    </w:p>
    <w:p w14:paraId="039477F9"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7" w:name="3-3.8F"/>
      <w:bookmarkEnd w:id="317"/>
      <w:r w:rsidRPr="00D87042">
        <w:rPr>
          <w:rFonts w:eastAsia="Times New Roman"/>
          <w:color w:val="353535"/>
          <w:sz w:val="20"/>
          <w:szCs w:val="20"/>
          <w:u w:val="single"/>
          <w:lang w:val="en"/>
        </w:rPr>
        <w:t>Prompt Documentation</w:t>
      </w:r>
      <w:r w:rsidRPr="00D87042">
        <w:rPr>
          <w:rFonts w:eastAsia="Times New Roman"/>
          <w:color w:val="353535"/>
          <w:sz w:val="20"/>
          <w:szCs w:val="20"/>
          <w:lang w:val="en"/>
        </w:rPr>
        <w:t xml:space="preserve">.  Each clinical event, including history and physical examination (PE), shall be documented as soon as possible after the occurrence and within requirements set by the accreditation and/or certification standards for the type of facility or program.  Health records of discharged or released patients shall be completed as specified in the facility's Medical Staff Bylaws, Rules and Regulations. </w:t>
      </w:r>
    </w:p>
    <w:p w14:paraId="71CB4B25"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u w:val="single"/>
          <w:lang w:val="en"/>
        </w:rPr>
        <w:t>Scope of Documentation</w:t>
      </w:r>
      <w:r w:rsidRPr="00D87042">
        <w:rPr>
          <w:rFonts w:eastAsia="Times New Roman"/>
          <w:color w:val="353535"/>
          <w:sz w:val="20"/>
          <w:szCs w:val="20"/>
          <w:lang w:val="en"/>
        </w:rPr>
        <w:t xml:space="preserve">.  The health record must reflect candid statements but avoid derogatory or critical comments.  Individual employee names are not included in health record documentation unless the purpose is to identify practitioners for continuing care.  Emphasis is placed on relevant day-to-day entries.  Timely entries must be made on appropriate documents following examination and treatment as specified in IHS and facility policies.  Each patient event must include or refer to the following: the chief complaint and/or reason for visit and, as appropriate, relevant history, examination findings and prior diagnostic test results; assessment, clinical impression, or diagnosis; plan for care and date and legible identity of the health care professional; and identification of appropriate risk factors.  The scope of documentation must be organized, complete, and comprehensive enough to: </w:t>
      </w:r>
    </w:p>
    <w:p w14:paraId="1F0EB36B"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provide continuity of care;</w:t>
      </w:r>
    </w:p>
    <w:p w14:paraId="1205D5C8"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reflect all treatment;</w:t>
      </w:r>
    </w:p>
    <w:p w14:paraId="04E71F32"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support health care provider's reported workload; and</w:t>
      </w:r>
    </w:p>
    <w:p w14:paraId="31A463DB"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 xml:space="preserve">support services that are reimbursed by third-party payers. </w:t>
      </w:r>
    </w:p>
    <w:p w14:paraId="0A97A639"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8" w:name="3-3.8G"/>
      <w:bookmarkEnd w:id="318"/>
      <w:r w:rsidRPr="00D87042">
        <w:rPr>
          <w:rFonts w:eastAsia="Times New Roman"/>
          <w:color w:val="353535"/>
          <w:sz w:val="20"/>
          <w:szCs w:val="20"/>
          <w:u w:val="single"/>
          <w:lang w:val="en"/>
        </w:rPr>
        <w:lastRenderedPageBreak/>
        <w:t>Signatures or Authentication</w:t>
      </w:r>
      <w:r w:rsidRPr="00D87042">
        <w:rPr>
          <w:rFonts w:eastAsia="Times New Roman"/>
          <w:color w:val="353535"/>
          <w:sz w:val="20"/>
          <w:szCs w:val="20"/>
          <w:lang w:val="en"/>
        </w:rPr>
        <w:t>.  All entries in the health record shall be dated and authenticated with full signatures.  Also, MD, RN, RPh, or other professional designation shall be included with the signature to indicate essential or basic competencies of the person making an entry.  Entries made by an extern or student shall be countersigned by the physician or other licensed independent practitioner in charge of the care.  Signature stamps with original signature are authorized by the facility and must be kept in the signatory's complete control.  Initials with professional designation may be used by providers for authentication purposes where those initials are readily recognized by other staff and where approved in the record of Medical Staff Executive Committee actions.  A signature file listing must be maintained on all individuals who document in the health record, either electronic or on paper.  See 3-3.5C(10).</w:t>
      </w:r>
    </w:p>
    <w:p w14:paraId="76D08E21"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19" w:name="3-3.8H"/>
      <w:bookmarkEnd w:id="319"/>
      <w:r w:rsidRPr="00D87042">
        <w:rPr>
          <w:rFonts w:eastAsia="Times New Roman"/>
          <w:color w:val="353535"/>
          <w:sz w:val="20"/>
          <w:szCs w:val="20"/>
          <w:u w:val="single"/>
          <w:lang w:val="en"/>
        </w:rPr>
        <w:t>Electronic Signatures</w:t>
      </w:r>
      <w:r w:rsidRPr="00D87042">
        <w:rPr>
          <w:rFonts w:eastAsia="Times New Roman"/>
          <w:color w:val="353535"/>
          <w:sz w:val="20"/>
          <w:szCs w:val="20"/>
          <w:lang w:val="en"/>
        </w:rPr>
        <w:t xml:space="preserve">. </w:t>
      </w:r>
    </w:p>
    <w:p w14:paraId="39E97562" w14:textId="77777777" w:rsidR="005A5AC4" w:rsidRPr="00D87042" w:rsidRDefault="005A5AC4" w:rsidP="004F45B6">
      <w:pPr>
        <w:numPr>
          <w:ilvl w:val="1"/>
          <w:numId w:val="132"/>
        </w:numPr>
        <w:spacing w:before="100" w:beforeAutospacing="1" w:after="100" w:afterAutospacing="1"/>
        <w:ind w:left="1215"/>
        <w:rPr>
          <w:rFonts w:eastAsia="Times New Roman"/>
          <w:color w:val="353535"/>
          <w:sz w:val="20"/>
          <w:szCs w:val="20"/>
          <w:lang w:val="en"/>
        </w:rPr>
      </w:pPr>
      <w:r w:rsidRPr="00D87042">
        <w:rPr>
          <w:rFonts w:eastAsia="Times New Roman"/>
          <w:color w:val="353535"/>
          <w:sz w:val="20"/>
          <w:szCs w:val="20"/>
          <w:lang w:val="en"/>
        </w:rPr>
        <w:t>Electronic signatures may be used for Schedule II drug prescriptions for inpatient prescriptions.</w:t>
      </w:r>
    </w:p>
    <w:p w14:paraId="4C4911EF" w14:textId="77777777" w:rsidR="005A5AC4" w:rsidRPr="00D87042" w:rsidRDefault="005A5AC4" w:rsidP="004F45B6">
      <w:pPr>
        <w:numPr>
          <w:ilvl w:val="1"/>
          <w:numId w:val="132"/>
        </w:numPr>
        <w:spacing w:before="100" w:beforeAutospacing="1" w:after="100" w:afterAutospacing="1"/>
        <w:ind w:left="1215"/>
        <w:rPr>
          <w:rFonts w:eastAsia="Times New Roman"/>
          <w:color w:val="353535"/>
          <w:sz w:val="20"/>
          <w:szCs w:val="20"/>
          <w:lang w:val="en"/>
        </w:rPr>
      </w:pPr>
      <w:r w:rsidRPr="00D87042">
        <w:rPr>
          <w:rFonts w:eastAsia="Times New Roman"/>
          <w:color w:val="353535"/>
          <w:sz w:val="20"/>
          <w:szCs w:val="20"/>
          <w:lang w:val="en"/>
        </w:rPr>
        <w:t xml:space="preserve">Electronic signatures cannot be used for Schedule II out-patient drug prescriptions according to the CFR pursuant to Drug Enforcement Agency (DEA) regulations.  When the DEA permits such electronic authentication, it is permitted in the IHS health records. </w:t>
      </w:r>
    </w:p>
    <w:p w14:paraId="2A41D5CB"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20" w:name="3-3.8I"/>
      <w:bookmarkEnd w:id="320"/>
      <w:r w:rsidRPr="00D87042">
        <w:rPr>
          <w:rFonts w:eastAsia="Times New Roman"/>
          <w:color w:val="353535"/>
          <w:sz w:val="20"/>
          <w:szCs w:val="20"/>
          <w:u w:val="single"/>
          <w:lang w:val="en"/>
        </w:rPr>
        <w:t>Time Frames</w:t>
      </w:r>
      <w:r w:rsidRPr="00D87042">
        <w:rPr>
          <w:rFonts w:eastAsia="Times New Roman"/>
          <w:color w:val="353535"/>
          <w:sz w:val="20"/>
          <w:szCs w:val="20"/>
          <w:lang w:val="en"/>
        </w:rPr>
        <w:t>.  Each entry in the record is completed (including authentication) within the time frames delineated by the facility's Medical Staff Bylaws, Rules and Regulations.  A policy must include guidance on disciplinary action taken when time frames are not met.  When a pertinent entry is missing or not written in a timely manner, a late entry is used to record the information in the health record with a notation giving the reason for the late entry.  The entry of missing documentation or authentication is identified as "late entry" and must note the actual date the event occurred, not the date of documentation.  In the EHR, the date of entry identifies the date the documentation actually occurred.  Physicians and other health care providers must monitor computerized prompts for signature and take appropriate action.</w:t>
      </w:r>
    </w:p>
    <w:p w14:paraId="3AB389AA"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21" w:name="3-3.8J"/>
      <w:bookmarkEnd w:id="321"/>
      <w:r w:rsidRPr="00D87042">
        <w:rPr>
          <w:rFonts w:eastAsia="Times New Roman"/>
          <w:color w:val="353535"/>
          <w:sz w:val="20"/>
          <w:szCs w:val="20"/>
          <w:u w:val="single"/>
          <w:lang w:val="en"/>
        </w:rPr>
        <w:t>Record Content</w:t>
      </w:r>
      <w:r w:rsidRPr="00D87042">
        <w:rPr>
          <w:rFonts w:eastAsia="Times New Roman"/>
          <w:color w:val="353535"/>
          <w:sz w:val="20"/>
          <w:szCs w:val="20"/>
          <w:lang w:val="en"/>
        </w:rPr>
        <w:t>.  Health record content within the IHS will comply with:  Requirements of the accreditation or certification standards for the type of facility or program, requirements for participation in third-party payment programs, and with licensure requirements of the providers or other special programs.</w:t>
      </w:r>
    </w:p>
    <w:p w14:paraId="14B50C16"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22" w:name="3-3.8K"/>
      <w:bookmarkEnd w:id="322"/>
      <w:r w:rsidRPr="00D87042">
        <w:rPr>
          <w:rFonts w:eastAsia="Times New Roman"/>
          <w:color w:val="353535"/>
          <w:sz w:val="20"/>
          <w:szCs w:val="20"/>
          <w:u w:val="single"/>
          <w:lang w:val="en"/>
        </w:rPr>
        <w:t>General Requirements</w:t>
      </w:r>
      <w:r w:rsidRPr="00D87042">
        <w:rPr>
          <w:rFonts w:eastAsia="Times New Roman"/>
          <w:color w:val="353535"/>
          <w:sz w:val="20"/>
          <w:szCs w:val="20"/>
          <w:lang w:val="en"/>
        </w:rPr>
        <w:t xml:space="preserve">.  All written entries shall be made in permanent dark ink that does not soak through and obliterate information to ensure microfilmed or other copy media are legible.  The health record shall contain sufficient information to: </w:t>
      </w:r>
    </w:p>
    <w:p w14:paraId="009D6CDB"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identify the patient;</w:t>
      </w:r>
    </w:p>
    <w:p w14:paraId="3265BE43"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support the diagnoses/treatment</w:t>
      </w:r>
    </w:p>
    <w:p w14:paraId="0440ECBB"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justify the care, treatment, and services provided;</w:t>
      </w:r>
    </w:p>
    <w:p w14:paraId="49C67F7D"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document the course and results of selfcare, treatment, and services provided;</w:t>
      </w:r>
    </w:p>
    <w:p w14:paraId="5F15AD6C"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describe the patient's condition upon release or discharge</w:t>
      </w:r>
    </w:p>
    <w:p w14:paraId="5DAAE3A5"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document instructions to patient regarding follow-up care, self care, home care, activity levels; necessary medications; and</w:t>
      </w:r>
    </w:p>
    <w:p w14:paraId="7FEC21DB"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lang w:val="en"/>
        </w:rPr>
        <w:t xml:space="preserve">document environmental, family, and socioeconomic factors affecting the patient's health. </w:t>
      </w:r>
    </w:p>
    <w:p w14:paraId="20DBC47F" w14:textId="77777777" w:rsidR="005A5AC4" w:rsidRPr="00D87042" w:rsidRDefault="005A5AC4" w:rsidP="004F45B6">
      <w:pPr>
        <w:numPr>
          <w:ilvl w:val="0"/>
          <w:numId w:val="132"/>
        </w:numPr>
        <w:tabs>
          <w:tab w:val="clear" w:pos="720"/>
        </w:tabs>
        <w:spacing w:before="100" w:beforeAutospacing="1" w:after="100" w:afterAutospacing="1"/>
        <w:ind w:left="540"/>
        <w:rPr>
          <w:rFonts w:eastAsia="Times New Roman"/>
          <w:color w:val="353535"/>
          <w:sz w:val="20"/>
          <w:szCs w:val="20"/>
          <w:lang w:val="en"/>
        </w:rPr>
      </w:pPr>
      <w:bookmarkStart w:id="323" w:name="3-3.8L"/>
      <w:bookmarkEnd w:id="323"/>
      <w:r w:rsidRPr="00D87042">
        <w:rPr>
          <w:rFonts w:eastAsia="Times New Roman"/>
          <w:color w:val="353535"/>
          <w:sz w:val="20"/>
          <w:szCs w:val="20"/>
          <w:u w:val="single"/>
          <w:lang w:val="en"/>
        </w:rPr>
        <w:t>Hospital Facilities Health Record Format</w:t>
      </w:r>
      <w:r w:rsidRPr="00D87042">
        <w:rPr>
          <w:rFonts w:eastAsia="Times New Roman"/>
          <w:color w:val="353535"/>
          <w:sz w:val="20"/>
          <w:szCs w:val="20"/>
          <w:lang w:val="en"/>
        </w:rPr>
        <w:t xml:space="preserve">  The patient's identification information and the facility's name must be on each page of the health record.  This standardized IHS format facilitates authorized use of the health record for review or to make entries, and to retrieve patient information for administrative, statistical, and quality assurance purposes. </w:t>
      </w:r>
    </w:p>
    <w:p w14:paraId="2A0E1261" w14:textId="77777777" w:rsidR="005A5AC4" w:rsidRPr="00D87042" w:rsidRDefault="005A5AC4" w:rsidP="004F45B6">
      <w:pPr>
        <w:numPr>
          <w:ilvl w:val="1"/>
          <w:numId w:val="132"/>
        </w:numPr>
        <w:tabs>
          <w:tab w:val="clear" w:pos="1440"/>
        </w:tabs>
        <w:spacing w:before="100" w:beforeAutospacing="1" w:after="100" w:afterAutospacing="1"/>
        <w:ind w:left="1080"/>
        <w:rPr>
          <w:rFonts w:eastAsia="Times New Roman"/>
          <w:color w:val="353535"/>
          <w:sz w:val="20"/>
          <w:szCs w:val="20"/>
          <w:lang w:val="en"/>
        </w:rPr>
      </w:pPr>
      <w:r w:rsidRPr="00D87042">
        <w:rPr>
          <w:rFonts w:eastAsia="Times New Roman"/>
          <w:color w:val="353535"/>
          <w:sz w:val="20"/>
          <w:szCs w:val="20"/>
          <w:u w:val="single"/>
          <w:lang w:val="en"/>
        </w:rPr>
        <w:t>Outpatient Medical Record Format</w:t>
      </w:r>
      <w:r w:rsidRPr="00D87042">
        <w:rPr>
          <w:rFonts w:eastAsia="Times New Roman"/>
          <w:color w:val="353535"/>
          <w:sz w:val="20"/>
          <w:szCs w:val="20"/>
          <w:lang w:val="en"/>
        </w:rPr>
        <w:t xml:space="preserve">.  (Left side of medical record folder): </w:t>
      </w:r>
    </w:p>
    <w:p w14:paraId="78E3EFB2"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PCC Health Summary</w:t>
      </w:r>
    </w:p>
    <w:p w14:paraId="5B6F8569"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Medication profile</w:t>
      </w:r>
    </w:p>
    <w:p w14:paraId="605DEFD3"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Chronic Medication Report or RPMS Chronic Medication List</w:t>
      </w:r>
    </w:p>
    <w:p w14:paraId="0EC653F6"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Ambulatory Care Record Brief</w:t>
      </w:r>
    </w:p>
    <w:p w14:paraId="698FC3D4" w14:textId="77777777" w:rsidR="005A5AC4" w:rsidRPr="00D87042" w:rsidRDefault="005A5AC4" w:rsidP="004F45B6">
      <w:pPr>
        <w:numPr>
          <w:ilvl w:val="2"/>
          <w:numId w:val="132"/>
        </w:numPr>
        <w:spacing w:before="100" w:beforeAutospacing="1" w:after="100" w:afterAutospacing="1"/>
        <w:ind w:left="1620"/>
        <w:rPr>
          <w:rFonts w:eastAsia="Times New Roman"/>
          <w:color w:val="353535"/>
          <w:sz w:val="20"/>
          <w:szCs w:val="20"/>
          <w:lang w:val="en"/>
        </w:rPr>
      </w:pPr>
      <w:r w:rsidRPr="00D87042">
        <w:rPr>
          <w:rFonts w:eastAsia="Times New Roman"/>
          <w:color w:val="353535"/>
          <w:sz w:val="20"/>
          <w:szCs w:val="20"/>
          <w:lang w:val="en"/>
        </w:rPr>
        <w:t>PCC Encounter Record form (IHS-803) and other PCC forms (most recent visit date on top)</w:t>
      </w:r>
    </w:p>
    <w:p w14:paraId="4B589673" w14:textId="11D72ED4" w:rsidR="005A5AC4" w:rsidRPr="00317BC6" w:rsidRDefault="005A5AC4" w:rsidP="000D7FFC">
      <w:pPr>
        <w:keepNext/>
        <w:spacing w:before="100" w:beforeAutospacing="1" w:after="100" w:afterAutospacing="1"/>
        <w:rPr>
          <w:rFonts w:eastAsia="Times New Roman"/>
          <w:b/>
          <w:bCs/>
          <w:color w:val="353535"/>
          <w:sz w:val="20"/>
          <w:szCs w:val="20"/>
          <w:lang w:val="en"/>
        </w:rPr>
      </w:pPr>
      <w:r w:rsidRPr="00317BC6">
        <w:rPr>
          <w:rFonts w:eastAsia="Times New Roman"/>
          <w:b/>
          <w:bCs/>
          <w:color w:val="353535"/>
          <w:sz w:val="20"/>
          <w:szCs w:val="20"/>
          <w:lang w:val="en"/>
        </w:rPr>
        <w:lastRenderedPageBreak/>
        <w:t>3-3.9 ELECTRONIC HEALTH RECORD PRINCIPLES</w:t>
      </w:r>
    </w:p>
    <w:p w14:paraId="20908BFA" w14:textId="77777777" w:rsidR="005A5AC4" w:rsidRPr="00005608" w:rsidRDefault="005A5AC4" w:rsidP="004F45B6">
      <w:pPr>
        <w:numPr>
          <w:ilvl w:val="0"/>
          <w:numId w:val="119"/>
        </w:numPr>
        <w:tabs>
          <w:tab w:val="clear" w:pos="720"/>
        </w:tabs>
        <w:spacing w:before="100" w:beforeAutospacing="1" w:after="100" w:afterAutospacing="1"/>
        <w:ind w:left="540"/>
        <w:rPr>
          <w:rFonts w:eastAsia="Times New Roman"/>
          <w:color w:val="353535"/>
          <w:sz w:val="20"/>
          <w:szCs w:val="20"/>
          <w:lang w:val="en"/>
        </w:rPr>
      </w:pPr>
      <w:bookmarkStart w:id="324" w:name="3-3.9A"/>
      <w:bookmarkEnd w:id="324"/>
      <w:r w:rsidRPr="00005608">
        <w:rPr>
          <w:rFonts w:eastAsia="Times New Roman"/>
          <w:color w:val="353535"/>
          <w:sz w:val="20"/>
          <w:szCs w:val="20"/>
          <w:u w:val="single"/>
          <w:lang w:val="en"/>
        </w:rPr>
        <w:t>General</w:t>
      </w:r>
      <w:r w:rsidRPr="00005608">
        <w:rPr>
          <w:rFonts w:eastAsia="Times New Roman"/>
          <w:color w:val="353535"/>
          <w:sz w:val="20"/>
          <w:szCs w:val="20"/>
          <w:lang w:val="en"/>
        </w:rPr>
        <w:t xml:space="preserve">.  The RPMS EHR is intended to help providers electronically manage all aspects of patient care by providing a full range of functions for data retrieval and capture to support patient review, encounter, and follow-up. By moving data retrieval and documentation activities to the electronic environment, patient care activities and access to the record can occur simultaneously at multiple locations eliminating the need to depend on the availability of a paper chart. </w:t>
      </w:r>
    </w:p>
    <w:p w14:paraId="6456B342" w14:textId="77777777" w:rsidR="005A5AC4" w:rsidRPr="00005608" w:rsidRDefault="005A5AC4" w:rsidP="00317BC6">
      <w:pPr>
        <w:spacing w:before="100" w:beforeAutospacing="1" w:after="100" w:afterAutospacing="1"/>
        <w:ind w:left="540"/>
        <w:rPr>
          <w:rFonts w:eastAsia="Times New Roman"/>
          <w:color w:val="353535"/>
          <w:sz w:val="20"/>
          <w:szCs w:val="20"/>
          <w:lang w:val="en"/>
        </w:rPr>
      </w:pPr>
      <w:r w:rsidRPr="00005608">
        <w:rPr>
          <w:rFonts w:eastAsia="Times New Roman"/>
          <w:color w:val="353535"/>
          <w:sz w:val="20"/>
          <w:szCs w:val="20"/>
          <w:lang w:val="en"/>
        </w:rPr>
        <w:t>The RPMS EHR combines the powerful database capabilities of the RPMS with a familiar and comfortable presentation layer, the graphical user interface (GUI).  Integration of various RPMS components into the GUI allows providers to obtain a more comprehensive view of the clinical process.  Also integrated into the RPMS EHR is VistA Imaging which allows the collection, storage, and display of radiologic images, electrocardiograph tracings, imaging from other sources, and document scanning.</w:t>
      </w:r>
    </w:p>
    <w:p w14:paraId="6D27E914" w14:textId="77777777" w:rsidR="005A5AC4" w:rsidRPr="00005608" w:rsidRDefault="005A5AC4" w:rsidP="00317BC6">
      <w:pPr>
        <w:spacing w:before="100" w:beforeAutospacing="1" w:after="100" w:afterAutospacing="1"/>
        <w:ind w:left="540"/>
        <w:rPr>
          <w:rFonts w:eastAsia="Times New Roman"/>
          <w:color w:val="353535"/>
          <w:sz w:val="20"/>
          <w:szCs w:val="20"/>
          <w:lang w:val="en"/>
        </w:rPr>
      </w:pPr>
      <w:r w:rsidRPr="00005608">
        <w:rPr>
          <w:rFonts w:eastAsia="Times New Roman"/>
          <w:color w:val="353535"/>
          <w:sz w:val="20"/>
          <w:szCs w:val="20"/>
          <w:lang w:val="en"/>
        </w:rPr>
        <w:t>As technology allows, all patient care documentation must be stored in the health information infrastructure via (a) direct data entry using RPMS and/or EHR, (b) Text Integration Utility (TIU), (c) VistA Imaging (or other VistA interfaces that facilitate dictation, transcription, uploading documents, voice recognition, document scanning), and (d) other technologies deemed appropriate by IHS.</w:t>
      </w:r>
    </w:p>
    <w:p w14:paraId="2F259901" w14:textId="77777777" w:rsidR="005A5AC4" w:rsidRPr="00005608" w:rsidRDefault="005A5AC4" w:rsidP="004F45B6">
      <w:pPr>
        <w:numPr>
          <w:ilvl w:val="0"/>
          <w:numId w:val="119"/>
        </w:numPr>
        <w:tabs>
          <w:tab w:val="clear" w:pos="720"/>
        </w:tabs>
        <w:spacing w:after="0"/>
        <w:ind w:left="540"/>
        <w:rPr>
          <w:rFonts w:eastAsia="Times New Roman"/>
          <w:color w:val="353535"/>
          <w:sz w:val="20"/>
          <w:szCs w:val="20"/>
          <w:lang w:val="en"/>
        </w:rPr>
      </w:pPr>
      <w:bookmarkStart w:id="325" w:name="3-3.9B"/>
      <w:bookmarkEnd w:id="325"/>
      <w:r w:rsidRPr="00005608">
        <w:rPr>
          <w:rFonts w:eastAsia="Times New Roman"/>
          <w:color w:val="353535"/>
          <w:sz w:val="20"/>
          <w:szCs w:val="20"/>
          <w:u w:val="single"/>
          <w:lang w:val="en"/>
        </w:rPr>
        <w:t>Health Record Creation</w:t>
      </w:r>
      <w:r w:rsidRPr="00005608">
        <w:rPr>
          <w:rFonts w:eastAsia="Times New Roman"/>
          <w:color w:val="353535"/>
          <w:sz w:val="20"/>
          <w:szCs w:val="20"/>
          <w:lang w:val="en"/>
        </w:rPr>
        <w:t>.  A separate, unique health record is created and maintained for every individual assessed and treated by the IHS, as well as those receiving community ancillary care by the IHS, such as visits by Public Health Nurses, e.g., home visits, health fairs, etc. Printing and filing paper documents from electronic media for active records is not required.</w:t>
      </w:r>
    </w:p>
    <w:p w14:paraId="506B9534" w14:textId="77777777" w:rsidR="005A5AC4" w:rsidRPr="005E6202" w:rsidRDefault="005A5AC4" w:rsidP="00317BC6">
      <w:pPr>
        <w:ind w:left="540"/>
        <w:rPr>
          <w:rFonts w:eastAsia="Times New Roman"/>
          <w:color w:val="353535"/>
          <w:sz w:val="20"/>
          <w:szCs w:val="20"/>
          <w:lang w:val="en"/>
        </w:rPr>
      </w:pPr>
      <w:bookmarkStart w:id="326" w:name="3-3.9C"/>
      <w:bookmarkEnd w:id="326"/>
    </w:p>
    <w:p w14:paraId="4A47BD90" w14:textId="77777777" w:rsidR="005A5AC4" w:rsidRPr="00005608" w:rsidRDefault="005A5AC4" w:rsidP="004F45B6">
      <w:pPr>
        <w:numPr>
          <w:ilvl w:val="0"/>
          <w:numId w:val="119"/>
        </w:numPr>
        <w:tabs>
          <w:tab w:val="clear" w:pos="720"/>
        </w:tabs>
        <w:spacing w:after="0"/>
        <w:ind w:left="540"/>
        <w:rPr>
          <w:rFonts w:eastAsia="Times New Roman"/>
          <w:color w:val="353535"/>
          <w:sz w:val="20"/>
          <w:szCs w:val="20"/>
          <w:lang w:val="en"/>
        </w:rPr>
      </w:pPr>
      <w:r w:rsidRPr="00005608">
        <w:rPr>
          <w:rFonts w:eastAsia="Times New Roman"/>
          <w:color w:val="353535"/>
          <w:sz w:val="20"/>
          <w:szCs w:val="20"/>
          <w:u w:val="single"/>
          <w:lang w:val="en"/>
        </w:rPr>
        <w:t>Electronic Notes Standards</w:t>
      </w:r>
      <w:r w:rsidRPr="00005608">
        <w:rPr>
          <w:rFonts w:eastAsia="Times New Roman"/>
          <w:color w:val="353535"/>
          <w:sz w:val="20"/>
          <w:szCs w:val="20"/>
          <w:lang w:val="en"/>
        </w:rPr>
        <w:t xml:space="preserve">.  Electronically stored patient information is subject to the same medical and legal requirements as the hand-written information in the paper health record.  Entries must be accurate, relevant, timely, and complete. </w:t>
      </w:r>
    </w:p>
    <w:p w14:paraId="3D4016B4" w14:textId="77777777" w:rsidR="005A5AC4" w:rsidRPr="00005608" w:rsidRDefault="005A5AC4" w:rsidP="00317BC6">
      <w:pPr>
        <w:ind w:left="540"/>
        <w:rPr>
          <w:rFonts w:eastAsia="Times New Roman"/>
          <w:color w:val="353535"/>
          <w:sz w:val="20"/>
          <w:szCs w:val="20"/>
          <w:lang w:val="en"/>
        </w:rPr>
      </w:pPr>
      <w:r w:rsidRPr="00005608">
        <w:rPr>
          <w:rFonts w:eastAsia="Times New Roman"/>
          <w:color w:val="353535"/>
          <w:sz w:val="20"/>
          <w:szCs w:val="20"/>
          <w:lang w:val="en"/>
        </w:rPr>
        <w:t>Viewing unsigned notes is not allowed because current technology does not provide an audit trail of the note status.  Viewing unsigned notes poses a risk of clinical decision-making based on data that may be revised or deleted.  However, limited access to unsigned notes may be determined by local policy.</w:t>
      </w:r>
    </w:p>
    <w:p w14:paraId="5EB3C59D" w14:textId="77777777" w:rsidR="005A5AC4" w:rsidRPr="00005608" w:rsidRDefault="005A5AC4" w:rsidP="00317BC6">
      <w:pPr>
        <w:ind w:left="540"/>
        <w:rPr>
          <w:rFonts w:eastAsia="Times New Roman"/>
          <w:color w:val="353535"/>
          <w:sz w:val="20"/>
          <w:szCs w:val="20"/>
          <w:lang w:val="en"/>
        </w:rPr>
      </w:pPr>
      <w:r w:rsidRPr="00005608">
        <w:rPr>
          <w:rFonts w:eastAsia="Times New Roman"/>
          <w:color w:val="353535"/>
          <w:sz w:val="20"/>
          <w:szCs w:val="20"/>
          <w:lang w:val="en"/>
        </w:rPr>
        <w:t>Approved templates may be provided to complete the note text.  Standardized note titles facilitate retrieval of specific patient information.  Issues regarding note title standardization are part of the health record review function.  Appropriate note titles must match note content and the credentials of the author to enhance the ability to find a note quickly and easily.  Notes must be reviewed and signed promptly, as defined by facility policy.</w:t>
      </w:r>
    </w:p>
    <w:p w14:paraId="31B10A27" w14:textId="77777777" w:rsidR="005A5AC4" w:rsidRPr="00005608" w:rsidRDefault="005A5AC4" w:rsidP="004F45B6">
      <w:pPr>
        <w:numPr>
          <w:ilvl w:val="0"/>
          <w:numId w:val="119"/>
        </w:numPr>
        <w:tabs>
          <w:tab w:val="clear" w:pos="720"/>
        </w:tabs>
        <w:spacing w:after="0"/>
        <w:ind w:left="540"/>
        <w:rPr>
          <w:rFonts w:eastAsia="Times New Roman"/>
          <w:color w:val="353535"/>
          <w:sz w:val="20"/>
          <w:szCs w:val="20"/>
          <w:lang w:val="en"/>
        </w:rPr>
      </w:pPr>
      <w:bookmarkStart w:id="327" w:name="3-3.9D"/>
      <w:bookmarkEnd w:id="327"/>
      <w:r w:rsidRPr="00005608">
        <w:rPr>
          <w:rFonts w:eastAsia="Times New Roman"/>
          <w:color w:val="353535"/>
          <w:sz w:val="20"/>
          <w:szCs w:val="20"/>
          <w:u w:val="single"/>
          <w:lang w:val="en"/>
        </w:rPr>
        <w:t>Copy and Paste Functions</w:t>
      </w:r>
      <w:r w:rsidRPr="00005608">
        <w:rPr>
          <w:rFonts w:eastAsia="Times New Roman"/>
          <w:color w:val="353535"/>
          <w:sz w:val="20"/>
          <w:szCs w:val="20"/>
          <w:lang w:val="en"/>
        </w:rPr>
        <w:t>.  The electronic copy and paste function is a powerful tool; however, this functionality must be used with caution and according to strict enforceable policy.  Each facility must develop a policy that ensures the elimination and/or judicious use of this electronic function.</w:t>
      </w:r>
    </w:p>
    <w:p w14:paraId="6FDF4625" w14:textId="77777777" w:rsidR="005A5AC4" w:rsidRPr="00005608" w:rsidRDefault="005A5AC4" w:rsidP="004F45B6">
      <w:pPr>
        <w:numPr>
          <w:ilvl w:val="0"/>
          <w:numId w:val="119"/>
        </w:numPr>
        <w:tabs>
          <w:tab w:val="clear" w:pos="720"/>
        </w:tabs>
        <w:spacing w:after="0"/>
        <w:ind w:left="540"/>
        <w:rPr>
          <w:rFonts w:eastAsia="Times New Roman"/>
          <w:color w:val="353535"/>
          <w:sz w:val="20"/>
          <w:szCs w:val="20"/>
          <w:lang w:val="en"/>
        </w:rPr>
      </w:pPr>
      <w:bookmarkStart w:id="328" w:name="3-3.9E"/>
      <w:bookmarkEnd w:id="328"/>
      <w:r w:rsidRPr="00005608">
        <w:rPr>
          <w:rFonts w:eastAsia="Times New Roman"/>
          <w:color w:val="353535"/>
          <w:sz w:val="20"/>
          <w:szCs w:val="20"/>
          <w:u w:val="single"/>
          <w:lang w:val="en"/>
        </w:rPr>
        <w:t>Clinical Postings</w:t>
      </w:r>
      <w:r w:rsidRPr="00005608">
        <w:rPr>
          <w:rFonts w:eastAsia="Times New Roman"/>
          <w:color w:val="353535"/>
          <w:sz w:val="20"/>
          <w:szCs w:val="20"/>
          <w:lang w:val="en"/>
        </w:rPr>
        <w:t>.  Postings consist of crisis notes, clinical warnings, patient allergies, and advance directives.  Postings are entered with an appropriately titled progress note and, if unsigned, may be rescinded by changing the note title.</w:t>
      </w:r>
    </w:p>
    <w:p w14:paraId="6392DA52" w14:textId="77777777" w:rsidR="005A5AC4" w:rsidRPr="00005608" w:rsidRDefault="005A5AC4" w:rsidP="004F45B6">
      <w:pPr>
        <w:numPr>
          <w:ilvl w:val="0"/>
          <w:numId w:val="119"/>
        </w:numPr>
        <w:tabs>
          <w:tab w:val="clear" w:pos="720"/>
        </w:tabs>
        <w:spacing w:after="0"/>
        <w:ind w:left="540"/>
        <w:rPr>
          <w:rFonts w:eastAsia="Times New Roman"/>
          <w:color w:val="353535"/>
          <w:sz w:val="20"/>
          <w:szCs w:val="20"/>
          <w:lang w:val="en"/>
        </w:rPr>
      </w:pPr>
      <w:bookmarkStart w:id="329" w:name="3-3.9F"/>
      <w:bookmarkEnd w:id="329"/>
      <w:r w:rsidRPr="00005608">
        <w:rPr>
          <w:rFonts w:eastAsia="Times New Roman"/>
          <w:color w:val="353535"/>
          <w:sz w:val="20"/>
          <w:szCs w:val="20"/>
          <w:u w:val="single"/>
          <w:lang w:val="en"/>
        </w:rPr>
        <w:t>Clinical Reminder</w:t>
      </w:r>
      <w:r w:rsidRPr="00005608">
        <w:rPr>
          <w:rFonts w:eastAsia="Times New Roman"/>
          <w:color w:val="353535"/>
          <w:sz w:val="20"/>
          <w:szCs w:val="20"/>
          <w:lang w:val="en"/>
        </w:rPr>
        <w:t>.  Clinical reminders are a clinical decision support tool to assist health care staff, but are not part of the clinical record.  The reminders are recommendations based on clinical and administrative policy, and are always to be interpreted within the context of the practitioner's knowledge of the patient.  If an inappropriate clinical reminder is triggered due to an improper code selection, corrections must be made based on facility policy.</w:t>
      </w:r>
    </w:p>
    <w:p w14:paraId="13CE76C0" w14:textId="77777777" w:rsidR="005A5AC4" w:rsidRPr="00005608" w:rsidRDefault="005A5AC4" w:rsidP="004F45B6">
      <w:pPr>
        <w:numPr>
          <w:ilvl w:val="0"/>
          <w:numId w:val="119"/>
        </w:numPr>
        <w:tabs>
          <w:tab w:val="clear" w:pos="720"/>
        </w:tabs>
        <w:spacing w:before="100" w:beforeAutospacing="1" w:after="100" w:afterAutospacing="1"/>
        <w:ind w:left="540"/>
        <w:rPr>
          <w:rFonts w:eastAsia="Times New Roman"/>
          <w:color w:val="353535"/>
          <w:sz w:val="20"/>
          <w:szCs w:val="20"/>
          <w:lang w:val="en"/>
        </w:rPr>
      </w:pPr>
      <w:bookmarkStart w:id="330" w:name="3-3.9G"/>
      <w:bookmarkEnd w:id="330"/>
      <w:r w:rsidRPr="00005608">
        <w:rPr>
          <w:rFonts w:eastAsia="Times New Roman"/>
          <w:color w:val="353535"/>
          <w:sz w:val="20"/>
          <w:szCs w:val="20"/>
          <w:u w:val="single"/>
          <w:lang w:val="en"/>
        </w:rPr>
        <w:t>Patient Flags</w:t>
      </w:r>
      <w:r w:rsidRPr="00005608">
        <w:rPr>
          <w:rFonts w:eastAsia="Times New Roman"/>
          <w:color w:val="353535"/>
          <w:sz w:val="20"/>
          <w:szCs w:val="20"/>
          <w:lang w:val="en"/>
        </w:rPr>
        <w:t>.  Patient Flags can be setup in the RPMS and added to a patient's record to notify the health care provider of a specific medical condition or situation.  The flags are removed when the patient's condition or situation is resolved.</w:t>
      </w:r>
    </w:p>
    <w:p w14:paraId="72AE59FF" w14:textId="77777777" w:rsidR="005A5AC4" w:rsidRPr="00005608" w:rsidRDefault="005A5AC4" w:rsidP="004F45B6">
      <w:pPr>
        <w:numPr>
          <w:ilvl w:val="0"/>
          <w:numId w:val="119"/>
        </w:numPr>
        <w:tabs>
          <w:tab w:val="clear" w:pos="720"/>
        </w:tabs>
        <w:spacing w:before="100" w:beforeAutospacing="1" w:after="100" w:afterAutospacing="1"/>
        <w:ind w:left="540"/>
        <w:rPr>
          <w:rFonts w:eastAsia="Times New Roman"/>
          <w:color w:val="353535"/>
          <w:sz w:val="20"/>
          <w:szCs w:val="20"/>
          <w:lang w:val="en"/>
        </w:rPr>
      </w:pPr>
      <w:bookmarkStart w:id="331" w:name="3-3.9H"/>
      <w:bookmarkEnd w:id="331"/>
      <w:r w:rsidRPr="00005608">
        <w:rPr>
          <w:rFonts w:eastAsia="Times New Roman"/>
          <w:color w:val="353535"/>
          <w:sz w:val="20"/>
          <w:szCs w:val="20"/>
          <w:u w:val="single"/>
          <w:lang w:val="en"/>
        </w:rPr>
        <w:lastRenderedPageBreak/>
        <w:t>Electronic Signatures</w:t>
      </w:r>
      <w:r w:rsidRPr="00005608">
        <w:rPr>
          <w:rFonts w:eastAsia="Times New Roman"/>
          <w:color w:val="353535"/>
          <w:sz w:val="20"/>
          <w:szCs w:val="20"/>
          <w:lang w:val="en"/>
        </w:rPr>
        <w:t xml:space="preserve">.  Facility policy must provide adequate security measures to identify users (authors) who document in the health record by verifying the authenticity of electronic signatures.  Authors are responsible for the sole use of their electronic signature. </w:t>
      </w:r>
    </w:p>
    <w:p w14:paraId="25BF78F6" w14:textId="77777777" w:rsidR="005A5AC4" w:rsidRPr="00005608" w:rsidRDefault="005A5AC4" w:rsidP="004F45B6">
      <w:pPr>
        <w:numPr>
          <w:ilvl w:val="1"/>
          <w:numId w:val="119"/>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lang w:val="en"/>
        </w:rPr>
        <w:t>Authentication includes the identity and professional discipline of the author, and the date and time a document is signed.  Notes made and authenticated by health care team members must be individually identified either by the use of the individual's title or by appropriate professional credential designation.  Once affixed, authentication of electronic documents cannot be rescinded or repudiated.</w:t>
      </w:r>
    </w:p>
    <w:p w14:paraId="3D902971" w14:textId="77777777" w:rsidR="005A5AC4" w:rsidRPr="00005608" w:rsidRDefault="005A5AC4" w:rsidP="004F45B6">
      <w:pPr>
        <w:numPr>
          <w:ilvl w:val="1"/>
          <w:numId w:val="119"/>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lang w:val="en"/>
        </w:rPr>
        <w:t>No editing or alteration of any documentation with a manual or electronic signature is permitted without approval of the Chief, Medical Information Services, or HIM Director.</w:t>
      </w:r>
    </w:p>
    <w:p w14:paraId="5E92B71B" w14:textId="77777777" w:rsidR="005A5AC4" w:rsidRPr="00005608" w:rsidRDefault="005A5AC4" w:rsidP="004F45B6">
      <w:pPr>
        <w:numPr>
          <w:ilvl w:val="1"/>
          <w:numId w:val="119"/>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lang w:val="en"/>
        </w:rPr>
        <w:t xml:space="preserve">An electronic document in the health record may have more than one signature because each has a distinct and separate purpose depending on the role of the signer.  For example, the signers may include the author, transcriptionist/recorder, supervising practitioner, or witness. </w:t>
      </w:r>
    </w:p>
    <w:p w14:paraId="3D876598" w14:textId="77777777" w:rsidR="005A5AC4" w:rsidRPr="00005608" w:rsidRDefault="005A5AC4" w:rsidP="004F45B6">
      <w:pPr>
        <w:numPr>
          <w:ilvl w:val="0"/>
          <w:numId w:val="119"/>
        </w:numPr>
        <w:tabs>
          <w:tab w:val="clear" w:pos="720"/>
        </w:tabs>
        <w:spacing w:before="100" w:beforeAutospacing="1" w:after="100" w:afterAutospacing="1"/>
        <w:ind w:left="540"/>
        <w:rPr>
          <w:rFonts w:eastAsia="Times New Roman"/>
          <w:color w:val="353535"/>
          <w:sz w:val="20"/>
          <w:szCs w:val="20"/>
          <w:lang w:val="en"/>
        </w:rPr>
      </w:pPr>
      <w:bookmarkStart w:id="332" w:name="3-3.9I"/>
      <w:bookmarkEnd w:id="332"/>
      <w:r w:rsidRPr="00005608">
        <w:rPr>
          <w:rFonts w:eastAsia="Times New Roman"/>
          <w:color w:val="353535"/>
          <w:sz w:val="20"/>
          <w:szCs w:val="20"/>
          <w:u w:val="single"/>
          <w:lang w:val="en"/>
        </w:rPr>
        <w:t>Document Scanning</w:t>
      </w:r>
      <w:r w:rsidRPr="00005608">
        <w:rPr>
          <w:rFonts w:eastAsia="Times New Roman"/>
          <w:color w:val="353535"/>
          <w:sz w:val="20"/>
          <w:szCs w:val="20"/>
          <w:lang w:val="en"/>
        </w:rPr>
        <w:t>.  Scanning, or imaging, is a process of converting a paper document to an electronic file.  Scanned documents may be linked to TIU documents and displayed with the TIU document.  Scanned documents do not require an electronic signature but are marked administratively complete.  Only those documents that cannot be created in or interfaced with the EHR will be scanned.  Development of document scanning policies is a shared responsibility among facility HIMs and other appropriate services.</w:t>
      </w:r>
    </w:p>
    <w:p w14:paraId="0E514972" w14:textId="77777777" w:rsidR="005A5AC4" w:rsidRDefault="005A5AC4" w:rsidP="004F45B6">
      <w:pPr>
        <w:numPr>
          <w:ilvl w:val="0"/>
          <w:numId w:val="119"/>
        </w:numPr>
        <w:tabs>
          <w:tab w:val="clear" w:pos="720"/>
        </w:tabs>
        <w:spacing w:before="100" w:beforeAutospacing="1" w:after="100" w:afterAutospacing="1"/>
        <w:ind w:left="540"/>
        <w:rPr>
          <w:rFonts w:eastAsia="Times New Roman"/>
          <w:color w:val="353535"/>
          <w:sz w:val="20"/>
          <w:szCs w:val="20"/>
          <w:lang w:val="en"/>
        </w:rPr>
      </w:pPr>
      <w:bookmarkStart w:id="333" w:name="3-3.9J"/>
      <w:bookmarkEnd w:id="333"/>
      <w:r w:rsidRPr="00005608">
        <w:rPr>
          <w:rFonts w:eastAsia="Times New Roman"/>
          <w:color w:val="353535"/>
          <w:sz w:val="20"/>
          <w:szCs w:val="20"/>
          <w:u w:val="single"/>
          <w:lang w:val="en"/>
        </w:rPr>
        <w:t>Health Record Alterations and Modification</w:t>
      </w:r>
      <w:r w:rsidRPr="00005608">
        <w:rPr>
          <w:rFonts w:eastAsia="Times New Roman"/>
          <w:color w:val="353535"/>
          <w:sz w:val="20"/>
          <w:szCs w:val="20"/>
          <w:lang w:val="en"/>
        </w:rPr>
        <w:t xml:space="preserve">.  Electronic progress notes, operative reports, and discharge summaries are occasionally entered by practitioners in the TIU and the EHR software for the wrong patients, or the information within the document(s) may be erroneous.  A local procedure, </w:t>
      </w:r>
      <w:hyperlink r:id="rId86" w:tgtFrame="_blank" w:history="1">
        <w:r w:rsidRPr="00005608">
          <w:rPr>
            <w:rFonts w:eastAsia="Times New Roman"/>
            <w:color w:val="0000FF"/>
            <w:sz w:val="20"/>
            <w:szCs w:val="20"/>
            <w:u w:val="single"/>
            <w:lang w:val="en"/>
          </w:rPr>
          <w:t>following the EHR for HIM Guide found at here</w:t>
        </w:r>
      </w:hyperlink>
      <w:r w:rsidRPr="00005608">
        <w:rPr>
          <w:rFonts w:eastAsia="Times New Roman"/>
          <w:color w:val="353535"/>
          <w:sz w:val="20"/>
          <w:szCs w:val="20"/>
          <w:lang w:val="en"/>
        </w:rPr>
        <w:t xml:space="preserve">, must be established for correcting erroneous patient information entered electronically.  It is the responsibility of the HIM to ensure there is a process in place to correct erroneous health record information.  (Refer to Manual Exhibit 3-3-A Comparison of Update, Administrative Correction, Addenda, and Amendment Requests.) </w:t>
      </w:r>
    </w:p>
    <w:p w14:paraId="5F7B49FE" w14:textId="49EB8578" w:rsidR="005A5AC4" w:rsidRPr="00317BC6" w:rsidRDefault="005A5AC4" w:rsidP="005A5AC4">
      <w:pPr>
        <w:pStyle w:val="NormalWeb"/>
        <w:rPr>
          <w:rFonts w:ascii="Arial" w:hAnsi="Arial" w:cs="Arial"/>
          <w:b/>
          <w:bCs/>
          <w:color w:val="353535"/>
          <w:sz w:val="20"/>
          <w:szCs w:val="20"/>
          <w:lang w:val="en"/>
        </w:rPr>
      </w:pPr>
      <w:bookmarkStart w:id="334" w:name="3-3.10"/>
      <w:bookmarkEnd w:id="334"/>
      <w:r w:rsidRPr="00317BC6">
        <w:rPr>
          <w:rFonts w:ascii="Arial" w:hAnsi="Arial" w:cs="Arial"/>
          <w:b/>
          <w:bCs/>
          <w:color w:val="353535"/>
          <w:sz w:val="20"/>
          <w:szCs w:val="20"/>
          <w:lang w:val="en"/>
        </w:rPr>
        <w:t>3-3.10 INTERDEPARTMENTAL RESPONSIBILITIES</w:t>
      </w:r>
    </w:p>
    <w:p w14:paraId="17D27C3A" w14:textId="77777777" w:rsidR="005A5AC4" w:rsidRDefault="005A5AC4" w:rsidP="005A5AC4">
      <w:pPr>
        <w:pStyle w:val="NormalWeb"/>
        <w:rPr>
          <w:rFonts w:ascii="Arial" w:hAnsi="Arial" w:cs="Arial"/>
          <w:color w:val="353535"/>
          <w:sz w:val="20"/>
          <w:szCs w:val="20"/>
          <w:lang w:val="en"/>
        </w:rPr>
      </w:pPr>
      <w:r>
        <w:rPr>
          <w:rFonts w:ascii="Arial" w:hAnsi="Arial" w:cs="Arial"/>
          <w:color w:val="353535"/>
          <w:sz w:val="20"/>
          <w:szCs w:val="20"/>
          <w:lang w:val="en"/>
        </w:rPr>
        <w:t>This section defines for the responsibilities of the medical staff, nursing service, CEO, Privacy Act Liaison (PAL)/Privacy Official (PO), dental, pharmacy, behavioral health, nutrition/dietetics, optometry/ophthalmology, and committees.</w:t>
      </w:r>
    </w:p>
    <w:p w14:paraId="3FDB9682" w14:textId="24D1F0D4" w:rsidR="005A5AC4" w:rsidRDefault="005A5AC4" w:rsidP="004F45B6">
      <w:pPr>
        <w:pStyle w:val="ListParagraph"/>
        <w:widowControl/>
        <w:numPr>
          <w:ilvl w:val="0"/>
          <w:numId w:val="120"/>
        </w:numPr>
        <w:autoSpaceDE/>
        <w:autoSpaceDN/>
        <w:spacing w:before="0" w:after="160" w:line="259" w:lineRule="auto"/>
        <w:ind w:left="540"/>
        <w:contextualSpacing/>
      </w:pPr>
      <w:r w:rsidRPr="00005608">
        <w:rPr>
          <w:rFonts w:cs="Arial"/>
          <w:color w:val="353535"/>
          <w:sz w:val="20"/>
          <w:szCs w:val="20"/>
          <w:u w:val="single"/>
          <w:lang w:val="en"/>
        </w:rPr>
        <w:t>Dental</w:t>
      </w:r>
      <w:r w:rsidRPr="00005608">
        <w:rPr>
          <w:rFonts w:cs="Arial"/>
          <w:color w:val="353535"/>
          <w:sz w:val="20"/>
          <w:szCs w:val="20"/>
          <w:lang w:val="en"/>
        </w:rPr>
        <w:t>.  Dental is responsible for compliance with their own standards regarding dental outpatient documentation.  Dental film (X-ray) in the record must be removed prior to the retirement of the record to the FRC.  (Refer to the IHS Records Disposition Schedule, Professional Services, Section 2, Dental Services.)</w:t>
      </w:r>
    </w:p>
    <w:p w14:paraId="6629E2A6" w14:textId="2510C006" w:rsidR="005A5AC4" w:rsidRPr="00317BC6" w:rsidRDefault="005A5AC4" w:rsidP="005A5AC4">
      <w:pPr>
        <w:spacing w:before="100" w:beforeAutospacing="1" w:after="100" w:afterAutospacing="1"/>
        <w:rPr>
          <w:rFonts w:eastAsia="Times New Roman"/>
          <w:b/>
          <w:bCs/>
          <w:color w:val="353535"/>
          <w:sz w:val="20"/>
          <w:szCs w:val="20"/>
          <w:lang w:val="en"/>
        </w:rPr>
      </w:pPr>
      <w:bookmarkStart w:id="335" w:name="3-3.11"/>
      <w:bookmarkEnd w:id="335"/>
      <w:r w:rsidRPr="00317BC6">
        <w:rPr>
          <w:rFonts w:eastAsia="Times New Roman"/>
          <w:b/>
          <w:bCs/>
          <w:color w:val="353535"/>
          <w:sz w:val="20"/>
          <w:szCs w:val="20"/>
          <w:lang w:val="en"/>
        </w:rPr>
        <w:t>3-3.11 QUANTITATIVE ANALYSIS OF THE HEALTH RECORD</w:t>
      </w:r>
    </w:p>
    <w:p w14:paraId="6FE8F569" w14:textId="77777777" w:rsidR="005A5AC4" w:rsidRPr="00005608" w:rsidRDefault="005A5AC4" w:rsidP="004F45B6">
      <w:pPr>
        <w:numPr>
          <w:ilvl w:val="0"/>
          <w:numId w:val="121"/>
        </w:numPr>
        <w:tabs>
          <w:tab w:val="clear" w:pos="720"/>
        </w:tabs>
        <w:spacing w:before="100" w:beforeAutospacing="1" w:after="100" w:afterAutospacing="1"/>
        <w:ind w:left="540"/>
        <w:rPr>
          <w:rFonts w:eastAsia="Times New Roman"/>
          <w:color w:val="353535"/>
          <w:sz w:val="20"/>
          <w:szCs w:val="20"/>
          <w:lang w:val="en"/>
        </w:rPr>
      </w:pPr>
      <w:bookmarkStart w:id="336" w:name="3-3.11A"/>
      <w:bookmarkEnd w:id="336"/>
      <w:r w:rsidRPr="00005608">
        <w:rPr>
          <w:rFonts w:eastAsia="Times New Roman"/>
          <w:color w:val="353535"/>
          <w:sz w:val="20"/>
          <w:szCs w:val="20"/>
          <w:u w:val="single"/>
          <w:lang w:val="en"/>
        </w:rPr>
        <w:t>Quantitative Analysis</w:t>
      </w:r>
      <w:r w:rsidRPr="00005608">
        <w:rPr>
          <w:rFonts w:eastAsia="Times New Roman"/>
          <w:color w:val="353535"/>
          <w:sz w:val="20"/>
          <w:szCs w:val="20"/>
          <w:lang w:val="en"/>
        </w:rPr>
        <w:t>.  Quantitative analysis is a review of prescribed areas of the health record for identifying specific deficiencies in recording to ensure that it is complete, accurate, and timely.  Items that do not meet the criteria should be on the deficiency form or in the EHR and completed by the responsible health care provider.</w:t>
      </w:r>
    </w:p>
    <w:p w14:paraId="571BA7B1" w14:textId="77777777" w:rsidR="005A5AC4" w:rsidRPr="00005608" w:rsidRDefault="005A5AC4" w:rsidP="004F45B6">
      <w:pPr>
        <w:numPr>
          <w:ilvl w:val="0"/>
          <w:numId w:val="121"/>
        </w:numPr>
        <w:tabs>
          <w:tab w:val="clear" w:pos="720"/>
        </w:tabs>
        <w:spacing w:before="100" w:beforeAutospacing="1" w:after="100" w:afterAutospacing="1"/>
        <w:ind w:left="540"/>
        <w:rPr>
          <w:rFonts w:eastAsia="Times New Roman"/>
          <w:color w:val="353535"/>
          <w:sz w:val="20"/>
          <w:szCs w:val="20"/>
          <w:lang w:val="en"/>
        </w:rPr>
      </w:pPr>
      <w:bookmarkStart w:id="337" w:name="3-3.11B"/>
      <w:bookmarkEnd w:id="337"/>
      <w:r w:rsidRPr="00005608">
        <w:rPr>
          <w:rFonts w:eastAsia="Times New Roman"/>
          <w:color w:val="353535"/>
          <w:sz w:val="20"/>
          <w:szCs w:val="20"/>
          <w:u w:val="single"/>
          <w:lang w:val="en"/>
        </w:rPr>
        <w:t>Purpose</w:t>
      </w:r>
      <w:r w:rsidRPr="00005608">
        <w:rPr>
          <w:rFonts w:eastAsia="Times New Roman"/>
          <w:color w:val="353535"/>
          <w:sz w:val="20"/>
          <w:szCs w:val="20"/>
          <w:lang w:val="en"/>
        </w:rPr>
        <w:t>.  The purpose of quantitative analysis is primarily to identify obvious and routine omissions that are easily corrected in the normal course of patient care.  This ensures the health record is more complete for reference in continuing patient care; for protecting the legal interests of the patient, physician, and hospital; and for meeting provider licensing or regulatory and/or accrediting/certifying and IHS requirements.</w:t>
      </w:r>
    </w:p>
    <w:p w14:paraId="5AFD1687" w14:textId="77777777" w:rsidR="005A5AC4" w:rsidRPr="00005608" w:rsidRDefault="005A5AC4" w:rsidP="004F45B6">
      <w:pPr>
        <w:keepNext/>
        <w:keepLines/>
        <w:numPr>
          <w:ilvl w:val="0"/>
          <w:numId w:val="121"/>
        </w:numPr>
        <w:tabs>
          <w:tab w:val="clear" w:pos="720"/>
        </w:tabs>
        <w:spacing w:before="100" w:beforeAutospacing="1" w:after="100" w:afterAutospacing="1"/>
        <w:ind w:left="547"/>
        <w:rPr>
          <w:rFonts w:eastAsia="Times New Roman"/>
          <w:color w:val="353535"/>
          <w:sz w:val="20"/>
          <w:szCs w:val="20"/>
          <w:lang w:val="en"/>
        </w:rPr>
      </w:pPr>
      <w:bookmarkStart w:id="338" w:name="3-3.11C"/>
      <w:bookmarkEnd w:id="338"/>
      <w:r w:rsidRPr="00005608">
        <w:rPr>
          <w:rFonts w:eastAsia="Times New Roman"/>
          <w:color w:val="353535"/>
          <w:sz w:val="20"/>
          <w:szCs w:val="20"/>
          <w:u w:val="single"/>
          <w:lang w:val="en"/>
        </w:rPr>
        <w:lastRenderedPageBreak/>
        <w:t>Quantitative Analysis of Outpatient Records</w:t>
      </w:r>
      <w:r w:rsidRPr="00005608">
        <w:rPr>
          <w:rFonts w:eastAsia="Times New Roman"/>
          <w:color w:val="353535"/>
          <w:sz w:val="20"/>
          <w:szCs w:val="20"/>
          <w:lang w:val="en"/>
        </w:rPr>
        <w:t xml:space="preserve">.  The availability of a complete, accurate, and current outpatient record is as important as the inpatient record.  It is a part of the total picture of the health status of the patient.  The HIM personnel shall perform an initial review of the record following an outpatient visit.  Procedures shall be developed at the IHS Service Unit to ensure that information is received from contract facilities and physicians.  The following items of documentation shall be assessed as specified in IHS policy or in the facility's Medical Staff Bylaws, Rules and Regulations: </w:t>
      </w:r>
    </w:p>
    <w:p w14:paraId="3A562218" w14:textId="77777777" w:rsidR="005A5AC4" w:rsidRPr="00005608" w:rsidRDefault="005A5AC4" w:rsidP="004F45B6">
      <w:pPr>
        <w:numPr>
          <w:ilvl w:val="1"/>
          <w:numId w:val="121"/>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u w:val="single"/>
          <w:lang w:val="en"/>
        </w:rPr>
        <w:t>Clinic record</w:t>
      </w:r>
      <w:r w:rsidRPr="00005608">
        <w:rPr>
          <w:rFonts w:eastAsia="Times New Roman"/>
          <w:color w:val="353535"/>
          <w:sz w:val="20"/>
          <w:szCs w:val="20"/>
          <w:lang w:val="en"/>
        </w:rPr>
        <w:t xml:space="preserve">. </w:t>
      </w:r>
    </w:p>
    <w:p w14:paraId="1566BF86"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completion of sociological data;</w:t>
      </w:r>
    </w:p>
    <w:p w14:paraId="21CE3220"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diagnoses and clinical notes;</w:t>
      </w:r>
    </w:p>
    <w:p w14:paraId="7E65C32C"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use of standard terminology;</w:t>
      </w:r>
    </w:p>
    <w:p w14:paraId="20FD6F1D"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approved abbreviations;</w:t>
      </w:r>
    </w:p>
    <w:p w14:paraId="359C7664"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u w:val="single"/>
          <w:lang w:val="en"/>
        </w:rPr>
        <w:t>do not</w:t>
      </w:r>
      <w:r w:rsidRPr="00005608">
        <w:rPr>
          <w:rFonts w:eastAsia="Times New Roman"/>
          <w:color w:val="353535"/>
          <w:sz w:val="20"/>
          <w:szCs w:val="20"/>
          <w:lang w:val="en"/>
        </w:rPr>
        <w:t xml:space="preserve"> use abbreviations;</w:t>
      </w:r>
    </w:p>
    <w:p w14:paraId="4E769F69"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recording of pertinent dental and medical care;</w:t>
      </w:r>
    </w:p>
    <w:p w14:paraId="37CE6B1E"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history and physical findings;</w:t>
      </w:r>
    </w:p>
    <w:p w14:paraId="04F02DED"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date of visit;</w:t>
      </w:r>
    </w:p>
    <w:p w14:paraId="0D1E9047"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chief complaint or reason for visit;</w:t>
      </w:r>
    </w:p>
    <w:p w14:paraId="6891A997"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care and treatment;</w:t>
      </w:r>
    </w:p>
    <w:p w14:paraId="3723EFBB"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diagnosis;</w:t>
      </w:r>
    </w:p>
    <w:p w14:paraId="78B0A5A8"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instructions to patient; and</w:t>
      </w:r>
    </w:p>
    <w:p w14:paraId="2BD01E3C"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 xml:space="preserve">signatures/discipline. </w:t>
      </w:r>
    </w:p>
    <w:p w14:paraId="6A24B58B" w14:textId="77777777" w:rsidR="005A5AC4" w:rsidRPr="00005608" w:rsidRDefault="005A5AC4" w:rsidP="004F45B6">
      <w:pPr>
        <w:numPr>
          <w:ilvl w:val="1"/>
          <w:numId w:val="121"/>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u w:val="single"/>
          <w:lang w:val="en"/>
        </w:rPr>
        <w:t>Diagnostic tests, x-rays</w:t>
      </w:r>
      <w:r w:rsidRPr="00005608">
        <w:rPr>
          <w:rFonts w:eastAsia="Times New Roman"/>
          <w:color w:val="353535"/>
          <w:sz w:val="20"/>
          <w:szCs w:val="20"/>
          <w:lang w:val="en"/>
        </w:rPr>
        <w:t>.  Reports for all tests and x-rays ordered are filed in the chart.</w:t>
      </w:r>
    </w:p>
    <w:p w14:paraId="1D5575DB" w14:textId="77777777" w:rsidR="005A5AC4" w:rsidRPr="00005608" w:rsidRDefault="005A5AC4" w:rsidP="004F45B6">
      <w:pPr>
        <w:numPr>
          <w:ilvl w:val="1"/>
          <w:numId w:val="121"/>
        </w:numPr>
        <w:tabs>
          <w:tab w:val="clear" w:pos="1440"/>
        </w:tabs>
        <w:spacing w:before="100" w:beforeAutospacing="1" w:after="100" w:afterAutospacing="1"/>
        <w:ind w:left="1080"/>
        <w:rPr>
          <w:rFonts w:eastAsia="Times New Roman"/>
          <w:color w:val="353535"/>
          <w:sz w:val="20"/>
          <w:szCs w:val="20"/>
          <w:lang w:val="en"/>
        </w:rPr>
      </w:pPr>
      <w:r w:rsidRPr="00005608">
        <w:rPr>
          <w:rFonts w:eastAsia="Times New Roman"/>
          <w:color w:val="353535"/>
          <w:sz w:val="20"/>
          <w:szCs w:val="20"/>
          <w:u w:val="single"/>
          <w:lang w:val="en"/>
        </w:rPr>
        <w:t>Types of treatment</w:t>
      </w:r>
      <w:r w:rsidRPr="00005608">
        <w:rPr>
          <w:rFonts w:eastAsia="Times New Roman"/>
          <w:color w:val="353535"/>
          <w:sz w:val="20"/>
          <w:szCs w:val="20"/>
          <w:lang w:val="en"/>
        </w:rPr>
        <w:t xml:space="preserve">.  Documentation of various types of treatment. </w:t>
      </w:r>
    </w:p>
    <w:p w14:paraId="72971CA9"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Operative Permit</w:t>
      </w:r>
    </w:p>
    <w:p w14:paraId="2A3371E3"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Report of Operation</w:t>
      </w:r>
    </w:p>
    <w:p w14:paraId="12A4D9EC"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Pathology Report, if appropriate</w:t>
      </w:r>
    </w:p>
    <w:p w14:paraId="5948FF03"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Copies of routine physical examinations maintained in record</w:t>
      </w:r>
    </w:p>
    <w:p w14:paraId="606BEC7B"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Obstetrical history, if appropriate</w:t>
      </w:r>
    </w:p>
    <w:p w14:paraId="275C1515"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Reports of CHS medical care</w:t>
      </w:r>
    </w:p>
    <w:p w14:paraId="12A19DC6" w14:textId="77777777" w:rsidR="005A5AC4" w:rsidRPr="00005608" w:rsidRDefault="005A5AC4" w:rsidP="004F45B6">
      <w:pPr>
        <w:numPr>
          <w:ilvl w:val="2"/>
          <w:numId w:val="121"/>
        </w:numPr>
        <w:tabs>
          <w:tab w:val="clear" w:pos="2160"/>
        </w:tabs>
        <w:spacing w:before="100" w:beforeAutospacing="1" w:after="100" w:afterAutospacing="1"/>
        <w:ind w:left="1620"/>
        <w:rPr>
          <w:rFonts w:eastAsia="Times New Roman"/>
          <w:color w:val="353535"/>
          <w:sz w:val="20"/>
          <w:szCs w:val="20"/>
          <w:lang w:val="en"/>
        </w:rPr>
      </w:pPr>
      <w:r w:rsidRPr="00005608">
        <w:rPr>
          <w:rFonts w:eastAsia="Times New Roman"/>
          <w:color w:val="353535"/>
          <w:sz w:val="20"/>
          <w:szCs w:val="20"/>
          <w:lang w:val="en"/>
        </w:rPr>
        <w:t>Hospitalization summaries by referral hospital or physician</w:t>
      </w:r>
    </w:p>
    <w:p w14:paraId="5D2E71EB" w14:textId="77777777" w:rsidR="005A5AC4" w:rsidRPr="005D436D" w:rsidRDefault="005A5AC4" w:rsidP="004F45B6">
      <w:pPr>
        <w:pStyle w:val="ListParagraph"/>
        <w:widowControl/>
        <w:numPr>
          <w:ilvl w:val="0"/>
          <w:numId w:val="131"/>
        </w:numPr>
        <w:tabs>
          <w:tab w:val="clear" w:pos="720"/>
        </w:tabs>
        <w:autoSpaceDE/>
        <w:autoSpaceDN/>
        <w:spacing w:before="100" w:beforeAutospacing="1" w:after="100" w:afterAutospacing="1"/>
        <w:ind w:left="540"/>
        <w:contextualSpacing/>
        <w:rPr>
          <w:rFonts w:eastAsia="Times New Roman" w:cs="Arial"/>
          <w:color w:val="353535"/>
          <w:sz w:val="20"/>
          <w:szCs w:val="20"/>
          <w:lang w:val="en"/>
        </w:rPr>
      </w:pPr>
      <w:r w:rsidRPr="005D436D">
        <w:rPr>
          <w:rFonts w:eastAsia="Times New Roman" w:cs="Arial"/>
          <w:color w:val="353535"/>
          <w:sz w:val="20"/>
          <w:szCs w:val="20"/>
          <w:u w:val="single"/>
          <w:lang w:val="en"/>
        </w:rPr>
        <w:t>Qualitative Analysis of Health Records</w:t>
      </w:r>
      <w:r w:rsidRPr="005D436D">
        <w:rPr>
          <w:rFonts w:eastAsia="Times New Roman" w:cs="Arial"/>
          <w:color w:val="353535"/>
          <w:sz w:val="20"/>
          <w:szCs w:val="20"/>
          <w:lang w:val="en"/>
        </w:rPr>
        <w:t xml:space="preserve">.  Qualitative analysis is a review of health record entries for inconsistencies and omissions that signify the health record is inaccurate or incomplete.  Such an analysis requires a knowledge of medical terminology, anatomy and physiology, fundamentals of disease processes, health record content, standards of provider licensing and other regulatory and/or accrediting/certifying agencies.  It is usually performed by a qualified HIM professional. </w:t>
      </w:r>
    </w:p>
    <w:p w14:paraId="59D53F07" w14:textId="77777777" w:rsidR="005A5AC4" w:rsidRPr="00843A9E"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Purpose</w:t>
      </w:r>
      <w:r w:rsidRPr="00843A9E">
        <w:rPr>
          <w:rFonts w:eastAsia="Times New Roman"/>
          <w:color w:val="353535"/>
          <w:sz w:val="20"/>
          <w:szCs w:val="20"/>
          <w:lang w:val="en"/>
        </w:rPr>
        <w:t>.  As is true of quantitative analysis, the purposes of qualitative analysis include making the health record complete for reference in patient care, protecting legal interests, and meeting regulatory requirements.  However, because it is more in-depth than quantitative analysis, it serves these purposes more fully.  It also contributes background or supporting information for quality improvement and risk management activities.  Qualitative analysis also assists in diagnosis and procedure coding specificity and sequencing that is important for ongoing health research, administrative studies, and reimbursement.</w:t>
      </w:r>
    </w:p>
    <w:p w14:paraId="64DFD6A4" w14:textId="77777777" w:rsidR="005A5AC4" w:rsidRPr="00843A9E"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Components</w:t>
      </w:r>
      <w:r w:rsidRPr="00843A9E">
        <w:rPr>
          <w:rFonts w:eastAsia="Times New Roman"/>
          <w:color w:val="353535"/>
          <w:sz w:val="20"/>
          <w:szCs w:val="20"/>
          <w:lang w:val="en"/>
        </w:rPr>
        <w:t xml:space="preserve">.  The components of qualitative analysis include a review of the health record content (assuming the completion of quantitative analysis) for the following: </w:t>
      </w:r>
    </w:p>
    <w:p w14:paraId="7A3A4F61"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complete and consistent recording of diagnostic statements;</w:t>
      </w:r>
    </w:p>
    <w:p w14:paraId="2A043B78"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consistency in entries by all health care providers;</w:t>
      </w:r>
    </w:p>
    <w:p w14:paraId="7F6A2E8D"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description and justification for the course of the patient's hospitalization;</w:t>
      </w:r>
    </w:p>
    <w:p w14:paraId="2788CDC3"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recording of all necessary instances of informed consents;</w:t>
      </w:r>
    </w:p>
    <w:p w14:paraId="464A731A"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application of good documentation practices; and</w:t>
      </w:r>
    </w:p>
    <w:p w14:paraId="312E8E4E"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occurrence of a potentially compensable event. </w:t>
      </w:r>
    </w:p>
    <w:p w14:paraId="6216025A" w14:textId="77777777" w:rsidR="005A5AC4" w:rsidRPr="00843A9E" w:rsidRDefault="005A5AC4" w:rsidP="004F45B6">
      <w:pPr>
        <w:keepNext/>
        <w:keepLines/>
        <w:numPr>
          <w:ilvl w:val="1"/>
          <w:numId w:val="131"/>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lastRenderedPageBreak/>
        <w:t>Examples of Qualitative Analysis</w:t>
      </w:r>
      <w:r w:rsidRPr="00843A9E">
        <w:rPr>
          <w:rFonts w:eastAsia="Times New Roman"/>
          <w:color w:val="353535"/>
          <w:sz w:val="20"/>
          <w:szCs w:val="20"/>
          <w:lang w:val="en"/>
        </w:rPr>
        <w:t xml:space="preserve">.  Review of records for indication of post-op wound infection; review of records for indication of postpartum infection; and review of physical exam for essential data items such as: </w:t>
      </w:r>
    </w:p>
    <w:p w14:paraId="0165237F" w14:textId="77777777" w:rsidR="005A5AC4" w:rsidRPr="00843A9E" w:rsidRDefault="005A5AC4" w:rsidP="004F45B6">
      <w:pPr>
        <w:keepNext/>
        <w:keepLines/>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pelvic and rectal exam prior to abdominal surgery and quality of documentation of findings;</w:t>
      </w:r>
    </w:p>
    <w:p w14:paraId="200F68B9"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review of blood and component use against criteria established by the Tissue and Transfusion Committee;</w:t>
      </w:r>
    </w:p>
    <w:p w14:paraId="0A3153C8"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review of documentation items involved in quality review activities which are identified by the medical staff or medical staff body;</w:t>
      </w:r>
    </w:p>
    <w:p w14:paraId="2167E514"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review of potentially compensable events; and</w:t>
      </w:r>
    </w:p>
    <w:p w14:paraId="29CC020D" w14:textId="77777777" w:rsidR="005A5AC4" w:rsidRPr="00843A9E" w:rsidRDefault="005A5AC4" w:rsidP="004F45B6">
      <w:pPr>
        <w:numPr>
          <w:ilvl w:val="2"/>
          <w:numId w:val="131"/>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review and compare Pathology Reports with Operative Reports and Diagnoses to ensure compatibility and consistency. </w:t>
      </w:r>
    </w:p>
    <w:p w14:paraId="12777D63" w14:textId="77777777" w:rsidR="005A5AC4" w:rsidRPr="00843A9E"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Requirements</w:t>
      </w:r>
      <w:r w:rsidRPr="00843A9E">
        <w:rPr>
          <w:rFonts w:eastAsia="Times New Roman"/>
          <w:color w:val="353535"/>
          <w:sz w:val="20"/>
          <w:szCs w:val="20"/>
          <w:lang w:val="en"/>
        </w:rPr>
        <w:t>.  Qualitative analysis is not something that may be undertaken lightly.  It requires an in-depth understanding of health record science and management.  The qualitative analysis must be performed or directly supervised by a credentialed HIM professional who is experienced in record analysis and quality review activities.</w:t>
      </w:r>
    </w:p>
    <w:p w14:paraId="0D11F3D5" w14:textId="77777777" w:rsidR="005A5AC4" w:rsidRPr="00843A9E" w:rsidRDefault="005A5AC4" w:rsidP="004F45B6">
      <w:pPr>
        <w:numPr>
          <w:ilvl w:val="1"/>
          <w:numId w:val="131"/>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Frequency</w:t>
      </w:r>
      <w:r w:rsidRPr="00843A9E">
        <w:rPr>
          <w:rFonts w:eastAsia="Times New Roman"/>
          <w:color w:val="353535"/>
          <w:sz w:val="20"/>
          <w:szCs w:val="20"/>
          <w:lang w:val="en"/>
        </w:rPr>
        <w:t xml:space="preserve">.  Qualitative analysis may be done routinely or on a sampling basis depending on facility needs and staffing patterns.  However, the review of results should be a major part of the facility's Medical Record Review Committee activity. </w:t>
      </w:r>
    </w:p>
    <w:p w14:paraId="04C3D856" w14:textId="0E2E6428" w:rsidR="005A5AC4" w:rsidRPr="00317BC6" w:rsidRDefault="005A5AC4" w:rsidP="005A5AC4">
      <w:pPr>
        <w:spacing w:before="100" w:beforeAutospacing="1" w:after="100" w:afterAutospacing="1"/>
        <w:rPr>
          <w:rFonts w:eastAsia="Times New Roman"/>
          <w:b/>
          <w:bCs/>
          <w:color w:val="353535"/>
          <w:sz w:val="20"/>
          <w:szCs w:val="20"/>
          <w:lang w:val="en"/>
        </w:rPr>
      </w:pPr>
      <w:bookmarkStart w:id="339" w:name="3-3.12"/>
      <w:bookmarkEnd w:id="339"/>
      <w:r w:rsidRPr="00317BC6">
        <w:rPr>
          <w:rFonts w:eastAsia="Times New Roman"/>
          <w:b/>
          <w:bCs/>
          <w:color w:val="353535"/>
          <w:sz w:val="20"/>
          <w:szCs w:val="20"/>
          <w:lang w:val="en"/>
        </w:rPr>
        <w:t>3-3.12 MEDICO-LEGAL ASPECTS OF HEALTH RECORDS</w:t>
      </w:r>
    </w:p>
    <w:p w14:paraId="684EFB92" w14:textId="77777777" w:rsidR="005A5AC4" w:rsidRPr="00843A9E" w:rsidRDefault="005A5AC4" w:rsidP="004F45B6">
      <w:pPr>
        <w:numPr>
          <w:ilvl w:val="0"/>
          <w:numId w:val="122"/>
        </w:numPr>
        <w:tabs>
          <w:tab w:val="clear" w:pos="720"/>
        </w:tabs>
        <w:spacing w:before="100" w:beforeAutospacing="1" w:after="100" w:afterAutospacing="1"/>
        <w:ind w:left="540"/>
        <w:rPr>
          <w:rFonts w:eastAsia="Times New Roman"/>
          <w:color w:val="353535"/>
          <w:sz w:val="20"/>
          <w:szCs w:val="20"/>
          <w:lang w:val="en"/>
        </w:rPr>
      </w:pPr>
      <w:bookmarkStart w:id="340" w:name="3-3.12A"/>
      <w:bookmarkEnd w:id="340"/>
      <w:r w:rsidRPr="00843A9E">
        <w:rPr>
          <w:rFonts w:eastAsia="Times New Roman"/>
          <w:color w:val="353535"/>
          <w:sz w:val="20"/>
          <w:szCs w:val="20"/>
          <w:u w:val="single"/>
          <w:lang w:val="en"/>
        </w:rPr>
        <w:t>Definition of Court of Competent Jurisdiction</w:t>
      </w:r>
      <w:r w:rsidRPr="00843A9E">
        <w:rPr>
          <w:rFonts w:eastAsia="Times New Roman"/>
          <w:color w:val="353535"/>
          <w:sz w:val="20"/>
          <w:szCs w:val="20"/>
          <w:lang w:val="en"/>
        </w:rPr>
        <w:t>.  The OGC, Department of Health and Human Services (HHS), has determined that only Federal courts are inherently courts of competent jurisdiction for Privacy Act purposes, whereas because of the doctrine of sovereign immunity, Tribal (and State) courts may be courts of competent jurisdiction only if the United States submits to the jurisdiction of such courts.  The OGC advice and guidance is as follows: "The IHS, upon receipt of a Tribal court subpoena for Federal medical records, has the option of either complying with the subpoena (e.g., voluntarily submitting to the jurisdiction of the court) or processing it pursuant to 45 CFR § 2.5 under rules established in 45 CFR Part 5 (FOIA).  The decision, however, should be made by IHS in consultation with the OGC."</w:t>
      </w:r>
    </w:p>
    <w:p w14:paraId="39160B8F" w14:textId="77777777" w:rsidR="005A5AC4" w:rsidRPr="00843A9E" w:rsidRDefault="005A5AC4" w:rsidP="004F45B6">
      <w:pPr>
        <w:numPr>
          <w:ilvl w:val="0"/>
          <w:numId w:val="122"/>
        </w:numPr>
        <w:tabs>
          <w:tab w:val="clear" w:pos="720"/>
        </w:tabs>
        <w:spacing w:before="100" w:beforeAutospacing="1" w:after="100" w:afterAutospacing="1"/>
        <w:ind w:left="540"/>
        <w:rPr>
          <w:rFonts w:eastAsia="Times New Roman"/>
          <w:color w:val="353535"/>
          <w:sz w:val="20"/>
          <w:szCs w:val="20"/>
          <w:lang w:val="en"/>
        </w:rPr>
      </w:pPr>
      <w:bookmarkStart w:id="341" w:name="3-3.12B"/>
      <w:bookmarkEnd w:id="341"/>
      <w:r w:rsidRPr="00843A9E">
        <w:rPr>
          <w:rFonts w:eastAsia="Times New Roman"/>
          <w:color w:val="353535"/>
          <w:sz w:val="20"/>
          <w:szCs w:val="20"/>
          <w:u w:val="single"/>
          <w:lang w:val="en"/>
        </w:rPr>
        <w:t>Statement of Legal Liaison between Government Agencies</w:t>
      </w:r>
      <w:r w:rsidRPr="00843A9E">
        <w:rPr>
          <w:rFonts w:eastAsia="Times New Roman"/>
          <w:color w:val="353535"/>
          <w:sz w:val="20"/>
          <w:szCs w:val="20"/>
          <w:lang w:val="en"/>
        </w:rPr>
        <w:t xml:space="preserve">. </w:t>
      </w:r>
    </w:p>
    <w:p w14:paraId="1DC64451" w14:textId="77777777" w:rsidR="005A5AC4" w:rsidRPr="00843A9E" w:rsidRDefault="005A5AC4" w:rsidP="004F45B6">
      <w:pPr>
        <w:numPr>
          <w:ilvl w:val="1"/>
          <w:numId w:val="122"/>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The Department of Justice (DOJ), through the OGC, is the legal representative of the HHS.</w:t>
      </w:r>
    </w:p>
    <w:p w14:paraId="5A37A952" w14:textId="77777777" w:rsidR="005A5AC4" w:rsidRPr="00843A9E" w:rsidRDefault="005A5AC4" w:rsidP="004F45B6">
      <w:pPr>
        <w:numPr>
          <w:ilvl w:val="1"/>
          <w:numId w:val="122"/>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All issues involving litigation shall be directed by the CEO to the Area Director, who shall refer the matter to the appropriate OGC attorney. </w:t>
      </w:r>
    </w:p>
    <w:p w14:paraId="24679D16" w14:textId="77777777" w:rsidR="005A5AC4" w:rsidRPr="00843A9E" w:rsidRDefault="005A5AC4" w:rsidP="004F45B6">
      <w:pPr>
        <w:numPr>
          <w:ilvl w:val="0"/>
          <w:numId w:val="122"/>
        </w:numPr>
        <w:tabs>
          <w:tab w:val="clear" w:pos="720"/>
        </w:tabs>
        <w:spacing w:before="100" w:beforeAutospacing="1" w:after="100" w:afterAutospacing="1"/>
        <w:ind w:left="540"/>
        <w:rPr>
          <w:rFonts w:eastAsia="Times New Roman"/>
          <w:color w:val="353535"/>
          <w:sz w:val="20"/>
          <w:szCs w:val="20"/>
          <w:lang w:val="en"/>
        </w:rPr>
      </w:pPr>
      <w:bookmarkStart w:id="342" w:name="3-3.12C"/>
      <w:bookmarkEnd w:id="342"/>
      <w:r w:rsidRPr="00843A9E">
        <w:rPr>
          <w:rFonts w:eastAsia="Times New Roman"/>
          <w:color w:val="353535"/>
          <w:sz w:val="20"/>
          <w:szCs w:val="20"/>
          <w:u w:val="single"/>
          <w:lang w:val="en"/>
        </w:rPr>
        <w:t>Characteristics of the Health Record as a Legal Document</w:t>
      </w:r>
      <w:r w:rsidRPr="00843A9E">
        <w:rPr>
          <w:rFonts w:eastAsia="Times New Roman"/>
          <w:color w:val="353535"/>
          <w:sz w:val="20"/>
          <w:szCs w:val="20"/>
          <w:lang w:val="en"/>
        </w:rPr>
        <w:t xml:space="preserve">.  The legal health record is the documentation of health care services provided to an individual during any aspect of health care delivery in any type of IHS facility for administrative, business, or payment purposes.  The legal health record contains individually identifiable health information, stored on any medium, which is collected for documenting health care or health status.  When the legal health record consists of information created as paper documents and information created in electronic media, it is considered to be in a hybrid environment. </w:t>
      </w:r>
    </w:p>
    <w:p w14:paraId="360216DB" w14:textId="77777777" w:rsidR="005A5AC4" w:rsidRPr="00843A9E" w:rsidRDefault="005A5AC4" w:rsidP="004F45B6">
      <w:pPr>
        <w:numPr>
          <w:ilvl w:val="1"/>
          <w:numId w:val="122"/>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The significance of the health record as evidence in a court of law dictates that considerations be given to the following health record characteristics: </w:t>
      </w:r>
    </w:p>
    <w:p w14:paraId="09339C70"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All handwriting shall be in dark permanent ink (no red) that is legible when photocopied or microfilmed.  The ink shall not be of the type that soaks through and obliterates information.  Pencil entries in any part of the record are unacceptable.  (Due to extended record retention periods, black permanent ink is preferred.  No highlighters or white-out will be used in the record).</w:t>
      </w:r>
    </w:p>
    <w:p w14:paraId="1C05361A"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All entries shall be dated and authenticated, including signature and title of the author.  (Signature stamps with original signatures are authorized).  Electronic signatures will be allowed pursuant to the facility's specific guidelines.  Handwriting is deemed to be illegible if two people cannot read the handwriting.</w:t>
      </w:r>
    </w:p>
    <w:p w14:paraId="0EF94CE1" w14:textId="77777777" w:rsidR="005A5AC4" w:rsidRPr="00843A9E" w:rsidRDefault="005A5AC4" w:rsidP="004F45B6">
      <w:pPr>
        <w:keepNext/>
        <w:keepLines/>
        <w:numPr>
          <w:ilvl w:val="2"/>
          <w:numId w:val="122"/>
        </w:numPr>
        <w:tabs>
          <w:tab w:val="clear" w:pos="2160"/>
        </w:tabs>
        <w:spacing w:before="100" w:beforeAutospacing="1" w:after="100" w:afterAutospacing="1"/>
        <w:ind w:left="1627"/>
        <w:rPr>
          <w:rFonts w:eastAsia="Times New Roman"/>
          <w:color w:val="353535"/>
          <w:sz w:val="20"/>
          <w:szCs w:val="20"/>
          <w:lang w:val="en"/>
        </w:rPr>
      </w:pPr>
      <w:r w:rsidRPr="00843A9E">
        <w:rPr>
          <w:rFonts w:eastAsia="Times New Roman"/>
          <w:color w:val="353535"/>
          <w:sz w:val="20"/>
          <w:szCs w:val="20"/>
          <w:lang w:val="en"/>
        </w:rPr>
        <w:lastRenderedPageBreak/>
        <w:t>The electronic signature is a computer data compilation of any symbol or series of symbols executed, adopted, and/or authorized by an individual to be the legally binding equivalent of the individual's handwritten signature.  The electronic signature is never shared.</w:t>
      </w:r>
    </w:p>
    <w:p w14:paraId="0D070784"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Each page within the health record shall contain the patient's identification information and the facility name.</w:t>
      </w:r>
    </w:p>
    <w:p w14:paraId="61B81A22"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The health care provider shall sign those portions of the health record containing documentation of care for which that person is responsible, including countersignatures where appropriate.</w:t>
      </w:r>
    </w:p>
    <w:p w14:paraId="6ECF799E"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Transcription of dictated information shall be accurate, complete, and authenticated by appropriate signature.</w:t>
      </w:r>
    </w:p>
    <w:p w14:paraId="2879987D" w14:textId="77777777" w:rsidR="005A5AC4" w:rsidRPr="00843A9E" w:rsidRDefault="005A5AC4" w:rsidP="004F45B6">
      <w:pPr>
        <w:numPr>
          <w:ilvl w:val="2"/>
          <w:numId w:val="122"/>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Correction of health record data shall be as follows: </w:t>
      </w:r>
    </w:p>
    <w:p w14:paraId="5BDBB113" w14:textId="77777777" w:rsidR="005A5AC4" w:rsidRPr="00843A9E" w:rsidRDefault="005A5AC4" w:rsidP="004F45B6">
      <w:pPr>
        <w:numPr>
          <w:ilvl w:val="3"/>
          <w:numId w:val="122"/>
        </w:numPr>
        <w:tabs>
          <w:tab w:val="clear" w:pos="2880"/>
        </w:tabs>
        <w:spacing w:before="100" w:beforeAutospacing="1" w:after="100" w:afterAutospacing="1"/>
        <w:ind w:left="2160"/>
        <w:rPr>
          <w:rFonts w:eastAsia="Times New Roman"/>
          <w:color w:val="353535"/>
          <w:sz w:val="20"/>
          <w:szCs w:val="20"/>
          <w:lang w:val="en"/>
        </w:rPr>
      </w:pPr>
      <w:r w:rsidRPr="00843A9E">
        <w:rPr>
          <w:rFonts w:eastAsia="Times New Roman"/>
          <w:color w:val="353535"/>
          <w:sz w:val="20"/>
          <w:szCs w:val="20"/>
          <w:lang w:val="en"/>
        </w:rPr>
        <w:t>no erasure or other obliteration shall be made;</w:t>
      </w:r>
    </w:p>
    <w:p w14:paraId="1625128D" w14:textId="77777777" w:rsidR="005A5AC4" w:rsidRPr="00843A9E" w:rsidRDefault="005A5AC4" w:rsidP="004F45B6">
      <w:pPr>
        <w:numPr>
          <w:ilvl w:val="3"/>
          <w:numId w:val="122"/>
        </w:numPr>
        <w:tabs>
          <w:tab w:val="clear" w:pos="2880"/>
        </w:tabs>
        <w:spacing w:before="100" w:beforeAutospacing="1" w:after="100" w:afterAutospacing="1"/>
        <w:ind w:left="2160"/>
        <w:rPr>
          <w:rFonts w:eastAsia="Times New Roman"/>
          <w:color w:val="353535"/>
          <w:sz w:val="20"/>
          <w:szCs w:val="20"/>
          <w:lang w:val="en"/>
        </w:rPr>
      </w:pPr>
      <w:r w:rsidRPr="00843A9E">
        <w:rPr>
          <w:rFonts w:eastAsia="Times New Roman"/>
          <w:color w:val="353535"/>
          <w:sz w:val="20"/>
          <w:szCs w:val="20"/>
          <w:lang w:val="en"/>
        </w:rPr>
        <w:t>incorrect data shall be lined out with a single line; and</w:t>
      </w:r>
    </w:p>
    <w:p w14:paraId="27456D3C" w14:textId="77777777" w:rsidR="005A5AC4" w:rsidRPr="00843A9E" w:rsidRDefault="005A5AC4" w:rsidP="004F45B6">
      <w:pPr>
        <w:numPr>
          <w:ilvl w:val="3"/>
          <w:numId w:val="122"/>
        </w:numPr>
        <w:tabs>
          <w:tab w:val="clear" w:pos="2880"/>
        </w:tabs>
        <w:spacing w:before="100" w:beforeAutospacing="1" w:after="100" w:afterAutospacing="1"/>
        <w:ind w:left="2160"/>
        <w:rPr>
          <w:rFonts w:eastAsia="Times New Roman"/>
          <w:color w:val="353535"/>
          <w:sz w:val="20"/>
          <w:szCs w:val="20"/>
          <w:lang w:val="en"/>
        </w:rPr>
      </w:pPr>
      <w:r w:rsidRPr="00843A9E">
        <w:rPr>
          <w:rFonts w:eastAsia="Times New Roman"/>
          <w:color w:val="353535"/>
          <w:sz w:val="20"/>
          <w:szCs w:val="20"/>
          <w:lang w:val="en"/>
        </w:rPr>
        <w:t xml:space="preserve">the date of correction, the signature of the person making the correction, the correct information, and the reason for the correction shall be added. </w:t>
      </w:r>
    </w:p>
    <w:p w14:paraId="2D7C719D" w14:textId="77777777" w:rsidR="005A5AC4" w:rsidRPr="00843A9E" w:rsidRDefault="005A5AC4" w:rsidP="004F45B6">
      <w:pPr>
        <w:numPr>
          <w:ilvl w:val="2"/>
          <w:numId w:val="122"/>
        </w:numPr>
        <w:tabs>
          <w:tab w:val="clear" w:pos="2160"/>
        </w:tabs>
        <w:spacing w:before="100" w:beforeAutospacing="1" w:after="100" w:afterAutospacing="1"/>
        <w:ind w:left="1800"/>
        <w:rPr>
          <w:rFonts w:eastAsia="Times New Roman"/>
          <w:color w:val="353535"/>
          <w:sz w:val="20"/>
          <w:szCs w:val="20"/>
          <w:lang w:val="en"/>
        </w:rPr>
      </w:pPr>
      <w:r w:rsidRPr="00843A9E">
        <w:rPr>
          <w:rFonts w:eastAsia="Times New Roman"/>
          <w:color w:val="353535"/>
          <w:sz w:val="20"/>
          <w:szCs w:val="20"/>
          <w:lang w:val="en"/>
        </w:rPr>
        <w:t xml:space="preserve">Any request by the patient for correction/amendment of previously recorded PHI shall be handled by the Privacy Act/HIPAA Privacy Rule.  Refer to Part 2, Chapter 7, IHM. </w:t>
      </w:r>
    </w:p>
    <w:p w14:paraId="1A1F4D35" w14:textId="77777777" w:rsidR="005A5AC4" w:rsidRPr="00843A9E" w:rsidRDefault="005A5AC4" w:rsidP="004F45B6">
      <w:pPr>
        <w:numPr>
          <w:ilvl w:val="1"/>
          <w:numId w:val="122"/>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The health record shall not be removed from the facility at any time except by court order or retirement to a FRC.  Restrictions concerning records removal are: </w:t>
      </w:r>
    </w:p>
    <w:p w14:paraId="3DE1B46F" w14:textId="77777777" w:rsidR="005A5AC4" w:rsidRPr="00843A9E" w:rsidRDefault="005A5AC4" w:rsidP="004F45B6">
      <w:pPr>
        <w:numPr>
          <w:ilvl w:val="2"/>
          <w:numId w:val="122"/>
        </w:numPr>
        <w:spacing w:before="100" w:beforeAutospacing="1" w:after="100" w:afterAutospacing="1"/>
        <w:ind w:left="1935"/>
        <w:rPr>
          <w:rFonts w:eastAsia="Times New Roman"/>
          <w:color w:val="353535"/>
          <w:sz w:val="20"/>
          <w:szCs w:val="20"/>
          <w:lang w:val="en"/>
        </w:rPr>
      </w:pPr>
      <w:r w:rsidRPr="00843A9E">
        <w:rPr>
          <w:rFonts w:eastAsia="Times New Roman"/>
          <w:color w:val="353535"/>
          <w:sz w:val="20"/>
          <w:szCs w:val="20"/>
          <w:lang w:val="en"/>
        </w:rPr>
        <w:t>Court orders must be signed by a judge and specify that the health record be presented for admission as evidence during a legal proceeding, such as, a court case, formal deposition, or grand jury investigation. All court orders received by the HIM Consultant must be forwarded to the OGC for review and the decision to comply is made by the IHS in consultation with the OGC.</w:t>
      </w:r>
    </w:p>
    <w:p w14:paraId="16D3D96C" w14:textId="77777777" w:rsidR="005A5AC4" w:rsidRPr="00843A9E" w:rsidRDefault="005A5AC4" w:rsidP="004F45B6">
      <w:pPr>
        <w:numPr>
          <w:ilvl w:val="2"/>
          <w:numId w:val="122"/>
        </w:numPr>
        <w:spacing w:before="100" w:beforeAutospacing="1" w:after="100" w:afterAutospacing="1"/>
        <w:ind w:left="1935"/>
        <w:rPr>
          <w:rFonts w:eastAsia="Times New Roman"/>
          <w:color w:val="353535"/>
          <w:sz w:val="20"/>
          <w:szCs w:val="20"/>
          <w:lang w:val="en"/>
        </w:rPr>
      </w:pPr>
      <w:r w:rsidRPr="00843A9E">
        <w:rPr>
          <w:rFonts w:eastAsia="Times New Roman"/>
          <w:color w:val="353535"/>
          <w:sz w:val="20"/>
          <w:szCs w:val="20"/>
          <w:lang w:val="en"/>
        </w:rPr>
        <w:t xml:space="preserve">Discovery subpoenas (subpoenas issued to gain access to records for the purpose of examination) shall not be honored without the consent of the subject individual. </w:t>
      </w:r>
    </w:p>
    <w:p w14:paraId="5848C891" w14:textId="77777777" w:rsidR="005A5AC4" w:rsidRPr="00843A9E" w:rsidRDefault="005A5AC4" w:rsidP="004F45B6">
      <w:pPr>
        <w:numPr>
          <w:ilvl w:val="1"/>
          <w:numId w:val="122"/>
        </w:numPr>
        <w:spacing w:before="100" w:beforeAutospacing="1" w:after="100" w:afterAutospacing="1"/>
        <w:ind w:left="1215"/>
        <w:rPr>
          <w:rFonts w:eastAsia="Times New Roman"/>
          <w:color w:val="353535"/>
          <w:sz w:val="20"/>
          <w:szCs w:val="20"/>
          <w:lang w:val="en"/>
        </w:rPr>
      </w:pPr>
      <w:r w:rsidRPr="00843A9E">
        <w:rPr>
          <w:rFonts w:eastAsia="Times New Roman"/>
          <w:color w:val="353535"/>
          <w:sz w:val="20"/>
          <w:szCs w:val="20"/>
          <w:lang w:val="en"/>
        </w:rPr>
        <w:t xml:space="preserve">Health records shall be retained at the facility for the legally specified period of time and shall be transferred to the FRC in accordance with the National Archives and Record Administration regulation (usually after 3-7 years of inactivity).  The </w:t>
      </w:r>
      <w:hyperlink r:id="rId87" w:tgtFrame="_blank" w:history="1">
        <w:r w:rsidRPr="00843A9E">
          <w:rPr>
            <w:rFonts w:eastAsia="Times New Roman"/>
            <w:color w:val="0000FF"/>
            <w:sz w:val="20"/>
            <w:szCs w:val="20"/>
            <w:u w:val="single"/>
            <w:lang w:val="en"/>
          </w:rPr>
          <w:t>IHS Records Disposition Schedule 3-1, Medical Records File is found here</w:t>
        </w:r>
      </w:hyperlink>
      <w:r w:rsidRPr="00843A9E">
        <w:rPr>
          <w:rFonts w:eastAsia="Times New Roman"/>
          <w:color w:val="353535"/>
          <w:sz w:val="20"/>
          <w:szCs w:val="20"/>
          <w:lang w:val="en"/>
        </w:rPr>
        <w:t xml:space="preserve">. </w:t>
      </w:r>
    </w:p>
    <w:p w14:paraId="7B4355B0" w14:textId="77777777" w:rsidR="005A5AC4" w:rsidRPr="00317BC6" w:rsidRDefault="005A5AC4" w:rsidP="004F45B6">
      <w:pPr>
        <w:pStyle w:val="ListParagraph"/>
        <w:widowControl/>
        <w:numPr>
          <w:ilvl w:val="0"/>
          <w:numId w:val="124"/>
        </w:numPr>
        <w:autoSpaceDE/>
        <w:autoSpaceDN/>
        <w:spacing w:before="100" w:beforeAutospacing="1" w:after="100" w:afterAutospacing="1"/>
        <w:ind w:left="540"/>
        <w:contextualSpacing/>
        <w:rPr>
          <w:rFonts w:eastAsia="Times New Roman" w:cs="Arial"/>
          <w:color w:val="353535"/>
          <w:sz w:val="20"/>
          <w:szCs w:val="20"/>
          <w:lang w:val="en"/>
        </w:rPr>
      </w:pPr>
      <w:r w:rsidRPr="00317BC6">
        <w:rPr>
          <w:rFonts w:eastAsia="Times New Roman" w:cs="Arial"/>
          <w:color w:val="353535"/>
          <w:sz w:val="20"/>
          <w:szCs w:val="20"/>
          <w:lang w:val="en"/>
        </w:rPr>
        <w:t xml:space="preserve">Privacy and Confidentiality of the Health Record and Information Security. </w:t>
      </w:r>
    </w:p>
    <w:p w14:paraId="613B3A2B" w14:textId="77777777" w:rsidR="005A5AC4" w:rsidRPr="00843A9E" w:rsidRDefault="005A5AC4" w:rsidP="004F45B6">
      <w:pPr>
        <w:numPr>
          <w:ilvl w:val="1"/>
          <w:numId w:val="123"/>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Confidentiality</w:t>
      </w:r>
      <w:r w:rsidRPr="00843A9E">
        <w:rPr>
          <w:rFonts w:eastAsia="Times New Roman"/>
          <w:color w:val="353535"/>
          <w:sz w:val="20"/>
          <w:szCs w:val="20"/>
          <w:lang w:val="en"/>
        </w:rPr>
        <w:t>.  Patient records are confidential regardless of medium.  The privacy of patient information must be preserved, therefore, the information will not be made accessible to or discussed with unauthorized persons.  All staff with access to patient information in the performance of their duties is informed of their responsibility to maintain the confidentiality of patient information.  Every employee with access to patient records in any medium is responsible for proper handling of the patient records.  Each employee is accountable for safeguarding patient confidentiality and privacy, and failure to do so may result in disciplinary or other adverse action up to, and including, termination.</w:t>
      </w:r>
    </w:p>
    <w:p w14:paraId="38337FEE" w14:textId="77777777" w:rsidR="005A5AC4" w:rsidRPr="00843A9E" w:rsidRDefault="005A5AC4" w:rsidP="004F45B6">
      <w:pPr>
        <w:numPr>
          <w:ilvl w:val="1"/>
          <w:numId w:val="123"/>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Access</w:t>
      </w:r>
      <w:r w:rsidRPr="00843A9E">
        <w:rPr>
          <w:rFonts w:eastAsia="Times New Roman"/>
          <w:color w:val="353535"/>
          <w:sz w:val="20"/>
          <w:szCs w:val="20"/>
          <w:lang w:val="en"/>
        </w:rPr>
        <w:t xml:space="preserve">.  Access to health care information is controlled to ensure its integrity, to minimize the risk of compromising confidentiality, and to increase reliability.  Access to health records and health record file areas is limited to authorized personnel.  (Refer to Part 2, Chapter 7, IHM.)  Only authorized personnel are allowed to print extractions from the electronic health record or to make copies from the paper chart. </w:t>
      </w:r>
    </w:p>
    <w:p w14:paraId="2ABF8E0D" w14:textId="598C6665" w:rsidR="005A5AC4" w:rsidRDefault="005A5AC4" w:rsidP="004F45B6">
      <w:pPr>
        <w:pStyle w:val="ListParagraph"/>
        <w:keepNext/>
        <w:keepLines/>
        <w:widowControl/>
        <w:numPr>
          <w:ilvl w:val="0"/>
          <w:numId w:val="124"/>
        </w:numPr>
        <w:autoSpaceDE/>
        <w:autoSpaceDN/>
        <w:spacing w:before="100" w:beforeAutospacing="1" w:after="100" w:afterAutospacing="1"/>
        <w:ind w:left="547"/>
        <w:contextualSpacing/>
        <w:rPr>
          <w:rFonts w:eastAsia="Times New Roman" w:cs="Arial"/>
          <w:color w:val="353535"/>
          <w:sz w:val="20"/>
          <w:szCs w:val="20"/>
          <w:lang w:val="en"/>
        </w:rPr>
      </w:pPr>
      <w:bookmarkStart w:id="343" w:name="3-3.12G"/>
      <w:bookmarkEnd w:id="343"/>
      <w:r w:rsidRPr="00843A9E">
        <w:rPr>
          <w:rFonts w:eastAsia="Times New Roman" w:cs="Arial"/>
          <w:color w:val="353535"/>
          <w:sz w:val="20"/>
          <w:szCs w:val="20"/>
          <w:u w:val="single"/>
          <w:lang w:val="en"/>
        </w:rPr>
        <w:lastRenderedPageBreak/>
        <w:t>Security</w:t>
      </w:r>
      <w:r w:rsidRPr="00843A9E">
        <w:rPr>
          <w:rFonts w:eastAsia="Times New Roman" w:cs="Arial"/>
          <w:color w:val="353535"/>
          <w:sz w:val="20"/>
          <w:szCs w:val="20"/>
          <w:lang w:val="en"/>
        </w:rPr>
        <w:t>.  Security measures for authorizing access to the patient's health record must be delineated in local policy.  Only the Director, HIM, or his or her designee, may approve the physical removal of original health records from the treating facility.  Health records in file areas and other areas where health records are temporarily stored (clinic or treatment areas, record review areas, quality assurance areas, release of information, etc.) must be secured when responsible personnel are not present to ensure the security of the area and to ensure records are not accessible to unauthorized individuals.  Precautions must be taken by staff to ensure that patient records on computer screens cannot be seen by unauthorized individuals.  The use of computer privacy screens is encouraged.  All patient-identifiable waste paper and discarded materials from all departments must be shredded or disposed of in accordance with approved disposal policies and procedures of the facility.  Locked containers or shredders must be provided in employee work areas for disposal of all sensitive patient identifiable information.</w:t>
      </w:r>
    </w:p>
    <w:p w14:paraId="11B9523B" w14:textId="77777777" w:rsidR="005A5AC4" w:rsidRPr="00843A9E" w:rsidRDefault="005A5AC4" w:rsidP="004F45B6">
      <w:pPr>
        <w:numPr>
          <w:ilvl w:val="0"/>
          <w:numId w:val="124"/>
        </w:numPr>
        <w:spacing w:before="100" w:beforeAutospacing="1" w:after="100" w:afterAutospacing="1"/>
        <w:ind w:left="540"/>
        <w:rPr>
          <w:rFonts w:eastAsia="Times New Roman"/>
          <w:color w:val="353535"/>
          <w:sz w:val="20"/>
          <w:szCs w:val="20"/>
          <w:lang w:val="en"/>
        </w:rPr>
      </w:pPr>
      <w:bookmarkStart w:id="344" w:name="3-3.12H"/>
      <w:bookmarkEnd w:id="344"/>
      <w:r w:rsidRPr="00843A9E">
        <w:rPr>
          <w:rFonts w:eastAsia="Times New Roman"/>
          <w:color w:val="353535"/>
          <w:sz w:val="20"/>
          <w:szCs w:val="20"/>
          <w:u w:val="single"/>
          <w:lang w:val="en"/>
        </w:rPr>
        <w:t>Disaster Recovery Plan</w:t>
      </w:r>
      <w:r w:rsidRPr="00843A9E">
        <w:rPr>
          <w:rFonts w:eastAsia="Times New Roman"/>
          <w:color w:val="353535"/>
          <w:sz w:val="20"/>
          <w:szCs w:val="20"/>
          <w:lang w:val="en"/>
        </w:rPr>
        <w:t xml:space="preserve">.  A disaster recovery plan for protecting and recovering health records damaged or destroyed by fire, flood, or by other means must be in place at all facilities.  Staff must be knowledgeable of the overall plan, as well as their particular responsibility, in the event of natural or man-made disaster impacting normal operations.  The disaster recovery plan must emphasize that the goal is to prevent damage, but to focus on recovery of lost, damaged, or destroyed records.  The plan should include: preparation, response, and recovery with issues for consideration including, but not limited to: </w:t>
      </w:r>
    </w:p>
    <w:p w14:paraId="0D945C2E"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possible disasters causing interruption of services, for example, loss of electricity, flood, fire, or earthquake;</w:t>
      </w:r>
    </w:p>
    <w:p w14:paraId="0FA113C6"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key services (work processes) required to support patient care until normal operations are resumed, and the development of a contingency plan to provide these services;</w:t>
      </w:r>
    </w:p>
    <w:p w14:paraId="31805C36" w14:textId="421AF972" w:rsidR="005A5AC4" w:rsidRPr="00843A9E" w:rsidRDefault="00DE69BA" w:rsidP="004F45B6">
      <w:pPr>
        <w:numPr>
          <w:ilvl w:val="1"/>
          <w:numId w:val="124"/>
        </w:numPr>
        <w:spacing w:before="100" w:beforeAutospacing="1" w:after="100" w:afterAutospacing="1"/>
        <w:ind w:left="1080"/>
        <w:rPr>
          <w:rFonts w:eastAsia="Times New Roman"/>
          <w:color w:val="353535"/>
          <w:sz w:val="20"/>
          <w:szCs w:val="20"/>
          <w:lang w:val="en"/>
        </w:rPr>
      </w:pPr>
      <w:r>
        <w:rPr>
          <w:rFonts w:eastAsia="Times New Roman"/>
          <w:color w:val="353535"/>
          <w:sz w:val="20"/>
          <w:szCs w:val="20"/>
          <w:lang w:val="en"/>
        </w:rPr>
        <w:t>i</w:t>
      </w:r>
      <w:r w:rsidR="005A5AC4" w:rsidRPr="00843A9E">
        <w:rPr>
          <w:rFonts w:eastAsia="Times New Roman"/>
          <w:color w:val="353535"/>
          <w:sz w:val="20"/>
          <w:szCs w:val="20"/>
          <w:lang w:val="en"/>
        </w:rPr>
        <w:t>dentification of contingency methods to provide access to records (e.g., back up MPI) stored on paper or electronically;</w:t>
      </w:r>
    </w:p>
    <w:p w14:paraId="245E4FD2"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required immediate HIM staff action depending on the type of disaster, i.e., moving records, turning off electricity to areas, closing doors;</w:t>
      </w:r>
    </w:p>
    <w:p w14:paraId="5128FAB6"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coordinate with ancillary departments such as Admitting, ER, Risk Management, and Nursing;</w:t>
      </w:r>
    </w:p>
    <w:p w14:paraId="2C2706A3"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contract disaster recovery services vendors; and</w:t>
      </w:r>
    </w:p>
    <w:p w14:paraId="703671FB"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identification of equipment on hand or to be purchased, for example, back up generators for lighting, waterproof boxes, carts for transporting records to alternate location. </w:t>
      </w:r>
    </w:p>
    <w:p w14:paraId="73BF910F" w14:textId="77777777" w:rsidR="005A5AC4" w:rsidRPr="00843A9E" w:rsidRDefault="005A5AC4" w:rsidP="004F45B6">
      <w:pPr>
        <w:numPr>
          <w:ilvl w:val="0"/>
          <w:numId w:val="124"/>
        </w:numPr>
        <w:spacing w:before="100" w:beforeAutospacing="1" w:after="100" w:afterAutospacing="1"/>
        <w:ind w:left="540"/>
        <w:rPr>
          <w:rFonts w:eastAsia="Times New Roman"/>
          <w:color w:val="353535"/>
          <w:sz w:val="20"/>
          <w:szCs w:val="20"/>
          <w:lang w:val="en"/>
        </w:rPr>
      </w:pPr>
      <w:bookmarkStart w:id="345" w:name="3-3.12I"/>
      <w:bookmarkEnd w:id="345"/>
      <w:r w:rsidRPr="00843A9E">
        <w:rPr>
          <w:rFonts w:eastAsia="Times New Roman"/>
          <w:color w:val="353535"/>
          <w:sz w:val="20"/>
          <w:szCs w:val="20"/>
          <w:u w:val="single"/>
          <w:lang w:val="en"/>
        </w:rPr>
        <w:t>Area Disaster Recovery Services</w:t>
      </w:r>
      <w:r w:rsidRPr="00843A9E">
        <w:rPr>
          <w:rFonts w:eastAsia="Times New Roman"/>
          <w:color w:val="353535"/>
          <w:sz w:val="20"/>
          <w:szCs w:val="20"/>
          <w:lang w:val="en"/>
        </w:rPr>
        <w:t xml:space="preserve">.  Contact the Area disaster recovery vendor/contract staff and document the scope of their available services; advance arrangements must be made, with the disaster recovery vendor to provide priority service to the facility, if possible, for the facility to receive priority service. </w:t>
      </w:r>
    </w:p>
    <w:p w14:paraId="172CD56D"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Staff must know the location of the disaster recovery manual materials.</w:t>
      </w:r>
    </w:p>
    <w:p w14:paraId="2E047C82"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Routine disaster drills must be conducted.</w:t>
      </w:r>
    </w:p>
    <w:p w14:paraId="7D294CC2"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Following a disaster, document any portion(s) of patient records deemed lost, damaged, or destroyed, by noting date, data, and reason for loss in the patient record, or in a newly "created" patient record. </w:t>
      </w:r>
    </w:p>
    <w:p w14:paraId="34729DE5" w14:textId="77777777" w:rsidR="005A5AC4" w:rsidRPr="00843A9E" w:rsidRDefault="005A5AC4" w:rsidP="004F45B6">
      <w:pPr>
        <w:numPr>
          <w:ilvl w:val="0"/>
          <w:numId w:val="124"/>
        </w:numPr>
        <w:spacing w:before="100" w:beforeAutospacing="1" w:after="100" w:afterAutospacing="1"/>
        <w:ind w:left="540"/>
        <w:rPr>
          <w:rFonts w:eastAsia="Times New Roman"/>
          <w:color w:val="353535"/>
          <w:sz w:val="20"/>
          <w:szCs w:val="20"/>
          <w:lang w:val="en"/>
        </w:rPr>
      </w:pPr>
      <w:bookmarkStart w:id="346" w:name="3-3.12J"/>
      <w:bookmarkEnd w:id="346"/>
      <w:r w:rsidRPr="00843A9E">
        <w:rPr>
          <w:rFonts w:eastAsia="Times New Roman"/>
          <w:color w:val="353535"/>
          <w:sz w:val="20"/>
          <w:szCs w:val="20"/>
          <w:u w:val="single"/>
          <w:lang w:val="en"/>
        </w:rPr>
        <w:t>Continuity of Operations Plan</w:t>
      </w:r>
      <w:r w:rsidRPr="00843A9E">
        <w:rPr>
          <w:rFonts w:eastAsia="Times New Roman"/>
          <w:color w:val="353535"/>
          <w:sz w:val="20"/>
          <w:szCs w:val="20"/>
          <w:lang w:val="en"/>
        </w:rPr>
        <w:t xml:space="preserve">.  A continuity of operations plan for protecting and recovering health records damaged or destroyed by fire, flood, or by other means must be in place.  Staff must be knowledgeable of the overall plan, as well as their particular responsibility, in the event of natural or man-made disaster impacting normal operations.  The continuity of operations plan must emphasize that the goal is to prevent damage first, and then focus on recovery if records are damaged or destroyed.  The plan should include: mitigation, preparedness, response, and recovery with issues for consideration including but not limited to: </w:t>
      </w:r>
    </w:p>
    <w:p w14:paraId="2C2037EE"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possible disasters causing interruption of services, such as loss of electricity, flood, fire, or earthquake;</w:t>
      </w:r>
    </w:p>
    <w:p w14:paraId="6B0E61DA"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key services (work processes) required to support patient care until normal operations can be resumed, and the development of contingency plans to provide these services;</w:t>
      </w:r>
    </w:p>
    <w:p w14:paraId="21CCD179"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contingency methods to provide access to records, as in back up MPI, in electronically stored or paper form;</w:t>
      </w:r>
    </w:p>
    <w:p w14:paraId="498CCA60"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lastRenderedPageBreak/>
        <w:t>identification of required immediate HIM staff action according to the disaster such as moving records, turning off electricity to areas, closing doors, etc.;</w:t>
      </w:r>
    </w:p>
    <w:p w14:paraId="393CA04A"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coordination with ancillary departments such as Admitting, ER, Risk Management, and Nursing;</w:t>
      </w:r>
    </w:p>
    <w:p w14:paraId="65DE016F"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identification of contract vendors offering disaster recovery services; and</w:t>
      </w:r>
    </w:p>
    <w:p w14:paraId="10E9F544"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identification of equipment on hand or in need of purchase such as waterproof boxes, carts for transporting records to alternate location, etc. </w:t>
      </w:r>
    </w:p>
    <w:p w14:paraId="7A72E16E" w14:textId="77777777" w:rsidR="005A5AC4" w:rsidRPr="00843A9E" w:rsidRDefault="005A5AC4" w:rsidP="004F45B6">
      <w:pPr>
        <w:numPr>
          <w:ilvl w:val="0"/>
          <w:numId w:val="124"/>
        </w:numPr>
        <w:spacing w:before="100" w:beforeAutospacing="1" w:after="100" w:afterAutospacing="1"/>
        <w:ind w:left="540"/>
        <w:rPr>
          <w:rFonts w:eastAsia="Times New Roman"/>
          <w:color w:val="353535"/>
          <w:sz w:val="20"/>
          <w:szCs w:val="20"/>
          <w:lang w:val="en"/>
        </w:rPr>
      </w:pPr>
      <w:bookmarkStart w:id="347" w:name="3-3.12K"/>
      <w:bookmarkEnd w:id="347"/>
      <w:r w:rsidRPr="00843A9E">
        <w:rPr>
          <w:rFonts w:eastAsia="Times New Roman"/>
          <w:color w:val="353535"/>
          <w:sz w:val="20"/>
          <w:szCs w:val="20"/>
          <w:u w:val="single"/>
          <w:lang w:val="en"/>
        </w:rPr>
        <w:t>Area Incident Management Staff</w:t>
      </w:r>
      <w:r w:rsidRPr="00843A9E">
        <w:rPr>
          <w:rFonts w:eastAsia="Times New Roman"/>
          <w:color w:val="353535"/>
          <w:sz w:val="20"/>
          <w:szCs w:val="20"/>
          <w:lang w:val="en"/>
        </w:rPr>
        <w:t xml:space="preserve">.  Area staff with designated responsibility for supporting incidents must be contacted and the scope of their offerings must be documented; advance arrangements must be made, where possible, for the facility to receive priority service. </w:t>
      </w:r>
    </w:p>
    <w:p w14:paraId="243F2DDA"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Staff must be oriented to the location of continuity of operations plans and emergency management plans.</w:t>
      </w:r>
    </w:p>
    <w:p w14:paraId="26CEC576"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Health Information Management services should be part of routine disaster drills.</w:t>
      </w:r>
    </w:p>
    <w:p w14:paraId="6579FB5C" w14:textId="77777777" w:rsidR="005A5AC4" w:rsidRPr="00843A9E"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Following a disaster, document any portion(s) of patient records deemed irretrievable or lost, by noting date, data, and reason for loss in the patient record, or in the newly "created" patient record, if disaster is of that proportion.</w:t>
      </w:r>
    </w:p>
    <w:p w14:paraId="6952D744" w14:textId="6F26776C" w:rsidR="005A5AC4" w:rsidRPr="000D7FFC" w:rsidRDefault="005A5AC4" w:rsidP="004F45B6">
      <w:pPr>
        <w:numPr>
          <w:ilvl w:val="1"/>
          <w:numId w:val="124"/>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lang w:val="en"/>
        </w:rPr>
        <w:t xml:space="preserve">The HIM portion of the continuity of operations plan should be reviewed at least annually along with the overall plan. </w:t>
      </w:r>
    </w:p>
    <w:p w14:paraId="2A194204" w14:textId="4BB985E4" w:rsidR="005A5AC4" w:rsidRPr="00F73002" w:rsidRDefault="005A5AC4" w:rsidP="004F45B6">
      <w:pPr>
        <w:pStyle w:val="ListParagraph"/>
        <w:widowControl/>
        <w:numPr>
          <w:ilvl w:val="0"/>
          <w:numId w:val="126"/>
        </w:numPr>
        <w:autoSpaceDE/>
        <w:autoSpaceDN/>
        <w:spacing w:before="100" w:beforeAutospacing="1" w:after="100" w:afterAutospacing="1"/>
        <w:ind w:left="540"/>
        <w:contextualSpacing/>
        <w:rPr>
          <w:rFonts w:eastAsia="Times New Roman" w:cs="Arial"/>
          <w:color w:val="353535"/>
          <w:sz w:val="20"/>
          <w:szCs w:val="20"/>
          <w:lang w:val="en"/>
        </w:rPr>
      </w:pPr>
      <w:r w:rsidRPr="00F73002">
        <w:rPr>
          <w:rFonts w:eastAsia="Times New Roman" w:cs="Arial"/>
          <w:color w:val="353535"/>
          <w:sz w:val="20"/>
          <w:szCs w:val="20"/>
          <w:lang w:val="en"/>
        </w:rPr>
        <w:t>Privacy of the Patient - Patient Information.</w:t>
      </w:r>
    </w:p>
    <w:p w14:paraId="26066607" w14:textId="77777777" w:rsidR="005A5AC4" w:rsidRPr="00843A9E" w:rsidRDefault="005A5AC4" w:rsidP="004F45B6">
      <w:pPr>
        <w:numPr>
          <w:ilvl w:val="1"/>
          <w:numId w:val="125"/>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Responsibility for Privacy of the Patient</w:t>
      </w:r>
      <w:r w:rsidRPr="00843A9E">
        <w:rPr>
          <w:rFonts w:eastAsia="Times New Roman"/>
          <w:color w:val="353535"/>
          <w:sz w:val="20"/>
          <w:szCs w:val="20"/>
          <w:lang w:val="en"/>
        </w:rPr>
        <w:t xml:space="preserve">.  The patient's right to privacy is the responsibility of all employees of each IHS facility, regardless of whether direct or contract care programs.  The facility policies shall prescribe procedures that comply with the Privacy Act of 1974 and HIPAA Privacy Regulations.  The procedure should specify the following: </w:t>
      </w:r>
    </w:p>
    <w:p w14:paraId="5E84D476" w14:textId="77777777" w:rsidR="005A5AC4" w:rsidRPr="00843A9E" w:rsidRDefault="005A5AC4" w:rsidP="004F45B6">
      <w:pPr>
        <w:numPr>
          <w:ilvl w:val="2"/>
          <w:numId w:val="125"/>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Persons officially authorized to provide information that may be released to news agencies on police cases.</w:t>
      </w:r>
    </w:p>
    <w:p w14:paraId="28D79C5E" w14:textId="77777777" w:rsidR="005A5AC4" w:rsidRPr="00843A9E" w:rsidRDefault="005A5AC4" w:rsidP="004F45B6">
      <w:pPr>
        <w:numPr>
          <w:ilvl w:val="2"/>
          <w:numId w:val="125"/>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 listing of the type and amount of information that may be released to the press in other than law enforcement.</w:t>
      </w:r>
    </w:p>
    <w:p w14:paraId="72969265" w14:textId="77777777" w:rsidR="005A5AC4" w:rsidRPr="00843A9E" w:rsidRDefault="005A5AC4" w:rsidP="004F45B6">
      <w:pPr>
        <w:numPr>
          <w:ilvl w:val="2"/>
          <w:numId w:val="125"/>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All such policies shall be directed to promoting the well-being of the patient, protecting the patient's privacy, and assisting the press in covering the news.  When in doubt, the patient's right to privacy takes precedence over the public's right to know. </w:t>
      </w:r>
    </w:p>
    <w:p w14:paraId="157B1B23" w14:textId="77777777" w:rsidR="005A5AC4" w:rsidRPr="00843A9E" w:rsidRDefault="005A5AC4" w:rsidP="004F45B6">
      <w:pPr>
        <w:numPr>
          <w:ilvl w:val="1"/>
          <w:numId w:val="125"/>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Newspaper Publicity of Patients</w:t>
      </w:r>
      <w:r w:rsidRPr="00843A9E">
        <w:rPr>
          <w:rFonts w:eastAsia="Times New Roman"/>
          <w:color w:val="353535"/>
          <w:sz w:val="20"/>
          <w:szCs w:val="20"/>
          <w:lang w:val="en"/>
        </w:rPr>
        <w:t xml:space="preserve">.  Indian Health Service personnel shall not release detailed information to the press and shall not permit photographs of the patient without the signed authorization of the patient or his or her authorized representative.  Such authorizations shall become a part of the patient's health record.  Photographs shall be placed in an envelope and properly identified with patient name, health record number, and date photograph was taken. </w:t>
      </w:r>
    </w:p>
    <w:p w14:paraId="2ECCDDAA" w14:textId="77777777" w:rsidR="005A5AC4" w:rsidRPr="00843A9E" w:rsidRDefault="005A5AC4" w:rsidP="004F45B6">
      <w:pPr>
        <w:numPr>
          <w:ilvl w:val="2"/>
          <w:numId w:val="125"/>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Information may be used or disclosed from the IHS hospital directory in response to an inquiry about a named individual from a member of the general public to establish the individual's presence (and location when needed for visitation purposes) or to report the individual's condition while hospitalized (e.g., satisfactory or stable), unless the individual objects to disclosure of this information.  (Refer to IHS HIPAA P&amp;P For Use and Disclosure for Directory Purposes.)</w:t>
      </w:r>
    </w:p>
    <w:p w14:paraId="04609555" w14:textId="77777777" w:rsidR="005A5AC4" w:rsidRPr="00843A9E" w:rsidRDefault="005A5AC4" w:rsidP="004F45B6">
      <w:pPr>
        <w:numPr>
          <w:ilvl w:val="2"/>
          <w:numId w:val="125"/>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The presence of a patient being treated for alcohol or drug abuse shall not be disclosed without the patient's consent. This prohibition includes evaluation, counseling, or treatment of abuse or addiction, and medical or surgical treatment of conditions that are a known direct result of alcohol or drug abuse. </w:t>
      </w:r>
    </w:p>
    <w:p w14:paraId="084D97CD" w14:textId="77777777" w:rsidR="005A5AC4" w:rsidRPr="00843A9E" w:rsidRDefault="005A5AC4" w:rsidP="004F45B6">
      <w:pPr>
        <w:keepNext/>
        <w:keepLines/>
        <w:numPr>
          <w:ilvl w:val="1"/>
          <w:numId w:val="125"/>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lastRenderedPageBreak/>
        <w:t>Photographs of Patients</w:t>
      </w:r>
      <w:r w:rsidRPr="00843A9E">
        <w:rPr>
          <w:rFonts w:eastAsia="Times New Roman"/>
          <w:color w:val="353535"/>
          <w:sz w:val="20"/>
          <w:szCs w:val="20"/>
          <w:lang w:val="en"/>
        </w:rPr>
        <w:t xml:space="preserve">.  The signed authorization of the patient shall be obtained when the hospital or any person desires to take a photograph of a patient or any part of the body of a patient for any purpose whatsoever.  The Authorization for Administration of Anesthesia and for Performance of Operations or Other Procedures form (IHS-515) is required for any pictures, films, etc., that are included in the health record.  All media that capture and/or store patient health information are considered part of the health record and are, therefore, subject to confidentiality regulations.  The original or copy of the signed consent becomes a part of the patient's health record. </w:t>
      </w:r>
    </w:p>
    <w:p w14:paraId="23C5569C" w14:textId="77777777" w:rsidR="005A5AC4" w:rsidRPr="00843A9E" w:rsidRDefault="005A5AC4" w:rsidP="004F45B6">
      <w:pPr>
        <w:numPr>
          <w:ilvl w:val="2"/>
          <w:numId w:val="125"/>
        </w:numPr>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Clinical Photography</w:t>
      </w:r>
      <w:r w:rsidRPr="00843A9E">
        <w:rPr>
          <w:rFonts w:eastAsia="Times New Roman"/>
          <w:color w:val="353535"/>
          <w:sz w:val="20"/>
          <w:szCs w:val="20"/>
          <w:lang w:val="en"/>
        </w:rPr>
        <w:t>.  Permission is not required for photographing surgical or postmortem specimens, if the identity of the patient is not to be revealed.</w:t>
      </w:r>
    </w:p>
    <w:p w14:paraId="380BF0BA" w14:textId="0C8D8BC7" w:rsidR="005A5AC4" w:rsidRPr="00F73002" w:rsidRDefault="005A5AC4" w:rsidP="004F45B6">
      <w:pPr>
        <w:numPr>
          <w:ilvl w:val="2"/>
          <w:numId w:val="125"/>
        </w:numPr>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Television, Video, Motion Pictures</w:t>
      </w:r>
      <w:r w:rsidRPr="00843A9E">
        <w:rPr>
          <w:rFonts w:eastAsia="Times New Roman"/>
          <w:color w:val="353535"/>
          <w:sz w:val="20"/>
          <w:szCs w:val="20"/>
          <w:lang w:val="en"/>
        </w:rPr>
        <w:t xml:space="preserve">.  The Authorization to Produce and Use Audiovisual Materials form (IHS-859) is required for photographs, movies, video and audio tapes taken of the patient.  Unless there is an express agreement to deliver the photograph or the negative to the patient, the patient has no basis for claiming possession of either, but has the right to a copy if Privacy Act and HIPAA Privacy policies are followed. </w:t>
      </w:r>
    </w:p>
    <w:p w14:paraId="3D1ED435" w14:textId="2D37F5DC" w:rsidR="005A5AC4" w:rsidRPr="00F73002" w:rsidRDefault="005A5AC4" w:rsidP="005A5AC4">
      <w:pPr>
        <w:spacing w:before="100" w:beforeAutospacing="1" w:after="100" w:afterAutospacing="1"/>
        <w:rPr>
          <w:rFonts w:eastAsia="Times New Roman"/>
          <w:b/>
          <w:bCs/>
          <w:color w:val="353535"/>
          <w:sz w:val="20"/>
          <w:szCs w:val="20"/>
          <w:lang w:val="en"/>
        </w:rPr>
      </w:pPr>
      <w:r w:rsidRPr="00F73002">
        <w:rPr>
          <w:rFonts w:eastAsia="Times New Roman"/>
          <w:b/>
          <w:bCs/>
          <w:color w:val="353535"/>
          <w:sz w:val="20"/>
          <w:szCs w:val="20"/>
          <w:lang w:val="en"/>
        </w:rPr>
        <w:t>3-3.13 CONSENTS TO MEDICAL AND SURGICAL PROCEDURES</w:t>
      </w:r>
    </w:p>
    <w:p w14:paraId="62BFB76A" w14:textId="77777777" w:rsidR="005A5AC4" w:rsidRPr="00843A9E" w:rsidRDefault="005A5AC4" w:rsidP="004F45B6">
      <w:pPr>
        <w:numPr>
          <w:ilvl w:val="0"/>
          <w:numId w:val="127"/>
        </w:numPr>
        <w:tabs>
          <w:tab w:val="clear" w:pos="720"/>
        </w:tabs>
        <w:spacing w:before="100" w:beforeAutospacing="1" w:after="100" w:afterAutospacing="1"/>
        <w:ind w:left="540"/>
        <w:rPr>
          <w:rFonts w:eastAsia="Times New Roman"/>
          <w:color w:val="353535"/>
          <w:sz w:val="20"/>
          <w:szCs w:val="20"/>
          <w:lang w:val="en"/>
        </w:rPr>
      </w:pPr>
      <w:bookmarkStart w:id="348" w:name="3-3.13A"/>
      <w:bookmarkEnd w:id="348"/>
      <w:r w:rsidRPr="00843A9E">
        <w:rPr>
          <w:rFonts w:eastAsia="Times New Roman"/>
          <w:color w:val="353535"/>
          <w:sz w:val="20"/>
          <w:szCs w:val="20"/>
          <w:u w:val="single"/>
          <w:lang w:val="en"/>
        </w:rPr>
        <w:t>Characteristics of an Informed Consent</w:t>
      </w:r>
      <w:r w:rsidRPr="00843A9E">
        <w:rPr>
          <w:rFonts w:eastAsia="Times New Roman"/>
          <w:color w:val="353535"/>
          <w:sz w:val="20"/>
          <w:szCs w:val="20"/>
          <w:lang w:val="en"/>
        </w:rPr>
        <w:t xml:space="preserve">.  All health records must include evidence that informed consent was obtained from the patient or personal representative prior to undertaking any treatment or procedure.  Separate, specific, and informed consent is required for any aspect of treatment or procedure that involves research.  In addition, documentation in the health record must comply with accreditation/certification standards. </w:t>
      </w:r>
    </w:p>
    <w:p w14:paraId="6FEC4641" w14:textId="77777777" w:rsidR="005A5AC4" w:rsidRPr="00843A9E" w:rsidRDefault="005A5AC4" w:rsidP="004F45B6">
      <w:pPr>
        <w:numPr>
          <w:ilvl w:val="1"/>
          <w:numId w:val="127"/>
        </w:numPr>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Knowledge Before Signing</w:t>
      </w:r>
      <w:r w:rsidRPr="00843A9E">
        <w:rPr>
          <w:rFonts w:eastAsia="Times New Roman"/>
          <w:color w:val="353535"/>
          <w:sz w:val="20"/>
          <w:szCs w:val="20"/>
          <w:lang w:val="en"/>
        </w:rPr>
        <w:t>.  The procedure to be performed must be explained in laymen's terms to the patient by the health care provider, so that the patient knows which procedure is being consented to; knows specifically what is to be done; knows the expected results; understands the risks involved; knows the type of anesthesia involved; and is aware of alternative procedures.  At the time of explanation and signing, the patient must not be under the influence of anesthetic or sedation.  If the patient does not understand English, the consent should be explained by an interpreter who must sign as a witness.</w:t>
      </w:r>
    </w:p>
    <w:p w14:paraId="56502944"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Content</w:t>
      </w:r>
      <w:r w:rsidRPr="00843A9E">
        <w:rPr>
          <w:rFonts w:eastAsia="Times New Roman"/>
          <w:color w:val="353535"/>
          <w:sz w:val="20"/>
          <w:szCs w:val="20"/>
          <w:lang w:val="en"/>
        </w:rPr>
        <w:t xml:space="preserve">.  An informed consent document must include the following information: </w:t>
      </w:r>
    </w:p>
    <w:p w14:paraId="5C4C0711"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Name of the facility in which the operation or procedure is to be performed, and the time and date the consent is signed;</w:t>
      </w:r>
    </w:p>
    <w:p w14:paraId="6BB8108F"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Name of provider to perform the procedure;</w:t>
      </w:r>
    </w:p>
    <w:p w14:paraId="0F6021AF"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Name of the patient on whom operation or procedure is to bed performed;</w:t>
      </w:r>
    </w:p>
    <w:p w14:paraId="75F8E10E"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Statement of the nature of the operation or procedure to be performed;</w:t>
      </w:r>
    </w:p>
    <w:p w14:paraId="67DED5E9"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Statement by patient, parent, or guardian, of procedure, risks, and alternatives as the patient understands it.  If written by the provider, it must be in laymen's terms;</w:t>
      </w:r>
    </w:p>
    <w:p w14:paraId="6AC14759"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Authorization to perform such additional operations or procedures considered necessary or desirable in the judgment of the surgeon or provider;</w:t>
      </w:r>
    </w:p>
    <w:p w14:paraId="13DB1D44"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Consent to dispose of tissues or amputated parts removed at operation;</w:t>
      </w:r>
    </w:p>
    <w:p w14:paraId="57FE7DD0"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Authorization for taking photographs in the course of treatment for the purpose of advancing medical knowledge;</w:t>
      </w:r>
    </w:p>
    <w:p w14:paraId="592D72AC"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Signature of patient or personal representative authorized to give consent on patient's behalf; and</w:t>
      </w:r>
    </w:p>
    <w:p w14:paraId="3F950FB8"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Signature of the witness. </w:t>
      </w:r>
    </w:p>
    <w:p w14:paraId="5488DA83"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Length of Validity of Consent</w:t>
      </w:r>
      <w:r w:rsidRPr="00843A9E">
        <w:rPr>
          <w:rFonts w:eastAsia="Times New Roman"/>
          <w:color w:val="353535"/>
          <w:sz w:val="20"/>
          <w:szCs w:val="20"/>
          <w:lang w:val="en"/>
        </w:rPr>
        <w:t>.  Consents are considered to be valid for a reasonable time after signing.  There is no specific limitation in hours or days after which a new consent must be obtained.  As a matter of policy, no consent is deemed valid after the patient has been discharged.</w:t>
      </w:r>
    </w:p>
    <w:p w14:paraId="2133B72C" w14:textId="77777777" w:rsidR="005A5AC4" w:rsidRPr="00843A9E" w:rsidRDefault="005A5AC4" w:rsidP="004F45B6">
      <w:pPr>
        <w:keepNext/>
        <w:keepLines/>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lastRenderedPageBreak/>
        <w:t>Emergency Procedure Without Consent</w:t>
      </w:r>
      <w:r w:rsidRPr="00843A9E">
        <w:rPr>
          <w:rFonts w:eastAsia="Times New Roman"/>
          <w:color w:val="353535"/>
          <w:sz w:val="20"/>
          <w:szCs w:val="20"/>
          <w:lang w:val="en"/>
        </w:rPr>
        <w:t xml:space="preserve">.  A procedure may be performed when immediate surgery is necessary and the patient's state is such that he or she cannot rationally consent, or where delay in obtaining the consent of the parent or guardian poses a serious risk to the patient.  Verbal or telephone consent, if obtained, shall be documented in the health record by the responsible practitioner.  When a surgeon operates under such circumstances, the surgeon shall document in the patient's record: </w:t>
      </w:r>
    </w:p>
    <w:p w14:paraId="5806D5D2"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that an immediate operation was necessary;</w:t>
      </w:r>
    </w:p>
    <w:p w14:paraId="1945B408"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that consent could not be obtained from the patient or from any person authorized to act for the patient;</w:t>
      </w:r>
    </w:p>
    <w:p w14:paraId="2218491C"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that the operation performed was necessary to save the patient's life; or</w:t>
      </w:r>
    </w:p>
    <w:p w14:paraId="18B9857A"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lang w:val="en"/>
        </w:rPr>
        <w:t xml:space="preserve">that delay might involve serious risk to the patient. </w:t>
      </w:r>
    </w:p>
    <w:p w14:paraId="204245AE" w14:textId="77777777" w:rsidR="005A5AC4" w:rsidRPr="00843A9E" w:rsidRDefault="005A5AC4" w:rsidP="004F45B6">
      <w:pPr>
        <w:numPr>
          <w:ilvl w:val="0"/>
          <w:numId w:val="127"/>
        </w:numPr>
        <w:tabs>
          <w:tab w:val="clear" w:pos="720"/>
        </w:tabs>
        <w:spacing w:before="100" w:beforeAutospacing="1" w:after="100" w:afterAutospacing="1"/>
        <w:ind w:left="540"/>
        <w:rPr>
          <w:rFonts w:eastAsia="Times New Roman"/>
          <w:color w:val="353535"/>
          <w:sz w:val="20"/>
          <w:szCs w:val="20"/>
          <w:lang w:val="en"/>
        </w:rPr>
      </w:pPr>
      <w:bookmarkStart w:id="349" w:name="3-3.13B"/>
      <w:bookmarkEnd w:id="349"/>
      <w:r w:rsidRPr="00843A9E">
        <w:rPr>
          <w:rFonts w:eastAsia="Times New Roman"/>
          <w:color w:val="353535"/>
          <w:sz w:val="20"/>
          <w:szCs w:val="20"/>
          <w:u w:val="single"/>
          <w:lang w:val="en"/>
        </w:rPr>
        <w:t>Consent Form</w:t>
      </w:r>
      <w:r w:rsidRPr="00843A9E">
        <w:rPr>
          <w:rFonts w:eastAsia="Times New Roman"/>
          <w:color w:val="353535"/>
          <w:sz w:val="20"/>
          <w:szCs w:val="20"/>
          <w:lang w:val="en"/>
        </w:rPr>
        <w:t xml:space="preserve">.  The Authorization for Administration of Anesthesia and For Performance of Operations or Other Procedures consent form (IHS-515) shall be used in all IHS facilities.  The age of majority for consent to medical and surgical procedures is in accordance with State laws. Minors may consent to care and treatment in specific categories such as sexually transmitted disease, family planning (Refer to 3-13, Maternal Child Health, IHM), or alcohol/substance abuse counseling and treatment.  Exception: Elective sterilization may not be consented to, or performed on, any patient prior to age 21 according to regulations regarding Federal funding of elective sterilizations.  Patient consent shall be obtained for the following procedures: </w:t>
      </w:r>
    </w:p>
    <w:p w14:paraId="2977EC12"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Major and Minor Surgery</w:t>
      </w:r>
      <w:r w:rsidRPr="00843A9E">
        <w:rPr>
          <w:rFonts w:eastAsia="Times New Roman"/>
          <w:color w:val="353535"/>
          <w:sz w:val="20"/>
          <w:szCs w:val="20"/>
          <w:lang w:val="en"/>
        </w:rPr>
        <w:t>.  Anesthesia; non-surgical procedures that involve more than a slight risk of harm to the patient or that involve risk of a change in the patient's body structure; x-ray therapy; intravenous pyelograms; and all other procedures determined by the medical staff to require a specific explanation to the patient.</w:t>
      </w:r>
    </w:p>
    <w:p w14:paraId="78A8296E"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Outpatient and Inpatient Care</w:t>
      </w:r>
      <w:r w:rsidRPr="00843A9E">
        <w:rPr>
          <w:rFonts w:eastAsia="Times New Roman"/>
          <w:color w:val="353535"/>
          <w:sz w:val="20"/>
          <w:szCs w:val="20"/>
          <w:lang w:val="en"/>
        </w:rPr>
        <w:t>.  Competent adult patients who present themselves for treatment as either outpatients or inpatients consent to the ordinary diagnostic and therapeutic measures used by physicians and other medical personnel; it may be assumed that they know in general that their diagnosis and treatment may entail several procedures and that their request for treatment would include the willingness to submit to these ordinary procedures.  It is recommended that each facility's medical staff create lists of invasive and non-invasive procedures performed at the respective facility requiring informed consent.</w:t>
      </w:r>
    </w:p>
    <w:p w14:paraId="664A5852"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Immunizations</w:t>
      </w:r>
      <w:r w:rsidRPr="00843A9E">
        <w:rPr>
          <w:rFonts w:eastAsia="Times New Roman"/>
          <w:color w:val="353535"/>
          <w:sz w:val="20"/>
          <w:szCs w:val="20"/>
          <w:lang w:val="en"/>
        </w:rPr>
        <w:t>.  Where State or Federal law requires a written consent for administration of certain vaccines, the consent shall be obtained prior to vaccination of a patient.</w:t>
      </w:r>
    </w:p>
    <w:p w14:paraId="4D2B2944" w14:textId="77777777" w:rsidR="005A5AC4" w:rsidRPr="00843A9E" w:rsidRDefault="005A5AC4" w:rsidP="004F45B6">
      <w:pPr>
        <w:numPr>
          <w:ilvl w:val="1"/>
          <w:numId w:val="127"/>
        </w:numPr>
        <w:tabs>
          <w:tab w:val="clear" w:pos="1440"/>
        </w:tabs>
        <w:spacing w:before="100" w:beforeAutospacing="1" w:after="100" w:afterAutospacing="1"/>
        <w:ind w:left="1080"/>
        <w:rPr>
          <w:rFonts w:eastAsia="Times New Roman"/>
          <w:color w:val="353535"/>
          <w:sz w:val="20"/>
          <w:szCs w:val="20"/>
          <w:lang w:val="en"/>
        </w:rPr>
      </w:pPr>
      <w:r w:rsidRPr="00843A9E">
        <w:rPr>
          <w:rFonts w:eastAsia="Times New Roman"/>
          <w:color w:val="353535"/>
          <w:sz w:val="20"/>
          <w:szCs w:val="20"/>
          <w:u w:val="single"/>
          <w:lang w:val="en"/>
        </w:rPr>
        <w:t>Consent for Operative Procedures</w:t>
      </w:r>
      <w:r w:rsidRPr="00843A9E">
        <w:rPr>
          <w:rFonts w:eastAsia="Times New Roman"/>
          <w:color w:val="353535"/>
          <w:sz w:val="20"/>
          <w:szCs w:val="20"/>
          <w:lang w:val="en"/>
        </w:rPr>
        <w:t xml:space="preserve">.  The consent or refusal for consent shall be made a part of the health record. </w:t>
      </w:r>
    </w:p>
    <w:p w14:paraId="0BDAE9A0"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Consent for Surgery</w:t>
      </w:r>
      <w:r w:rsidRPr="00843A9E">
        <w:rPr>
          <w:rFonts w:eastAsia="Times New Roman"/>
          <w:color w:val="353535"/>
          <w:sz w:val="20"/>
          <w:szCs w:val="20"/>
          <w:lang w:val="en"/>
        </w:rPr>
        <w:t>.  Except in emergencies when the patient is physically or mentally incapable of consenting or when the delay required to obtain the consent of natural parents or legal guardians would seriously endanger the patient's health, no operative procedure shall be undertaken unless the patient (or in the case of a minor or incompetent, that person's natural or legal guardian) gives informed consent; nor shall any major operative procedure or the administration of preoperative medication or a general anesthetic be undertaken unless informed consent has been obtained in writing.</w:t>
      </w:r>
    </w:p>
    <w:p w14:paraId="68416362"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Consent for Administration of Anesthesia</w:t>
      </w:r>
      <w:r w:rsidRPr="00843A9E">
        <w:rPr>
          <w:rFonts w:eastAsia="Times New Roman"/>
          <w:color w:val="353535"/>
          <w:sz w:val="20"/>
          <w:szCs w:val="20"/>
          <w:lang w:val="en"/>
        </w:rPr>
        <w:t>.  The patient's written informed consent is required for the administration of general or spinal anesthesia.  The patient must be informed in laymen's terms of the procedure to be performed and the risks involved.  The surgeon performing the procedure is responsible for obtaining the consent.  The witness to the consent form shall not be a member of the operating team.</w:t>
      </w:r>
    </w:p>
    <w:p w14:paraId="2F8E92A6"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Cesarean Section</w:t>
      </w:r>
      <w:r w:rsidRPr="00843A9E">
        <w:rPr>
          <w:rFonts w:eastAsia="Times New Roman"/>
          <w:color w:val="353535"/>
          <w:sz w:val="20"/>
          <w:szCs w:val="20"/>
          <w:lang w:val="en"/>
        </w:rPr>
        <w:t>.  Only the consent of the patient is necessary. The signed authorization becomes a part of the health record.  In emergency cases where the life of the mother and/or child is threatened and the mother is unable to provide written consent, the provider should obtain oral consent from the mother and document the consent in the health record.  If, in addition, the mother is unconscious or otherwise unable to provide informed consent, and a spouse or other appropriate family member is unavailable to provide consent, then no consent is required, however, the basis for proceeding with the cesarean section without consent should be documented in the health record.</w:t>
      </w:r>
    </w:p>
    <w:p w14:paraId="0B9CC14D"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lastRenderedPageBreak/>
        <w:t>Sterilization</w:t>
      </w:r>
      <w:r w:rsidRPr="00843A9E">
        <w:rPr>
          <w:rFonts w:eastAsia="Times New Roman"/>
          <w:color w:val="353535"/>
          <w:sz w:val="20"/>
          <w:szCs w:val="20"/>
          <w:lang w:val="en"/>
        </w:rPr>
        <w:t>.  An individual desiring sterilization that is not medically indicated because of specific pathology involving reproductive organs must be 21 years or older and mentally competent.  A full explanation, both orally and in writing, shall be furnished of the procedure to be followed, risks and subsequent discomforts, benefits to be expected, and alternative methods of family planning.  The individual shall be informed that a decision against sterilization will not prejudice future care or treatment. A sterilization procedure will not be performed for 30 days following execution of an informed consent nor more than 180 days after consent is executed (42 CFR 50.201,202,203).  An individual may consent to be sterilized at the time of a premature delivery or emergency abdominal surgery, if at least 72 hours have passed since he or she gave informed consent for the sterilization.  In the case of premature delivery, the informed consent must have been given at least 30 days before the expected date of delivery.  A separate Consent for Anesthesia and Surgery must be signed immediately prior to the surgery.  This is an additional consent to meet requirements for the surgical procedure itself. (Refer to Part 3, Chapter 13, Section 12F(5), Maternal and Child Health IHM.)</w:t>
      </w:r>
    </w:p>
    <w:p w14:paraId="17B05608" w14:textId="77777777" w:rsidR="005A5AC4" w:rsidRPr="00843A9E"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Special Therapy</w:t>
      </w:r>
      <w:r w:rsidRPr="00843A9E">
        <w:rPr>
          <w:rFonts w:eastAsia="Times New Roman"/>
          <w:color w:val="353535"/>
          <w:sz w:val="20"/>
          <w:szCs w:val="20"/>
          <w:lang w:val="en"/>
        </w:rPr>
        <w:t>.  Consideration should be given to the need for consent in the event that the patient is given therapy that may be hazardous. The patient shall be informed and it should be documented in the health record.</w:t>
      </w:r>
    </w:p>
    <w:p w14:paraId="626BB92B" w14:textId="68E9121E" w:rsidR="005A5AC4" w:rsidRDefault="005A5AC4" w:rsidP="004F45B6">
      <w:pPr>
        <w:numPr>
          <w:ilvl w:val="2"/>
          <w:numId w:val="127"/>
        </w:numPr>
        <w:tabs>
          <w:tab w:val="clear" w:pos="2160"/>
        </w:tabs>
        <w:spacing w:before="100" w:beforeAutospacing="1" w:after="100" w:afterAutospacing="1"/>
        <w:ind w:left="1620"/>
        <w:rPr>
          <w:rFonts w:eastAsia="Times New Roman"/>
          <w:color w:val="353535"/>
          <w:sz w:val="20"/>
          <w:szCs w:val="20"/>
          <w:lang w:val="en"/>
        </w:rPr>
      </w:pPr>
      <w:r w:rsidRPr="00843A9E">
        <w:rPr>
          <w:rFonts w:eastAsia="Times New Roman"/>
          <w:color w:val="353535"/>
          <w:sz w:val="20"/>
          <w:szCs w:val="20"/>
          <w:u w:val="single"/>
          <w:lang w:val="en"/>
        </w:rPr>
        <w:t>Special Situations</w:t>
      </w:r>
      <w:r w:rsidRPr="00843A9E">
        <w:rPr>
          <w:rFonts w:eastAsia="Times New Roman"/>
          <w:color w:val="353535"/>
          <w:sz w:val="20"/>
          <w:szCs w:val="20"/>
          <w:lang w:val="en"/>
        </w:rPr>
        <w:t xml:space="preserve">.  In certain special situations, additional procedures and documentation are required. These include consent for unusual or extremely hazardous treatments or procedures, forced administration of psychotropic drugs, testing and treatment for HIV, and research. These are also specific notice and documentation requirements for medical emergencies and for the release of evidentiary information from the health record when the practitioner suspects the patient might have been subject to abuse or neglect. </w:t>
      </w:r>
    </w:p>
    <w:p w14:paraId="3F49A665" w14:textId="77777777" w:rsidR="00247063" w:rsidRDefault="00247063" w:rsidP="00154525">
      <w:pPr>
        <w:spacing w:before="100" w:beforeAutospacing="1" w:after="100" w:afterAutospacing="1"/>
        <w:rPr>
          <w:rFonts w:eastAsia="Times New Roman"/>
          <w:color w:val="353535"/>
          <w:sz w:val="20"/>
          <w:szCs w:val="20"/>
          <w:lang w:val="en"/>
        </w:rPr>
      </w:pPr>
    </w:p>
    <w:p w14:paraId="2ED7BAD0" w14:textId="77777777" w:rsidR="00F01E75" w:rsidRDefault="00F01E75" w:rsidP="00154525">
      <w:pPr>
        <w:spacing w:before="100" w:beforeAutospacing="1" w:after="100" w:afterAutospacing="1"/>
        <w:rPr>
          <w:rFonts w:eastAsia="Times New Roman"/>
          <w:color w:val="353535"/>
          <w:sz w:val="20"/>
          <w:szCs w:val="20"/>
          <w:lang w:val="en"/>
        </w:rPr>
      </w:pPr>
    </w:p>
    <w:p w14:paraId="52A551F2" w14:textId="77777777" w:rsidR="00F01E75" w:rsidRDefault="00F01E75" w:rsidP="00154525">
      <w:pPr>
        <w:spacing w:before="100" w:beforeAutospacing="1" w:after="100" w:afterAutospacing="1"/>
        <w:rPr>
          <w:rFonts w:eastAsia="Times New Roman"/>
          <w:color w:val="353535"/>
          <w:sz w:val="20"/>
          <w:szCs w:val="20"/>
          <w:lang w:val="en"/>
        </w:rPr>
      </w:pPr>
    </w:p>
    <w:p w14:paraId="26BAB659" w14:textId="77777777" w:rsidR="00F01E75" w:rsidRDefault="00F01E75" w:rsidP="00154525">
      <w:pPr>
        <w:spacing w:before="100" w:beforeAutospacing="1" w:after="100" w:afterAutospacing="1"/>
        <w:rPr>
          <w:rFonts w:eastAsia="Times New Roman"/>
          <w:color w:val="353535"/>
          <w:sz w:val="20"/>
          <w:szCs w:val="20"/>
          <w:lang w:val="en"/>
        </w:rPr>
      </w:pPr>
    </w:p>
    <w:p w14:paraId="5CC5982C" w14:textId="77777777" w:rsidR="00F01E75" w:rsidRDefault="00F01E75" w:rsidP="00154525">
      <w:pPr>
        <w:spacing w:before="100" w:beforeAutospacing="1" w:after="100" w:afterAutospacing="1"/>
        <w:rPr>
          <w:rFonts w:eastAsia="Times New Roman"/>
          <w:color w:val="353535"/>
          <w:sz w:val="20"/>
          <w:szCs w:val="20"/>
          <w:lang w:val="en"/>
        </w:rPr>
      </w:pPr>
    </w:p>
    <w:p w14:paraId="73FA39D9" w14:textId="77777777" w:rsidR="00F01E75" w:rsidRDefault="00F01E75" w:rsidP="00154525">
      <w:pPr>
        <w:spacing w:before="100" w:beforeAutospacing="1" w:after="100" w:afterAutospacing="1"/>
        <w:rPr>
          <w:rFonts w:eastAsia="Times New Roman"/>
          <w:color w:val="353535"/>
          <w:sz w:val="20"/>
          <w:szCs w:val="20"/>
          <w:lang w:val="en"/>
        </w:rPr>
      </w:pPr>
    </w:p>
    <w:p w14:paraId="0D6E6DC7" w14:textId="77777777" w:rsidR="00F01E75" w:rsidRDefault="00F01E75" w:rsidP="00154525">
      <w:pPr>
        <w:spacing w:before="100" w:beforeAutospacing="1" w:after="100" w:afterAutospacing="1"/>
        <w:rPr>
          <w:rFonts w:eastAsia="Times New Roman"/>
          <w:color w:val="353535"/>
          <w:sz w:val="20"/>
          <w:szCs w:val="20"/>
          <w:lang w:val="en"/>
        </w:rPr>
      </w:pPr>
    </w:p>
    <w:p w14:paraId="2FBACF67" w14:textId="77777777" w:rsidR="00F01E75" w:rsidRDefault="00F01E75" w:rsidP="00154525">
      <w:pPr>
        <w:spacing w:before="100" w:beforeAutospacing="1" w:after="100" w:afterAutospacing="1"/>
        <w:rPr>
          <w:rFonts w:eastAsia="Times New Roman"/>
          <w:color w:val="353535"/>
          <w:sz w:val="20"/>
          <w:szCs w:val="20"/>
          <w:lang w:val="en"/>
        </w:rPr>
      </w:pPr>
    </w:p>
    <w:p w14:paraId="79CA4324" w14:textId="77777777" w:rsidR="00F01E75" w:rsidRDefault="00F01E75" w:rsidP="00154525">
      <w:pPr>
        <w:spacing w:before="100" w:beforeAutospacing="1" w:after="100" w:afterAutospacing="1"/>
        <w:rPr>
          <w:rFonts w:eastAsia="Times New Roman"/>
          <w:color w:val="353535"/>
          <w:sz w:val="20"/>
          <w:szCs w:val="20"/>
          <w:lang w:val="en"/>
        </w:rPr>
      </w:pPr>
    </w:p>
    <w:p w14:paraId="1AF31486" w14:textId="77777777" w:rsidR="00F01E75" w:rsidRDefault="00F01E75" w:rsidP="00154525">
      <w:pPr>
        <w:spacing w:before="100" w:beforeAutospacing="1" w:after="100" w:afterAutospacing="1"/>
        <w:rPr>
          <w:rFonts w:eastAsia="Times New Roman"/>
          <w:color w:val="353535"/>
          <w:sz w:val="20"/>
          <w:szCs w:val="20"/>
          <w:lang w:val="en"/>
        </w:rPr>
      </w:pPr>
    </w:p>
    <w:p w14:paraId="62B9991E" w14:textId="77777777" w:rsidR="00F01E75" w:rsidRDefault="00F01E75" w:rsidP="00154525">
      <w:pPr>
        <w:spacing w:before="100" w:beforeAutospacing="1" w:after="100" w:afterAutospacing="1"/>
        <w:rPr>
          <w:rFonts w:eastAsia="Times New Roman"/>
          <w:color w:val="353535"/>
          <w:sz w:val="20"/>
          <w:szCs w:val="20"/>
          <w:lang w:val="en"/>
        </w:rPr>
      </w:pPr>
    </w:p>
    <w:p w14:paraId="376A5858" w14:textId="77777777" w:rsidR="00F01E75" w:rsidRDefault="00F01E75" w:rsidP="00154525">
      <w:pPr>
        <w:spacing w:before="100" w:beforeAutospacing="1" w:after="100" w:afterAutospacing="1"/>
        <w:rPr>
          <w:rFonts w:eastAsia="Times New Roman"/>
          <w:color w:val="353535"/>
          <w:sz w:val="20"/>
          <w:szCs w:val="20"/>
          <w:lang w:val="en"/>
        </w:rPr>
      </w:pPr>
    </w:p>
    <w:p w14:paraId="7FF52247" w14:textId="77777777" w:rsidR="00F01E75" w:rsidRDefault="00F01E75" w:rsidP="00154525">
      <w:pPr>
        <w:spacing w:before="100" w:beforeAutospacing="1" w:after="100" w:afterAutospacing="1"/>
        <w:rPr>
          <w:rFonts w:eastAsia="Times New Roman"/>
          <w:color w:val="353535"/>
          <w:sz w:val="20"/>
          <w:szCs w:val="20"/>
          <w:lang w:val="en"/>
        </w:rPr>
      </w:pPr>
    </w:p>
    <w:p w14:paraId="0D199352" w14:textId="5FB8C2A1" w:rsidR="00F01E75" w:rsidRDefault="00F01E75" w:rsidP="00181795">
      <w:pPr>
        <w:pStyle w:val="Heading1"/>
        <w:rPr>
          <w:lang w:val="en"/>
        </w:rPr>
      </w:pPr>
      <w:bookmarkStart w:id="350" w:name="_Hlk166251517"/>
      <w:bookmarkStart w:id="351" w:name="_Toc166834427"/>
      <w:r>
        <w:rPr>
          <w:lang w:val="en"/>
        </w:rPr>
        <w:lastRenderedPageBreak/>
        <w:t>Learning</w:t>
      </w:r>
      <w:r w:rsidR="000712C0">
        <w:rPr>
          <w:lang w:val="en"/>
        </w:rPr>
        <w:t xml:space="preserve"> &amp; Support</w:t>
      </w:r>
      <w:r>
        <w:rPr>
          <w:lang w:val="en"/>
        </w:rPr>
        <w:t xml:space="preserve"> Resources</w:t>
      </w:r>
      <w:bookmarkEnd w:id="351"/>
    </w:p>
    <w:p w14:paraId="4B2112D5" w14:textId="4B12F2BC" w:rsidR="000712C0" w:rsidRDefault="00BC300E" w:rsidP="00AC0360">
      <w:pPr>
        <w:pStyle w:val="BodyText"/>
        <w:rPr>
          <w:rFonts w:eastAsia="Times New Roman"/>
          <w:b/>
          <w:bCs/>
          <w:color w:val="353535"/>
          <w:sz w:val="44"/>
          <w:szCs w:val="44"/>
          <w:lang w:val="en"/>
        </w:rPr>
      </w:pPr>
      <w:r>
        <w:rPr>
          <w:rStyle w:val="normaltextrun"/>
          <w:color w:val="000000"/>
          <w:sz w:val="20"/>
          <w:szCs w:val="20"/>
          <w:shd w:val="clear" w:color="auto" w:fill="FFFFFF"/>
        </w:rPr>
        <w:t>Contacts and l</w:t>
      </w:r>
      <w:r w:rsidR="000712C0">
        <w:rPr>
          <w:rStyle w:val="normaltextrun"/>
          <w:color w:val="000000"/>
          <w:sz w:val="20"/>
          <w:szCs w:val="20"/>
          <w:shd w:val="clear" w:color="auto" w:fill="FFFFFF"/>
        </w:rPr>
        <w:t xml:space="preserve">inks to </w:t>
      </w:r>
      <w:r>
        <w:rPr>
          <w:rStyle w:val="normaltextrun"/>
          <w:color w:val="000000"/>
          <w:sz w:val="20"/>
          <w:szCs w:val="20"/>
          <w:shd w:val="clear" w:color="auto" w:fill="FFFFFF"/>
        </w:rPr>
        <w:t>EDR</w:t>
      </w:r>
      <w:r w:rsidR="000712C0">
        <w:rPr>
          <w:rStyle w:val="normaltextrun"/>
          <w:color w:val="000000"/>
          <w:sz w:val="20"/>
          <w:szCs w:val="20"/>
          <w:shd w:val="clear" w:color="auto" w:fill="FFFFFF"/>
        </w:rPr>
        <w:t xml:space="preserve"> learning</w:t>
      </w:r>
      <w:r>
        <w:rPr>
          <w:rStyle w:val="normaltextrun"/>
          <w:color w:val="000000"/>
          <w:sz w:val="20"/>
          <w:szCs w:val="20"/>
          <w:shd w:val="clear" w:color="auto" w:fill="FFFFFF"/>
        </w:rPr>
        <w:t xml:space="preserve"> and support</w:t>
      </w:r>
      <w:r w:rsidR="000712C0">
        <w:rPr>
          <w:rStyle w:val="normaltextrun"/>
          <w:color w:val="000000"/>
          <w:sz w:val="20"/>
          <w:szCs w:val="20"/>
          <w:shd w:val="clear" w:color="auto" w:fill="FFFFFF"/>
        </w:rPr>
        <w:t xml:space="preserve"> resources</w:t>
      </w:r>
      <w:r w:rsidR="00181795">
        <w:rPr>
          <w:rStyle w:val="normaltextrun"/>
          <w:color w:val="000000"/>
          <w:sz w:val="20"/>
          <w:szCs w:val="20"/>
          <w:shd w:val="clear" w:color="auto" w:fill="FFFFFF"/>
        </w:rPr>
        <w:t xml:space="preserve"> (such as </w:t>
      </w:r>
      <w:r w:rsidR="000712C0">
        <w:rPr>
          <w:rStyle w:val="normaltextrun"/>
          <w:color w:val="000000"/>
          <w:sz w:val="20"/>
          <w:szCs w:val="20"/>
          <w:shd w:val="clear" w:color="auto" w:fill="FFFFFF"/>
        </w:rPr>
        <w:t>reference to IHS videos</w:t>
      </w:r>
      <w:r w:rsidR="00181795">
        <w:rPr>
          <w:rStyle w:val="normaltextrun"/>
          <w:color w:val="000000"/>
          <w:sz w:val="20"/>
          <w:szCs w:val="20"/>
          <w:shd w:val="clear" w:color="auto" w:fill="FFFFFF"/>
        </w:rPr>
        <w:t>).</w:t>
      </w:r>
    </w:p>
    <w:p w14:paraId="272A2BCA" w14:textId="75C3D7B0" w:rsidR="000712C0" w:rsidRDefault="000712C0" w:rsidP="00181795">
      <w:pPr>
        <w:pStyle w:val="BodyText"/>
        <w:numPr>
          <w:ilvl w:val="0"/>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Resources</w:t>
      </w:r>
      <w:r>
        <w:rPr>
          <w:rStyle w:val="eop"/>
          <w:color w:val="000000"/>
          <w:sz w:val="20"/>
          <w:szCs w:val="20"/>
          <w:shd w:val="clear" w:color="auto" w:fill="FFFFFF"/>
        </w:rPr>
        <w:t>:</w:t>
      </w:r>
    </w:p>
    <w:p w14:paraId="5FFE673F" w14:textId="6C6B2554" w:rsidR="00C20B2A" w:rsidRDefault="00C20B2A" w:rsidP="00181795">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Website</w:t>
      </w:r>
      <w:r>
        <w:rPr>
          <w:rStyle w:val="eop"/>
          <w:color w:val="000000"/>
          <w:sz w:val="20"/>
          <w:szCs w:val="20"/>
          <w:shd w:val="clear" w:color="auto" w:fill="FFFFFF"/>
        </w:rPr>
        <w:t xml:space="preserve">: </w:t>
      </w:r>
    </w:p>
    <w:p w14:paraId="15C148AA" w14:textId="31DB7CBD" w:rsidR="00C20B2A" w:rsidRDefault="00000000" w:rsidP="00952E3A">
      <w:pPr>
        <w:pStyle w:val="BodyText"/>
        <w:ind w:left="1440"/>
        <w:rPr>
          <w:rStyle w:val="eop"/>
          <w:color w:val="000000"/>
          <w:sz w:val="20"/>
          <w:szCs w:val="20"/>
          <w:shd w:val="clear" w:color="auto" w:fill="FFFFFF"/>
        </w:rPr>
      </w:pPr>
      <w:hyperlink r:id="rId88" w:history="1">
        <w:r w:rsidR="00C20B2A" w:rsidRPr="00F421A0">
          <w:rPr>
            <w:rStyle w:val="Hyperlink"/>
            <w:sz w:val="20"/>
            <w:szCs w:val="20"/>
            <w:shd w:val="clear" w:color="auto" w:fill="FFFFFF"/>
          </w:rPr>
          <w:t>https://www.dentrixenterprise.com/</w:t>
        </w:r>
      </w:hyperlink>
      <w:r w:rsidR="00C20B2A">
        <w:rPr>
          <w:rStyle w:val="eop"/>
          <w:color w:val="000000"/>
          <w:sz w:val="20"/>
          <w:szCs w:val="20"/>
          <w:shd w:val="clear" w:color="auto" w:fill="FFFFFF"/>
        </w:rPr>
        <w:t xml:space="preserve"> </w:t>
      </w:r>
    </w:p>
    <w:p w14:paraId="0E46F071" w14:textId="5E40D7EF" w:rsidR="00A95F40" w:rsidRDefault="00A95F40" w:rsidP="00181795">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Help (Online)</w:t>
      </w:r>
      <w:r w:rsidR="00B836BF">
        <w:rPr>
          <w:rStyle w:val="eop"/>
          <w:color w:val="000000"/>
          <w:sz w:val="20"/>
          <w:szCs w:val="20"/>
          <w:shd w:val="clear" w:color="auto" w:fill="FFFFFF"/>
        </w:rPr>
        <w:t>:</w:t>
      </w:r>
    </w:p>
    <w:p w14:paraId="2281819D" w14:textId="2BF810FA" w:rsidR="00A95F40" w:rsidRDefault="00000000" w:rsidP="00952E3A">
      <w:pPr>
        <w:pStyle w:val="BodyText"/>
        <w:ind w:left="1440"/>
        <w:rPr>
          <w:rStyle w:val="eop"/>
          <w:color w:val="000000"/>
          <w:sz w:val="20"/>
          <w:szCs w:val="20"/>
          <w:shd w:val="clear" w:color="auto" w:fill="FFFFFF"/>
        </w:rPr>
      </w:pPr>
      <w:hyperlink r:id="rId89" w:anchor="t=mergedProjects%2FIntroduction%2FDentrix_Enterprise_overview.htm" w:history="1">
        <w:r w:rsidR="00A95F40" w:rsidRPr="00F421A0">
          <w:rPr>
            <w:rStyle w:val="Hyperlink"/>
            <w:sz w:val="20"/>
            <w:szCs w:val="20"/>
            <w:shd w:val="clear" w:color="auto" w:fill="FFFFFF"/>
          </w:rPr>
          <w:t>https://hsps.pro/DentrixEnterprise/Help_11.0.44/index.htm#t=mergedProjects%2FIntroduction%2FDentrix_Enterprise_overview.htm</w:t>
        </w:r>
      </w:hyperlink>
      <w:r w:rsidR="00A95F40">
        <w:rPr>
          <w:rStyle w:val="eop"/>
          <w:color w:val="000000"/>
          <w:sz w:val="20"/>
          <w:szCs w:val="20"/>
          <w:shd w:val="clear" w:color="auto" w:fill="FFFFFF"/>
        </w:rPr>
        <w:t xml:space="preserve"> </w:t>
      </w:r>
    </w:p>
    <w:p w14:paraId="6B4326F2" w14:textId="15EA6929" w:rsidR="00A95F40" w:rsidRDefault="00A95F40" w:rsidP="00181795">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Guide</w:t>
      </w:r>
      <w:r w:rsidR="00B201F2" w:rsidRPr="00966C0A">
        <w:rPr>
          <w:rStyle w:val="eop"/>
          <w:b/>
          <w:bCs/>
          <w:color w:val="000000"/>
          <w:sz w:val="20"/>
          <w:szCs w:val="20"/>
          <w:shd w:val="clear" w:color="auto" w:fill="FFFFFF"/>
        </w:rPr>
        <w:t>s</w:t>
      </w:r>
      <w:r w:rsidR="00B201F2">
        <w:rPr>
          <w:rStyle w:val="eop"/>
          <w:color w:val="000000"/>
          <w:sz w:val="20"/>
          <w:szCs w:val="20"/>
          <w:shd w:val="clear" w:color="auto" w:fill="FFFFFF"/>
        </w:rPr>
        <w:t xml:space="preserve"> – </w:t>
      </w:r>
      <w:r>
        <w:rPr>
          <w:rStyle w:val="eop"/>
          <w:color w:val="000000"/>
          <w:sz w:val="20"/>
          <w:szCs w:val="20"/>
          <w:shd w:val="clear" w:color="auto" w:fill="FFFFFF"/>
        </w:rPr>
        <w:t>Access a full list of EDR Guides &amp; More</w:t>
      </w:r>
      <w:r w:rsidR="00B836BF">
        <w:rPr>
          <w:rStyle w:val="eop"/>
          <w:color w:val="000000"/>
          <w:sz w:val="20"/>
          <w:szCs w:val="20"/>
          <w:shd w:val="clear" w:color="auto" w:fill="FFFFFF"/>
        </w:rPr>
        <w:t>:</w:t>
      </w:r>
    </w:p>
    <w:p w14:paraId="3EF572E0" w14:textId="01F519BF" w:rsidR="00A95F40" w:rsidRDefault="00000000" w:rsidP="00952E3A">
      <w:pPr>
        <w:pStyle w:val="BodyText"/>
        <w:ind w:left="1440"/>
        <w:rPr>
          <w:rStyle w:val="eop"/>
          <w:color w:val="000000"/>
          <w:sz w:val="20"/>
          <w:szCs w:val="20"/>
          <w:shd w:val="clear" w:color="auto" w:fill="FFFFFF"/>
        </w:rPr>
      </w:pPr>
      <w:hyperlink r:id="rId90" w:anchor="t=mergedProjects%2FGuides%2FCurrent_Dentrix_Enterprise_Guides.htm" w:history="1">
        <w:r w:rsidR="00A95F40" w:rsidRPr="00F421A0">
          <w:rPr>
            <w:rStyle w:val="Hyperlink"/>
            <w:sz w:val="20"/>
            <w:szCs w:val="20"/>
            <w:shd w:val="clear" w:color="auto" w:fill="FFFFFF"/>
          </w:rPr>
          <w:t>https://hsps.pro/DentrixEnterprise/Help_11.0.44/index.htm#t=mergedProjects%2FGuides%2FCurrent_Dentrix_Enterprise_Guides.htm</w:t>
        </w:r>
      </w:hyperlink>
      <w:r w:rsidR="00A95F40">
        <w:rPr>
          <w:rStyle w:val="eop"/>
          <w:color w:val="000000"/>
          <w:sz w:val="20"/>
          <w:szCs w:val="20"/>
          <w:shd w:val="clear" w:color="auto" w:fill="FFFFFF"/>
        </w:rPr>
        <w:t xml:space="preserve"> </w:t>
      </w:r>
    </w:p>
    <w:p w14:paraId="43AC4205" w14:textId="1C9FE82C" w:rsidR="000712C0" w:rsidRDefault="000712C0" w:rsidP="00181795">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Installation Guide</w:t>
      </w:r>
      <w:r w:rsidR="00B201F2">
        <w:rPr>
          <w:rStyle w:val="eop"/>
          <w:color w:val="000000"/>
          <w:sz w:val="20"/>
          <w:szCs w:val="20"/>
          <w:shd w:val="clear" w:color="auto" w:fill="FFFFFF"/>
        </w:rPr>
        <w:t xml:space="preserve"> – </w:t>
      </w:r>
      <w:r>
        <w:rPr>
          <w:rStyle w:val="eop"/>
          <w:color w:val="000000"/>
          <w:sz w:val="20"/>
          <w:szCs w:val="20"/>
          <w:shd w:val="clear" w:color="auto" w:fill="FFFFFF"/>
        </w:rPr>
        <w:t>Steps to install Dentrix Enterprise</w:t>
      </w:r>
      <w:r w:rsidR="00B836BF">
        <w:rPr>
          <w:rStyle w:val="eop"/>
          <w:color w:val="000000"/>
          <w:sz w:val="20"/>
          <w:szCs w:val="20"/>
          <w:shd w:val="clear" w:color="auto" w:fill="FFFFFF"/>
        </w:rPr>
        <w:t>:</w:t>
      </w:r>
    </w:p>
    <w:p w14:paraId="006662D0" w14:textId="7430E732" w:rsidR="00C20B2A" w:rsidRDefault="00000000" w:rsidP="00952E3A">
      <w:pPr>
        <w:pStyle w:val="BodyText"/>
        <w:ind w:left="1440"/>
        <w:rPr>
          <w:rStyle w:val="eop"/>
          <w:color w:val="000000"/>
          <w:sz w:val="20"/>
          <w:szCs w:val="20"/>
          <w:shd w:val="clear" w:color="auto" w:fill="FFFFFF"/>
        </w:rPr>
      </w:pPr>
      <w:hyperlink r:id="rId91" w:anchor="t=mergedProjects%2FGuides%2FInstallation_guide%2FDentrix_Enterprise_installation_guide_introduction.htm" w:history="1">
        <w:r w:rsidR="00C20B2A" w:rsidRPr="00F421A0">
          <w:rPr>
            <w:rStyle w:val="Hyperlink"/>
            <w:sz w:val="20"/>
            <w:szCs w:val="20"/>
            <w:shd w:val="clear" w:color="auto" w:fill="FFFFFF"/>
          </w:rPr>
          <w:t>https://hsps.pro/DentrixEnterprise/Help_11.0.44/index.htm#t=mergedProjects%2FGuides%2FInstallation_guide%2FDentrix_Enterprise_installation_guide_introduction.htm</w:t>
        </w:r>
      </w:hyperlink>
      <w:r w:rsidR="00C20B2A">
        <w:rPr>
          <w:rStyle w:val="eop"/>
          <w:color w:val="000000"/>
          <w:sz w:val="20"/>
          <w:szCs w:val="20"/>
          <w:shd w:val="clear" w:color="auto" w:fill="FFFFFF"/>
        </w:rPr>
        <w:t xml:space="preserve"> </w:t>
      </w:r>
    </w:p>
    <w:p w14:paraId="6074847F" w14:textId="5F642430" w:rsidR="000712C0" w:rsidRDefault="000712C0" w:rsidP="00181795">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User’s Guide</w:t>
      </w:r>
      <w:r w:rsidR="00A95F40" w:rsidRPr="00966C0A">
        <w:rPr>
          <w:rStyle w:val="eop"/>
          <w:b/>
          <w:bCs/>
          <w:color w:val="000000"/>
          <w:sz w:val="20"/>
          <w:szCs w:val="20"/>
          <w:shd w:val="clear" w:color="auto" w:fill="FFFFFF"/>
        </w:rPr>
        <w:t>s</w:t>
      </w:r>
      <w:r w:rsidRPr="00966C0A">
        <w:rPr>
          <w:rStyle w:val="eop"/>
          <w:b/>
          <w:bCs/>
          <w:color w:val="000000"/>
          <w:sz w:val="20"/>
          <w:szCs w:val="20"/>
          <w:shd w:val="clear" w:color="auto" w:fill="FFFFFF"/>
        </w:rPr>
        <w:t xml:space="preserve"> for IHS</w:t>
      </w:r>
      <w:r w:rsidR="00B201F2">
        <w:rPr>
          <w:rStyle w:val="eop"/>
          <w:color w:val="000000"/>
          <w:sz w:val="20"/>
          <w:szCs w:val="20"/>
          <w:shd w:val="clear" w:color="auto" w:fill="FFFFFF"/>
        </w:rPr>
        <w:t xml:space="preserve"> – </w:t>
      </w:r>
      <w:r>
        <w:rPr>
          <w:rStyle w:val="eop"/>
          <w:color w:val="000000"/>
          <w:sz w:val="20"/>
          <w:szCs w:val="20"/>
          <w:shd w:val="clear" w:color="auto" w:fill="FFFFFF"/>
        </w:rPr>
        <w:t>Step-by-Step Guide for Use and Application of Dentrix Enterprise IHS-Exclusive Features</w:t>
      </w:r>
      <w:r w:rsidR="00B836BF">
        <w:rPr>
          <w:rStyle w:val="eop"/>
          <w:color w:val="000000"/>
          <w:sz w:val="20"/>
          <w:szCs w:val="20"/>
          <w:shd w:val="clear" w:color="auto" w:fill="FFFFFF"/>
        </w:rPr>
        <w:t>:</w:t>
      </w:r>
    </w:p>
    <w:p w14:paraId="7BA70E50" w14:textId="5C735C8C" w:rsidR="00952E3A" w:rsidRPr="00AC0360" w:rsidRDefault="00A95F40" w:rsidP="00952E3A">
      <w:pPr>
        <w:pStyle w:val="BodyText"/>
        <w:numPr>
          <w:ilvl w:val="2"/>
          <w:numId w:val="208"/>
        </w:numPr>
        <w:rPr>
          <w:color w:val="000000"/>
          <w:sz w:val="18"/>
          <w:szCs w:val="18"/>
          <w:shd w:val="clear" w:color="auto" w:fill="FFFFFF"/>
        </w:rPr>
      </w:pPr>
      <w:r w:rsidRPr="00AC0360">
        <w:rPr>
          <w:sz w:val="20"/>
          <w:szCs w:val="22"/>
          <w:shd w:val="clear" w:color="auto" w:fill="FFFFFF"/>
        </w:rPr>
        <w:t>Version 11.0.20</w:t>
      </w:r>
      <w:r w:rsidR="00B836BF" w:rsidRPr="00AC0360">
        <w:rPr>
          <w:sz w:val="20"/>
          <w:szCs w:val="22"/>
          <w:shd w:val="clear" w:color="auto" w:fill="FFFFFF"/>
        </w:rPr>
        <w:t>:</w:t>
      </w:r>
    </w:p>
    <w:p w14:paraId="002CBAE0" w14:textId="6E7AE4C3" w:rsidR="00A95F40" w:rsidRPr="00952E3A" w:rsidRDefault="00000000" w:rsidP="00952E3A">
      <w:pPr>
        <w:pStyle w:val="BodyText"/>
        <w:ind w:left="2160"/>
        <w:rPr>
          <w:rStyle w:val="eop"/>
          <w:color w:val="000000"/>
          <w:sz w:val="20"/>
          <w:szCs w:val="20"/>
          <w:shd w:val="clear" w:color="auto" w:fill="FFFFFF"/>
        </w:rPr>
      </w:pPr>
      <w:hyperlink r:id="rId92" w:history="1">
        <w:r w:rsidR="00A95F40" w:rsidRPr="00952E3A">
          <w:rPr>
            <w:rStyle w:val="Hyperlink"/>
            <w:sz w:val="20"/>
            <w:szCs w:val="20"/>
            <w:shd w:val="clear" w:color="auto" w:fill="FFFFFF"/>
          </w:rPr>
          <w:t>https://hsps.pro/DentrixEnterprise/Documentation/Dentrix_Enterprise_11.0.20_Users_Guide_-_IHS.pdf</w:t>
        </w:r>
      </w:hyperlink>
      <w:r w:rsidR="00A95F40" w:rsidRPr="00952E3A">
        <w:rPr>
          <w:shd w:val="clear" w:color="auto" w:fill="FFFFFF"/>
        </w:rPr>
        <w:t xml:space="preserve"> </w:t>
      </w:r>
    </w:p>
    <w:p w14:paraId="50186C5C" w14:textId="7BA0A1FD" w:rsidR="00952E3A" w:rsidRPr="00AC0360" w:rsidRDefault="00A95F40" w:rsidP="00B836BF">
      <w:pPr>
        <w:pStyle w:val="BodyText"/>
        <w:numPr>
          <w:ilvl w:val="2"/>
          <w:numId w:val="208"/>
        </w:numPr>
        <w:rPr>
          <w:sz w:val="20"/>
          <w:szCs w:val="22"/>
        </w:rPr>
      </w:pPr>
      <w:r w:rsidRPr="00AC0360">
        <w:rPr>
          <w:rStyle w:val="eop"/>
          <w:sz w:val="20"/>
          <w:szCs w:val="22"/>
        </w:rPr>
        <w:t>Version 11.0.44</w:t>
      </w:r>
      <w:r w:rsidR="00B836BF" w:rsidRPr="00AC0360">
        <w:rPr>
          <w:rStyle w:val="eop"/>
          <w:sz w:val="20"/>
          <w:szCs w:val="22"/>
        </w:rPr>
        <w:t>:</w:t>
      </w:r>
    </w:p>
    <w:p w14:paraId="09058651" w14:textId="0F97DD7B" w:rsidR="00C20B2A" w:rsidRPr="00952E3A" w:rsidRDefault="00000000" w:rsidP="00952E3A">
      <w:pPr>
        <w:pStyle w:val="BodyText"/>
        <w:ind w:left="2160"/>
        <w:rPr>
          <w:rStyle w:val="eop"/>
          <w:color w:val="000000"/>
          <w:sz w:val="20"/>
          <w:szCs w:val="20"/>
          <w:shd w:val="clear" w:color="auto" w:fill="FFFFFF"/>
        </w:rPr>
      </w:pPr>
      <w:hyperlink r:id="rId93" w:history="1">
        <w:r w:rsidR="00A95F40" w:rsidRPr="00952E3A">
          <w:rPr>
            <w:rStyle w:val="Hyperlink"/>
            <w:sz w:val="20"/>
            <w:szCs w:val="20"/>
            <w:shd w:val="clear" w:color="auto" w:fill="FFFFFF"/>
          </w:rPr>
          <w:t>https://hsps.pro/DentrixEnterprise/Documentation/IHS_Dentrix_Enterprise_11.0.44_Users_Guide.pdf</w:t>
        </w:r>
      </w:hyperlink>
      <w:r w:rsidR="00C20B2A" w:rsidRPr="00952E3A">
        <w:rPr>
          <w:rStyle w:val="eop"/>
          <w:color w:val="000000"/>
          <w:sz w:val="20"/>
          <w:szCs w:val="20"/>
          <w:shd w:val="clear" w:color="auto" w:fill="FFFFFF"/>
        </w:rPr>
        <w:t xml:space="preserve"> </w:t>
      </w:r>
    </w:p>
    <w:p w14:paraId="10004FC6" w14:textId="5D39B5D8" w:rsidR="00A95F40" w:rsidRDefault="00A95F4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Reports Reference</w:t>
      </w:r>
      <w:r>
        <w:rPr>
          <w:rStyle w:val="eop"/>
          <w:color w:val="000000"/>
          <w:sz w:val="20"/>
          <w:szCs w:val="20"/>
          <w:shd w:val="clear" w:color="auto" w:fill="FFFFFF"/>
        </w:rPr>
        <w:t xml:space="preserve">: </w:t>
      </w:r>
    </w:p>
    <w:p w14:paraId="0A080EE4" w14:textId="55D7FA26" w:rsidR="00A95F40" w:rsidRDefault="00000000" w:rsidP="00952E3A">
      <w:pPr>
        <w:pStyle w:val="BodyText"/>
        <w:ind w:left="1440"/>
        <w:rPr>
          <w:rStyle w:val="eop"/>
          <w:color w:val="000000"/>
          <w:sz w:val="20"/>
          <w:szCs w:val="20"/>
          <w:shd w:val="clear" w:color="auto" w:fill="FFFFFF"/>
        </w:rPr>
      </w:pPr>
      <w:hyperlink r:id="rId94" w:anchor="t=mergedProjects%2FGuides%2FReports_Reference%2FReports_Reference_introduction.htm" w:history="1">
        <w:r w:rsidR="00A95F40" w:rsidRPr="00F421A0">
          <w:rPr>
            <w:rStyle w:val="Hyperlink"/>
            <w:sz w:val="20"/>
            <w:szCs w:val="20"/>
            <w:shd w:val="clear" w:color="auto" w:fill="FFFFFF"/>
          </w:rPr>
          <w:t>https://hsps.pro/DentrixEnterprise/Help_11.0.44/index.htm#t=mergedProjects%2FGuides%2FReports_Reference%2FReports_Reference_introduction.htm</w:t>
        </w:r>
      </w:hyperlink>
      <w:r w:rsidR="00A95F40">
        <w:rPr>
          <w:rStyle w:val="eop"/>
          <w:color w:val="000000"/>
          <w:sz w:val="20"/>
          <w:szCs w:val="20"/>
          <w:shd w:val="clear" w:color="auto" w:fill="FFFFFF"/>
        </w:rPr>
        <w:t xml:space="preserve"> </w:t>
      </w:r>
    </w:p>
    <w:p w14:paraId="3BA217BE" w14:textId="49578410" w:rsidR="000712C0"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System Requirements</w:t>
      </w:r>
      <w:r w:rsidR="00B201F2">
        <w:rPr>
          <w:rStyle w:val="eop"/>
          <w:color w:val="000000"/>
          <w:sz w:val="20"/>
          <w:szCs w:val="20"/>
          <w:shd w:val="clear" w:color="auto" w:fill="FFFFFF"/>
        </w:rPr>
        <w:t xml:space="preserve"> – </w:t>
      </w:r>
      <w:r>
        <w:rPr>
          <w:rStyle w:val="eop"/>
          <w:color w:val="000000"/>
          <w:sz w:val="20"/>
          <w:szCs w:val="20"/>
          <w:shd w:val="clear" w:color="auto" w:fill="FFFFFF"/>
        </w:rPr>
        <w:t>Hardware and Software Requirements for Dentrix Enterprise</w:t>
      </w:r>
      <w:r w:rsidR="00B836BF">
        <w:rPr>
          <w:rStyle w:val="eop"/>
          <w:color w:val="000000"/>
          <w:sz w:val="20"/>
          <w:szCs w:val="20"/>
          <w:shd w:val="clear" w:color="auto" w:fill="FFFFFF"/>
        </w:rPr>
        <w:t>:</w:t>
      </w:r>
    </w:p>
    <w:p w14:paraId="0A4C86AC" w14:textId="306E7722" w:rsidR="00C20B2A" w:rsidRDefault="00000000" w:rsidP="00952E3A">
      <w:pPr>
        <w:pStyle w:val="BodyText"/>
        <w:ind w:left="1440"/>
        <w:rPr>
          <w:rStyle w:val="eop"/>
          <w:color w:val="000000"/>
          <w:sz w:val="20"/>
          <w:szCs w:val="20"/>
          <w:shd w:val="clear" w:color="auto" w:fill="FFFFFF"/>
        </w:rPr>
      </w:pPr>
      <w:hyperlink r:id="rId95" w:history="1">
        <w:r w:rsidR="00A95F40" w:rsidRPr="00F421A0">
          <w:rPr>
            <w:rStyle w:val="Hyperlink"/>
            <w:sz w:val="20"/>
            <w:szCs w:val="20"/>
            <w:shd w:val="clear" w:color="auto" w:fill="FFFFFF"/>
          </w:rPr>
          <w:t>https://hsps.pro/DentrixEnterprise/Documentation/Dentrix_Enterprise_11.0.44_System_Requirements.pdf</w:t>
        </w:r>
      </w:hyperlink>
      <w:r w:rsidR="00A95F40">
        <w:rPr>
          <w:rStyle w:val="eop"/>
          <w:color w:val="000000"/>
          <w:sz w:val="20"/>
          <w:szCs w:val="20"/>
          <w:shd w:val="clear" w:color="auto" w:fill="FFFFFF"/>
        </w:rPr>
        <w:t xml:space="preserve"> </w:t>
      </w:r>
    </w:p>
    <w:p w14:paraId="7826A417" w14:textId="30647342" w:rsidR="00A95F40" w:rsidRDefault="00A95F40" w:rsidP="005E4992">
      <w:pPr>
        <w:pStyle w:val="BodyText"/>
        <w:numPr>
          <w:ilvl w:val="1"/>
          <w:numId w:val="208"/>
        </w:numPr>
        <w:rPr>
          <w:rStyle w:val="eop"/>
          <w:color w:val="000000"/>
          <w:sz w:val="20"/>
          <w:szCs w:val="20"/>
          <w:shd w:val="clear" w:color="auto" w:fill="FFFFFF"/>
        </w:rPr>
      </w:pPr>
      <w:r>
        <w:rPr>
          <w:rStyle w:val="eop"/>
          <w:color w:val="000000"/>
          <w:sz w:val="20"/>
          <w:szCs w:val="20"/>
          <w:shd w:val="clear" w:color="auto" w:fill="FFFFFF"/>
        </w:rPr>
        <w:t>I</w:t>
      </w:r>
      <w:r w:rsidRPr="00966C0A">
        <w:rPr>
          <w:rStyle w:val="eop"/>
          <w:b/>
          <w:bCs/>
          <w:color w:val="000000"/>
          <w:sz w:val="20"/>
          <w:szCs w:val="20"/>
          <w:shd w:val="clear" w:color="auto" w:fill="FFFFFF"/>
        </w:rPr>
        <w:t>HS EDR Technical Reference Guide v4.0</w:t>
      </w:r>
      <w:r>
        <w:rPr>
          <w:rStyle w:val="eop"/>
          <w:color w:val="000000"/>
          <w:sz w:val="20"/>
          <w:szCs w:val="20"/>
          <w:shd w:val="clear" w:color="auto" w:fill="FFFFFF"/>
        </w:rPr>
        <w:t>:</w:t>
      </w:r>
    </w:p>
    <w:p w14:paraId="464AE2B8" w14:textId="09D08EE5" w:rsidR="00A95F40" w:rsidRDefault="00000000" w:rsidP="00952E3A">
      <w:pPr>
        <w:pStyle w:val="BodyText"/>
        <w:ind w:left="1440"/>
        <w:rPr>
          <w:rStyle w:val="eop"/>
          <w:color w:val="000000"/>
          <w:sz w:val="20"/>
          <w:szCs w:val="20"/>
          <w:shd w:val="clear" w:color="auto" w:fill="FFFFFF"/>
        </w:rPr>
      </w:pPr>
      <w:hyperlink r:id="rId96" w:history="1">
        <w:r w:rsidR="00A95F40" w:rsidRPr="00F421A0">
          <w:rPr>
            <w:rStyle w:val="Hyperlink"/>
            <w:sz w:val="20"/>
            <w:szCs w:val="20"/>
            <w:shd w:val="clear" w:color="auto" w:fill="FFFFFF"/>
          </w:rPr>
          <w:t>https://hsps.pro/DentrixEnterprise/Documentation/IHS_EDR_Technical_Reference_Guide_v4.0.pdf</w:t>
        </w:r>
      </w:hyperlink>
      <w:r w:rsidR="00A95F40">
        <w:rPr>
          <w:rStyle w:val="eop"/>
          <w:color w:val="000000"/>
          <w:sz w:val="20"/>
          <w:szCs w:val="20"/>
          <w:shd w:val="clear" w:color="auto" w:fill="FFFFFF"/>
        </w:rPr>
        <w:t xml:space="preserve"> </w:t>
      </w:r>
    </w:p>
    <w:p w14:paraId="45D158DD" w14:textId="016EABCB" w:rsidR="000712C0"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Resource Center</w:t>
      </w:r>
      <w:r w:rsidR="00B201F2">
        <w:rPr>
          <w:rStyle w:val="eop"/>
          <w:color w:val="000000"/>
          <w:sz w:val="20"/>
          <w:szCs w:val="20"/>
          <w:shd w:val="clear" w:color="auto" w:fill="FFFFFF"/>
        </w:rPr>
        <w:t xml:space="preserve"> – </w:t>
      </w:r>
      <w:r w:rsidR="00C20B2A">
        <w:rPr>
          <w:rStyle w:val="eop"/>
          <w:color w:val="000000"/>
          <w:sz w:val="20"/>
          <w:szCs w:val="20"/>
          <w:shd w:val="clear" w:color="auto" w:fill="FFFFFF"/>
        </w:rPr>
        <w:t>Search how-to topic, troubleshooting tips, and more</w:t>
      </w:r>
      <w:r w:rsidR="00B836BF">
        <w:rPr>
          <w:rStyle w:val="eop"/>
          <w:color w:val="000000"/>
          <w:sz w:val="20"/>
          <w:szCs w:val="20"/>
          <w:shd w:val="clear" w:color="auto" w:fill="FFFFFF"/>
        </w:rPr>
        <w:t>:</w:t>
      </w:r>
    </w:p>
    <w:p w14:paraId="29071399" w14:textId="063757B9" w:rsidR="00C20B2A" w:rsidRDefault="00000000" w:rsidP="00952E3A">
      <w:pPr>
        <w:pStyle w:val="BodyText"/>
        <w:ind w:left="1440"/>
        <w:rPr>
          <w:rStyle w:val="eop"/>
          <w:color w:val="000000"/>
          <w:sz w:val="20"/>
          <w:szCs w:val="20"/>
          <w:shd w:val="clear" w:color="auto" w:fill="FFFFFF"/>
        </w:rPr>
      </w:pPr>
      <w:hyperlink r:id="rId97" w:history="1">
        <w:r w:rsidR="00C20B2A" w:rsidRPr="00F421A0">
          <w:rPr>
            <w:rStyle w:val="Hyperlink"/>
            <w:sz w:val="20"/>
            <w:szCs w:val="20"/>
            <w:shd w:val="clear" w:color="auto" w:fill="FFFFFF"/>
          </w:rPr>
          <w:t>https://resourcecenter.dentrixenterprise.com/login</w:t>
        </w:r>
      </w:hyperlink>
      <w:r w:rsidR="00C20B2A">
        <w:rPr>
          <w:rStyle w:val="eop"/>
          <w:color w:val="000000"/>
          <w:sz w:val="20"/>
          <w:szCs w:val="20"/>
          <w:shd w:val="clear" w:color="auto" w:fill="FFFFFF"/>
        </w:rPr>
        <w:t xml:space="preserve"> </w:t>
      </w:r>
    </w:p>
    <w:p w14:paraId="2A58BEA3" w14:textId="6EE9AA45" w:rsidR="00C20B2A" w:rsidRDefault="00C20B2A"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Release Guide (version 11.0.44)</w:t>
      </w:r>
      <w:r>
        <w:rPr>
          <w:rStyle w:val="eop"/>
          <w:color w:val="000000"/>
          <w:sz w:val="20"/>
          <w:szCs w:val="20"/>
          <w:shd w:val="clear" w:color="auto" w:fill="FFFFFF"/>
        </w:rPr>
        <w:t>:</w:t>
      </w:r>
    </w:p>
    <w:p w14:paraId="57E458D8" w14:textId="375DDD3B" w:rsidR="00C20B2A" w:rsidRDefault="00000000" w:rsidP="00952E3A">
      <w:pPr>
        <w:pStyle w:val="BodyText"/>
        <w:ind w:left="1440"/>
        <w:rPr>
          <w:rStyle w:val="eop"/>
          <w:color w:val="000000"/>
          <w:sz w:val="20"/>
          <w:szCs w:val="20"/>
          <w:shd w:val="clear" w:color="auto" w:fill="FFFFFF"/>
        </w:rPr>
      </w:pPr>
      <w:hyperlink r:id="rId98" w:anchor="t=mergedProjects%2FGuides%2FRelease_guide%2F11.0.44_Release_Guide.htm" w:history="1">
        <w:r w:rsidR="00C20B2A" w:rsidRPr="00F421A0">
          <w:rPr>
            <w:rStyle w:val="Hyperlink"/>
            <w:sz w:val="20"/>
            <w:szCs w:val="20"/>
            <w:shd w:val="clear" w:color="auto" w:fill="FFFFFF"/>
          </w:rPr>
          <w:t>https://hsps.pro/DentrixEnterprise/Help_11.0.44/index.htm#t=mergedProjects%2FGuides%2FRelease_guide%2F11.0.44_Release_Guide.htm</w:t>
        </w:r>
      </w:hyperlink>
      <w:r w:rsidR="00C20B2A">
        <w:rPr>
          <w:rStyle w:val="eop"/>
          <w:color w:val="000000"/>
          <w:sz w:val="20"/>
          <w:szCs w:val="20"/>
          <w:shd w:val="clear" w:color="auto" w:fill="FFFFFF"/>
        </w:rPr>
        <w:t xml:space="preserve"> </w:t>
      </w:r>
    </w:p>
    <w:p w14:paraId="54712180" w14:textId="0BF9EF27" w:rsidR="000712C0"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Release Notes</w:t>
      </w:r>
      <w:r w:rsidR="00C20B2A">
        <w:rPr>
          <w:rStyle w:val="eop"/>
          <w:color w:val="000000"/>
          <w:sz w:val="20"/>
          <w:szCs w:val="20"/>
          <w:shd w:val="clear" w:color="auto" w:fill="FFFFFF"/>
        </w:rPr>
        <w:t>:</w:t>
      </w:r>
    </w:p>
    <w:p w14:paraId="6E33DD1F" w14:textId="128C9E80" w:rsidR="00C20B2A" w:rsidRDefault="00000000" w:rsidP="00952E3A">
      <w:pPr>
        <w:pStyle w:val="BodyText"/>
        <w:ind w:left="1440"/>
        <w:rPr>
          <w:rStyle w:val="eop"/>
          <w:color w:val="000000"/>
          <w:sz w:val="20"/>
          <w:szCs w:val="20"/>
          <w:shd w:val="clear" w:color="auto" w:fill="FFFFFF"/>
        </w:rPr>
      </w:pPr>
      <w:hyperlink r:id="rId99" w:anchor="t=11.0.44.htm" w:history="1">
        <w:r w:rsidR="00C20B2A" w:rsidRPr="00F421A0">
          <w:rPr>
            <w:rStyle w:val="Hyperlink"/>
            <w:sz w:val="20"/>
            <w:szCs w:val="20"/>
            <w:shd w:val="clear" w:color="auto" w:fill="FFFFFF"/>
          </w:rPr>
          <w:t>https://hsps.pro/DentrixEnterprise/ReleaseNotes/index.htm#t=11.0.44.htm</w:t>
        </w:r>
      </w:hyperlink>
      <w:r w:rsidR="00C20B2A">
        <w:rPr>
          <w:rStyle w:val="eop"/>
          <w:color w:val="000000"/>
          <w:sz w:val="20"/>
          <w:szCs w:val="20"/>
          <w:shd w:val="clear" w:color="auto" w:fill="FFFFFF"/>
        </w:rPr>
        <w:t xml:space="preserve"> </w:t>
      </w:r>
    </w:p>
    <w:p w14:paraId="23EDDD8E" w14:textId="04C25343" w:rsidR="0020073F" w:rsidRDefault="0020073F" w:rsidP="00952E3A">
      <w:pPr>
        <w:pStyle w:val="BodyText"/>
        <w:keepNext/>
        <w:keepLines/>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lastRenderedPageBreak/>
        <w:t>Dentrix Enterprise Updates</w:t>
      </w:r>
      <w:r>
        <w:rPr>
          <w:rStyle w:val="eop"/>
          <w:color w:val="000000"/>
          <w:sz w:val="20"/>
          <w:szCs w:val="20"/>
          <w:shd w:val="clear" w:color="auto" w:fill="FFFFFF"/>
        </w:rPr>
        <w:t>:</w:t>
      </w:r>
    </w:p>
    <w:p w14:paraId="7176ED31" w14:textId="634A49A6" w:rsidR="0020073F" w:rsidRDefault="00000000" w:rsidP="00952E3A">
      <w:pPr>
        <w:pStyle w:val="BodyText"/>
        <w:ind w:left="1440"/>
        <w:rPr>
          <w:rStyle w:val="eop"/>
          <w:color w:val="000000"/>
          <w:sz w:val="20"/>
          <w:szCs w:val="20"/>
          <w:shd w:val="clear" w:color="auto" w:fill="FFFFFF"/>
        </w:rPr>
      </w:pPr>
      <w:hyperlink r:id="rId100" w:history="1">
        <w:r w:rsidR="0020073F" w:rsidRPr="00F421A0">
          <w:rPr>
            <w:rStyle w:val="Hyperlink"/>
            <w:sz w:val="20"/>
            <w:szCs w:val="20"/>
            <w:shd w:val="clear" w:color="auto" w:fill="FFFFFF"/>
          </w:rPr>
          <w:t>https://www.dentrixenterprise.com/support/updates</w:t>
        </w:r>
      </w:hyperlink>
      <w:r w:rsidR="0020073F">
        <w:rPr>
          <w:rStyle w:val="eop"/>
          <w:color w:val="000000"/>
          <w:sz w:val="20"/>
          <w:szCs w:val="20"/>
          <w:shd w:val="clear" w:color="auto" w:fill="FFFFFF"/>
        </w:rPr>
        <w:t xml:space="preserve"> </w:t>
      </w:r>
    </w:p>
    <w:p w14:paraId="2B037420" w14:textId="4013546D" w:rsidR="0020073F" w:rsidRDefault="0020073F"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IHS Updates Meeting Enhancements List</w:t>
      </w:r>
      <w:r w:rsidR="00B836BF">
        <w:rPr>
          <w:rStyle w:val="eop"/>
          <w:color w:val="000000"/>
          <w:sz w:val="20"/>
          <w:szCs w:val="20"/>
          <w:shd w:val="clear" w:color="auto" w:fill="FFFFFF"/>
        </w:rPr>
        <w:t>:</w:t>
      </w:r>
    </w:p>
    <w:p w14:paraId="00386CAB" w14:textId="71C93A2B" w:rsidR="0020073F" w:rsidRDefault="00000000" w:rsidP="00B836BF">
      <w:pPr>
        <w:pStyle w:val="BodyText"/>
        <w:ind w:left="1440"/>
        <w:rPr>
          <w:rStyle w:val="eop"/>
          <w:color w:val="000000"/>
          <w:sz w:val="20"/>
          <w:szCs w:val="20"/>
          <w:shd w:val="clear" w:color="auto" w:fill="FFFFFF"/>
        </w:rPr>
      </w:pPr>
      <w:hyperlink r:id="rId101" w:history="1">
        <w:r w:rsidR="0020073F" w:rsidRPr="00F421A0">
          <w:rPr>
            <w:rStyle w:val="Hyperlink"/>
            <w:sz w:val="20"/>
            <w:szCs w:val="20"/>
            <w:shd w:val="clear" w:color="auto" w:fill="FFFFFF"/>
          </w:rPr>
          <w:t>http://cdecourse.info/wp-content/uploads/2023/07/IHS-Updates-Meeting_Enhancements-List.pdf</w:t>
        </w:r>
      </w:hyperlink>
      <w:r w:rsidR="0020073F">
        <w:rPr>
          <w:rStyle w:val="eop"/>
          <w:color w:val="000000"/>
          <w:sz w:val="20"/>
          <w:szCs w:val="20"/>
          <w:shd w:val="clear" w:color="auto" w:fill="FFFFFF"/>
        </w:rPr>
        <w:t xml:space="preserve"> </w:t>
      </w:r>
    </w:p>
    <w:p w14:paraId="306CEECE" w14:textId="61879F9F" w:rsidR="00C20B2A" w:rsidRDefault="00A95F4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 xml:space="preserve">Request </w:t>
      </w:r>
      <w:r w:rsidR="00C20B2A" w:rsidRPr="00966C0A">
        <w:rPr>
          <w:rStyle w:val="eop"/>
          <w:b/>
          <w:bCs/>
          <w:color w:val="000000"/>
          <w:sz w:val="20"/>
          <w:szCs w:val="20"/>
          <w:shd w:val="clear" w:color="auto" w:fill="FFFFFF"/>
        </w:rPr>
        <w:t>Custom Training</w:t>
      </w:r>
      <w:r w:rsidR="00C20B2A">
        <w:rPr>
          <w:rStyle w:val="eop"/>
          <w:color w:val="000000"/>
          <w:sz w:val="20"/>
          <w:szCs w:val="20"/>
          <w:shd w:val="clear" w:color="auto" w:fill="FFFFFF"/>
        </w:rPr>
        <w:t xml:space="preserve">: </w:t>
      </w:r>
    </w:p>
    <w:p w14:paraId="132B8171" w14:textId="4997C29C" w:rsidR="00C20B2A" w:rsidRDefault="00000000" w:rsidP="00B836BF">
      <w:pPr>
        <w:pStyle w:val="BodyText"/>
        <w:ind w:left="1440"/>
        <w:rPr>
          <w:rStyle w:val="eop"/>
          <w:color w:val="000000"/>
          <w:sz w:val="20"/>
          <w:szCs w:val="20"/>
          <w:shd w:val="clear" w:color="auto" w:fill="FFFFFF"/>
        </w:rPr>
      </w:pPr>
      <w:hyperlink r:id="rId102" w:history="1">
        <w:r w:rsidR="00C20B2A" w:rsidRPr="00F421A0">
          <w:rPr>
            <w:rStyle w:val="Hyperlink"/>
            <w:sz w:val="20"/>
            <w:szCs w:val="20"/>
            <w:shd w:val="clear" w:color="auto" w:fill="FFFFFF"/>
          </w:rPr>
          <w:t>https://www.dentrixenterprise.com/training/custom-training</w:t>
        </w:r>
      </w:hyperlink>
    </w:p>
    <w:p w14:paraId="42D8D711" w14:textId="6F405C8D" w:rsidR="000712C0" w:rsidRDefault="00BC300E" w:rsidP="00181795">
      <w:pPr>
        <w:pStyle w:val="BodyText"/>
        <w:numPr>
          <w:ilvl w:val="0"/>
          <w:numId w:val="208"/>
        </w:numPr>
        <w:rPr>
          <w:rStyle w:val="eop"/>
          <w:color w:val="000000"/>
          <w:sz w:val="20"/>
          <w:szCs w:val="20"/>
          <w:shd w:val="clear" w:color="auto" w:fill="FFFFFF"/>
        </w:rPr>
      </w:pPr>
      <w:r w:rsidRPr="00966C0A">
        <w:rPr>
          <w:rStyle w:val="eop"/>
          <w:b/>
          <w:bCs/>
          <w:color w:val="000000"/>
          <w:sz w:val="20"/>
          <w:szCs w:val="20"/>
          <w:shd w:val="clear" w:color="auto" w:fill="FFFFFF"/>
        </w:rPr>
        <w:t xml:space="preserve">EDR </w:t>
      </w:r>
      <w:r w:rsidR="000712C0" w:rsidRPr="00966C0A">
        <w:rPr>
          <w:rStyle w:val="eop"/>
          <w:b/>
          <w:bCs/>
          <w:color w:val="000000"/>
          <w:sz w:val="20"/>
          <w:szCs w:val="20"/>
          <w:shd w:val="clear" w:color="auto" w:fill="FFFFFF"/>
        </w:rPr>
        <w:t>Support Resources</w:t>
      </w:r>
      <w:r w:rsidR="000712C0">
        <w:rPr>
          <w:rStyle w:val="eop"/>
          <w:color w:val="000000"/>
          <w:sz w:val="20"/>
          <w:szCs w:val="20"/>
          <w:shd w:val="clear" w:color="auto" w:fill="FFFFFF"/>
        </w:rPr>
        <w:t>:</w:t>
      </w:r>
    </w:p>
    <w:p w14:paraId="55E42E24" w14:textId="06D821E5" w:rsidR="000712C0"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Support</w:t>
      </w:r>
      <w:r w:rsidR="005D766A">
        <w:rPr>
          <w:rStyle w:val="eop"/>
          <w:color w:val="000000"/>
          <w:sz w:val="20"/>
          <w:szCs w:val="20"/>
          <w:shd w:val="clear" w:color="auto" w:fill="FFFFFF"/>
        </w:rPr>
        <w:t xml:space="preserve"> – </w:t>
      </w:r>
      <w:r w:rsidR="00CC6AB9">
        <w:rPr>
          <w:rStyle w:val="eop"/>
          <w:color w:val="000000"/>
          <w:sz w:val="20"/>
          <w:szCs w:val="20"/>
          <w:shd w:val="clear" w:color="auto" w:fill="FFFFFF"/>
        </w:rPr>
        <w:t>Customer ID needed for support ticket creation</w:t>
      </w:r>
      <w:r w:rsidR="00AC0360">
        <w:rPr>
          <w:rStyle w:val="eop"/>
          <w:color w:val="000000"/>
          <w:sz w:val="20"/>
          <w:szCs w:val="20"/>
          <w:shd w:val="clear" w:color="auto" w:fill="FFFFFF"/>
        </w:rPr>
        <w:t>:</w:t>
      </w:r>
    </w:p>
    <w:p w14:paraId="6EE663BD" w14:textId="3389CD97" w:rsidR="00E51818" w:rsidRDefault="00E51818" w:rsidP="00AC0360">
      <w:pPr>
        <w:pStyle w:val="BodyText"/>
        <w:numPr>
          <w:ilvl w:val="2"/>
          <w:numId w:val="208"/>
        </w:numPr>
        <w:rPr>
          <w:rStyle w:val="eop"/>
          <w:color w:val="000000"/>
          <w:sz w:val="20"/>
          <w:szCs w:val="20"/>
          <w:shd w:val="clear" w:color="auto" w:fill="FFFFFF"/>
        </w:rPr>
      </w:pPr>
      <w:bookmarkStart w:id="352" w:name="_Hlk166251554"/>
      <w:bookmarkEnd w:id="350"/>
      <w:r>
        <w:rPr>
          <w:rStyle w:val="eop"/>
          <w:color w:val="000000"/>
          <w:sz w:val="20"/>
          <w:szCs w:val="20"/>
          <w:shd w:val="clear" w:color="auto" w:fill="FFFFFF"/>
        </w:rPr>
        <w:t>1-800-459-8067, option 2, then option 3</w:t>
      </w:r>
    </w:p>
    <w:p w14:paraId="43DF872B" w14:textId="77777777" w:rsidR="00E51818" w:rsidRPr="00E51818" w:rsidRDefault="00000000" w:rsidP="00AC0360">
      <w:pPr>
        <w:pStyle w:val="BodyText"/>
        <w:numPr>
          <w:ilvl w:val="2"/>
          <w:numId w:val="208"/>
        </w:numPr>
        <w:rPr>
          <w:shd w:val="clear" w:color="auto" w:fill="FFFFFF"/>
        </w:rPr>
      </w:pPr>
      <w:hyperlink r:id="rId103" w:history="1">
        <w:r w:rsidR="00E51818" w:rsidRPr="00E51818">
          <w:rPr>
            <w:rStyle w:val="Hyperlink"/>
            <w:sz w:val="20"/>
            <w:szCs w:val="20"/>
            <w:shd w:val="clear" w:color="auto" w:fill="FFFFFF"/>
          </w:rPr>
          <w:t>ihs-support@henryscheinone.com</w:t>
        </w:r>
      </w:hyperlink>
      <w:r w:rsidR="00E51818" w:rsidRPr="00E51818">
        <w:rPr>
          <w:shd w:val="clear" w:color="auto" w:fill="FFFFFF"/>
        </w:rPr>
        <w:t xml:space="preserve"> </w:t>
      </w:r>
    </w:p>
    <w:p w14:paraId="5D78F5F6" w14:textId="13D0C139" w:rsidR="00E51818" w:rsidRPr="00AC0360" w:rsidRDefault="00E51818" w:rsidP="00AC0360">
      <w:pPr>
        <w:pStyle w:val="BodyText"/>
        <w:numPr>
          <w:ilvl w:val="2"/>
          <w:numId w:val="208"/>
        </w:numPr>
        <w:rPr>
          <w:rStyle w:val="eop"/>
          <w:sz w:val="20"/>
          <w:szCs w:val="22"/>
        </w:rPr>
      </w:pPr>
      <w:r w:rsidRPr="00AC0360">
        <w:rPr>
          <w:sz w:val="20"/>
          <w:szCs w:val="22"/>
        </w:rPr>
        <w:t>https://www.dentrixenterprise.com/support/contact</w:t>
      </w:r>
    </w:p>
    <w:p w14:paraId="6322589C" w14:textId="77777777" w:rsidR="009D4A89"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MiPACS</w:t>
      </w:r>
      <w:r w:rsidR="00CC6AB9">
        <w:rPr>
          <w:rStyle w:val="eop"/>
          <w:color w:val="000000"/>
          <w:sz w:val="20"/>
          <w:szCs w:val="20"/>
          <w:shd w:val="clear" w:color="auto" w:fill="FFFFFF"/>
        </w:rPr>
        <w:t xml:space="preserve">: </w:t>
      </w:r>
    </w:p>
    <w:p w14:paraId="249BC2FA" w14:textId="49948E42" w:rsidR="000712C0" w:rsidRDefault="009D4A89" w:rsidP="00AC036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1-704-227-2629</w:t>
      </w:r>
    </w:p>
    <w:p w14:paraId="4AAEBE39" w14:textId="77777777" w:rsidR="009D4A89" w:rsidRPr="009D4A89" w:rsidRDefault="00000000" w:rsidP="00AC0360">
      <w:pPr>
        <w:pStyle w:val="BodyText"/>
        <w:numPr>
          <w:ilvl w:val="2"/>
          <w:numId w:val="208"/>
        </w:numPr>
        <w:rPr>
          <w:shd w:val="clear" w:color="auto" w:fill="FFFFFF"/>
        </w:rPr>
      </w:pPr>
      <w:hyperlink r:id="rId104" w:history="1">
        <w:r w:rsidR="009D4A89" w:rsidRPr="009D4A89">
          <w:rPr>
            <w:rStyle w:val="Hyperlink"/>
            <w:sz w:val="20"/>
            <w:szCs w:val="20"/>
            <w:shd w:val="clear" w:color="auto" w:fill="FFFFFF"/>
          </w:rPr>
          <w:t>support@medicorimaging.com</w:t>
        </w:r>
      </w:hyperlink>
    </w:p>
    <w:p w14:paraId="333321FA" w14:textId="5C211E5F" w:rsidR="009D4A89" w:rsidRPr="009D4A89" w:rsidRDefault="00000000" w:rsidP="00AC0360">
      <w:pPr>
        <w:pStyle w:val="BodyText"/>
        <w:numPr>
          <w:ilvl w:val="2"/>
          <w:numId w:val="208"/>
        </w:numPr>
        <w:rPr>
          <w:rStyle w:val="eop"/>
          <w:color w:val="000000"/>
          <w:sz w:val="20"/>
          <w:szCs w:val="20"/>
          <w:shd w:val="clear" w:color="auto" w:fill="FFFFFF"/>
        </w:rPr>
      </w:pPr>
      <w:hyperlink r:id="rId105" w:history="1">
        <w:r w:rsidR="009D4A89" w:rsidRPr="009D4A89">
          <w:rPr>
            <w:rStyle w:val="Hyperlink"/>
            <w:sz w:val="20"/>
            <w:szCs w:val="20"/>
            <w:shd w:val="clear" w:color="auto" w:fill="FFFFFF"/>
          </w:rPr>
          <w:t>https://wwwˌmedicorimagingˌcom/support</w:t>
        </w:r>
      </w:hyperlink>
    </w:p>
    <w:p w14:paraId="267587A7" w14:textId="59DFE23E" w:rsidR="000712C0" w:rsidRDefault="000712C0" w:rsidP="005E4992">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Dexis</w:t>
      </w:r>
      <w:r w:rsidR="009D4A89">
        <w:rPr>
          <w:rStyle w:val="eop"/>
          <w:color w:val="000000"/>
          <w:sz w:val="20"/>
          <w:szCs w:val="20"/>
          <w:shd w:val="clear" w:color="auto" w:fill="FFFFFF"/>
        </w:rPr>
        <w:t>:</w:t>
      </w:r>
    </w:p>
    <w:p w14:paraId="3345D149" w14:textId="3EE9AE05" w:rsidR="009D4A89" w:rsidRDefault="009D4A89" w:rsidP="00AC036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1-888-883-3947, option 6</w:t>
      </w:r>
    </w:p>
    <w:p w14:paraId="31FDAE3C" w14:textId="2B2B5AAF" w:rsidR="009D4A89" w:rsidRPr="009D4A89" w:rsidRDefault="00000000" w:rsidP="00AC0360">
      <w:pPr>
        <w:pStyle w:val="BodyText"/>
        <w:numPr>
          <w:ilvl w:val="2"/>
          <w:numId w:val="208"/>
        </w:numPr>
        <w:rPr>
          <w:shd w:val="clear" w:color="auto" w:fill="FFFFFF"/>
        </w:rPr>
      </w:pPr>
      <w:hyperlink r:id="rId106" w:history="1">
        <w:r w:rsidR="0020073F" w:rsidRPr="009D4A89">
          <w:rPr>
            <w:rStyle w:val="Hyperlink"/>
            <w:sz w:val="20"/>
            <w:szCs w:val="20"/>
            <w:shd w:val="clear" w:color="auto" w:fill="FFFFFF"/>
          </w:rPr>
          <w:t>https://dexis.com/en-us/remote-assistance</w:t>
        </w:r>
      </w:hyperlink>
      <w:r w:rsidR="0020073F">
        <w:rPr>
          <w:u w:val="single"/>
          <w:shd w:val="clear" w:color="auto" w:fill="FFFFFF"/>
        </w:rPr>
        <w:t xml:space="preserve"> </w:t>
      </w:r>
    </w:p>
    <w:p w14:paraId="060327D4" w14:textId="29EA8E1D" w:rsidR="009D4A89" w:rsidRPr="00AC0360" w:rsidRDefault="009D4A89" w:rsidP="00AC0360">
      <w:pPr>
        <w:pStyle w:val="BodyText"/>
        <w:numPr>
          <w:ilvl w:val="2"/>
          <w:numId w:val="208"/>
        </w:numPr>
        <w:rPr>
          <w:sz w:val="20"/>
          <w:szCs w:val="22"/>
          <w:shd w:val="clear" w:color="auto" w:fill="FFFFFF"/>
        </w:rPr>
      </w:pPr>
      <w:r w:rsidRPr="00AC0360">
        <w:rPr>
          <w:sz w:val="20"/>
          <w:szCs w:val="22"/>
          <w:shd w:val="clear" w:color="auto" w:fill="FFFFFF"/>
        </w:rPr>
        <w:t>Immediate Remote Chat/Support available</w:t>
      </w:r>
      <w:r w:rsidR="00291B49">
        <w:rPr>
          <w:sz w:val="20"/>
          <w:szCs w:val="22"/>
          <w:shd w:val="clear" w:color="auto" w:fill="FFFFFF"/>
        </w:rPr>
        <w:t>.</w:t>
      </w:r>
    </w:p>
    <w:p w14:paraId="002F51DC" w14:textId="4EBD3209" w:rsidR="000712C0" w:rsidRDefault="000712C0" w:rsidP="00C63B50">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RPMS</w:t>
      </w:r>
      <w:r w:rsidR="00AC0360">
        <w:rPr>
          <w:rStyle w:val="eop"/>
          <w:color w:val="000000"/>
          <w:sz w:val="20"/>
          <w:szCs w:val="20"/>
          <w:shd w:val="clear" w:color="auto" w:fill="FFFFFF"/>
        </w:rPr>
        <w:t>:</w:t>
      </w:r>
    </w:p>
    <w:p w14:paraId="6033B7C7" w14:textId="7CD03DBB" w:rsidR="000712C0" w:rsidRDefault="000712C0"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Tier 1 – Local Site IT, if not solved at local Tier 1 level, then escalate to Tier 2</w:t>
      </w:r>
      <w:r w:rsidR="00AA53F7">
        <w:rPr>
          <w:rStyle w:val="eop"/>
          <w:color w:val="000000"/>
          <w:sz w:val="20"/>
          <w:szCs w:val="20"/>
          <w:shd w:val="clear" w:color="auto" w:fill="FFFFFF"/>
        </w:rPr>
        <w:t>.</w:t>
      </w:r>
    </w:p>
    <w:p w14:paraId="7D466C17" w14:textId="532DBD19" w:rsidR="000712C0" w:rsidRPr="00E554FE" w:rsidRDefault="000712C0" w:rsidP="00C63B50">
      <w:pPr>
        <w:pStyle w:val="BodyText"/>
        <w:numPr>
          <w:ilvl w:val="2"/>
          <w:numId w:val="208"/>
        </w:numPr>
        <w:rPr>
          <w:sz w:val="20"/>
          <w:szCs w:val="20"/>
          <w:shd w:val="clear" w:color="auto" w:fill="FFFFFF"/>
        </w:rPr>
      </w:pPr>
      <w:r w:rsidRPr="00E554FE">
        <w:rPr>
          <w:rStyle w:val="eop"/>
          <w:color w:val="000000"/>
          <w:sz w:val="20"/>
          <w:szCs w:val="20"/>
          <w:shd w:val="clear" w:color="auto" w:fill="FFFFFF"/>
        </w:rPr>
        <w:t xml:space="preserve">Tier 2 </w:t>
      </w:r>
      <w:r w:rsidR="00E51818" w:rsidRPr="00E554FE">
        <w:rPr>
          <w:rStyle w:val="eop"/>
          <w:color w:val="000000"/>
          <w:sz w:val="20"/>
          <w:szCs w:val="20"/>
          <w:shd w:val="clear" w:color="auto" w:fill="FFFFFF"/>
        </w:rPr>
        <w:t>–</w:t>
      </w:r>
      <w:r w:rsidRPr="00E554FE">
        <w:rPr>
          <w:rStyle w:val="eop"/>
          <w:color w:val="000000"/>
          <w:sz w:val="20"/>
          <w:szCs w:val="20"/>
          <w:shd w:val="clear" w:color="auto" w:fill="FFFFFF"/>
        </w:rPr>
        <w:t xml:space="preserve"> </w:t>
      </w:r>
      <w:r w:rsidR="00E51818" w:rsidRPr="00E554FE">
        <w:rPr>
          <w:rStyle w:val="eop"/>
          <w:color w:val="000000"/>
          <w:sz w:val="20"/>
          <w:szCs w:val="20"/>
          <w:shd w:val="clear" w:color="auto" w:fill="FFFFFF"/>
        </w:rPr>
        <w:t xml:space="preserve">Area IT, </w:t>
      </w:r>
      <w:r w:rsidRPr="00E554FE">
        <w:rPr>
          <w:sz w:val="20"/>
          <w:szCs w:val="20"/>
          <w:shd w:val="clear" w:color="auto" w:fill="FFFFFF"/>
        </w:rPr>
        <w:t>https://wwwˌihsˌgov/itservicedesk/areait/</w:t>
      </w:r>
      <w:r w:rsidR="00E554FE" w:rsidRPr="00E554FE">
        <w:rPr>
          <w:sz w:val="20"/>
          <w:szCs w:val="20"/>
          <w:shd w:val="clear" w:color="auto" w:fill="FFFFFF"/>
        </w:rPr>
        <w:t>:</w:t>
      </w:r>
    </w:p>
    <w:p w14:paraId="6ED8AF3C" w14:textId="5BDD313C" w:rsidR="000712C0" w:rsidRPr="00E554FE" w:rsidRDefault="000712C0" w:rsidP="00C63B50">
      <w:pPr>
        <w:pStyle w:val="BodyText"/>
        <w:numPr>
          <w:ilvl w:val="3"/>
          <w:numId w:val="208"/>
        </w:numPr>
        <w:rPr>
          <w:sz w:val="20"/>
          <w:szCs w:val="22"/>
          <w:shd w:val="clear" w:color="auto" w:fill="FFFFFF"/>
        </w:rPr>
      </w:pPr>
      <w:r w:rsidRPr="00E554FE">
        <w:rPr>
          <w:sz w:val="20"/>
          <w:szCs w:val="22"/>
          <w:shd w:val="clear" w:color="auto" w:fill="FFFFFF"/>
        </w:rPr>
        <w:t>Use web access link (above) to access local area resources</w:t>
      </w:r>
      <w:r w:rsidR="00AA53F7">
        <w:rPr>
          <w:sz w:val="20"/>
          <w:szCs w:val="22"/>
          <w:shd w:val="clear" w:color="auto" w:fill="FFFFFF"/>
        </w:rPr>
        <w:t>.</w:t>
      </w:r>
    </w:p>
    <w:p w14:paraId="5FF21FD3" w14:textId="4FB69FD7" w:rsidR="000712C0" w:rsidRPr="00E554FE" w:rsidRDefault="000712C0" w:rsidP="00C63B50">
      <w:pPr>
        <w:pStyle w:val="BodyText"/>
        <w:numPr>
          <w:ilvl w:val="3"/>
          <w:numId w:val="208"/>
        </w:numPr>
        <w:rPr>
          <w:rStyle w:val="eop"/>
          <w:color w:val="000000"/>
          <w:sz w:val="18"/>
          <w:szCs w:val="18"/>
          <w:shd w:val="clear" w:color="auto" w:fill="FFFFFF"/>
        </w:rPr>
      </w:pPr>
      <w:r w:rsidRPr="00E554FE">
        <w:rPr>
          <w:sz w:val="20"/>
          <w:szCs w:val="22"/>
          <w:shd w:val="clear" w:color="auto" w:fill="FFFFFF"/>
        </w:rPr>
        <w:t>If not solved at the Area IT level, then escalate to Tier 3</w:t>
      </w:r>
      <w:r w:rsidR="00BF23E9" w:rsidRPr="00E554FE">
        <w:rPr>
          <w:sz w:val="20"/>
          <w:szCs w:val="22"/>
          <w:shd w:val="clear" w:color="auto" w:fill="FFFFFF"/>
        </w:rPr>
        <w:t>, either instigated by the user/Local Site IT or the Area Office</w:t>
      </w:r>
      <w:r w:rsidR="00AA53F7">
        <w:rPr>
          <w:sz w:val="20"/>
          <w:szCs w:val="22"/>
          <w:shd w:val="clear" w:color="auto" w:fill="FFFFFF"/>
        </w:rPr>
        <w:t>.</w:t>
      </w:r>
    </w:p>
    <w:p w14:paraId="2E0AC6B2" w14:textId="19CAAEB8" w:rsidR="000712C0" w:rsidRDefault="000712C0"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Tier 3</w:t>
      </w:r>
      <w:r w:rsidR="00BF23E9">
        <w:rPr>
          <w:rStyle w:val="eop"/>
          <w:color w:val="000000"/>
          <w:sz w:val="20"/>
          <w:szCs w:val="20"/>
          <w:shd w:val="clear" w:color="auto" w:fill="FFFFFF"/>
        </w:rPr>
        <w:t xml:space="preserve"> – </w:t>
      </w:r>
      <w:r w:rsidR="00E51818">
        <w:rPr>
          <w:rStyle w:val="eop"/>
          <w:color w:val="000000"/>
          <w:sz w:val="20"/>
          <w:szCs w:val="20"/>
          <w:shd w:val="clear" w:color="auto" w:fill="FFFFFF"/>
        </w:rPr>
        <w:t xml:space="preserve">National Help Desk, </w:t>
      </w:r>
      <w:r w:rsidR="00BF23E9">
        <w:rPr>
          <w:rStyle w:val="eop"/>
          <w:color w:val="000000"/>
          <w:sz w:val="20"/>
          <w:szCs w:val="20"/>
          <w:shd w:val="clear" w:color="auto" w:fill="FFFFFF"/>
        </w:rPr>
        <w:t xml:space="preserve">1-888-830-7280; </w:t>
      </w:r>
      <w:hyperlink r:id="rId107" w:history="1">
        <w:r w:rsidR="00BF23E9" w:rsidRPr="00F421A0">
          <w:rPr>
            <w:rStyle w:val="Hyperlink"/>
            <w:sz w:val="20"/>
            <w:szCs w:val="20"/>
            <w:shd w:val="clear" w:color="auto" w:fill="FFFFFF"/>
          </w:rPr>
          <w:t>itsupport@ihs.gov</w:t>
        </w:r>
      </w:hyperlink>
      <w:r w:rsidR="00BF23E9">
        <w:rPr>
          <w:rStyle w:val="eop"/>
          <w:color w:val="000000"/>
          <w:sz w:val="20"/>
          <w:szCs w:val="20"/>
          <w:shd w:val="clear" w:color="auto" w:fill="FFFFFF"/>
        </w:rPr>
        <w:t xml:space="preserve">; Self Service Portal - </w:t>
      </w:r>
      <w:hyperlink r:id="rId108" w:history="1">
        <w:r w:rsidR="0020073F" w:rsidRPr="00F421A0">
          <w:rPr>
            <w:rStyle w:val="Hyperlink"/>
            <w:sz w:val="20"/>
            <w:szCs w:val="20"/>
            <w:shd w:val="clear" w:color="auto" w:fill="FFFFFF"/>
          </w:rPr>
          <w:t>https://ihsitsupport.servicenowservices.com/sp/</w:t>
        </w:r>
      </w:hyperlink>
      <w:r w:rsidR="00AA53F7" w:rsidRPr="00291B49">
        <w:rPr>
          <w:shd w:val="clear" w:color="auto" w:fill="FFFFFF"/>
        </w:rPr>
        <w:t>.</w:t>
      </w:r>
    </w:p>
    <w:p w14:paraId="7633F3EC" w14:textId="0BC20130" w:rsidR="009D4A89" w:rsidRDefault="009D4A89" w:rsidP="00181795">
      <w:pPr>
        <w:pStyle w:val="BodyText"/>
        <w:numPr>
          <w:ilvl w:val="0"/>
          <w:numId w:val="208"/>
        </w:numPr>
        <w:rPr>
          <w:rStyle w:val="eop"/>
          <w:color w:val="000000"/>
          <w:sz w:val="20"/>
          <w:szCs w:val="20"/>
          <w:shd w:val="clear" w:color="auto" w:fill="FFFFFF"/>
        </w:rPr>
      </w:pPr>
      <w:r w:rsidRPr="00966C0A">
        <w:rPr>
          <w:rStyle w:val="eop"/>
          <w:b/>
          <w:bCs/>
          <w:color w:val="000000"/>
          <w:sz w:val="20"/>
          <w:szCs w:val="20"/>
          <w:shd w:val="clear" w:color="auto" w:fill="FFFFFF"/>
        </w:rPr>
        <w:t>EDR Project Contacts</w:t>
      </w:r>
      <w:r w:rsidR="00966C0A">
        <w:rPr>
          <w:rStyle w:val="eop"/>
          <w:color w:val="000000"/>
          <w:sz w:val="20"/>
          <w:szCs w:val="20"/>
          <w:shd w:val="clear" w:color="auto" w:fill="FFFFFF"/>
        </w:rPr>
        <w:t>:</w:t>
      </w:r>
    </w:p>
    <w:p w14:paraId="7FCC7F68" w14:textId="17115D96" w:rsidR="009D4A89" w:rsidRDefault="009D4A89" w:rsidP="00C63B50">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IHS</w:t>
      </w:r>
      <w:r w:rsidR="005D766A">
        <w:rPr>
          <w:rStyle w:val="eop"/>
          <w:color w:val="000000"/>
          <w:sz w:val="20"/>
          <w:szCs w:val="20"/>
          <w:shd w:val="clear" w:color="auto" w:fill="FFFFFF"/>
        </w:rPr>
        <w:t xml:space="preserve"> – </w:t>
      </w:r>
      <w:r>
        <w:rPr>
          <w:rStyle w:val="eop"/>
          <w:color w:val="000000"/>
          <w:sz w:val="20"/>
          <w:szCs w:val="20"/>
          <w:shd w:val="clear" w:color="auto" w:fill="FFFFFF"/>
        </w:rPr>
        <w:t>Program Direction; Contracting Officer’s Technical Representative</w:t>
      </w:r>
      <w:r w:rsidR="00E554FE">
        <w:rPr>
          <w:rStyle w:val="eop"/>
          <w:color w:val="000000"/>
          <w:sz w:val="20"/>
          <w:szCs w:val="20"/>
          <w:shd w:val="clear" w:color="auto" w:fill="FFFFFF"/>
        </w:rPr>
        <w:t>:</w:t>
      </w:r>
    </w:p>
    <w:p w14:paraId="08053088" w14:textId="76C84A1D" w:rsidR="009D4A89" w:rsidRDefault="009D4A8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Dr. Joel Knutson, Project Manager</w:t>
      </w:r>
      <w:r w:rsidR="00AA53F7">
        <w:rPr>
          <w:rStyle w:val="eop"/>
          <w:color w:val="000000"/>
          <w:sz w:val="20"/>
          <w:szCs w:val="20"/>
          <w:shd w:val="clear" w:color="auto" w:fill="FFFFFF"/>
        </w:rPr>
        <w:t>:</w:t>
      </w:r>
    </w:p>
    <w:p w14:paraId="2DEBA97F" w14:textId="77777777" w:rsidR="009D4A89" w:rsidRPr="009D4A89" w:rsidRDefault="00000000" w:rsidP="00C63B50">
      <w:pPr>
        <w:pStyle w:val="BodyText"/>
        <w:numPr>
          <w:ilvl w:val="3"/>
          <w:numId w:val="208"/>
        </w:numPr>
        <w:rPr>
          <w:shd w:val="clear" w:color="auto" w:fill="FFFFFF"/>
        </w:rPr>
      </w:pPr>
      <w:hyperlink r:id="rId109" w:history="1">
        <w:r w:rsidR="009D4A89" w:rsidRPr="009D4A89">
          <w:rPr>
            <w:rStyle w:val="Hyperlink"/>
            <w:sz w:val="20"/>
            <w:szCs w:val="20"/>
            <w:shd w:val="clear" w:color="auto" w:fill="FFFFFF"/>
          </w:rPr>
          <w:t>Joel.Knutson@ihs.gov</w:t>
        </w:r>
      </w:hyperlink>
    </w:p>
    <w:p w14:paraId="5F6D6267" w14:textId="679357F3" w:rsidR="009D4A89" w:rsidRDefault="009D4A89"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240-461-9523</w:t>
      </w:r>
    </w:p>
    <w:p w14:paraId="5406D95F" w14:textId="7ECC182C" w:rsidR="009D4A89" w:rsidRDefault="009D4A8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Dr. Damon Pope</w:t>
      </w:r>
      <w:r w:rsidR="00A03DC9">
        <w:rPr>
          <w:rStyle w:val="eop"/>
          <w:color w:val="000000"/>
          <w:sz w:val="20"/>
          <w:szCs w:val="20"/>
          <w:shd w:val="clear" w:color="auto" w:fill="FFFFFF"/>
        </w:rPr>
        <w:t>, Dental Program Support Officer</w:t>
      </w:r>
      <w:r w:rsidR="00AA53F7">
        <w:rPr>
          <w:rStyle w:val="eop"/>
          <w:color w:val="000000"/>
          <w:sz w:val="20"/>
          <w:szCs w:val="20"/>
          <w:shd w:val="clear" w:color="auto" w:fill="FFFFFF"/>
        </w:rPr>
        <w:t>:</w:t>
      </w:r>
    </w:p>
    <w:p w14:paraId="4D52D747" w14:textId="37EBE5DF" w:rsidR="00A03DC9" w:rsidRPr="00A03DC9" w:rsidRDefault="00000000" w:rsidP="00C63B50">
      <w:pPr>
        <w:pStyle w:val="BodyText"/>
        <w:numPr>
          <w:ilvl w:val="3"/>
          <w:numId w:val="208"/>
        </w:numPr>
        <w:rPr>
          <w:shd w:val="clear" w:color="auto" w:fill="FFFFFF"/>
        </w:rPr>
      </w:pPr>
      <w:hyperlink r:id="rId110" w:history="1">
        <w:r w:rsidR="00A03DC9" w:rsidRPr="00A03DC9">
          <w:rPr>
            <w:rStyle w:val="Hyperlink"/>
            <w:sz w:val="20"/>
            <w:szCs w:val="20"/>
            <w:shd w:val="clear" w:color="auto" w:fill="FFFFFF"/>
          </w:rPr>
          <w:t>Damon.</w:t>
        </w:r>
        <w:r w:rsidR="00A03DC9" w:rsidRPr="00F421A0">
          <w:rPr>
            <w:rStyle w:val="Hyperlink"/>
            <w:sz w:val="20"/>
            <w:szCs w:val="20"/>
            <w:shd w:val="clear" w:color="auto" w:fill="FFFFFF"/>
          </w:rPr>
          <w:t>P</w:t>
        </w:r>
        <w:r w:rsidR="00A03DC9" w:rsidRPr="00A03DC9">
          <w:rPr>
            <w:rStyle w:val="Hyperlink"/>
            <w:sz w:val="20"/>
            <w:szCs w:val="20"/>
            <w:shd w:val="clear" w:color="auto" w:fill="FFFFFF"/>
          </w:rPr>
          <w:t>ope@ihs.gov</w:t>
        </w:r>
      </w:hyperlink>
      <w:r w:rsidR="00A03DC9" w:rsidRPr="00A03DC9">
        <w:rPr>
          <w:shd w:val="clear" w:color="auto" w:fill="FFFFFF"/>
        </w:rPr>
        <w:t xml:space="preserve"> </w:t>
      </w:r>
    </w:p>
    <w:p w14:paraId="51E895D0" w14:textId="2CF914F1" w:rsidR="00A03DC9" w:rsidRDefault="00A03DC9"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240-893-3457</w:t>
      </w:r>
    </w:p>
    <w:p w14:paraId="5ED0496A" w14:textId="01233792" w:rsidR="00A03DC9" w:rsidRDefault="00A03DC9" w:rsidP="005D766A">
      <w:pPr>
        <w:pStyle w:val="BodyText"/>
        <w:keepNext/>
        <w:keepLines/>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lastRenderedPageBreak/>
        <w:t>Team EDR</w:t>
      </w:r>
      <w:r w:rsidR="005D766A">
        <w:rPr>
          <w:rStyle w:val="eop"/>
          <w:color w:val="000000"/>
          <w:sz w:val="20"/>
          <w:szCs w:val="20"/>
          <w:shd w:val="clear" w:color="auto" w:fill="FFFFFF"/>
        </w:rPr>
        <w:t xml:space="preserve"> – </w:t>
      </w:r>
      <w:r>
        <w:rPr>
          <w:rStyle w:val="eop"/>
          <w:color w:val="000000"/>
          <w:sz w:val="20"/>
          <w:szCs w:val="20"/>
          <w:shd w:val="clear" w:color="auto" w:fill="FFFFFF"/>
        </w:rPr>
        <w:t>Program Management Support of Nationwide EDR Implementation; EDR Implementation Oversight and Quality Assurance</w:t>
      </w:r>
      <w:r w:rsidR="00E554FE">
        <w:rPr>
          <w:rStyle w:val="eop"/>
          <w:color w:val="000000"/>
          <w:sz w:val="20"/>
          <w:szCs w:val="20"/>
          <w:shd w:val="clear" w:color="auto" w:fill="FFFFFF"/>
        </w:rPr>
        <w:t>:</w:t>
      </w:r>
    </w:p>
    <w:p w14:paraId="2C966867" w14:textId="6861B5F5" w:rsidR="00A03DC9" w:rsidRDefault="00A03DC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Jeremy Carlson, Site Manager</w:t>
      </w:r>
      <w:r w:rsidR="00AA53F7">
        <w:rPr>
          <w:rStyle w:val="eop"/>
          <w:color w:val="000000"/>
          <w:sz w:val="20"/>
          <w:szCs w:val="20"/>
          <w:shd w:val="clear" w:color="auto" w:fill="FFFFFF"/>
        </w:rPr>
        <w:t>:</w:t>
      </w:r>
    </w:p>
    <w:p w14:paraId="4DAA9737" w14:textId="5D5760F3" w:rsidR="00A03DC9" w:rsidRPr="00A03DC9" w:rsidRDefault="00000000" w:rsidP="00C63B50">
      <w:pPr>
        <w:pStyle w:val="BodyText"/>
        <w:numPr>
          <w:ilvl w:val="3"/>
          <w:numId w:val="208"/>
        </w:numPr>
        <w:rPr>
          <w:shd w:val="clear" w:color="auto" w:fill="FFFFFF"/>
        </w:rPr>
      </w:pPr>
      <w:hyperlink r:id="rId111" w:history="1">
        <w:r w:rsidR="0020073F" w:rsidRPr="00A03DC9">
          <w:rPr>
            <w:rStyle w:val="Hyperlink"/>
            <w:sz w:val="20"/>
            <w:szCs w:val="20"/>
            <w:shd w:val="clear" w:color="auto" w:fill="FFFFFF"/>
          </w:rPr>
          <w:t>Jeremy.r.Carlson@leidos.com</w:t>
        </w:r>
      </w:hyperlink>
      <w:r w:rsidR="0020073F">
        <w:rPr>
          <w:u w:val="single"/>
          <w:shd w:val="clear" w:color="auto" w:fill="FFFFFF"/>
        </w:rPr>
        <w:t xml:space="preserve"> </w:t>
      </w:r>
    </w:p>
    <w:p w14:paraId="0C1DDCB1" w14:textId="27D29215" w:rsidR="00A03DC9" w:rsidRDefault="00A03DC9"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951-395-3840</w:t>
      </w:r>
    </w:p>
    <w:p w14:paraId="5E9FE668" w14:textId="078E5EE2" w:rsidR="00A03DC9" w:rsidRDefault="00A03DC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Kevin Santiago, Site Manager</w:t>
      </w:r>
      <w:r w:rsidR="00AA53F7">
        <w:rPr>
          <w:rStyle w:val="eop"/>
          <w:color w:val="000000"/>
          <w:sz w:val="20"/>
          <w:szCs w:val="20"/>
          <w:shd w:val="clear" w:color="auto" w:fill="FFFFFF"/>
        </w:rPr>
        <w:t>:</w:t>
      </w:r>
    </w:p>
    <w:p w14:paraId="5DA84C3B" w14:textId="719F9968" w:rsidR="00A03DC9" w:rsidRPr="00A03DC9" w:rsidRDefault="00000000" w:rsidP="00C63B50">
      <w:pPr>
        <w:pStyle w:val="BodyText"/>
        <w:numPr>
          <w:ilvl w:val="3"/>
          <w:numId w:val="208"/>
        </w:numPr>
        <w:rPr>
          <w:shd w:val="clear" w:color="auto" w:fill="FFFFFF"/>
        </w:rPr>
      </w:pPr>
      <w:hyperlink r:id="rId112" w:history="1">
        <w:r w:rsidR="0020073F" w:rsidRPr="00A03DC9">
          <w:rPr>
            <w:rStyle w:val="Hyperlink"/>
            <w:sz w:val="20"/>
            <w:szCs w:val="20"/>
            <w:shd w:val="clear" w:color="auto" w:fill="FFFFFF"/>
          </w:rPr>
          <w:t>Kevin.r.Santiago@Leidos.com</w:t>
        </w:r>
      </w:hyperlink>
      <w:r w:rsidR="0020073F">
        <w:rPr>
          <w:u w:val="single"/>
          <w:shd w:val="clear" w:color="auto" w:fill="FFFFFF"/>
        </w:rPr>
        <w:t xml:space="preserve"> </w:t>
      </w:r>
    </w:p>
    <w:p w14:paraId="462858C1" w14:textId="7A8A2B47" w:rsidR="00A03DC9" w:rsidRPr="00A03DC9" w:rsidRDefault="00A03DC9"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619-370-7538</w:t>
      </w:r>
    </w:p>
    <w:p w14:paraId="01F012D7" w14:textId="7BDAC6A2" w:rsidR="00A03DC9" w:rsidRDefault="00A03DC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Robert Busuttil, Technical Manager</w:t>
      </w:r>
      <w:r w:rsidR="00AA53F7">
        <w:rPr>
          <w:rStyle w:val="eop"/>
          <w:color w:val="000000"/>
          <w:sz w:val="20"/>
          <w:szCs w:val="20"/>
          <w:shd w:val="clear" w:color="auto" w:fill="FFFFFF"/>
        </w:rPr>
        <w:t>:</w:t>
      </w:r>
    </w:p>
    <w:p w14:paraId="499D05D8" w14:textId="77777777" w:rsidR="00BC300E" w:rsidRPr="00BC300E" w:rsidRDefault="00000000" w:rsidP="00C63B50">
      <w:pPr>
        <w:pStyle w:val="BodyText"/>
        <w:numPr>
          <w:ilvl w:val="3"/>
          <w:numId w:val="208"/>
        </w:numPr>
        <w:rPr>
          <w:shd w:val="clear" w:color="auto" w:fill="FFFFFF"/>
        </w:rPr>
      </w:pPr>
      <w:hyperlink r:id="rId113" w:history="1">
        <w:r w:rsidR="00BC300E" w:rsidRPr="00BC300E">
          <w:rPr>
            <w:rStyle w:val="Hyperlink"/>
            <w:sz w:val="20"/>
            <w:szCs w:val="20"/>
            <w:shd w:val="clear" w:color="auto" w:fill="FFFFFF"/>
          </w:rPr>
          <w:t>Robert.Busuttil@Leidos.com</w:t>
        </w:r>
      </w:hyperlink>
    </w:p>
    <w:p w14:paraId="43B4511C" w14:textId="1B13E587" w:rsidR="00A03DC9" w:rsidRDefault="00BC300E"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631-767-8635</w:t>
      </w:r>
    </w:p>
    <w:p w14:paraId="0698D741" w14:textId="13034072" w:rsidR="00A03DC9" w:rsidRDefault="00A03DC9" w:rsidP="00C63B50">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Matt Phaneuf, Henry Schein One Program Manager</w:t>
      </w:r>
      <w:r w:rsidR="00AA53F7">
        <w:rPr>
          <w:rStyle w:val="eop"/>
          <w:color w:val="000000"/>
          <w:sz w:val="20"/>
          <w:szCs w:val="20"/>
          <w:shd w:val="clear" w:color="auto" w:fill="FFFFFF"/>
        </w:rPr>
        <w:t>:</w:t>
      </w:r>
    </w:p>
    <w:p w14:paraId="398A5DE0" w14:textId="30E89074" w:rsidR="00BC300E" w:rsidRPr="00BC300E" w:rsidRDefault="00000000" w:rsidP="00C63B50">
      <w:pPr>
        <w:pStyle w:val="BodyText"/>
        <w:numPr>
          <w:ilvl w:val="3"/>
          <w:numId w:val="208"/>
        </w:numPr>
        <w:rPr>
          <w:shd w:val="clear" w:color="auto" w:fill="FFFFFF"/>
        </w:rPr>
      </w:pPr>
      <w:hyperlink r:id="rId114" w:history="1">
        <w:r w:rsidR="0020073F" w:rsidRPr="00BC300E">
          <w:rPr>
            <w:rStyle w:val="Hyperlink"/>
            <w:sz w:val="20"/>
            <w:szCs w:val="20"/>
            <w:shd w:val="clear" w:color="auto" w:fill="FFFFFF"/>
          </w:rPr>
          <w:t>Matt.Phaneuf@Henryscheinone.com</w:t>
        </w:r>
      </w:hyperlink>
      <w:r w:rsidR="0020073F">
        <w:rPr>
          <w:u w:val="single"/>
          <w:shd w:val="clear" w:color="auto" w:fill="FFFFFF"/>
        </w:rPr>
        <w:t xml:space="preserve"> </w:t>
      </w:r>
    </w:p>
    <w:p w14:paraId="2725128A" w14:textId="0F323E60" w:rsidR="00BC300E" w:rsidRDefault="00BC300E" w:rsidP="00C63B50">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757-816-9526</w:t>
      </w:r>
    </w:p>
    <w:p w14:paraId="0CB2CBBF" w14:textId="51BBD1DB" w:rsidR="00A95F40" w:rsidRDefault="00A95F40" w:rsidP="00181795">
      <w:pPr>
        <w:pStyle w:val="BodyText"/>
        <w:numPr>
          <w:ilvl w:val="0"/>
          <w:numId w:val="208"/>
        </w:numPr>
        <w:rPr>
          <w:rStyle w:val="eop"/>
          <w:color w:val="000000"/>
          <w:sz w:val="20"/>
          <w:szCs w:val="20"/>
          <w:shd w:val="clear" w:color="auto" w:fill="FFFFFF"/>
        </w:rPr>
      </w:pPr>
      <w:r w:rsidRPr="00966C0A">
        <w:rPr>
          <w:rStyle w:val="eop"/>
          <w:b/>
          <w:bCs/>
          <w:color w:val="000000"/>
          <w:sz w:val="20"/>
          <w:szCs w:val="20"/>
          <w:shd w:val="clear" w:color="auto" w:fill="FFFFFF"/>
        </w:rPr>
        <w:t>EDR Training Videos</w:t>
      </w:r>
      <w:r w:rsidR="005D766A">
        <w:rPr>
          <w:rStyle w:val="eop"/>
          <w:color w:val="000000"/>
          <w:sz w:val="20"/>
          <w:szCs w:val="20"/>
          <w:shd w:val="clear" w:color="auto" w:fill="FFFFFF"/>
        </w:rPr>
        <w:t>:</w:t>
      </w:r>
    </w:p>
    <w:p w14:paraId="7AC82C94" w14:textId="566AE2C0" w:rsidR="00A95F40" w:rsidRDefault="00A95F40" w:rsidP="004E07D9">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Upgrade Training Videos</w:t>
      </w:r>
      <w:r w:rsidR="00966C0A">
        <w:rPr>
          <w:rStyle w:val="eop"/>
          <w:color w:val="000000"/>
          <w:sz w:val="20"/>
          <w:szCs w:val="20"/>
          <w:shd w:val="clear" w:color="auto" w:fill="FFFFFF"/>
        </w:rPr>
        <w:t xml:space="preserve"> – </w:t>
      </w:r>
      <w:r w:rsidR="0020073F">
        <w:rPr>
          <w:rStyle w:val="eop"/>
          <w:color w:val="000000"/>
          <w:sz w:val="20"/>
          <w:szCs w:val="20"/>
          <w:shd w:val="clear" w:color="auto" w:fill="FFFFFF"/>
        </w:rPr>
        <w:t>On-demand training videos by dental clinic role</w:t>
      </w:r>
      <w:r w:rsidR="005D766A">
        <w:rPr>
          <w:rStyle w:val="eop"/>
          <w:color w:val="000000"/>
          <w:sz w:val="20"/>
          <w:szCs w:val="20"/>
          <w:shd w:val="clear" w:color="auto" w:fill="FFFFFF"/>
        </w:rPr>
        <w:t>:</w:t>
      </w:r>
    </w:p>
    <w:p w14:paraId="0AFCA2B9" w14:textId="450CD8BC" w:rsidR="00A95F40" w:rsidRDefault="00000000" w:rsidP="005D766A">
      <w:pPr>
        <w:pStyle w:val="BodyText"/>
        <w:ind w:left="1440"/>
        <w:rPr>
          <w:rStyle w:val="eop"/>
          <w:color w:val="000000"/>
          <w:sz w:val="20"/>
          <w:szCs w:val="20"/>
          <w:shd w:val="clear" w:color="auto" w:fill="FFFFFF"/>
        </w:rPr>
      </w:pPr>
      <w:hyperlink r:id="rId115" w:history="1">
        <w:r w:rsidR="0020073F" w:rsidRPr="00F421A0">
          <w:rPr>
            <w:rStyle w:val="Hyperlink"/>
            <w:sz w:val="20"/>
            <w:szCs w:val="20"/>
            <w:shd w:val="clear" w:color="auto" w:fill="FFFFFF"/>
          </w:rPr>
          <w:t>https://www.ihs.gov/DOH/EDR/index.cfm?fuseaction=training.display</w:t>
        </w:r>
      </w:hyperlink>
      <w:r w:rsidR="0020073F">
        <w:rPr>
          <w:shd w:val="clear" w:color="auto" w:fill="FFFFFF"/>
        </w:rPr>
        <w:t xml:space="preserve"> </w:t>
      </w:r>
      <w:r w:rsidR="0020073F" w:rsidRPr="0020073F">
        <w:rPr>
          <w:shd w:val="clear" w:color="auto" w:fill="FFFFFF"/>
        </w:rPr>
        <w:t xml:space="preserve">  </w:t>
      </w:r>
    </w:p>
    <w:p w14:paraId="1EB28FF7" w14:textId="09B74142" w:rsidR="0020073F" w:rsidRDefault="002C7DBC" w:rsidP="004E07D9">
      <w:pPr>
        <w:pStyle w:val="BodyText"/>
        <w:numPr>
          <w:ilvl w:val="1"/>
          <w:numId w:val="208"/>
        </w:numPr>
        <w:rPr>
          <w:rStyle w:val="eop"/>
          <w:color w:val="000000"/>
          <w:sz w:val="20"/>
          <w:szCs w:val="20"/>
          <w:shd w:val="clear" w:color="auto" w:fill="FFFFFF"/>
        </w:rPr>
      </w:pPr>
      <w:r w:rsidRPr="00966C0A">
        <w:rPr>
          <w:rStyle w:val="eop"/>
          <w:b/>
          <w:bCs/>
          <w:color w:val="000000"/>
          <w:sz w:val="20"/>
          <w:szCs w:val="20"/>
          <w:shd w:val="clear" w:color="auto" w:fill="FFFFFF"/>
        </w:rPr>
        <w:t>Dentrix Enterprise Resource Center</w:t>
      </w:r>
      <w:r w:rsidR="00966C0A">
        <w:rPr>
          <w:rStyle w:val="eop"/>
          <w:color w:val="000000"/>
          <w:sz w:val="20"/>
          <w:szCs w:val="20"/>
          <w:shd w:val="clear" w:color="auto" w:fill="FFFFFF"/>
        </w:rPr>
        <w:t xml:space="preserve"> – </w:t>
      </w:r>
      <w:r>
        <w:rPr>
          <w:rStyle w:val="eop"/>
          <w:color w:val="000000"/>
          <w:sz w:val="20"/>
          <w:szCs w:val="20"/>
          <w:shd w:val="clear" w:color="auto" w:fill="FFFFFF"/>
        </w:rPr>
        <w:t>Introductory Videos for New Users</w:t>
      </w:r>
      <w:r w:rsidR="007F2D24">
        <w:rPr>
          <w:rStyle w:val="eop"/>
          <w:color w:val="000000"/>
          <w:sz w:val="20"/>
          <w:szCs w:val="20"/>
          <w:shd w:val="clear" w:color="auto" w:fill="FFFFFF"/>
        </w:rPr>
        <w:t>:</w:t>
      </w:r>
    </w:p>
    <w:p w14:paraId="0EFC9880" w14:textId="127410DA" w:rsidR="002C7DBC" w:rsidRDefault="00000000" w:rsidP="004E07D9">
      <w:pPr>
        <w:pStyle w:val="BodyText"/>
        <w:numPr>
          <w:ilvl w:val="2"/>
          <w:numId w:val="208"/>
        </w:numPr>
        <w:rPr>
          <w:rStyle w:val="eop"/>
          <w:color w:val="000000"/>
          <w:sz w:val="20"/>
          <w:szCs w:val="20"/>
          <w:shd w:val="clear" w:color="auto" w:fill="FFFFFF"/>
        </w:rPr>
      </w:pPr>
      <w:hyperlink r:id="rId116" w:history="1">
        <w:r w:rsidR="002C7DBC" w:rsidRPr="00F421A0">
          <w:rPr>
            <w:rStyle w:val="Hyperlink"/>
            <w:sz w:val="20"/>
            <w:szCs w:val="20"/>
            <w:shd w:val="clear" w:color="auto" w:fill="FFFFFF"/>
          </w:rPr>
          <w:t>https://resourcecenter.dentrixenterprise.com/login</w:t>
        </w:r>
      </w:hyperlink>
      <w:r w:rsidR="007F2D24">
        <w:rPr>
          <w:rStyle w:val="eop"/>
          <w:color w:val="000000"/>
          <w:sz w:val="20"/>
          <w:szCs w:val="20"/>
          <w:shd w:val="clear" w:color="auto" w:fill="FFFFFF"/>
        </w:rPr>
        <w:t>.</w:t>
      </w:r>
    </w:p>
    <w:p w14:paraId="114A5E04" w14:textId="564F7D6F" w:rsidR="002C7DBC" w:rsidRDefault="002C7DBC" w:rsidP="004E07D9">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Log in with Customer ID and Zip Code</w:t>
      </w:r>
      <w:r w:rsidR="007F2D24">
        <w:rPr>
          <w:rStyle w:val="eop"/>
          <w:color w:val="000000"/>
          <w:sz w:val="20"/>
          <w:szCs w:val="20"/>
          <w:shd w:val="clear" w:color="auto" w:fill="FFFFFF"/>
        </w:rPr>
        <w:t>.</w:t>
      </w:r>
    </w:p>
    <w:p w14:paraId="2A9BBF88" w14:textId="6066797C" w:rsidR="002C7DBC" w:rsidRDefault="002C7DBC" w:rsidP="004E07D9">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From the lower right, select Get Your Training</w:t>
      </w:r>
      <w:r w:rsidR="007F2D24">
        <w:rPr>
          <w:rStyle w:val="eop"/>
          <w:color w:val="000000"/>
          <w:sz w:val="20"/>
          <w:szCs w:val="20"/>
          <w:shd w:val="clear" w:color="auto" w:fill="FFFFFF"/>
        </w:rPr>
        <w:t>.</w:t>
      </w:r>
    </w:p>
    <w:p w14:paraId="1F7A54F9" w14:textId="5C55BDFD" w:rsidR="002C7DBC" w:rsidRDefault="002C7DBC" w:rsidP="004E07D9">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If accessing these videos for the first time, you will select ‘Register’ on the right side to create a personal user ID and password (each staff member will register)</w:t>
      </w:r>
      <w:r w:rsidR="007F2D24">
        <w:rPr>
          <w:rStyle w:val="eop"/>
          <w:color w:val="000000"/>
          <w:sz w:val="20"/>
          <w:szCs w:val="20"/>
          <w:shd w:val="clear" w:color="auto" w:fill="FFFFFF"/>
        </w:rPr>
        <w:t>.</w:t>
      </w:r>
    </w:p>
    <w:p w14:paraId="0A2AF5FF" w14:textId="7F472A6C" w:rsidR="002C7DBC" w:rsidRDefault="002C7DBC" w:rsidP="004E07D9">
      <w:pPr>
        <w:pStyle w:val="BodyText"/>
        <w:numPr>
          <w:ilvl w:val="2"/>
          <w:numId w:val="208"/>
        </w:numPr>
        <w:rPr>
          <w:rStyle w:val="eop"/>
          <w:color w:val="000000"/>
          <w:sz w:val="20"/>
          <w:szCs w:val="20"/>
          <w:shd w:val="clear" w:color="auto" w:fill="FFFFFF"/>
        </w:rPr>
      </w:pPr>
      <w:r>
        <w:rPr>
          <w:rStyle w:val="eop"/>
          <w:color w:val="000000"/>
          <w:sz w:val="20"/>
          <w:szCs w:val="20"/>
          <w:shd w:val="clear" w:color="auto" w:fill="FFFFFF"/>
        </w:rPr>
        <w:t>Video Topics Include:</w:t>
      </w:r>
    </w:p>
    <w:p w14:paraId="1696DE67" w14:textId="6EA8C9E1"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Appointment Essentials – Learn how to schedule, search, break, move, and manage the dental Appointment Book in Dentrix Enterprise</w:t>
      </w:r>
      <w:r w:rsidR="007F2D24">
        <w:rPr>
          <w:rStyle w:val="eop"/>
          <w:color w:val="000000"/>
          <w:sz w:val="20"/>
          <w:szCs w:val="20"/>
          <w:shd w:val="clear" w:color="auto" w:fill="FFFFFF"/>
        </w:rPr>
        <w:t>.</w:t>
      </w:r>
    </w:p>
    <w:p w14:paraId="18C21D58" w14:textId="1247FC5A"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Patient Records Essentials – Learn about patient account management for demographics, insurance, notes, alerts and more</w:t>
      </w:r>
      <w:r w:rsidR="007F2D24">
        <w:rPr>
          <w:rStyle w:val="eop"/>
          <w:color w:val="000000"/>
          <w:sz w:val="20"/>
          <w:szCs w:val="20"/>
          <w:shd w:val="clear" w:color="auto" w:fill="FFFFFF"/>
        </w:rPr>
        <w:t>.</w:t>
      </w:r>
    </w:p>
    <w:p w14:paraId="41FC33F2" w14:textId="3E7B1100"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Continuing Care Essentials – Learn how to assign, edit, schedule, and complete Continuing Care for patients</w:t>
      </w:r>
      <w:r w:rsidR="007F2D24">
        <w:rPr>
          <w:rStyle w:val="eop"/>
          <w:color w:val="000000"/>
          <w:sz w:val="20"/>
          <w:szCs w:val="20"/>
          <w:shd w:val="clear" w:color="auto" w:fill="FFFFFF"/>
        </w:rPr>
        <w:t>.</w:t>
      </w:r>
    </w:p>
    <w:p w14:paraId="032278C2" w14:textId="120E024D"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Charting Essentials – Learn how to review medical history, chart patient care including conditions, treatment plans, completed procedures, and clinical documentation</w:t>
      </w:r>
      <w:r w:rsidR="007F2D24">
        <w:rPr>
          <w:rStyle w:val="eop"/>
          <w:color w:val="000000"/>
          <w:sz w:val="20"/>
          <w:szCs w:val="20"/>
          <w:shd w:val="clear" w:color="auto" w:fill="FFFFFF"/>
        </w:rPr>
        <w:t>.</w:t>
      </w:r>
    </w:p>
    <w:p w14:paraId="4CC7A17C" w14:textId="31973D0E"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Treatment Planning Essentials – Learn how to create, order, update status, print, and manage patient treatment plans</w:t>
      </w:r>
      <w:r w:rsidR="007F2D24">
        <w:rPr>
          <w:rStyle w:val="eop"/>
          <w:color w:val="000000"/>
          <w:sz w:val="20"/>
          <w:szCs w:val="20"/>
          <w:shd w:val="clear" w:color="auto" w:fill="FFFFFF"/>
        </w:rPr>
        <w:t>.</w:t>
      </w:r>
    </w:p>
    <w:p w14:paraId="0B4464CF" w14:textId="6E183431" w:rsidR="002C7DBC" w:rsidRDefault="002C7DBC"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Billing &amp; Accounts Receivable Essentials – Learn how to enter payments, post adjustments</w:t>
      </w:r>
      <w:r w:rsidR="00EC7DF8">
        <w:rPr>
          <w:rStyle w:val="eop"/>
          <w:color w:val="000000"/>
          <w:sz w:val="20"/>
          <w:szCs w:val="20"/>
          <w:shd w:val="clear" w:color="auto" w:fill="FFFFFF"/>
        </w:rPr>
        <w:t>, and apply credits to resolve patient account balances in Dentrix Enterprise</w:t>
      </w:r>
      <w:r w:rsidR="007F2D24">
        <w:rPr>
          <w:rStyle w:val="eop"/>
          <w:color w:val="000000"/>
          <w:sz w:val="20"/>
          <w:szCs w:val="20"/>
          <w:shd w:val="clear" w:color="auto" w:fill="FFFFFF"/>
        </w:rPr>
        <w:t>.</w:t>
      </w:r>
    </w:p>
    <w:p w14:paraId="4949C82F" w14:textId="16FFCAEA" w:rsidR="00EC7DF8" w:rsidRDefault="00EC7DF8"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Insurance Essentials – Learn how to create, attach supporting documents, submit, and manage service claims in Dentrix Enterprise</w:t>
      </w:r>
      <w:r w:rsidR="007F2D24">
        <w:rPr>
          <w:rStyle w:val="eop"/>
          <w:color w:val="000000"/>
          <w:sz w:val="20"/>
          <w:szCs w:val="20"/>
          <w:shd w:val="clear" w:color="auto" w:fill="FFFFFF"/>
        </w:rPr>
        <w:t>.</w:t>
      </w:r>
    </w:p>
    <w:p w14:paraId="217629DB" w14:textId="2C4610D0" w:rsidR="00EC7DF8" w:rsidRDefault="00EC7DF8"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lastRenderedPageBreak/>
        <w:t>Patient Documents Essentials – Learn how to acquire, edit, sign, print, and manage electronic documents in Dentrix Enterprise</w:t>
      </w:r>
      <w:r w:rsidR="007F2D24">
        <w:rPr>
          <w:rStyle w:val="eop"/>
          <w:color w:val="000000"/>
          <w:sz w:val="20"/>
          <w:szCs w:val="20"/>
          <w:shd w:val="clear" w:color="auto" w:fill="FFFFFF"/>
        </w:rPr>
        <w:t>.</w:t>
      </w:r>
    </w:p>
    <w:p w14:paraId="3256B9C6" w14:textId="29FB645D" w:rsidR="00EC7DF8" w:rsidRDefault="00EC7DF8" w:rsidP="004E07D9">
      <w:pPr>
        <w:pStyle w:val="BodyText"/>
        <w:numPr>
          <w:ilvl w:val="3"/>
          <w:numId w:val="208"/>
        </w:numPr>
        <w:rPr>
          <w:rStyle w:val="eop"/>
          <w:color w:val="000000"/>
          <w:sz w:val="20"/>
          <w:szCs w:val="20"/>
          <w:shd w:val="clear" w:color="auto" w:fill="FFFFFF"/>
        </w:rPr>
      </w:pPr>
      <w:r>
        <w:rPr>
          <w:rStyle w:val="eop"/>
          <w:color w:val="000000"/>
          <w:sz w:val="20"/>
          <w:szCs w:val="20"/>
          <w:shd w:val="clear" w:color="auto" w:fill="FFFFFF"/>
        </w:rPr>
        <w:t>Reports Basics for Financial, Scheduling, &amp; Practice Management Reports</w:t>
      </w:r>
      <w:r w:rsidR="007F2D24">
        <w:rPr>
          <w:rStyle w:val="eop"/>
          <w:color w:val="000000"/>
          <w:sz w:val="20"/>
          <w:szCs w:val="20"/>
          <w:shd w:val="clear" w:color="auto" w:fill="FFFFFF"/>
        </w:rPr>
        <w:t>.</w:t>
      </w:r>
    </w:p>
    <w:p w14:paraId="794F4E22" w14:textId="729A6849" w:rsidR="00A95F40" w:rsidRDefault="00A95F40" w:rsidP="00181795">
      <w:pPr>
        <w:pStyle w:val="BodyText"/>
        <w:numPr>
          <w:ilvl w:val="0"/>
          <w:numId w:val="208"/>
        </w:numPr>
        <w:rPr>
          <w:rStyle w:val="eop"/>
          <w:color w:val="000000"/>
          <w:sz w:val="20"/>
          <w:szCs w:val="20"/>
          <w:shd w:val="clear" w:color="auto" w:fill="FFFFFF"/>
        </w:rPr>
      </w:pPr>
      <w:r w:rsidRPr="007F2D24">
        <w:rPr>
          <w:rStyle w:val="eop"/>
          <w:b/>
          <w:bCs/>
          <w:color w:val="000000"/>
          <w:sz w:val="20"/>
          <w:szCs w:val="20"/>
          <w:shd w:val="clear" w:color="auto" w:fill="FFFFFF"/>
        </w:rPr>
        <w:t>EDR Department of Health Dental Portal</w:t>
      </w:r>
      <w:r w:rsidR="007F2D24">
        <w:rPr>
          <w:rStyle w:val="eop"/>
          <w:color w:val="000000"/>
          <w:sz w:val="20"/>
          <w:szCs w:val="20"/>
          <w:shd w:val="clear" w:color="auto" w:fill="FFFFFF"/>
        </w:rPr>
        <w:t>:</w:t>
      </w:r>
    </w:p>
    <w:p w14:paraId="680472E3" w14:textId="4D4D2C9F" w:rsidR="00DA42D9" w:rsidRPr="009F65D5" w:rsidRDefault="00000000" w:rsidP="007F2D24">
      <w:pPr>
        <w:pStyle w:val="BodyText"/>
        <w:ind w:left="720"/>
        <w:rPr>
          <w:shd w:val="clear" w:color="auto" w:fill="FFFFFF"/>
        </w:rPr>
      </w:pPr>
      <w:hyperlink r:id="rId117" w:history="1">
        <w:r w:rsidR="00A95F40" w:rsidRPr="00F421A0">
          <w:rPr>
            <w:rStyle w:val="Hyperlink"/>
            <w:sz w:val="20"/>
            <w:szCs w:val="20"/>
            <w:shd w:val="clear" w:color="auto" w:fill="FFFFFF"/>
          </w:rPr>
          <w:t>https://www.ihs.gov/doh/edr/</w:t>
        </w:r>
      </w:hyperlink>
      <w:bookmarkEnd w:id="352"/>
      <w:r w:rsidR="00A95F40">
        <w:rPr>
          <w:shd w:val="clear" w:color="auto" w:fill="FFFFFF"/>
        </w:rPr>
        <w:t xml:space="preserve"> </w:t>
      </w:r>
    </w:p>
    <w:p w14:paraId="2E932DBF" w14:textId="77777777" w:rsidR="008A288E" w:rsidRDefault="008A288E" w:rsidP="00181795">
      <w:pPr>
        <w:pStyle w:val="BodyText"/>
        <w:rPr>
          <w:lang w:val="en"/>
        </w:rPr>
      </w:pPr>
      <w:bookmarkStart w:id="353" w:name="_Hlk165992453"/>
    </w:p>
    <w:p w14:paraId="412B5216" w14:textId="5F4ECC61" w:rsidR="00F67632" w:rsidRDefault="00F67632" w:rsidP="008A288E">
      <w:pPr>
        <w:pStyle w:val="Heading1"/>
      </w:pPr>
      <w:bookmarkStart w:id="354" w:name="_Toc166834428"/>
      <w:r>
        <w:t>Visuals &amp; Callouts</w:t>
      </w:r>
      <w:bookmarkEnd w:id="354"/>
    </w:p>
    <w:p w14:paraId="35F8E066" w14:textId="2BB90AEB" w:rsidR="00F67632" w:rsidRPr="00D95F03" w:rsidRDefault="00F67632" w:rsidP="00F67632">
      <w:pPr>
        <w:rPr>
          <w:rFonts w:ascii="Times New Roman" w:hAnsi="Times New Roman" w:cs="Times New Roman"/>
        </w:rPr>
      </w:pPr>
      <w:r w:rsidRPr="00D95F03">
        <w:rPr>
          <w:rFonts w:ascii="Times New Roman" w:hAnsi="Times New Roman" w:cs="Times New Roman"/>
        </w:rPr>
        <w:t>The following list of images are visual</w:t>
      </w:r>
      <w:r w:rsidR="008A288E">
        <w:rPr>
          <w:rFonts w:ascii="Times New Roman" w:hAnsi="Times New Roman" w:cs="Times New Roman"/>
        </w:rPr>
        <w:t>s</w:t>
      </w:r>
      <w:r w:rsidRPr="00D95F03">
        <w:rPr>
          <w:rFonts w:ascii="Times New Roman" w:hAnsi="Times New Roman" w:cs="Times New Roman"/>
        </w:rPr>
        <w:t xml:space="preserve"> </w:t>
      </w:r>
      <w:r w:rsidR="008A288E">
        <w:rPr>
          <w:rFonts w:ascii="Times New Roman" w:hAnsi="Times New Roman" w:cs="Times New Roman"/>
        </w:rPr>
        <w:t xml:space="preserve">that have been </w:t>
      </w:r>
      <w:r w:rsidRPr="00D95F03">
        <w:rPr>
          <w:rFonts w:ascii="Times New Roman" w:hAnsi="Times New Roman" w:cs="Times New Roman"/>
        </w:rPr>
        <w:t>added to the Clinic Manager’s Handbook to draw attention to specific types of guidance, notes, tips, and insights.</w:t>
      </w:r>
    </w:p>
    <w:p w14:paraId="27C56AB2" w14:textId="31FABD94" w:rsidR="00F67632" w:rsidRPr="00D95F03" w:rsidRDefault="00F67632" w:rsidP="00F67632">
      <w:pPr>
        <w:rPr>
          <w:rFonts w:ascii="Times New Roman" w:hAnsi="Times New Roman" w:cs="Times New Roman"/>
        </w:rPr>
      </w:pPr>
      <w:r w:rsidRPr="00D95F03">
        <w:rPr>
          <w:rFonts w:ascii="Times New Roman" w:hAnsi="Times New Roman" w:cs="Times New Roman"/>
          <w:b/>
          <w:bCs/>
          <w:noProof/>
        </w:rPr>
        <w:drawing>
          <wp:anchor distT="0" distB="0" distL="114300" distR="114300" simplePos="0" relativeHeight="252127236" behindDoc="1" locked="0" layoutInCell="1" allowOverlap="1" wp14:anchorId="57A993E8" wp14:editId="0712CA36">
            <wp:simplePos x="0" y="0"/>
            <wp:positionH relativeFrom="margin">
              <wp:align>left</wp:align>
            </wp:positionH>
            <wp:positionV relativeFrom="paragraph">
              <wp:posOffset>8890</wp:posOffset>
            </wp:positionV>
            <wp:extent cx="365760" cy="365760"/>
            <wp:effectExtent l="0" t="0" r="0" b="0"/>
            <wp:wrapTight wrapText="bothSides">
              <wp:wrapPolygon edited="0">
                <wp:start x="0" y="0"/>
                <wp:lineTo x="0" y="20250"/>
                <wp:lineTo x="20250" y="20250"/>
                <wp:lineTo x="20250" y="0"/>
                <wp:lineTo x="0" y="0"/>
              </wp:wrapPolygon>
            </wp:wrapTight>
            <wp:docPr id="1145912761" name="Picture 1" descr="A red sign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0858" name="Picture 1" descr="A red sign with a exclamation mark&#10;&#10;Description automatically generated"/>
                    <pic:cNvPicPr/>
                  </pic:nvPicPr>
                  <pic:blipFill>
                    <a:blip r:embed="rId31"/>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D95F03">
        <w:rPr>
          <w:rFonts w:ascii="Times New Roman" w:hAnsi="Times New Roman" w:cs="Times New Roman"/>
          <w:b/>
          <w:bCs/>
        </w:rPr>
        <w:t>Critical</w:t>
      </w:r>
      <w:r w:rsidRPr="00D95F03">
        <w:rPr>
          <w:rFonts w:ascii="Times New Roman" w:hAnsi="Times New Roman" w:cs="Times New Roman"/>
        </w:rPr>
        <w:t xml:space="preserve"> – Immediate attention required or important action item.  A “do not miss this” management task for dental clinic managers.</w:t>
      </w:r>
    </w:p>
    <w:p w14:paraId="5B9AE6A2" w14:textId="7536B021" w:rsidR="00F67632" w:rsidRPr="00B622FA" w:rsidRDefault="009F65D5" w:rsidP="00F67632">
      <w:pPr>
        <w:rPr>
          <w:rFonts w:ascii="Times New Roman" w:hAnsi="Times New Roman" w:cs="Times New Roman"/>
          <w:sz w:val="12"/>
          <w:szCs w:val="14"/>
        </w:rPr>
      </w:pPr>
      <w:r w:rsidRPr="00D95F03">
        <w:rPr>
          <w:rFonts w:ascii="Times New Roman" w:hAnsi="Times New Roman" w:cs="Times New Roman"/>
          <w:noProof/>
        </w:rPr>
        <w:drawing>
          <wp:anchor distT="0" distB="0" distL="0" distR="91440" simplePos="0" relativeHeight="252128260" behindDoc="0" locked="0" layoutInCell="1" allowOverlap="1" wp14:anchorId="425A46F5" wp14:editId="637809BB">
            <wp:simplePos x="0" y="0"/>
            <wp:positionH relativeFrom="margin">
              <wp:posOffset>1905</wp:posOffset>
            </wp:positionH>
            <wp:positionV relativeFrom="page">
              <wp:posOffset>6099175</wp:posOffset>
            </wp:positionV>
            <wp:extent cx="367030" cy="420370"/>
            <wp:effectExtent l="0" t="0" r="0" b="0"/>
            <wp:wrapTight wrapText="right">
              <wp:wrapPolygon edited="0">
                <wp:start x="0" y="0"/>
                <wp:lineTo x="0" y="20556"/>
                <wp:lineTo x="20180" y="20556"/>
                <wp:lineTo x="20180" y="0"/>
                <wp:lineTo x="0" y="0"/>
              </wp:wrapPolygon>
            </wp:wrapTight>
            <wp:docPr id="1850015473" name="Picture 1" descr="A light bulb with rays of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6038" name="Picture 1" descr="A light bulb with rays of light coming out of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030" cy="420370"/>
                    </a:xfrm>
                    <a:prstGeom prst="rect">
                      <a:avLst/>
                    </a:prstGeom>
                  </pic:spPr>
                </pic:pic>
              </a:graphicData>
            </a:graphic>
            <wp14:sizeRelH relativeFrom="margin">
              <wp14:pctWidth>0</wp14:pctWidth>
            </wp14:sizeRelH>
            <wp14:sizeRelV relativeFrom="margin">
              <wp14:pctHeight>0</wp14:pctHeight>
            </wp14:sizeRelV>
          </wp:anchor>
        </w:drawing>
      </w:r>
    </w:p>
    <w:p w14:paraId="608EC8FD" w14:textId="2238B9A5" w:rsidR="00F67632" w:rsidRPr="00D95F03" w:rsidRDefault="00F67632" w:rsidP="00F67632">
      <w:pPr>
        <w:rPr>
          <w:rFonts w:ascii="Times New Roman" w:hAnsi="Times New Roman" w:cs="Times New Roman"/>
        </w:rPr>
      </w:pPr>
      <w:r w:rsidRPr="00D95F03">
        <w:rPr>
          <w:rFonts w:ascii="Times New Roman" w:hAnsi="Times New Roman" w:cs="Times New Roman"/>
          <w:b/>
          <w:bCs/>
        </w:rPr>
        <w:t>Note</w:t>
      </w:r>
      <w:r w:rsidRPr="00D95F03">
        <w:rPr>
          <w:rFonts w:ascii="Times New Roman" w:hAnsi="Times New Roman" w:cs="Times New Roman"/>
        </w:rPr>
        <w:t xml:space="preserve"> – Explanation of detail or callout for a topic, subject, or handbook concept.</w:t>
      </w:r>
    </w:p>
    <w:p w14:paraId="60C18094" w14:textId="09F11C47" w:rsidR="00F67632" w:rsidRPr="00B622FA" w:rsidRDefault="00B622FA" w:rsidP="00B622FA">
      <w:pPr>
        <w:tabs>
          <w:tab w:val="left" w:pos="840"/>
        </w:tabs>
        <w:rPr>
          <w:rFonts w:ascii="Times New Roman" w:hAnsi="Times New Roman" w:cs="Times New Roman"/>
          <w:sz w:val="12"/>
          <w:szCs w:val="14"/>
        </w:rPr>
      </w:pPr>
      <w:r w:rsidRPr="00D95F03">
        <w:rPr>
          <w:rFonts w:ascii="Times New Roman" w:hAnsi="Times New Roman" w:cs="Times New Roman"/>
          <w:noProof/>
        </w:rPr>
        <w:drawing>
          <wp:anchor distT="0" distB="0" distL="0" distR="91440" simplePos="0" relativeHeight="252129284" behindDoc="1" locked="0" layoutInCell="1" allowOverlap="1" wp14:anchorId="4DCA70E9" wp14:editId="1AC125E7">
            <wp:simplePos x="0" y="0"/>
            <wp:positionH relativeFrom="column">
              <wp:posOffset>0</wp:posOffset>
            </wp:positionH>
            <wp:positionV relativeFrom="paragraph">
              <wp:posOffset>123825</wp:posOffset>
            </wp:positionV>
            <wp:extent cx="365760" cy="484632"/>
            <wp:effectExtent l="0" t="0" r="0" b="0"/>
            <wp:wrapTight wrapText="right">
              <wp:wrapPolygon edited="0">
                <wp:start x="0" y="0"/>
                <wp:lineTo x="0" y="20383"/>
                <wp:lineTo x="20250" y="20383"/>
                <wp:lineTo x="20250" y="0"/>
                <wp:lineTo x="0" y="0"/>
              </wp:wrapPolygon>
            </wp:wrapTight>
            <wp:docPr id="45907803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26099" name="Picture 1" descr="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 cy="4846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10"/>
          <w:szCs w:val="12"/>
        </w:rPr>
        <w:tab/>
      </w:r>
    </w:p>
    <w:p w14:paraId="7A6E9277" w14:textId="52015CAF" w:rsidR="00F67632" w:rsidRPr="00D95F03" w:rsidRDefault="00F67632" w:rsidP="00F67632">
      <w:pPr>
        <w:rPr>
          <w:rFonts w:ascii="Times New Roman" w:hAnsi="Times New Roman" w:cs="Times New Roman"/>
        </w:rPr>
      </w:pPr>
      <w:r w:rsidRPr="00D95F03">
        <w:rPr>
          <w:rFonts w:ascii="Times New Roman" w:hAnsi="Times New Roman" w:cs="Times New Roman"/>
          <w:b/>
          <w:bCs/>
        </w:rPr>
        <w:t>Standard Operating Procedure (SOP)</w:t>
      </w:r>
      <w:r w:rsidRPr="00D95F03">
        <w:rPr>
          <w:rFonts w:ascii="Times New Roman" w:hAnsi="Times New Roman" w:cs="Times New Roman"/>
        </w:rPr>
        <w:t xml:space="preserve"> – Step-by-step instructions compiled by an organization to dental clinic staff carry out routine operations.</w:t>
      </w:r>
    </w:p>
    <w:p w14:paraId="7EF5E43A" w14:textId="22208004" w:rsidR="00F67632" w:rsidRPr="00B622FA" w:rsidRDefault="00B622FA" w:rsidP="00B622FA">
      <w:pPr>
        <w:tabs>
          <w:tab w:val="left" w:pos="900"/>
        </w:tabs>
        <w:rPr>
          <w:rFonts w:ascii="Times New Roman" w:hAnsi="Times New Roman" w:cs="Times New Roman"/>
          <w:sz w:val="12"/>
          <w:szCs w:val="14"/>
        </w:rPr>
      </w:pPr>
      <w:r>
        <w:rPr>
          <w:rFonts w:ascii="Times New Roman" w:hAnsi="Times New Roman" w:cs="Times New Roman"/>
          <w:sz w:val="8"/>
          <w:szCs w:val="10"/>
        </w:rPr>
        <w:tab/>
      </w:r>
    </w:p>
    <w:p w14:paraId="3A416ECB" w14:textId="53DBCFED" w:rsidR="00F67632" w:rsidRPr="00D95F03" w:rsidRDefault="00B622FA" w:rsidP="00F67632">
      <w:pPr>
        <w:rPr>
          <w:rFonts w:ascii="Times New Roman" w:hAnsi="Times New Roman" w:cs="Times New Roman"/>
        </w:rPr>
      </w:pPr>
      <w:r w:rsidRPr="00D95F03">
        <w:rPr>
          <w:rFonts w:ascii="Times New Roman" w:hAnsi="Times New Roman" w:cs="Times New Roman"/>
          <w:noProof/>
        </w:rPr>
        <w:drawing>
          <wp:anchor distT="0" distB="0" distL="0" distR="91440" simplePos="0" relativeHeight="252130308" behindDoc="1" locked="0" layoutInCell="1" allowOverlap="1" wp14:anchorId="2C7E1BD9" wp14:editId="423A9357">
            <wp:simplePos x="0" y="0"/>
            <wp:positionH relativeFrom="column">
              <wp:posOffset>0</wp:posOffset>
            </wp:positionH>
            <wp:positionV relativeFrom="paragraph">
              <wp:posOffset>29210</wp:posOffset>
            </wp:positionV>
            <wp:extent cx="365760" cy="365760"/>
            <wp:effectExtent l="0" t="0" r="0" b="0"/>
            <wp:wrapTight wrapText="right">
              <wp:wrapPolygon edited="0">
                <wp:start x="0" y="0"/>
                <wp:lineTo x="0" y="20250"/>
                <wp:lineTo x="20250" y="20250"/>
                <wp:lineTo x="20250" y="0"/>
                <wp:lineTo x="0" y="0"/>
              </wp:wrapPolygon>
            </wp:wrapTight>
            <wp:docPr id="74393412" name="Picture 1" descr="A group of gea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8800" name="Picture 1" descr="A group of gears with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F67632" w:rsidRPr="00D95F03">
        <w:rPr>
          <w:rFonts w:ascii="Times New Roman" w:hAnsi="Times New Roman" w:cs="Times New Roman"/>
          <w:b/>
          <w:bCs/>
        </w:rPr>
        <w:t>Operations Insight</w:t>
      </w:r>
      <w:r w:rsidR="00F67632" w:rsidRPr="00D95F03">
        <w:rPr>
          <w:rFonts w:ascii="Times New Roman" w:hAnsi="Times New Roman" w:cs="Times New Roman"/>
        </w:rPr>
        <w:t xml:space="preserve"> – Guidance for administrators to understand how the feature or workflow impacts the dental clinic processes and operational outcomes.</w:t>
      </w:r>
    </w:p>
    <w:p w14:paraId="7B4446F9" w14:textId="76DECA0A" w:rsidR="00F67632" w:rsidRPr="00B622FA" w:rsidRDefault="00B622FA" w:rsidP="00F67632">
      <w:pPr>
        <w:rPr>
          <w:rFonts w:ascii="Times New Roman" w:hAnsi="Times New Roman" w:cs="Times New Roman"/>
          <w:sz w:val="12"/>
          <w:szCs w:val="14"/>
        </w:rPr>
      </w:pPr>
      <w:r w:rsidRPr="00D95F03">
        <w:rPr>
          <w:rFonts w:ascii="Times New Roman" w:hAnsi="Times New Roman" w:cs="Times New Roman"/>
          <w:noProof/>
        </w:rPr>
        <w:drawing>
          <wp:anchor distT="0" distB="0" distL="0" distR="91440" simplePos="0" relativeHeight="252131332" behindDoc="1" locked="0" layoutInCell="1" allowOverlap="1" wp14:anchorId="626E6957" wp14:editId="0DC15D00">
            <wp:simplePos x="0" y="0"/>
            <wp:positionH relativeFrom="column">
              <wp:posOffset>0</wp:posOffset>
            </wp:positionH>
            <wp:positionV relativeFrom="paragraph">
              <wp:posOffset>190500</wp:posOffset>
            </wp:positionV>
            <wp:extent cx="365760" cy="365760"/>
            <wp:effectExtent l="0" t="0" r="0" b="0"/>
            <wp:wrapTight wrapText="right">
              <wp:wrapPolygon edited="0">
                <wp:start x="0" y="0"/>
                <wp:lineTo x="0" y="20250"/>
                <wp:lineTo x="20250" y="20250"/>
                <wp:lineTo x="20250" y="0"/>
                <wp:lineTo x="0" y="0"/>
              </wp:wrapPolygon>
            </wp:wrapTight>
            <wp:docPr id="604798416" name="Picture 1" descr="A blue arrow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30990" name="Picture 1" descr="A blue arrows with check mar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p w14:paraId="0563A783" w14:textId="36585C6E" w:rsidR="00F67632" w:rsidRPr="00D95F03" w:rsidRDefault="00F67632" w:rsidP="00F67632">
      <w:pPr>
        <w:rPr>
          <w:rFonts w:ascii="Times New Roman" w:hAnsi="Times New Roman" w:cs="Times New Roman"/>
        </w:rPr>
      </w:pPr>
      <w:r w:rsidRPr="00D95F03">
        <w:rPr>
          <w:rFonts w:ascii="Times New Roman" w:hAnsi="Times New Roman" w:cs="Times New Roman"/>
          <w:b/>
          <w:bCs/>
        </w:rPr>
        <w:t>Workflow Insight</w:t>
      </w:r>
      <w:r w:rsidRPr="00D95F03">
        <w:rPr>
          <w:rFonts w:ascii="Times New Roman" w:hAnsi="Times New Roman" w:cs="Times New Roman"/>
        </w:rPr>
        <w:t xml:space="preserve"> – Guidance and tips for managers to understand how a feature or setup may impact the dental clinic workflow.</w:t>
      </w:r>
    </w:p>
    <w:p w14:paraId="5B1DF32D" w14:textId="77777777" w:rsidR="00F67632" w:rsidRPr="00B622FA" w:rsidRDefault="00F67632" w:rsidP="00F67632">
      <w:pPr>
        <w:rPr>
          <w:rFonts w:ascii="Times New Roman" w:hAnsi="Times New Roman" w:cs="Times New Roman"/>
          <w:sz w:val="4"/>
          <w:szCs w:val="6"/>
        </w:rPr>
      </w:pPr>
    </w:p>
    <w:p w14:paraId="2706F418" w14:textId="77777777" w:rsidR="00F67632" w:rsidRDefault="00F67632" w:rsidP="00F67632">
      <w:pPr>
        <w:rPr>
          <w:rFonts w:ascii="Times New Roman" w:hAnsi="Times New Roman" w:cs="Times New Roman"/>
        </w:rPr>
      </w:pPr>
      <w:r w:rsidRPr="00D95F03">
        <w:rPr>
          <w:rFonts w:ascii="Times New Roman" w:hAnsi="Times New Roman" w:cs="Times New Roman"/>
          <w:b/>
          <w:bCs/>
          <w:i/>
          <w:iCs/>
          <w:noProof/>
          <w:color w:val="C00000"/>
        </w:rPr>
        <w:drawing>
          <wp:anchor distT="0" distB="0" distL="0" distR="91440" simplePos="0" relativeHeight="252132356" behindDoc="1" locked="0" layoutInCell="1" allowOverlap="1" wp14:anchorId="6EDFC9E9" wp14:editId="1A51E403">
            <wp:simplePos x="0" y="0"/>
            <wp:positionH relativeFrom="margin">
              <wp:align>left</wp:align>
            </wp:positionH>
            <wp:positionV relativeFrom="paragraph">
              <wp:posOffset>8890</wp:posOffset>
            </wp:positionV>
            <wp:extent cx="365760" cy="365760"/>
            <wp:effectExtent l="0" t="0" r="0" b="0"/>
            <wp:wrapTight wrapText="bothSides">
              <wp:wrapPolygon edited="0">
                <wp:start x="10125" y="0"/>
                <wp:lineTo x="0" y="1125"/>
                <wp:lineTo x="0" y="20250"/>
                <wp:lineTo x="5625" y="20250"/>
                <wp:lineTo x="11250" y="20250"/>
                <wp:lineTo x="20250" y="16875"/>
                <wp:lineTo x="20250" y="0"/>
                <wp:lineTo x="15750" y="0"/>
                <wp:lineTo x="10125" y="0"/>
              </wp:wrapPolygon>
            </wp:wrapTight>
            <wp:docPr id="585690435" name="Picture 1" descr="A red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56958" name="Picture 1" descr="A red and yellow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D95F03">
        <w:rPr>
          <w:rFonts w:ascii="Times New Roman" w:hAnsi="Times New Roman" w:cs="Times New Roman"/>
          <w:b/>
          <w:bCs/>
        </w:rPr>
        <w:t xml:space="preserve">*NEW* Workflow Insight – </w:t>
      </w:r>
      <w:r w:rsidRPr="00D95F03">
        <w:rPr>
          <w:rFonts w:ascii="Times New Roman" w:hAnsi="Times New Roman" w:cs="Times New Roman"/>
        </w:rPr>
        <w:t>These visuals indicate a new feature release and explain it’s impact to the workflow and/or operational outcomes.</w:t>
      </w:r>
    </w:p>
    <w:p w14:paraId="1190CA4C" w14:textId="77777777" w:rsidR="009F65D5" w:rsidRPr="00D95F03" w:rsidRDefault="009F65D5" w:rsidP="009F65D5">
      <w:pPr>
        <w:pStyle w:val="BodyText"/>
      </w:pPr>
    </w:p>
    <w:p w14:paraId="698AAECA" w14:textId="77777777" w:rsidR="00C55C1B" w:rsidRDefault="00C55C1B" w:rsidP="00C55C1B">
      <w:pPr>
        <w:pStyle w:val="BodyText"/>
      </w:pPr>
    </w:p>
    <w:p w14:paraId="13E5F7F5" w14:textId="534718AE" w:rsidR="00F67632" w:rsidRDefault="00F67632" w:rsidP="008A288E">
      <w:pPr>
        <w:pStyle w:val="Heading1"/>
      </w:pPr>
      <w:bookmarkStart w:id="355" w:name="_Toc166834429"/>
      <w:r>
        <w:t>Acronyms List</w:t>
      </w:r>
      <w:bookmarkEnd w:id="355"/>
    </w:p>
    <w:p w14:paraId="055647B7" w14:textId="4FA935D0" w:rsidR="00F67632" w:rsidRDefault="00F67632" w:rsidP="00B622FA">
      <w:pPr>
        <w:pStyle w:val="BodyText"/>
      </w:pPr>
      <w:r w:rsidRPr="006D21E8">
        <w:rPr>
          <w:b/>
          <w:bCs/>
        </w:rPr>
        <w:t>ADA</w:t>
      </w:r>
      <w:r>
        <w:t xml:space="preserve"> – American Dental Association</w:t>
      </w:r>
      <w:r w:rsidR="00B622FA">
        <w:t>. S</w:t>
      </w:r>
      <w:r>
        <w:t>erves to help dentists succeed and support the advancement of the health of the public</w:t>
      </w:r>
      <w:r w:rsidR="00B622FA">
        <w:t>.</w:t>
      </w:r>
    </w:p>
    <w:p w14:paraId="4BD1F04B" w14:textId="25C3B4FA" w:rsidR="00F67632" w:rsidRDefault="00F67632" w:rsidP="00B622FA">
      <w:pPr>
        <w:pStyle w:val="BodyText"/>
      </w:pPr>
      <w:r w:rsidRPr="006D21E8">
        <w:rPr>
          <w:b/>
          <w:bCs/>
        </w:rPr>
        <w:t>AMA</w:t>
      </w:r>
      <w:r>
        <w:t xml:space="preserve"> – American Medical Association</w:t>
      </w:r>
      <w:r w:rsidR="00B622FA">
        <w:t>. R</w:t>
      </w:r>
      <w:r>
        <w:t>epresents physicians with a unified voice in the course and legislative bodies, removing obstacles that interfere with patient care, leading the charge to prevent chronic disease and confront public health crises, and driving the future of medicine to tackle the biggest challenges in health care and training the leaders of tomorrow</w:t>
      </w:r>
      <w:r w:rsidR="00B622FA">
        <w:t>.</w:t>
      </w:r>
    </w:p>
    <w:p w14:paraId="1CAD23C1" w14:textId="54DB69A0" w:rsidR="00F67632" w:rsidRDefault="00F67632" w:rsidP="00B622FA">
      <w:pPr>
        <w:pStyle w:val="BodyText"/>
      </w:pPr>
      <w:r w:rsidRPr="00B8638F">
        <w:rPr>
          <w:b/>
          <w:bCs/>
        </w:rPr>
        <w:t>CC</w:t>
      </w:r>
      <w:r>
        <w:t xml:space="preserve"> –</w:t>
      </w:r>
      <w:r w:rsidR="00B622FA">
        <w:t xml:space="preserve"> </w:t>
      </w:r>
      <w:r>
        <w:t>Continuing Care</w:t>
      </w:r>
      <w:r w:rsidR="00B622FA">
        <w:t>. A s</w:t>
      </w:r>
      <w:r>
        <w:t>ystem of recall or recare assigned to patients for tracking routine, scheduled procedures</w:t>
      </w:r>
      <w:r w:rsidR="00B622FA">
        <w:t>.</w:t>
      </w:r>
    </w:p>
    <w:p w14:paraId="1A19B6BD" w14:textId="1B2CA6BC" w:rsidR="00F67632" w:rsidRDefault="00F67632" w:rsidP="00B622FA">
      <w:pPr>
        <w:pStyle w:val="BodyText"/>
      </w:pPr>
      <w:r w:rsidRPr="00B8638F">
        <w:rPr>
          <w:b/>
          <w:bCs/>
        </w:rPr>
        <w:lastRenderedPageBreak/>
        <w:t>C</w:t>
      </w:r>
      <w:r>
        <w:rPr>
          <w:b/>
          <w:bCs/>
        </w:rPr>
        <w:t>-</w:t>
      </w:r>
      <w:r w:rsidRPr="00B8638F">
        <w:rPr>
          <w:b/>
          <w:bCs/>
        </w:rPr>
        <w:t>CDA</w:t>
      </w:r>
      <w:r>
        <w:t xml:space="preserve"> – Consolidate Clinical Document Architecture</w:t>
      </w:r>
      <w:r w:rsidR="00B622FA">
        <w:t>. U</w:t>
      </w:r>
      <w:r>
        <w:t>sed to create documents and standardize the content and structure for clinical care summaries and can include CCD files; these files are a means to securely transfer medical records between EHR/EDR systems</w:t>
      </w:r>
      <w:r w:rsidR="00B622FA">
        <w:t>.</w:t>
      </w:r>
    </w:p>
    <w:p w14:paraId="543FDAD1" w14:textId="1AA731C2" w:rsidR="00F67632" w:rsidRDefault="00F67632" w:rsidP="00B622FA">
      <w:pPr>
        <w:pStyle w:val="BodyText"/>
      </w:pPr>
      <w:r w:rsidRPr="00B8638F">
        <w:rPr>
          <w:b/>
          <w:bCs/>
        </w:rPr>
        <w:t>CCR File</w:t>
      </w:r>
      <w:r>
        <w:t xml:space="preserve"> – Continuity of Care Record</w:t>
      </w:r>
      <w:r w:rsidR="00B622FA">
        <w:t>. P</w:t>
      </w:r>
      <w:r>
        <w:t>rovides a standardized way to create electronic snapshots about a patient health prescription information</w:t>
      </w:r>
      <w:r w:rsidR="00B622FA">
        <w:t>.</w:t>
      </w:r>
    </w:p>
    <w:p w14:paraId="78E57749" w14:textId="6509A1F6" w:rsidR="00F67632" w:rsidRDefault="00F67632" w:rsidP="00B622FA">
      <w:pPr>
        <w:pStyle w:val="BodyText"/>
      </w:pPr>
      <w:r w:rsidRPr="006D21E8">
        <w:rPr>
          <w:b/>
          <w:bCs/>
        </w:rPr>
        <w:t>CDT</w:t>
      </w:r>
      <w:r>
        <w:t xml:space="preserve"> – </w:t>
      </w:r>
      <w:r>
        <w:tab/>
        <w:t>Dental coding system designed to achieve uniformity, consistency</w:t>
      </w:r>
      <w:r w:rsidR="00B622FA">
        <w:t>,</w:t>
      </w:r>
      <w:r>
        <w:t xml:space="preserve"> and specificity in accurately documenting dental treatment</w:t>
      </w:r>
      <w:r w:rsidR="00B622FA">
        <w:t>.</w:t>
      </w:r>
    </w:p>
    <w:p w14:paraId="1D947490" w14:textId="4E8525D8" w:rsidR="00F67632" w:rsidRDefault="00F67632" w:rsidP="00B622FA">
      <w:pPr>
        <w:pStyle w:val="BodyText"/>
      </w:pPr>
      <w:r w:rsidRPr="00B8638F">
        <w:rPr>
          <w:b/>
          <w:bCs/>
        </w:rPr>
        <w:t>CEHRT</w:t>
      </w:r>
      <w:r>
        <w:t xml:space="preserve"> – Certified EHR Technology</w:t>
      </w:r>
      <w:r w:rsidR="00B622FA">
        <w:t>. A</w:t>
      </w:r>
      <w:r>
        <w:t xml:space="preserve"> certified electronic health record that stores data in a structured format;  for more information about Dentrix Enterprise CERHT status, visit </w:t>
      </w:r>
      <w:r w:rsidR="00B622FA">
        <w:t xml:space="preserve">the site </w:t>
      </w:r>
      <w:hyperlink r:id="rId118" w:history="1">
        <w:r w:rsidR="00B622FA" w:rsidRPr="007A6E78">
          <w:rPr>
            <w:rStyle w:val="Hyperlink"/>
          </w:rPr>
          <w:t>https://www.dentrixenterprise.com/solutions/public-health/meaningful-use</w:t>
        </w:r>
      </w:hyperlink>
      <w:r w:rsidR="00B622FA">
        <w:t>.</w:t>
      </w:r>
    </w:p>
    <w:p w14:paraId="6C3C577A" w14:textId="3812DFE7" w:rsidR="00F67632" w:rsidRDefault="00F67632" w:rsidP="00B622FA">
      <w:pPr>
        <w:pStyle w:val="BodyText"/>
      </w:pPr>
      <w:r w:rsidRPr="00B8638F">
        <w:rPr>
          <w:b/>
          <w:bCs/>
        </w:rPr>
        <w:t>CMS</w:t>
      </w:r>
      <w:r>
        <w:t xml:space="preserve"> – Centers for Medicare &amp; Medicaid Services</w:t>
      </w:r>
      <w:r w:rsidR="00B622FA">
        <w:t>. F</w:t>
      </w:r>
      <w:r>
        <w:t>ederal agency that provides health coverage to more than 160 million people through Medicare, Medicaid, the Children’s Health Insurance Program, and the Health Insurance Marketplace</w:t>
      </w:r>
      <w:r w:rsidR="00B622FA">
        <w:t>.</w:t>
      </w:r>
    </w:p>
    <w:p w14:paraId="0603B478" w14:textId="028B94F6" w:rsidR="00F67632" w:rsidRDefault="00F67632" w:rsidP="00B622FA">
      <w:pPr>
        <w:pStyle w:val="BodyText"/>
      </w:pPr>
      <w:r w:rsidRPr="00054C43">
        <w:rPr>
          <w:b/>
          <w:bCs/>
        </w:rPr>
        <w:t>CPT</w:t>
      </w:r>
      <w:r>
        <w:t xml:space="preserve"> – Current Procedural Terminology</w:t>
      </w:r>
      <w:r w:rsidR="00B622FA">
        <w:t>. A</w:t>
      </w:r>
      <w:r>
        <w:t xml:space="preserve"> uniform language for coding medical services and procedures to streamline reporting</w:t>
      </w:r>
      <w:r w:rsidR="00544971">
        <w:t xml:space="preserve"> and</w:t>
      </w:r>
      <w:r>
        <w:t xml:space="preserve"> increase accuracy and efficiency</w:t>
      </w:r>
      <w:r w:rsidR="00544971">
        <w:t>.</w:t>
      </w:r>
    </w:p>
    <w:p w14:paraId="44040AD3" w14:textId="09AB9802" w:rsidR="00F67632" w:rsidRPr="00544971" w:rsidRDefault="00F67632" w:rsidP="00B622FA">
      <w:pPr>
        <w:pStyle w:val="BodyText"/>
      </w:pPr>
      <w:r w:rsidRPr="003A7243">
        <w:rPr>
          <w:b/>
          <w:bCs/>
        </w:rPr>
        <w:t>Cybersecurity</w:t>
      </w:r>
      <w:r>
        <w:t xml:space="preserve"> – Practice of protecting systems, networks, and programs from digital attacks</w:t>
      </w:r>
      <w:r w:rsidR="00544971">
        <w:t>.</w:t>
      </w:r>
    </w:p>
    <w:p w14:paraId="6AB99B8F" w14:textId="55829A60" w:rsidR="00F67632" w:rsidRDefault="00F67632" w:rsidP="00B622FA">
      <w:pPr>
        <w:pStyle w:val="BodyText"/>
      </w:pPr>
      <w:r w:rsidRPr="00054C43">
        <w:rPr>
          <w:b/>
          <w:bCs/>
        </w:rPr>
        <w:t>DEA</w:t>
      </w:r>
      <w:r>
        <w:t xml:space="preserve"> – </w:t>
      </w:r>
      <w:r>
        <w:tab/>
        <w:t>Drug Enforcement Administration</w:t>
      </w:r>
      <w:r w:rsidR="00544971">
        <w:t>. E</w:t>
      </w:r>
      <w:r>
        <w:t>nforces the controlled substances laws and regulations of the United States</w:t>
      </w:r>
      <w:r w:rsidR="00544971">
        <w:t>.</w:t>
      </w:r>
    </w:p>
    <w:p w14:paraId="6D91A47F" w14:textId="118FD247" w:rsidR="00F67632" w:rsidRDefault="00F67632" w:rsidP="00B622FA">
      <w:pPr>
        <w:pStyle w:val="BodyText"/>
      </w:pPr>
      <w:r w:rsidRPr="00DD44B8">
        <w:rPr>
          <w:b/>
          <w:bCs/>
        </w:rPr>
        <w:t>DDX</w:t>
      </w:r>
      <w:r>
        <w:t xml:space="preserve"> – </w:t>
      </w:r>
      <w:r>
        <w:tab/>
        <w:t>Digital Dental Exchange</w:t>
      </w:r>
      <w:r w:rsidR="00544971">
        <w:t>. A</w:t>
      </w:r>
      <w:r>
        <w:t xml:space="preserve"> software system to submit lab cases electronically</w:t>
      </w:r>
      <w:r w:rsidR="00544971">
        <w:t>.</w:t>
      </w:r>
    </w:p>
    <w:p w14:paraId="07609D64" w14:textId="0E6931A4" w:rsidR="00F67632" w:rsidRDefault="00F67632" w:rsidP="00B622FA">
      <w:pPr>
        <w:pStyle w:val="BodyText"/>
      </w:pPr>
      <w:r w:rsidRPr="00D95F03">
        <w:rPr>
          <w:b/>
          <w:bCs/>
        </w:rPr>
        <w:t>DXE</w:t>
      </w:r>
      <w:r>
        <w:t xml:space="preserve"> – </w:t>
      </w:r>
      <w:r>
        <w:tab/>
        <w:t>Dentrix Enterprise (EDR)</w:t>
      </w:r>
      <w:r w:rsidR="00544971">
        <w:t>.</w:t>
      </w:r>
    </w:p>
    <w:p w14:paraId="2082C58B" w14:textId="602F5515" w:rsidR="00F67632" w:rsidRDefault="00F67632" w:rsidP="00B622FA">
      <w:pPr>
        <w:pStyle w:val="BodyText"/>
      </w:pPr>
      <w:r w:rsidRPr="00D95F03">
        <w:rPr>
          <w:b/>
          <w:bCs/>
        </w:rPr>
        <w:t>DXOne</w:t>
      </w:r>
      <w:r>
        <w:t xml:space="preserve"> – Dentrix Enterprise Reports </w:t>
      </w:r>
      <w:r w:rsidR="00544971">
        <w:t>m</w:t>
      </w:r>
      <w:r>
        <w:t>odule</w:t>
      </w:r>
      <w:r w:rsidR="00544971">
        <w:t>.</w:t>
      </w:r>
    </w:p>
    <w:p w14:paraId="015C0E08" w14:textId="3610C281" w:rsidR="00F67632" w:rsidRDefault="00F67632" w:rsidP="00B622FA">
      <w:pPr>
        <w:pStyle w:val="BodyText"/>
      </w:pPr>
      <w:r w:rsidRPr="00D95F03">
        <w:rPr>
          <w:b/>
          <w:bCs/>
        </w:rPr>
        <w:t>D&amp;R</w:t>
      </w:r>
      <w:r>
        <w:t xml:space="preserve"> – Disaster and Recovery</w:t>
      </w:r>
      <w:r w:rsidR="00544971">
        <w:t>. I</w:t>
      </w:r>
      <w:r>
        <w:t>nvolves restoring the Dentrix Enterprise system following a disaster or other event</w:t>
      </w:r>
      <w:r w:rsidR="00544971">
        <w:t xml:space="preserve">, which requires </w:t>
      </w:r>
      <w:r>
        <w:t>a restore of the database backup</w:t>
      </w:r>
      <w:r w:rsidR="00544971">
        <w:t>.</w:t>
      </w:r>
    </w:p>
    <w:p w14:paraId="43930A18" w14:textId="77E671A1" w:rsidR="00F67632" w:rsidRDefault="00F67632" w:rsidP="00B622FA">
      <w:pPr>
        <w:pStyle w:val="BodyText"/>
      </w:pPr>
      <w:r w:rsidRPr="00D95F03">
        <w:rPr>
          <w:b/>
          <w:bCs/>
        </w:rPr>
        <w:t>DRP</w:t>
      </w:r>
      <w:r>
        <w:t xml:space="preserve"> – </w:t>
      </w:r>
      <w:r>
        <w:tab/>
        <w:t>Disaster Recovery Plan</w:t>
      </w:r>
      <w:r w:rsidR="00544971">
        <w:t xml:space="preserve"> i</w:t>
      </w:r>
      <w:r>
        <w:t xml:space="preserve">ncluded in the ISCP </w:t>
      </w:r>
      <w:r w:rsidR="00544971">
        <w:t xml:space="preserve">that </w:t>
      </w:r>
      <w:r>
        <w:t>outline</w:t>
      </w:r>
      <w:r w:rsidR="00544971">
        <w:t>s</w:t>
      </w:r>
      <w:r>
        <w:t xml:space="preserve"> of steps and procedures to recover </w:t>
      </w:r>
      <w:r w:rsidR="00E53439">
        <w:t>the system</w:t>
      </w:r>
      <w:r w:rsidR="00544971">
        <w:t>.</w:t>
      </w:r>
    </w:p>
    <w:p w14:paraId="7AF7159B" w14:textId="6D3C22C4" w:rsidR="00F67632" w:rsidRDefault="00F67632" w:rsidP="00B622FA">
      <w:pPr>
        <w:pStyle w:val="BodyText"/>
      </w:pPr>
      <w:r w:rsidRPr="00D95F03">
        <w:rPr>
          <w:b/>
          <w:bCs/>
        </w:rPr>
        <w:t>EDR</w:t>
      </w:r>
      <w:r>
        <w:t xml:space="preserve"> –</w:t>
      </w:r>
      <w:r>
        <w:tab/>
        <w:t>Electronic Dental Record</w:t>
      </w:r>
      <w:r w:rsidR="00544971">
        <w:t>.</w:t>
      </w:r>
    </w:p>
    <w:p w14:paraId="7743DAE8" w14:textId="60DECA7B" w:rsidR="00F67632" w:rsidRDefault="00F67632" w:rsidP="00B622FA">
      <w:pPr>
        <w:pStyle w:val="BodyText"/>
      </w:pPr>
      <w:r w:rsidRPr="00054C43">
        <w:rPr>
          <w:b/>
          <w:bCs/>
        </w:rPr>
        <w:t xml:space="preserve">EFT </w:t>
      </w:r>
      <w:r>
        <w:t xml:space="preserve">– </w:t>
      </w:r>
      <w:r>
        <w:tab/>
        <w:t>Electronic Funds Transfer</w:t>
      </w:r>
      <w:r w:rsidR="00544971">
        <w:t>. D</w:t>
      </w:r>
      <w:r>
        <w:t>irect deposit of a claim payment to the dental billing entity’s bank account</w:t>
      </w:r>
      <w:r w:rsidR="00544971">
        <w:t>.</w:t>
      </w:r>
    </w:p>
    <w:p w14:paraId="7262A077" w14:textId="3718ACD6" w:rsidR="00F67632" w:rsidRDefault="00F67632" w:rsidP="00B622FA">
      <w:pPr>
        <w:pStyle w:val="BodyText"/>
      </w:pPr>
      <w:r w:rsidRPr="00054C43">
        <w:rPr>
          <w:b/>
          <w:bCs/>
        </w:rPr>
        <w:t xml:space="preserve">EHR </w:t>
      </w:r>
      <w:r>
        <w:t xml:space="preserve">– </w:t>
      </w:r>
      <w:r>
        <w:tab/>
        <w:t>Electronic Health Record</w:t>
      </w:r>
      <w:r w:rsidR="00544971">
        <w:t>. A</w:t>
      </w:r>
      <w:r>
        <w:t>n electronic version of a patient</w:t>
      </w:r>
      <w:r w:rsidR="00544971">
        <w:t>’</w:t>
      </w:r>
      <w:r>
        <w:t>s medical history t</w:t>
      </w:r>
      <w:r w:rsidR="00E53439">
        <w:t>h</w:t>
      </w:r>
      <w:r>
        <w:t>at is maintained by the provider over time and may include all of the key administrative clinical data relevant to that persons care under a particular provider, including demographics, progress notes, problems, medications, and financial billing</w:t>
      </w:r>
      <w:r w:rsidR="00544971">
        <w:t>.</w:t>
      </w:r>
    </w:p>
    <w:p w14:paraId="09675610" w14:textId="48D82579" w:rsidR="00F67632" w:rsidRDefault="00F67632" w:rsidP="00B622FA">
      <w:pPr>
        <w:pStyle w:val="BodyText"/>
      </w:pPr>
      <w:r w:rsidRPr="00054C43">
        <w:rPr>
          <w:b/>
          <w:bCs/>
        </w:rPr>
        <w:t>EIN</w:t>
      </w:r>
      <w:r>
        <w:t xml:space="preserve"> – </w:t>
      </w:r>
      <w:r>
        <w:tab/>
        <w:t>Employer Identification Number</w:t>
      </w:r>
      <w:r w:rsidR="00544971">
        <w:t>,</w:t>
      </w:r>
      <w:r>
        <w:t xml:space="preserve"> also known as the Federal Tax Identification Number, is used to identify a business entity</w:t>
      </w:r>
      <w:r w:rsidR="00544971">
        <w:t>.</w:t>
      </w:r>
    </w:p>
    <w:p w14:paraId="0568D25C" w14:textId="0322605B" w:rsidR="00F67632" w:rsidRDefault="00F67632" w:rsidP="00B622FA">
      <w:pPr>
        <w:pStyle w:val="BodyText"/>
      </w:pPr>
      <w:r w:rsidRPr="00054C43">
        <w:rPr>
          <w:b/>
          <w:bCs/>
        </w:rPr>
        <w:t>EMR</w:t>
      </w:r>
      <w:r>
        <w:t xml:space="preserve"> – Electronic Medical Record</w:t>
      </w:r>
      <w:r w:rsidR="00544971">
        <w:t>. D</w:t>
      </w:r>
      <w:r>
        <w:t>igital version of charts that health professionals use in private practice, clinics</w:t>
      </w:r>
      <w:r w:rsidR="00544971">
        <w:t>,</w:t>
      </w:r>
      <w:r>
        <w:t xml:space="preserve"> and settings to document notes and information used for diagnosis and treatment</w:t>
      </w:r>
      <w:r w:rsidR="00544971">
        <w:t>.</w:t>
      </w:r>
    </w:p>
    <w:p w14:paraId="30D56B04" w14:textId="2D054BC3" w:rsidR="00F67632" w:rsidRDefault="00F67632" w:rsidP="00B622FA">
      <w:pPr>
        <w:pStyle w:val="BodyText"/>
      </w:pPr>
      <w:r w:rsidRPr="00054C43">
        <w:rPr>
          <w:b/>
          <w:bCs/>
        </w:rPr>
        <w:t>EOB</w:t>
      </w:r>
      <w:r>
        <w:t xml:space="preserve"> – Explanation of Benefits</w:t>
      </w:r>
      <w:r w:rsidR="00544971">
        <w:t>. A</w:t>
      </w:r>
      <w:r>
        <w:t xml:space="preserve"> written statement to a beneficiary from a third-party payer after a claim is adjudicated</w:t>
      </w:r>
      <w:r w:rsidR="00544971">
        <w:t>. T</w:t>
      </w:r>
      <w:r>
        <w:t>he EOB indicates which benefit/charge is covered or not covered by the benefit plan</w:t>
      </w:r>
      <w:r w:rsidR="00544971">
        <w:t>.</w:t>
      </w:r>
    </w:p>
    <w:p w14:paraId="274CDF12" w14:textId="02266FF7" w:rsidR="00F67632" w:rsidRDefault="00F67632" w:rsidP="00B622FA">
      <w:pPr>
        <w:pStyle w:val="BodyText"/>
      </w:pPr>
      <w:r w:rsidRPr="00054C43">
        <w:rPr>
          <w:b/>
          <w:bCs/>
        </w:rPr>
        <w:t>ERA (eEOB)</w:t>
      </w:r>
      <w:r>
        <w:t xml:space="preserve"> – Electronic Remittance Advice</w:t>
      </w:r>
      <w:r w:rsidR="00544971">
        <w:t>. T</w:t>
      </w:r>
      <w:r>
        <w:t>he electronic version of the paper EOB (explanation of benefits)</w:t>
      </w:r>
      <w:r w:rsidR="00544971">
        <w:t>. T</w:t>
      </w:r>
      <w:r>
        <w:t>his is an efficient means for processing payer remittance information</w:t>
      </w:r>
      <w:r w:rsidR="00544971">
        <w:t>.</w:t>
      </w:r>
    </w:p>
    <w:p w14:paraId="39AD0340" w14:textId="64DF442B" w:rsidR="00F67632" w:rsidRDefault="00F67632" w:rsidP="00B622FA">
      <w:pPr>
        <w:pStyle w:val="BodyText"/>
      </w:pPr>
      <w:r w:rsidRPr="00054C43">
        <w:rPr>
          <w:b/>
          <w:bCs/>
        </w:rPr>
        <w:lastRenderedPageBreak/>
        <w:t>FIFO</w:t>
      </w:r>
      <w:r>
        <w:t xml:space="preserve"> – First-In, First-Out</w:t>
      </w:r>
      <w:r w:rsidR="00544971">
        <w:t>. I</w:t>
      </w:r>
      <w:r>
        <w:t>n Dentrix Enterprise, this concept is used to describe applying payments to the oldest balance (charge) before applying to a current (new) charge</w:t>
      </w:r>
      <w:r w:rsidR="00544971">
        <w:t>.</w:t>
      </w:r>
    </w:p>
    <w:p w14:paraId="06651F0B" w14:textId="6939EB18" w:rsidR="00F67632" w:rsidRDefault="00F67632" w:rsidP="00B622FA">
      <w:pPr>
        <w:pStyle w:val="BodyText"/>
      </w:pPr>
      <w:r w:rsidRPr="00054C43">
        <w:rPr>
          <w:b/>
          <w:bCs/>
        </w:rPr>
        <w:t>HCFA</w:t>
      </w:r>
      <w:r>
        <w:t xml:space="preserve"> – Health Care Financing Administration</w:t>
      </w:r>
      <w:r w:rsidR="00544971">
        <w:t>. C</w:t>
      </w:r>
      <w:r>
        <w:t>reated to combine under one administration the oversight of the Medicare program, the Federal portion of the Medicaid program, and related quality assurance activities</w:t>
      </w:r>
      <w:r w:rsidR="00544971">
        <w:t>.</w:t>
      </w:r>
    </w:p>
    <w:p w14:paraId="5D8ECE3E" w14:textId="4F4FB150" w:rsidR="00F67632" w:rsidRDefault="00F67632" w:rsidP="00B622FA">
      <w:pPr>
        <w:pStyle w:val="BodyText"/>
      </w:pPr>
      <w:r w:rsidRPr="003A7243">
        <w:rPr>
          <w:b/>
          <w:bCs/>
        </w:rPr>
        <w:t>HIPAA</w:t>
      </w:r>
      <w:r>
        <w:t xml:space="preserve"> – Health Information Privacy Accountability Act</w:t>
      </w:r>
      <w:r w:rsidR="00544971">
        <w:t>. F</w:t>
      </w:r>
      <w:r>
        <w:t>ederal law that requires the creation of national standards to protect sensitive patient health information from being disclosed without the patient’s consent or knowledge</w:t>
      </w:r>
      <w:r w:rsidR="00544971">
        <w:t>.</w:t>
      </w:r>
    </w:p>
    <w:p w14:paraId="51714AEC" w14:textId="2C603F43" w:rsidR="00F67632" w:rsidRPr="003A7243" w:rsidRDefault="00F67632" w:rsidP="00B622FA">
      <w:pPr>
        <w:pStyle w:val="BodyText"/>
      </w:pPr>
      <w:r w:rsidRPr="003A7243">
        <w:rPr>
          <w:b/>
          <w:bCs/>
        </w:rPr>
        <w:t>HHS</w:t>
      </w:r>
      <w:r>
        <w:t xml:space="preserve"> – </w:t>
      </w:r>
      <w:r>
        <w:tab/>
        <w:t>Health and Human Services</w:t>
      </w:r>
      <w:r w:rsidR="00544971">
        <w:t>. W</w:t>
      </w:r>
      <w:r>
        <w:t>orks with state and local governments to do research and provide public health services, food and drug safety programs, health insurance programs, and many other services</w:t>
      </w:r>
      <w:r w:rsidR="00544971">
        <w:t>.</w:t>
      </w:r>
    </w:p>
    <w:p w14:paraId="6ED074CC" w14:textId="4A258087" w:rsidR="00F67632" w:rsidRDefault="00F67632" w:rsidP="00B622FA">
      <w:pPr>
        <w:pStyle w:val="BodyText"/>
      </w:pPr>
      <w:r w:rsidRPr="00FC24EA">
        <w:rPr>
          <w:b/>
          <w:bCs/>
        </w:rPr>
        <w:t>HL7</w:t>
      </w:r>
      <w:r>
        <w:t xml:space="preserve"> –</w:t>
      </w:r>
      <w:r w:rsidR="00544971">
        <w:t xml:space="preserve"> </w:t>
      </w:r>
      <w:r>
        <w:t>Health Level 7</w:t>
      </w:r>
      <w:r w:rsidR="00544971">
        <w:t xml:space="preserve">. </w:t>
      </w:r>
      <w:r>
        <w:t>Interface exchange of patient information between two (2) practice management systems</w:t>
      </w:r>
      <w:r w:rsidR="00544971">
        <w:t>.</w:t>
      </w:r>
    </w:p>
    <w:p w14:paraId="62755FEE" w14:textId="0D534D5E" w:rsidR="00F67632" w:rsidRPr="00E53439" w:rsidRDefault="00F67632" w:rsidP="00B622FA">
      <w:pPr>
        <w:pStyle w:val="BodyText"/>
      </w:pPr>
      <w:r w:rsidRPr="00054C43">
        <w:rPr>
          <w:b/>
          <w:bCs/>
        </w:rPr>
        <w:t>HPDP</w:t>
      </w:r>
      <w:r>
        <w:t xml:space="preserve"> – Health Promotion &amp; Disease Prevention</w:t>
      </w:r>
      <w:r w:rsidR="00544971">
        <w:t>. A</w:t>
      </w:r>
      <w:r>
        <w:t xml:space="preserve"> strategy or series of strategies used to reduce risk </w:t>
      </w:r>
      <w:r w:rsidR="00E53439">
        <w:t>f</w:t>
      </w:r>
      <w:r>
        <w:t>actors and improve the overall health of a population</w:t>
      </w:r>
      <w:r w:rsidR="00544971">
        <w:t>.</w:t>
      </w:r>
    </w:p>
    <w:p w14:paraId="0694FB66" w14:textId="7B8DE33B" w:rsidR="00F67632" w:rsidRDefault="00F67632" w:rsidP="00B622FA">
      <w:pPr>
        <w:pStyle w:val="BodyText"/>
      </w:pPr>
      <w:r w:rsidRPr="0011213E">
        <w:rPr>
          <w:b/>
          <w:bCs/>
        </w:rPr>
        <w:t>I/T/U</w:t>
      </w:r>
      <w:r>
        <w:t xml:space="preserve"> </w:t>
      </w:r>
      <w:r w:rsidR="00544971">
        <w:t xml:space="preserve">– </w:t>
      </w:r>
      <w:r>
        <w:t>IHS / Tribal / Urban</w:t>
      </w:r>
      <w:r w:rsidR="00544971">
        <w:t>. C</w:t>
      </w:r>
      <w:r>
        <w:t>lassification of Indian Health clinics</w:t>
      </w:r>
      <w:r w:rsidR="00544971">
        <w:t>,</w:t>
      </w:r>
      <w:r>
        <w:t xml:space="preserve"> which indicates the status of federal, tribal, and/or nonprofit components</w:t>
      </w:r>
      <w:r w:rsidR="00544971">
        <w:t>.</w:t>
      </w:r>
    </w:p>
    <w:p w14:paraId="06EDC9C0" w14:textId="77346566" w:rsidR="00F67632" w:rsidRDefault="00F67632" w:rsidP="00B622FA">
      <w:pPr>
        <w:pStyle w:val="BodyText"/>
      </w:pPr>
      <w:r w:rsidRPr="0011213E">
        <w:rPr>
          <w:b/>
          <w:bCs/>
        </w:rPr>
        <w:t>ICD</w:t>
      </w:r>
      <w:r>
        <w:t xml:space="preserve"> –</w:t>
      </w:r>
      <w:r w:rsidR="00544971">
        <w:t xml:space="preserve"> </w:t>
      </w:r>
      <w:r>
        <w:t>International Classification of Diseases</w:t>
      </w:r>
      <w:r w:rsidR="00544971">
        <w:t>. D</w:t>
      </w:r>
      <w:r>
        <w:t>esigned to promote international comparability in the collection processing, classification, and presentation of mortality statistics</w:t>
      </w:r>
      <w:r w:rsidR="00544971">
        <w:t>. A c</w:t>
      </w:r>
      <w:r>
        <w:t>oding system used to classify the diagnosis of a condition</w:t>
      </w:r>
      <w:r w:rsidR="00544971">
        <w:t>.</w:t>
      </w:r>
    </w:p>
    <w:p w14:paraId="142C0027" w14:textId="3022FB4F" w:rsidR="00F67632" w:rsidRPr="003A7243" w:rsidRDefault="00F67632" w:rsidP="00B622FA">
      <w:pPr>
        <w:pStyle w:val="BodyText"/>
      </w:pPr>
      <w:r w:rsidRPr="003A7243">
        <w:rPr>
          <w:b/>
          <w:bCs/>
        </w:rPr>
        <w:t>Infrastructure Security Agency</w:t>
      </w:r>
      <w:r>
        <w:t xml:space="preserve"> – Entity responsible for protecting critical systems and assets against physical and cyber threats</w:t>
      </w:r>
      <w:r w:rsidR="00544971">
        <w:t>.</w:t>
      </w:r>
    </w:p>
    <w:p w14:paraId="770E9C46" w14:textId="749D7C08" w:rsidR="00F67632" w:rsidRDefault="00F67632" w:rsidP="00B622FA">
      <w:pPr>
        <w:pStyle w:val="BodyText"/>
      </w:pPr>
      <w:r w:rsidRPr="00D95F03">
        <w:rPr>
          <w:b/>
          <w:bCs/>
        </w:rPr>
        <w:t>IP</w:t>
      </w:r>
      <w:r>
        <w:t xml:space="preserve"> –</w:t>
      </w:r>
      <w:r w:rsidR="00544971">
        <w:t xml:space="preserve"> </w:t>
      </w:r>
      <w:r>
        <w:t>Referenced in the IT Security Protocols to identify access allowances per system firewall rules</w:t>
      </w:r>
      <w:r w:rsidR="00544971">
        <w:t>.</w:t>
      </w:r>
    </w:p>
    <w:p w14:paraId="068E2DE8" w14:textId="58AC47CD" w:rsidR="00F67632" w:rsidRDefault="00F67632" w:rsidP="00B622FA">
      <w:pPr>
        <w:pStyle w:val="BodyText"/>
      </w:pPr>
      <w:r w:rsidRPr="0011213E">
        <w:rPr>
          <w:b/>
          <w:bCs/>
        </w:rPr>
        <w:t>IRS</w:t>
      </w:r>
      <w:r>
        <w:t xml:space="preserve"> –</w:t>
      </w:r>
      <w:r w:rsidR="00544971">
        <w:t xml:space="preserve"> </w:t>
      </w:r>
      <w:r>
        <w:t>Internal Revenue Service</w:t>
      </w:r>
      <w:r w:rsidR="00544971">
        <w:t>.</w:t>
      </w:r>
    </w:p>
    <w:p w14:paraId="37BB6AD6" w14:textId="492A1A71" w:rsidR="00F67632" w:rsidRPr="003A7243" w:rsidRDefault="00F67632" w:rsidP="00B622FA">
      <w:pPr>
        <w:pStyle w:val="BodyText"/>
      </w:pPr>
      <w:r w:rsidRPr="00D95F03">
        <w:rPr>
          <w:b/>
          <w:bCs/>
        </w:rPr>
        <w:t>ISCP</w:t>
      </w:r>
      <w:r>
        <w:t xml:space="preserve"> – Information System Contingency Plan</w:t>
      </w:r>
      <w:r w:rsidR="00544971">
        <w:t>. P</w:t>
      </w:r>
      <w:r>
        <w:t>rocess of schedule of procedures to recover the EDR system</w:t>
      </w:r>
      <w:r w:rsidR="00544971">
        <w:t>.</w:t>
      </w:r>
    </w:p>
    <w:p w14:paraId="5C346DFD" w14:textId="4FCBB73C" w:rsidR="00F67632" w:rsidRDefault="00F67632" w:rsidP="00B622FA">
      <w:pPr>
        <w:pStyle w:val="BodyText"/>
      </w:pPr>
      <w:r w:rsidRPr="00D95F03">
        <w:rPr>
          <w:b/>
          <w:bCs/>
        </w:rPr>
        <w:t>IT</w:t>
      </w:r>
      <w:r>
        <w:t xml:space="preserve"> –</w:t>
      </w:r>
      <w:r w:rsidR="00544971">
        <w:t xml:space="preserve"> </w:t>
      </w:r>
      <w:r>
        <w:t>Information Technology</w:t>
      </w:r>
      <w:r w:rsidR="00544971">
        <w:t>. I</w:t>
      </w:r>
      <w:r>
        <w:t>nclud</w:t>
      </w:r>
      <w:r w:rsidR="00544971">
        <w:t>es</w:t>
      </w:r>
      <w:r>
        <w:t xml:space="preserve"> communications networks, safeguarding data and information, and troubleshooting computer problems</w:t>
      </w:r>
      <w:r w:rsidR="00544971">
        <w:t>.</w:t>
      </w:r>
    </w:p>
    <w:p w14:paraId="725181DE" w14:textId="0DA8F28C" w:rsidR="00F67632" w:rsidRDefault="00F67632" w:rsidP="00B622FA">
      <w:pPr>
        <w:pStyle w:val="BodyText"/>
      </w:pPr>
      <w:r w:rsidRPr="006239D4">
        <w:rPr>
          <w:b/>
          <w:bCs/>
        </w:rPr>
        <w:t xml:space="preserve">LDAP </w:t>
      </w:r>
      <w:r>
        <w:t>– Lightweight Directory Access Protocol</w:t>
      </w:r>
      <w:r w:rsidR="00544971">
        <w:t>. P</w:t>
      </w:r>
      <w:r>
        <w:t>rotocol that helps users find data about organizations</w:t>
      </w:r>
      <w:r w:rsidR="00544971">
        <w:t xml:space="preserve"> or</w:t>
      </w:r>
      <w:r>
        <w:t xml:space="preserve"> persons by storing data in the LDAP directory</w:t>
      </w:r>
      <w:r w:rsidR="00544971">
        <w:t>. It is also used to</w:t>
      </w:r>
      <w:r>
        <w:t xml:space="preserve"> authenticate users to access the directory</w:t>
      </w:r>
      <w:r w:rsidR="00544971">
        <w:t>.</w:t>
      </w:r>
    </w:p>
    <w:p w14:paraId="3BF01650" w14:textId="3C8CAE7E" w:rsidR="00F67632" w:rsidRDefault="00F67632" w:rsidP="00B622FA">
      <w:pPr>
        <w:pStyle w:val="BodyText"/>
      </w:pPr>
      <w:r w:rsidRPr="006239D4">
        <w:rPr>
          <w:b/>
          <w:bCs/>
        </w:rPr>
        <w:t>LLC</w:t>
      </w:r>
      <w:r>
        <w:t xml:space="preserve"> – </w:t>
      </w:r>
      <w:r>
        <w:tab/>
        <w:t>Limited Liability Company</w:t>
      </w:r>
      <w:r w:rsidR="00544971">
        <w:t>. F</w:t>
      </w:r>
      <w:r>
        <w:t>ormed to operate a business or hold assets</w:t>
      </w:r>
      <w:r w:rsidR="00544971">
        <w:t>.</w:t>
      </w:r>
    </w:p>
    <w:p w14:paraId="0494CDDD" w14:textId="6471C48B" w:rsidR="00F67632" w:rsidRPr="00FC24EA" w:rsidRDefault="00F67632" w:rsidP="00B622FA">
      <w:pPr>
        <w:pStyle w:val="BodyText"/>
      </w:pPr>
      <w:r>
        <w:rPr>
          <w:b/>
          <w:bCs/>
        </w:rPr>
        <w:t xml:space="preserve">OHSC </w:t>
      </w:r>
      <w:r>
        <w:t>–</w:t>
      </w:r>
      <w:r w:rsidR="00544971">
        <w:t xml:space="preserve"> </w:t>
      </w:r>
      <w:r>
        <w:t>Oral Health Status Classification</w:t>
      </w:r>
      <w:r w:rsidR="00544971">
        <w:t>.</w:t>
      </w:r>
    </w:p>
    <w:p w14:paraId="5BAA3FBF" w14:textId="256D97F6" w:rsidR="00F67632" w:rsidRDefault="00F67632" w:rsidP="00B622FA">
      <w:pPr>
        <w:pStyle w:val="BodyText"/>
      </w:pPr>
      <w:r w:rsidRPr="00FC24EA">
        <w:rPr>
          <w:b/>
          <w:bCs/>
        </w:rPr>
        <w:t>OHSM</w:t>
      </w:r>
      <w:r>
        <w:t xml:space="preserve"> – Oral Health Status Measure</w:t>
      </w:r>
      <w:r w:rsidR="00544971">
        <w:t>.</w:t>
      </w:r>
    </w:p>
    <w:p w14:paraId="2D5C5F86" w14:textId="36B8D444" w:rsidR="00F67632" w:rsidRDefault="00F67632" w:rsidP="00B622FA">
      <w:pPr>
        <w:pStyle w:val="BodyText"/>
      </w:pPr>
      <w:r w:rsidRPr="00D95F03">
        <w:rPr>
          <w:b/>
          <w:bCs/>
        </w:rPr>
        <w:t xml:space="preserve">NAS </w:t>
      </w:r>
      <w:r>
        <w:t>–</w:t>
      </w:r>
      <w:r w:rsidR="00544971">
        <w:t xml:space="preserve"> </w:t>
      </w:r>
      <w:r>
        <w:t>Network-attached storage</w:t>
      </w:r>
      <w:r w:rsidR="00544971">
        <w:t>.</w:t>
      </w:r>
    </w:p>
    <w:p w14:paraId="08CFFB9B" w14:textId="268E3C38" w:rsidR="00F67632" w:rsidRDefault="00F67632" w:rsidP="00B622FA">
      <w:pPr>
        <w:pStyle w:val="BodyText"/>
      </w:pPr>
      <w:r w:rsidRPr="006239D4">
        <w:rPr>
          <w:b/>
          <w:bCs/>
        </w:rPr>
        <w:t>NPI</w:t>
      </w:r>
      <w:r>
        <w:t xml:space="preserve"> –</w:t>
      </w:r>
      <w:r w:rsidR="00544971">
        <w:t xml:space="preserve"> </w:t>
      </w:r>
      <w:r>
        <w:t>National Provider Identifier</w:t>
      </w:r>
      <w:r w:rsidR="00544971">
        <w:t>. U</w:t>
      </w:r>
      <w:r>
        <w:t>nique identification number for covered health care providers</w:t>
      </w:r>
      <w:r w:rsidR="00544971">
        <w:t xml:space="preserve"> that was </w:t>
      </w:r>
      <w:r>
        <w:t>created to help send health information electronically more quickly and effectively</w:t>
      </w:r>
      <w:r w:rsidR="00544971">
        <w:t>.</w:t>
      </w:r>
    </w:p>
    <w:p w14:paraId="09BBF44A" w14:textId="6069482A" w:rsidR="00F67632" w:rsidRDefault="00F67632" w:rsidP="00B622FA">
      <w:pPr>
        <w:pStyle w:val="BodyText"/>
      </w:pPr>
      <w:r w:rsidRPr="006D21E8">
        <w:rPr>
          <w:b/>
          <w:bCs/>
        </w:rPr>
        <w:t xml:space="preserve">PHI </w:t>
      </w:r>
      <w:r>
        <w:t>–</w:t>
      </w:r>
      <w:r w:rsidR="00544971">
        <w:t xml:space="preserve"> </w:t>
      </w:r>
      <w:r>
        <w:t>Protected Health Information</w:t>
      </w:r>
      <w:r w:rsidR="00544971">
        <w:t>. A</w:t>
      </w:r>
      <w:r>
        <w:t>ny information in the medical record or designated record set that can be used to identify an individual and that was created, used, or disclosed in the course of providing a health care service such as diagnosis or treatment</w:t>
      </w:r>
      <w:r w:rsidR="00544971">
        <w:t>.</w:t>
      </w:r>
    </w:p>
    <w:p w14:paraId="60AB5CC7" w14:textId="5C16A86D" w:rsidR="00F67632" w:rsidRDefault="00F67632" w:rsidP="00B622FA">
      <w:pPr>
        <w:pStyle w:val="BodyText"/>
      </w:pPr>
      <w:r w:rsidRPr="003A7243">
        <w:rPr>
          <w:b/>
          <w:bCs/>
        </w:rPr>
        <w:lastRenderedPageBreak/>
        <w:t>PII</w:t>
      </w:r>
      <w:r>
        <w:t xml:space="preserve"> –</w:t>
      </w:r>
      <w:r w:rsidR="00035AE4">
        <w:t xml:space="preserve"> </w:t>
      </w:r>
      <w:r>
        <w:t>Personal Identifiable Information</w:t>
      </w:r>
      <w:r w:rsidR="00544971">
        <w:t>. A</w:t>
      </w:r>
      <w:r>
        <w:t>ny representation of information that permits the identity of an individual to whom the information applies to be reasonable inferred by either direct or indirect means</w:t>
      </w:r>
      <w:r w:rsidR="00544971">
        <w:t>.</w:t>
      </w:r>
    </w:p>
    <w:p w14:paraId="29133402" w14:textId="6E972FF9" w:rsidR="00F67632" w:rsidRPr="003A7243" w:rsidRDefault="00F67632" w:rsidP="00B622FA">
      <w:pPr>
        <w:pStyle w:val="BodyText"/>
      </w:pPr>
      <w:r w:rsidRPr="00D95F03">
        <w:rPr>
          <w:b/>
          <w:bCs/>
        </w:rPr>
        <w:t>POC</w:t>
      </w:r>
      <w:r>
        <w:t xml:space="preserve"> – Point of Contact</w:t>
      </w:r>
      <w:r w:rsidR="00544971">
        <w:t>. D</w:t>
      </w:r>
      <w:r>
        <w:t>irect site resource or communicator to manage a task</w:t>
      </w:r>
      <w:r w:rsidR="00544971">
        <w:t>.</w:t>
      </w:r>
    </w:p>
    <w:p w14:paraId="185378E6" w14:textId="5D3CF64E" w:rsidR="00F67632" w:rsidRDefault="00F67632" w:rsidP="00B622FA">
      <w:pPr>
        <w:pStyle w:val="BodyText"/>
      </w:pPr>
      <w:r w:rsidRPr="006239D4">
        <w:rPr>
          <w:b/>
          <w:bCs/>
        </w:rPr>
        <w:t>POL</w:t>
      </w:r>
      <w:r>
        <w:t xml:space="preserve"> –</w:t>
      </w:r>
      <w:r w:rsidR="00035AE4">
        <w:t xml:space="preserve"> </w:t>
      </w:r>
      <w:r>
        <w:t>Practice Organization List</w:t>
      </w:r>
      <w:r w:rsidR="00544971">
        <w:t>. R</w:t>
      </w:r>
      <w:r>
        <w:t>eport that displays provider (primary and secondary) and staff members that have been set up in Dentrix Enterprise and the information that has been entered for each</w:t>
      </w:r>
      <w:r w:rsidR="00544971">
        <w:t>.</w:t>
      </w:r>
    </w:p>
    <w:p w14:paraId="3E99A5B9" w14:textId="40AE4C73" w:rsidR="00F67632" w:rsidRDefault="00F67632" w:rsidP="00B622FA">
      <w:pPr>
        <w:pStyle w:val="BodyText"/>
      </w:pPr>
      <w:r w:rsidRPr="006239D4">
        <w:rPr>
          <w:b/>
          <w:bCs/>
        </w:rPr>
        <w:t>RCM</w:t>
      </w:r>
      <w:r>
        <w:t xml:space="preserve"> – Revenue Cycle Management</w:t>
      </w:r>
      <w:r w:rsidR="00544971">
        <w:t>. T</w:t>
      </w:r>
      <w:r>
        <w:t>he business process that enables organizations to be paid for providing services</w:t>
      </w:r>
      <w:r w:rsidR="00544971">
        <w:t>. T</w:t>
      </w:r>
      <w:r>
        <w:t>his process includes unique steps in the revenue cycle, which begins with patient scheduling and ends with payment reconciliation</w:t>
      </w:r>
      <w:r w:rsidR="00544971">
        <w:t>.</w:t>
      </w:r>
    </w:p>
    <w:p w14:paraId="2E1D3D06" w14:textId="421333DC" w:rsidR="00F67632" w:rsidRDefault="00F67632" w:rsidP="00B622FA">
      <w:pPr>
        <w:pStyle w:val="BodyText"/>
      </w:pPr>
      <w:r w:rsidRPr="006239D4">
        <w:rPr>
          <w:b/>
          <w:bCs/>
        </w:rPr>
        <w:t>RPMS</w:t>
      </w:r>
      <w:r>
        <w:t xml:space="preserve"> – Resource and Patient Management System</w:t>
      </w:r>
      <w:r w:rsidR="00544971">
        <w:t>. A</w:t>
      </w:r>
      <w:r>
        <w:t xml:space="preserve"> decentralized integrated solution for management of both clinical and administrative information in the IHS healthcare facility</w:t>
      </w:r>
      <w:r w:rsidR="00544971">
        <w:t>.</w:t>
      </w:r>
    </w:p>
    <w:p w14:paraId="48398E99" w14:textId="4C193D8B" w:rsidR="00F67632" w:rsidRDefault="00F67632" w:rsidP="00B622FA">
      <w:pPr>
        <w:pStyle w:val="BodyText"/>
      </w:pPr>
      <w:r>
        <w:rPr>
          <w:b/>
          <w:bCs/>
        </w:rPr>
        <w:t xml:space="preserve">RTO </w:t>
      </w:r>
      <w:r w:rsidR="00035AE4">
        <w:t xml:space="preserve">– </w:t>
      </w:r>
      <w:r w:rsidRPr="006D21E8">
        <w:t>Recovery Time Objective</w:t>
      </w:r>
      <w:r w:rsidR="00544971">
        <w:t>. M</w:t>
      </w:r>
      <w:r>
        <w:t>aximum acceptable amount of time for restoring a network or application and regaining access to data after an unplanned disruption</w:t>
      </w:r>
      <w:r w:rsidR="00544971">
        <w:t>.</w:t>
      </w:r>
    </w:p>
    <w:p w14:paraId="6E2DCD10" w14:textId="2B657271" w:rsidR="00F67632" w:rsidRDefault="00F67632" w:rsidP="00B622FA">
      <w:pPr>
        <w:pStyle w:val="BodyText"/>
      </w:pPr>
      <w:r w:rsidRPr="006239D4">
        <w:rPr>
          <w:b/>
          <w:bCs/>
        </w:rPr>
        <w:t>SNOMED</w:t>
      </w:r>
      <w:r>
        <w:t xml:space="preserve"> –</w:t>
      </w:r>
      <w:r w:rsidR="00544971">
        <w:t xml:space="preserve"> </w:t>
      </w:r>
      <w:r>
        <w:t>Systemized Nomenclature of Medicine</w:t>
      </w:r>
      <w:r w:rsidR="00544971">
        <w:t>. A</w:t>
      </w:r>
      <w:r>
        <w:t xml:space="preserve"> standardized, multilingual vocabulary of clinical terminology that is used by physicians and other healthcare providers for the electronic exchange of health information</w:t>
      </w:r>
      <w:r w:rsidR="00544971">
        <w:t>.</w:t>
      </w:r>
    </w:p>
    <w:p w14:paraId="7E494BEC" w14:textId="6D808C2E" w:rsidR="00F67632" w:rsidRDefault="00F67632" w:rsidP="00B622FA">
      <w:pPr>
        <w:pStyle w:val="BodyText"/>
      </w:pPr>
      <w:r w:rsidRPr="00D95F03">
        <w:rPr>
          <w:b/>
          <w:bCs/>
        </w:rPr>
        <w:t>SQL</w:t>
      </w:r>
      <w:r>
        <w:t xml:space="preserve"> –</w:t>
      </w:r>
      <w:r w:rsidR="00035AE4">
        <w:t xml:space="preserve"> </w:t>
      </w:r>
      <w:r>
        <w:t>Structured Query Language</w:t>
      </w:r>
      <w:r w:rsidR="00544971">
        <w:t>. A</w:t>
      </w:r>
      <w:r>
        <w:t xml:space="preserve"> programming language for storing and processing information in relational databases like Dentrix Enterprise</w:t>
      </w:r>
      <w:r w:rsidR="00544971">
        <w:t>.</w:t>
      </w:r>
    </w:p>
    <w:p w14:paraId="5CF2A33B" w14:textId="0483CA45" w:rsidR="00F67632" w:rsidRDefault="00F67632" w:rsidP="00B622FA">
      <w:pPr>
        <w:pStyle w:val="BodyText"/>
      </w:pPr>
      <w:r w:rsidRPr="007879DA">
        <w:rPr>
          <w:b/>
          <w:bCs/>
        </w:rPr>
        <w:t xml:space="preserve">SSN </w:t>
      </w:r>
      <w:r>
        <w:t>–</w:t>
      </w:r>
      <w:r w:rsidR="00035AE4">
        <w:t xml:space="preserve"> </w:t>
      </w:r>
      <w:r>
        <w:t>Social Security Number</w:t>
      </w:r>
      <w:r w:rsidR="00544971">
        <w:t>.</w:t>
      </w:r>
    </w:p>
    <w:p w14:paraId="645C93FF" w14:textId="0BF6CB5F" w:rsidR="00F67632" w:rsidRDefault="00F67632" w:rsidP="00B622FA">
      <w:pPr>
        <w:pStyle w:val="BodyText"/>
      </w:pPr>
      <w:r w:rsidRPr="007879DA">
        <w:rPr>
          <w:b/>
          <w:bCs/>
        </w:rPr>
        <w:t>SSO</w:t>
      </w:r>
      <w:r>
        <w:t xml:space="preserve"> –</w:t>
      </w:r>
      <w:r w:rsidR="00035AE4">
        <w:t xml:space="preserve"> </w:t>
      </w:r>
      <w:r>
        <w:t>Single Sign-On</w:t>
      </w:r>
      <w:r w:rsidR="00544971">
        <w:t>. A</w:t>
      </w:r>
      <w:r>
        <w:t>n identification method that enables users to log in to multiple applications and websites with one set of credentials</w:t>
      </w:r>
      <w:r w:rsidR="00035AE4">
        <w:t>.</w:t>
      </w:r>
    </w:p>
    <w:p w14:paraId="659DF9D5" w14:textId="7A131653" w:rsidR="00F67632" w:rsidRDefault="00F67632" w:rsidP="00B622FA">
      <w:pPr>
        <w:pStyle w:val="BodyText"/>
      </w:pPr>
      <w:r w:rsidRPr="007879DA">
        <w:rPr>
          <w:b/>
          <w:bCs/>
        </w:rPr>
        <w:t xml:space="preserve">TIN </w:t>
      </w:r>
      <w:r>
        <w:t>–</w:t>
      </w:r>
      <w:r w:rsidR="00035AE4">
        <w:t xml:space="preserve"> </w:t>
      </w:r>
      <w:r>
        <w:t>Tax Identification Number</w:t>
      </w:r>
      <w:r w:rsidR="00035AE4">
        <w:t>. A</w:t>
      </w:r>
      <w:r>
        <w:t>n identification number used by the Internal Revenue Service in the administration of tax laws</w:t>
      </w:r>
      <w:r w:rsidR="00035AE4">
        <w:t>.</w:t>
      </w:r>
    </w:p>
    <w:p w14:paraId="52ECAB90" w14:textId="6F63A871" w:rsidR="00F67632" w:rsidRDefault="00F67632" w:rsidP="00B622FA">
      <w:pPr>
        <w:pStyle w:val="BodyText"/>
      </w:pPr>
      <w:r w:rsidRPr="007879DA">
        <w:rPr>
          <w:b/>
          <w:bCs/>
        </w:rPr>
        <w:t>UB04</w:t>
      </w:r>
      <w:r>
        <w:t xml:space="preserve"> – The standard claim form that institutional provider</w:t>
      </w:r>
      <w:r w:rsidR="00035AE4">
        <w:t>s</w:t>
      </w:r>
      <w:r>
        <w:t xml:space="preserve"> use, such as hospitals and community health  care centers</w:t>
      </w:r>
      <w:r w:rsidR="00035AE4">
        <w:t>. T</w:t>
      </w:r>
      <w:r>
        <w:t>his claim form is used to bill Medicare, Medicaid, and other health insurance companies for inpatient and outpatient services</w:t>
      </w:r>
      <w:r w:rsidR="00035AE4">
        <w:t>.</w:t>
      </w:r>
    </w:p>
    <w:p w14:paraId="000ACB0C" w14:textId="6793C827" w:rsidR="00F67632" w:rsidRDefault="00F67632" w:rsidP="00B622FA">
      <w:pPr>
        <w:pStyle w:val="BodyText"/>
      </w:pPr>
      <w:r w:rsidRPr="007879DA">
        <w:rPr>
          <w:b/>
          <w:bCs/>
        </w:rPr>
        <w:t xml:space="preserve">UCR </w:t>
      </w:r>
      <w:r>
        <w:t>– Usual, Customary, and Reasonable</w:t>
      </w:r>
      <w:r w:rsidR="00035AE4">
        <w:t>. T</w:t>
      </w:r>
      <w:r>
        <w:t>he amount paid for a medical or dental service in a geographic area</w:t>
      </w:r>
      <w:r w:rsidR="00035AE4">
        <w:t xml:space="preserve">, which is </w:t>
      </w:r>
      <w:r>
        <w:t>based on what providers in the area usually charge for the same or similar</w:t>
      </w:r>
      <w:r w:rsidR="00E53439">
        <w:t xml:space="preserve"> </w:t>
      </w:r>
      <w:r>
        <w:t>service</w:t>
      </w:r>
      <w:r w:rsidR="00035AE4">
        <w:t>.</w:t>
      </w:r>
    </w:p>
    <w:p w14:paraId="0CEB1AAD" w14:textId="5F4498D2" w:rsidR="00F67632" w:rsidRDefault="00F67632" w:rsidP="00B622FA">
      <w:pPr>
        <w:pStyle w:val="BodyText"/>
      </w:pPr>
      <w:r w:rsidRPr="007879DA">
        <w:rPr>
          <w:b/>
          <w:bCs/>
        </w:rPr>
        <w:t>UPIN</w:t>
      </w:r>
      <w:r>
        <w:t xml:space="preserve"> – Unique Physician Identification Number</w:t>
      </w:r>
      <w:r w:rsidR="00035AE4">
        <w:t>. C</w:t>
      </w:r>
      <w:r>
        <w:t xml:space="preserve">ontains selected information on physicians, doctors of </w:t>
      </w:r>
      <w:r w:rsidR="00035AE4">
        <w:t>o</w:t>
      </w:r>
      <w:r>
        <w:t>steopathy, limited licensed practitioners</w:t>
      </w:r>
      <w:r w:rsidR="00035AE4">
        <w:t>,</w:t>
      </w:r>
      <w:r>
        <w:t xml:space="preserve"> and some non-physician practitioners who are enrolled in the Medicare Program</w:t>
      </w:r>
      <w:r w:rsidR="00035AE4">
        <w:t>.</w:t>
      </w:r>
    </w:p>
    <w:p w14:paraId="326B1612" w14:textId="35C9E00C" w:rsidR="00F67632" w:rsidRDefault="00F67632" w:rsidP="00B622FA">
      <w:pPr>
        <w:pStyle w:val="BodyText"/>
      </w:pPr>
      <w:r w:rsidRPr="00D95F03">
        <w:rPr>
          <w:b/>
          <w:bCs/>
        </w:rPr>
        <w:t>URL</w:t>
      </w:r>
      <w:r>
        <w:t xml:space="preserve"> –</w:t>
      </w:r>
      <w:r w:rsidR="00035AE4">
        <w:t xml:space="preserve"> </w:t>
      </w:r>
      <w:r>
        <w:t>Referenced in the IT Security Protocols to identify access allowances per system firewall rules</w:t>
      </w:r>
      <w:r w:rsidR="00035AE4">
        <w:t>.</w:t>
      </w:r>
    </w:p>
    <w:p w14:paraId="4D1AE593" w14:textId="66BF7C0E" w:rsidR="00F67632" w:rsidRDefault="00F67632" w:rsidP="00B622FA">
      <w:pPr>
        <w:pStyle w:val="BodyText"/>
      </w:pPr>
      <w:r w:rsidRPr="007879DA">
        <w:rPr>
          <w:b/>
          <w:bCs/>
        </w:rPr>
        <w:t xml:space="preserve">835 </w:t>
      </w:r>
      <w:r>
        <w:t>– Also known as Electronic Remittance Advice (ERA)</w:t>
      </w:r>
      <w:r w:rsidR="00035AE4">
        <w:t>. T</w:t>
      </w:r>
      <w:r>
        <w:t>he 835 is the file sent from insurers to the healthcare provider that includes claim payment information</w:t>
      </w:r>
      <w:r w:rsidR="00035AE4">
        <w:t xml:space="preserve">. It </w:t>
      </w:r>
      <w:r>
        <w:t xml:space="preserve">can be imported </w:t>
      </w:r>
      <w:r w:rsidR="00035AE4">
        <w:t>in</w:t>
      </w:r>
      <w:r>
        <w:t>to Dentrix Enterprise</w:t>
      </w:r>
      <w:r w:rsidR="00035AE4">
        <w:t>.</w:t>
      </w:r>
    </w:p>
    <w:p w14:paraId="4A57CA13" w14:textId="32431A8B" w:rsidR="00F67632" w:rsidRDefault="00F67632" w:rsidP="00B622FA">
      <w:pPr>
        <w:pStyle w:val="BodyText"/>
      </w:pPr>
      <w:r w:rsidRPr="007879DA">
        <w:rPr>
          <w:b/>
          <w:bCs/>
        </w:rPr>
        <w:t xml:space="preserve">837 </w:t>
      </w:r>
      <w:r>
        <w:t>–</w:t>
      </w:r>
      <w:r w:rsidR="00035AE4">
        <w:t xml:space="preserve"> </w:t>
      </w:r>
      <w:r>
        <w:t>An electronic claim</w:t>
      </w:r>
      <w:r w:rsidR="00035AE4">
        <w:t>. T</w:t>
      </w:r>
      <w:r>
        <w:t>he format established to meet HIPAA requirements for the electronic submission of healthcare claim information</w:t>
      </w:r>
      <w:r w:rsidR="00035AE4">
        <w:t>:</w:t>
      </w:r>
      <w:r>
        <w:t xml:space="preserve"> 837D is a dental claim</w:t>
      </w:r>
      <w:r w:rsidR="00035AE4">
        <w:t>;</w:t>
      </w:r>
      <w:r>
        <w:t xml:space="preserve"> 837P is a provider or medical claim; and 837I is an institutional claim</w:t>
      </w:r>
      <w:r w:rsidR="00035AE4">
        <w:t>.</w:t>
      </w:r>
    </w:p>
    <w:p w14:paraId="5AF1CD19" w14:textId="77777777" w:rsidR="00035AE4" w:rsidRDefault="00035AE4" w:rsidP="00B622FA">
      <w:pPr>
        <w:pStyle w:val="BodyText"/>
      </w:pPr>
    </w:p>
    <w:p w14:paraId="7D720250" w14:textId="4B1BCC81" w:rsidR="009F65D5" w:rsidRPr="00F67632" w:rsidRDefault="009F65D5" w:rsidP="009F65D5">
      <w:pPr>
        <w:pStyle w:val="Heading1"/>
        <w:rPr>
          <w:lang w:val="en"/>
        </w:rPr>
      </w:pPr>
      <w:bookmarkStart w:id="356" w:name="_Toc166834430"/>
      <w:r>
        <w:rPr>
          <w:lang w:val="en"/>
        </w:rPr>
        <w:lastRenderedPageBreak/>
        <w:t>Glossary of Terms</w:t>
      </w:r>
      <w:bookmarkEnd w:id="356"/>
    </w:p>
    <w:p w14:paraId="1270E7E7" w14:textId="212F0389" w:rsidR="009F65D5" w:rsidRPr="009F65D5" w:rsidRDefault="009F65D5" w:rsidP="009F65D5">
      <w:pPr>
        <w:pStyle w:val="Heading2"/>
        <w:numPr>
          <w:ilvl w:val="0"/>
          <w:numId w:val="0"/>
        </w:numPr>
      </w:pPr>
      <w:bookmarkStart w:id="357" w:name="_Toc166834431"/>
      <w:r w:rsidRPr="009F65D5">
        <w:t>Dental Terms</w:t>
      </w:r>
      <w:bookmarkEnd w:id="357"/>
    </w:p>
    <w:p w14:paraId="19CFC534" w14:textId="5989B1A5" w:rsidR="009F65D5" w:rsidRPr="00D95F03" w:rsidRDefault="009F65D5" w:rsidP="009F65D5">
      <w:pPr>
        <w:pStyle w:val="BodyText"/>
      </w:pPr>
      <w:r>
        <w:t xml:space="preserve">A quick reference of commonly used dental terms is </w:t>
      </w:r>
      <w:r w:rsidRPr="00D95F03">
        <w:t xml:space="preserve">available in </w:t>
      </w:r>
      <w:r>
        <w:t xml:space="preserve">the </w:t>
      </w:r>
      <w:r w:rsidRPr="00D95F03">
        <w:t>Dentrix Enterprise Help</w:t>
      </w:r>
      <w:r>
        <w:t xml:space="preserve">. </w:t>
      </w:r>
      <w:r w:rsidRPr="00D95F03">
        <w:rPr>
          <w:color w:val="000000"/>
          <w:shd w:val="clear" w:color="auto" w:fill="FFFFFF"/>
        </w:rPr>
        <w:t>Dental terms and definitions in this glossary are grouped alphabetically.</w:t>
      </w:r>
    </w:p>
    <w:p w14:paraId="52CD2565" w14:textId="067CC680" w:rsidR="009F65D5" w:rsidRPr="009F65D5" w:rsidRDefault="00000000" w:rsidP="009F65D5">
      <w:pPr>
        <w:pStyle w:val="BodyText"/>
      </w:pPr>
      <w:hyperlink r:id="rId119" w:anchor="t=mergedProjects%2FDtxTerms%2FDental_Terms.htm" w:history="1">
        <w:r w:rsidR="009F65D5" w:rsidRPr="00D95F03">
          <w:rPr>
            <w:rStyle w:val="Hyperlink"/>
            <w:rFonts w:cs="Times New Roman"/>
          </w:rPr>
          <w:t>https://hsps.pro/DentrixEnterprise/Help_11.0.44/index.htm#t=mergedProjects%2FDtxTerms%2FDental_Terms.htm</w:t>
        </w:r>
      </w:hyperlink>
    </w:p>
    <w:p w14:paraId="254FB225" w14:textId="35553715" w:rsidR="009F65D5" w:rsidRDefault="009F65D5" w:rsidP="009F65D5">
      <w:pPr>
        <w:pStyle w:val="Heading2"/>
        <w:numPr>
          <w:ilvl w:val="0"/>
          <w:numId w:val="0"/>
        </w:numPr>
      </w:pPr>
      <w:bookmarkStart w:id="358" w:name="_Toc166834432"/>
      <w:r>
        <w:t>Clinic Management Terms</w:t>
      </w:r>
      <w:bookmarkEnd w:id="358"/>
    </w:p>
    <w:p w14:paraId="28D73484" w14:textId="6A6E08CA" w:rsidR="00F67632" w:rsidRPr="00D95F03" w:rsidRDefault="009F65D5" w:rsidP="009F65D5">
      <w:pPr>
        <w:pStyle w:val="BodyText"/>
      </w:pPr>
      <w:r>
        <w:rPr>
          <w:shd w:val="clear" w:color="auto" w:fill="FFFFFF"/>
        </w:rPr>
        <w:t>C</w:t>
      </w:r>
      <w:r w:rsidRPr="00D95F03">
        <w:rPr>
          <w:shd w:val="clear" w:color="auto" w:fill="FFFFFF"/>
        </w:rPr>
        <w:t xml:space="preserve">ommonly used dental </w:t>
      </w:r>
      <w:r>
        <w:rPr>
          <w:shd w:val="clear" w:color="auto" w:fill="FFFFFF"/>
        </w:rPr>
        <w:t xml:space="preserve">clinic management </w:t>
      </w:r>
      <w:r w:rsidRPr="00D95F03">
        <w:rPr>
          <w:shd w:val="clear" w:color="auto" w:fill="FFFFFF"/>
        </w:rPr>
        <w:t>terms</w:t>
      </w:r>
      <w:r>
        <w:rPr>
          <w:shd w:val="clear" w:color="auto" w:fill="FFFFFF"/>
        </w:rPr>
        <w:t xml:space="preserve"> that</w:t>
      </w:r>
      <w:r w:rsidR="00F67632" w:rsidRPr="00D95F03">
        <w:rPr>
          <w:shd w:val="clear" w:color="auto" w:fill="FFFFFF"/>
        </w:rPr>
        <w:t xml:space="preserve"> </w:t>
      </w:r>
      <w:r>
        <w:rPr>
          <w:shd w:val="clear" w:color="auto" w:fill="FFFFFF"/>
        </w:rPr>
        <w:t>appear in</w:t>
      </w:r>
      <w:r w:rsidR="00F67632" w:rsidRPr="00D95F03">
        <w:rPr>
          <w:shd w:val="clear" w:color="auto" w:fill="FFFFFF"/>
        </w:rPr>
        <w:t xml:space="preserve"> th</w:t>
      </w:r>
      <w:r>
        <w:rPr>
          <w:shd w:val="clear" w:color="auto" w:fill="FFFFFF"/>
        </w:rPr>
        <w:t xml:space="preserve">is document are included in this glossary. </w:t>
      </w:r>
      <w:r w:rsidR="00F67632" w:rsidRPr="00D95F03">
        <w:rPr>
          <w:shd w:val="clear" w:color="auto" w:fill="FFFFFF"/>
        </w:rPr>
        <w:t>Dental terms and definitions are grouped alphabe</w:t>
      </w:r>
      <w:r w:rsidR="00F67632">
        <w:rPr>
          <w:shd w:val="clear" w:color="auto" w:fill="FFFFFF"/>
        </w:rPr>
        <w:t xml:space="preserve">tically by area of operation </w:t>
      </w:r>
      <w:r>
        <w:rPr>
          <w:shd w:val="clear" w:color="auto" w:fill="FFFFFF"/>
        </w:rPr>
        <w:t xml:space="preserve">or </w:t>
      </w:r>
      <w:r w:rsidR="00F67632">
        <w:rPr>
          <w:shd w:val="clear" w:color="auto" w:fill="FFFFFF"/>
        </w:rPr>
        <w:t>management category</w:t>
      </w:r>
      <w:r w:rsidR="00F67632" w:rsidRPr="00D95F03">
        <w:rPr>
          <w:shd w:val="clear" w:color="auto" w:fill="FFFFFF"/>
        </w:rPr>
        <w:t>.</w:t>
      </w:r>
    </w:p>
    <w:p w14:paraId="63067EF9" w14:textId="32DFA5F8" w:rsidR="00F67632" w:rsidRPr="009F65D5" w:rsidRDefault="00F67632" w:rsidP="009F65D5">
      <w:pPr>
        <w:pStyle w:val="Heading3"/>
        <w:numPr>
          <w:ilvl w:val="0"/>
          <w:numId w:val="0"/>
        </w:numPr>
      </w:pPr>
      <w:bookmarkStart w:id="359" w:name="_Toc166834433"/>
      <w:r w:rsidRPr="009F65D5">
        <w:rPr>
          <w:rFonts w:eastAsia="Arial"/>
        </w:rPr>
        <w:t>Schedule Optimization Terms</w:t>
      </w:r>
      <w:bookmarkEnd w:id="359"/>
    </w:p>
    <w:p w14:paraId="0B41FA31" w14:textId="16932001" w:rsidR="00F67632" w:rsidRPr="00DD44B8" w:rsidRDefault="009F65D5" w:rsidP="009F65D5">
      <w:pPr>
        <w:pStyle w:val="BodyText"/>
      </w:pPr>
      <w:r>
        <w:t>T</w:t>
      </w:r>
      <w:r w:rsidR="00F67632" w:rsidRPr="00DD44B8">
        <w:t xml:space="preserve">erms and features </w:t>
      </w:r>
      <w:r w:rsidR="00A5592F">
        <w:t>for</w:t>
      </w:r>
      <w:r w:rsidR="00F67632" w:rsidRPr="00DD44B8">
        <w:t xml:space="preserve"> the Schedule Optimization section</w:t>
      </w:r>
      <w:r>
        <w:t>:</w:t>
      </w:r>
    </w:p>
    <w:p w14:paraId="7C04EE1C" w14:textId="76E97346" w:rsidR="00F67632" w:rsidRDefault="00F67632" w:rsidP="009F65D5">
      <w:pPr>
        <w:pStyle w:val="BodyText"/>
      </w:pPr>
      <w:r w:rsidRPr="009F65D5">
        <w:rPr>
          <w:b/>
        </w:rPr>
        <w:t>Appointment Status</w:t>
      </w:r>
      <w:r>
        <w:t xml:space="preserve"> – Indicators by word and color label </w:t>
      </w:r>
      <w:r w:rsidR="00A5592F">
        <w:t>that</w:t>
      </w:r>
      <w:r>
        <w:t xml:space="preserve"> display the state of the appointment</w:t>
      </w:r>
      <w:r w:rsidR="00A5592F">
        <w:t xml:space="preserve"> as</w:t>
      </w:r>
      <w:r>
        <w:t xml:space="preserve"> confirmed, communication, or other status</w:t>
      </w:r>
      <w:r w:rsidR="009F65D5">
        <w:t>.</w:t>
      </w:r>
    </w:p>
    <w:p w14:paraId="1349FD67" w14:textId="2C746C9A" w:rsidR="00F67632" w:rsidRDefault="00F67632" w:rsidP="009F65D5">
      <w:pPr>
        <w:pStyle w:val="BodyText"/>
      </w:pPr>
      <w:r w:rsidRPr="009F65D5">
        <w:rPr>
          <w:b/>
        </w:rPr>
        <w:t>Appointment Type</w:t>
      </w:r>
      <w:r>
        <w:t xml:space="preserve"> – A patient visit category often tied to specific procedure</w:t>
      </w:r>
      <w:r w:rsidR="00A5592F">
        <w:t>s</w:t>
      </w:r>
      <w:r>
        <w:t xml:space="preserve">. </w:t>
      </w:r>
      <w:r w:rsidR="00A5592F">
        <w:t>For e</w:t>
      </w:r>
      <w:r>
        <w:t>xample</w:t>
      </w:r>
      <w:r w:rsidR="00A5592F">
        <w:t>,</w:t>
      </w:r>
      <w:r>
        <w:t xml:space="preserve"> New Patient, Emergency</w:t>
      </w:r>
      <w:r w:rsidR="00A5592F">
        <w:t>, and</w:t>
      </w:r>
      <w:r>
        <w:t xml:space="preserve"> Filling.</w:t>
      </w:r>
    </w:p>
    <w:p w14:paraId="2F82A910" w14:textId="47108B9A" w:rsidR="00F67632" w:rsidRDefault="00F67632" w:rsidP="009F65D5">
      <w:pPr>
        <w:pStyle w:val="BodyText"/>
      </w:pPr>
      <w:r w:rsidRPr="00A5592F">
        <w:rPr>
          <w:b/>
        </w:rPr>
        <w:t>ASAP (Appointment)</w:t>
      </w:r>
      <w:r>
        <w:t xml:space="preserve"> – A reportable status assigned to an appointment when the patient wants a sooner appointment time</w:t>
      </w:r>
      <w:r w:rsidR="00A5592F">
        <w:t>. These appointments appear in</w:t>
      </w:r>
      <w:r>
        <w:t xml:space="preserve"> the </w:t>
      </w:r>
      <w:r w:rsidR="00A5592F">
        <w:t>s</w:t>
      </w:r>
      <w:r>
        <w:t xml:space="preserve">cheduling </w:t>
      </w:r>
      <w:r w:rsidR="00A5592F">
        <w:t>l</w:t>
      </w:r>
      <w:r>
        <w:t>ists</w:t>
      </w:r>
      <w:r w:rsidR="00A5592F">
        <w:t xml:space="preserve"> of</w:t>
      </w:r>
      <w:r>
        <w:t xml:space="preserve"> Appointment Book </w:t>
      </w:r>
      <w:r w:rsidR="00A5592F">
        <w:t>and in</w:t>
      </w:r>
      <w:r>
        <w:t xml:space="preserve"> Scheduling Assistant</w:t>
      </w:r>
      <w:r w:rsidR="00A5592F">
        <w:t>.</w:t>
      </w:r>
    </w:p>
    <w:p w14:paraId="0F854FE6" w14:textId="47A10CDE" w:rsidR="00F67632" w:rsidRDefault="00F67632" w:rsidP="009F65D5">
      <w:pPr>
        <w:pStyle w:val="BodyText"/>
      </w:pPr>
      <w:r w:rsidRPr="00A5592F">
        <w:rPr>
          <w:b/>
        </w:rPr>
        <w:t>Broken Appointments</w:t>
      </w:r>
      <w:r>
        <w:t xml:space="preserve"> – Ability to record (in Office Journal) a no-show or late cancellation by removing the appointment from the schedule and assigning a reason. </w:t>
      </w:r>
      <w:r w:rsidR="00A5592F">
        <w:t>The m</w:t>
      </w:r>
      <w:r>
        <w:t xml:space="preserve">issed </w:t>
      </w:r>
      <w:r w:rsidR="00A5592F">
        <w:t>a</w:t>
      </w:r>
      <w:r>
        <w:t>ppointment count is tracked per patient.</w:t>
      </w:r>
    </w:p>
    <w:p w14:paraId="0AB2A680" w14:textId="2BD8B93C" w:rsidR="00F67632" w:rsidRDefault="00F67632" w:rsidP="009F65D5">
      <w:pPr>
        <w:pStyle w:val="BodyText"/>
      </w:pPr>
      <w:r w:rsidRPr="00A5592F">
        <w:rPr>
          <w:b/>
        </w:rPr>
        <w:t>Clinic Schedule</w:t>
      </w:r>
      <w:r>
        <w:t xml:space="preserve"> – </w:t>
      </w:r>
      <w:r w:rsidR="00A5592F">
        <w:t xml:space="preserve"> A c</w:t>
      </w:r>
      <w:r>
        <w:t>linic</w:t>
      </w:r>
      <w:r w:rsidR="00A5592F">
        <w:t>’s</w:t>
      </w:r>
      <w:r>
        <w:t xml:space="preserve"> (dental office) working hours</w:t>
      </w:r>
      <w:r w:rsidR="00A5592F">
        <w:t>. O</w:t>
      </w:r>
      <w:r>
        <w:t xml:space="preserve">pen </w:t>
      </w:r>
      <w:r w:rsidR="00A5592F">
        <w:t>and</w:t>
      </w:r>
      <w:r>
        <w:t xml:space="preserve"> closed time</w:t>
      </w:r>
      <w:r w:rsidR="00A5592F">
        <w:t>s</w:t>
      </w:r>
      <w:r>
        <w:t xml:space="preserve"> </w:t>
      </w:r>
      <w:r w:rsidR="00A5592F">
        <w:t xml:space="preserve">appears </w:t>
      </w:r>
      <w:r>
        <w:t xml:space="preserve">in the Appointment Book </w:t>
      </w:r>
      <w:r w:rsidR="00A5592F">
        <w:t>v</w:t>
      </w:r>
      <w:r>
        <w:t>iew</w:t>
      </w:r>
      <w:r w:rsidR="00A5592F">
        <w:t>.</w:t>
      </w:r>
    </w:p>
    <w:p w14:paraId="56193A54" w14:textId="6FFFB01E" w:rsidR="00F67632" w:rsidRDefault="00F67632" w:rsidP="009F65D5">
      <w:pPr>
        <w:pStyle w:val="BodyText"/>
      </w:pPr>
      <w:r w:rsidRPr="00A5592F">
        <w:rPr>
          <w:b/>
        </w:rPr>
        <w:t>Events</w:t>
      </w:r>
      <w:r>
        <w:t xml:space="preserve"> – Schedule blocks to indicate </w:t>
      </w:r>
      <w:r w:rsidR="00A5592F">
        <w:t xml:space="preserve">that </w:t>
      </w:r>
      <w:r>
        <w:t>the clinic, operatory, or provider are not available for the blocked time period</w:t>
      </w:r>
      <w:r w:rsidR="00A5592F">
        <w:t>.</w:t>
      </w:r>
    </w:p>
    <w:p w14:paraId="39B86450" w14:textId="23DC774C" w:rsidR="00F67632" w:rsidRDefault="00F67632" w:rsidP="009F65D5">
      <w:pPr>
        <w:pStyle w:val="BodyText"/>
      </w:pPr>
      <w:r w:rsidRPr="00A5592F">
        <w:rPr>
          <w:b/>
        </w:rPr>
        <w:t>Find New Appointment Time</w:t>
      </w:r>
      <w:r>
        <w:t xml:space="preserve"> – </w:t>
      </w:r>
      <w:r w:rsidR="00A5592F">
        <w:t>A f</w:t>
      </w:r>
      <w:r>
        <w:t xml:space="preserve">eature </w:t>
      </w:r>
      <w:r w:rsidR="00A5592F">
        <w:t xml:space="preserve">you can use </w:t>
      </w:r>
      <w:r>
        <w:t>to search for available appointment time by specified criteria</w:t>
      </w:r>
      <w:r w:rsidR="00A5592F">
        <w:t xml:space="preserve"> (</w:t>
      </w:r>
      <w:r>
        <w:t xml:space="preserve">date range, time required, time block, provider, </w:t>
      </w:r>
      <w:r w:rsidR="00A5592F">
        <w:t>and so forth)</w:t>
      </w:r>
      <w:r>
        <w:t>.</w:t>
      </w:r>
    </w:p>
    <w:p w14:paraId="301B4E0B" w14:textId="5BD976F3" w:rsidR="00F67632" w:rsidRDefault="00F67632" w:rsidP="009F65D5">
      <w:pPr>
        <w:pStyle w:val="BodyText"/>
      </w:pPr>
      <w:r w:rsidRPr="00A5592F">
        <w:rPr>
          <w:b/>
        </w:rPr>
        <w:t>Fixed (Appointment)</w:t>
      </w:r>
      <w:r>
        <w:t xml:space="preserve"> – A reportable status assigned to an appointment when the patient is not flexible to move the appointment date/time</w:t>
      </w:r>
      <w:r w:rsidR="00A5592F">
        <w:t>.</w:t>
      </w:r>
    </w:p>
    <w:p w14:paraId="34295D3F" w14:textId="0351BCF5" w:rsidR="00F67632" w:rsidRDefault="00F67632" w:rsidP="009F65D5">
      <w:pPr>
        <w:pStyle w:val="BodyText"/>
      </w:pPr>
      <w:r w:rsidRPr="00A5592F">
        <w:rPr>
          <w:b/>
        </w:rPr>
        <w:t>Individual Procedure Timing</w:t>
      </w:r>
      <w:r>
        <w:t xml:space="preserve"> – The set number of minutes assigned to each procedure code</w:t>
      </w:r>
      <w:r w:rsidR="00A5592F">
        <w:t>. E</w:t>
      </w:r>
      <w:r>
        <w:t>ach procedure code assigned to the appointment will add minutes to the appointment length</w:t>
      </w:r>
      <w:r w:rsidR="00A5592F">
        <w:t>.</w:t>
      </w:r>
    </w:p>
    <w:p w14:paraId="202771DA" w14:textId="7EAC51CF" w:rsidR="00F67632" w:rsidRDefault="00F67632" w:rsidP="009F65D5">
      <w:pPr>
        <w:pStyle w:val="BodyText"/>
      </w:pPr>
      <w:r w:rsidRPr="00A5592F">
        <w:rPr>
          <w:b/>
        </w:rPr>
        <w:t>Open (Appointment)</w:t>
      </w:r>
      <w:r>
        <w:t xml:space="preserve"> – A reportable status assigned to an appointment when the patient is flexible to accept other appointment times as needed</w:t>
      </w:r>
      <w:r w:rsidR="00A5592F">
        <w:t>.</w:t>
      </w:r>
    </w:p>
    <w:p w14:paraId="6475E615" w14:textId="5DB63CC7" w:rsidR="00F67632" w:rsidRDefault="00F67632" w:rsidP="009F65D5">
      <w:pPr>
        <w:pStyle w:val="BodyText"/>
      </w:pPr>
      <w:r w:rsidRPr="00A5592F">
        <w:rPr>
          <w:b/>
        </w:rPr>
        <w:lastRenderedPageBreak/>
        <w:t>Patient List</w:t>
      </w:r>
      <w:r>
        <w:t xml:space="preserve"> –</w:t>
      </w:r>
      <w:r w:rsidR="00A5592F">
        <w:t xml:space="preserve"> </w:t>
      </w:r>
      <w:r>
        <w:t>A robust list generation tool to create nearly limitless combinations of reports and lists of patient data based on specific filter criteria.</w:t>
      </w:r>
    </w:p>
    <w:p w14:paraId="59CE10B9" w14:textId="23878999" w:rsidR="00F67632" w:rsidRDefault="00F67632" w:rsidP="009F65D5">
      <w:pPr>
        <w:pStyle w:val="BodyText"/>
      </w:pPr>
      <w:r w:rsidRPr="00A5592F">
        <w:rPr>
          <w:b/>
        </w:rPr>
        <w:t>Perfect Day Scheduling</w:t>
      </w:r>
      <w:r>
        <w:t xml:space="preserve"> – A customizable scheduling template feature to assign a block of time to a specific Appointment Type</w:t>
      </w:r>
    </w:p>
    <w:p w14:paraId="162F72E4" w14:textId="6639D3FA" w:rsidR="00F67632" w:rsidRDefault="00F67632" w:rsidP="009F65D5">
      <w:pPr>
        <w:pStyle w:val="BodyText"/>
      </w:pPr>
      <w:r w:rsidRPr="00A5592F">
        <w:rPr>
          <w:b/>
        </w:rPr>
        <w:t>Provider Schedule</w:t>
      </w:r>
      <w:r>
        <w:t xml:space="preserve"> – </w:t>
      </w:r>
      <w:r w:rsidR="00A5592F">
        <w:t>A p</w:t>
      </w:r>
      <w:r>
        <w:t>rovider</w:t>
      </w:r>
      <w:r w:rsidR="00A5592F">
        <w:t>’s</w:t>
      </w:r>
      <w:r>
        <w:t xml:space="preserve"> (dentist, hygienist, or other provider) working hours</w:t>
      </w:r>
      <w:r w:rsidR="00A5592F">
        <w:t>. The times appear in</w:t>
      </w:r>
      <w:r>
        <w:t xml:space="preserve"> Provider Columns if enabled in the Appointment Book View</w:t>
      </w:r>
      <w:r w:rsidR="00A5592F">
        <w:t>.</w:t>
      </w:r>
    </w:p>
    <w:p w14:paraId="741B405D" w14:textId="53861D33" w:rsidR="00F67632" w:rsidRDefault="00F67632" w:rsidP="009F65D5">
      <w:pPr>
        <w:pStyle w:val="BodyText"/>
      </w:pPr>
      <w:r w:rsidRPr="00A5592F">
        <w:rPr>
          <w:b/>
        </w:rPr>
        <w:t>Rescheduling Appointments</w:t>
      </w:r>
      <w:r>
        <w:t xml:space="preserve"> – The workflow to remove an appointment from the Unscheduled List by moving it back to Appointment Book.</w:t>
      </w:r>
    </w:p>
    <w:p w14:paraId="77A5767C" w14:textId="5B1AFF46" w:rsidR="00F67632" w:rsidRDefault="00F67632" w:rsidP="009F65D5">
      <w:pPr>
        <w:pStyle w:val="BodyText"/>
      </w:pPr>
      <w:r w:rsidRPr="00A5592F">
        <w:rPr>
          <w:b/>
        </w:rPr>
        <w:t>Scheduling Assistant</w:t>
      </w:r>
      <w:r>
        <w:t xml:space="preserve"> – A scheduling list module to generate lists of appointments for Continuing Care, ASAP, Unscheduled, Treatment Plan, and Treatment Requests</w:t>
      </w:r>
      <w:r w:rsidR="00A5592F">
        <w:t>.</w:t>
      </w:r>
    </w:p>
    <w:p w14:paraId="4A2DBF21" w14:textId="641A24A8" w:rsidR="00F67632" w:rsidRDefault="00F67632" w:rsidP="009F65D5">
      <w:pPr>
        <w:pStyle w:val="BodyText"/>
      </w:pPr>
      <w:r w:rsidRPr="00A5592F">
        <w:rPr>
          <w:b/>
        </w:rPr>
        <w:t>Time Block</w:t>
      </w:r>
      <w:r>
        <w:t xml:space="preserve"> –</w:t>
      </w:r>
      <w:r w:rsidR="00A5592F">
        <w:t xml:space="preserve"> </w:t>
      </w:r>
      <w:r>
        <w:t>Multiple time blocks make up the Perfect Day Scheduling template</w:t>
      </w:r>
      <w:r w:rsidR="00A5592F">
        <w:t>. E</w:t>
      </w:r>
      <w:r>
        <w:t xml:space="preserve">ach time block includes provider hours and </w:t>
      </w:r>
      <w:r w:rsidR="00A5592F">
        <w:t xml:space="preserve">an </w:t>
      </w:r>
      <w:r>
        <w:t>appointment type</w:t>
      </w:r>
      <w:r w:rsidR="00A5592F">
        <w:t>.</w:t>
      </w:r>
    </w:p>
    <w:p w14:paraId="1B4E5A32" w14:textId="3544EA9F" w:rsidR="00F67632" w:rsidRDefault="00F67632" w:rsidP="009F65D5">
      <w:pPr>
        <w:pStyle w:val="BodyText"/>
      </w:pPr>
      <w:r w:rsidRPr="00A5592F">
        <w:rPr>
          <w:b/>
        </w:rPr>
        <w:t>Time Patterns</w:t>
      </w:r>
      <w:r>
        <w:t xml:space="preserve"> – Symbols </w:t>
      </w:r>
      <w:r w:rsidR="00A5592F">
        <w:t>o</w:t>
      </w:r>
      <w:r>
        <w:t>n the Appointment Status Bar to indicate the person or space (chair) occupied by the patient</w:t>
      </w:r>
      <w:r w:rsidR="00A5592F">
        <w:t>.</w:t>
      </w:r>
    </w:p>
    <w:p w14:paraId="635292BC" w14:textId="64604891" w:rsidR="00F67632" w:rsidRDefault="00F67632" w:rsidP="009F65D5">
      <w:pPr>
        <w:pStyle w:val="BodyText"/>
      </w:pPr>
      <w:r w:rsidRPr="00A5592F">
        <w:rPr>
          <w:b/>
        </w:rPr>
        <w:t>Unscheduled List</w:t>
      </w:r>
      <w:r>
        <w:t xml:space="preserve"> –</w:t>
      </w:r>
      <w:r w:rsidR="00A5592F">
        <w:t xml:space="preserve"> A r</w:t>
      </w:r>
      <w:r>
        <w:t>unning list of patient appointments that were scheduled and removed through a broken appointment or wait/will call workflow.</w:t>
      </w:r>
    </w:p>
    <w:p w14:paraId="72645EE3" w14:textId="6370FF58" w:rsidR="00F67632" w:rsidRDefault="00F67632" w:rsidP="009F65D5">
      <w:pPr>
        <w:pStyle w:val="BodyText"/>
      </w:pPr>
      <w:r w:rsidRPr="00A5592F">
        <w:rPr>
          <w:b/>
        </w:rPr>
        <w:t>Wait/Will Call</w:t>
      </w:r>
      <w:r>
        <w:t xml:space="preserve"> – The soft version of a broken appointment. This option moves the appointment to the Unscheduled List without impacting the Missed Appointment count in the patient</w:t>
      </w:r>
      <w:r w:rsidR="002C5475">
        <w:t>’s</w:t>
      </w:r>
      <w:r>
        <w:t xml:space="preserve"> </w:t>
      </w:r>
      <w:r w:rsidR="002C5475">
        <w:t>record.</w:t>
      </w:r>
    </w:p>
    <w:p w14:paraId="0F99311D" w14:textId="5A5FE4C8" w:rsidR="00F67632" w:rsidRPr="00A5592F" w:rsidRDefault="00F67632" w:rsidP="00A5592F">
      <w:pPr>
        <w:pStyle w:val="Heading3"/>
        <w:numPr>
          <w:ilvl w:val="0"/>
          <w:numId w:val="0"/>
        </w:numPr>
      </w:pPr>
      <w:bookmarkStart w:id="360" w:name="_Toc166834434"/>
      <w:r w:rsidRPr="00A5592F">
        <w:rPr>
          <w:rStyle w:val="Heading4Char"/>
          <w:rFonts w:cs="Arial"/>
          <w:b/>
          <w:iCs w:val="0"/>
          <w:sz w:val="28"/>
          <w:szCs w:val="28"/>
        </w:rPr>
        <w:t>Patient Records Management Terms</w:t>
      </w:r>
      <w:bookmarkEnd w:id="360"/>
    </w:p>
    <w:p w14:paraId="02FDE8C0" w14:textId="026B1711" w:rsidR="00F67632" w:rsidRPr="00A5592F" w:rsidRDefault="00A5592F" w:rsidP="009F65D5">
      <w:pPr>
        <w:pStyle w:val="BodyText"/>
        <w:rPr>
          <w:iCs/>
        </w:rPr>
      </w:pPr>
      <w:r>
        <w:rPr>
          <w:iCs/>
        </w:rPr>
        <w:t>T</w:t>
      </w:r>
      <w:r w:rsidR="00F67632" w:rsidRPr="00A5592F">
        <w:rPr>
          <w:iCs/>
        </w:rPr>
        <w:t xml:space="preserve">erms and features </w:t>
      </w:r>
      <w:r>
        <w:rPr>
          <w:iCs/>
        </w:rPr>
        <w:t>for</w:t>
      </w:r>
      <w:r w:rsidR="00F67632" w:rsidRPr="00A5592F">
        <w:rPr>
          <w:iCs/>
        </w:rPr>
        <w:t xml:space="preserve"> the Patient Records Management section</w:t>
      </w:r>
      <w:r>
        <w:rPr>
          <w:iCs/>
        </w:rPr>
        <w:t>:</w:t>
      </w:r>
    </w:p>
    <w:p w14:paraId="065B0446" w14:textId="0100C923" w:rsidR="00F67632" w:rsidRDefault="00F67632" w:rsidP="009F65D5">
      <w:pPr>
        <w:pStyle w:val="BodyText"/>
      </w:pPr>
      <w:r w:rsidRPr="002C5475">
        <w:rPr>
          <w:b/>
        </w:rPr>
        <w:t>Administrative/Patient Notes</w:t>
      </w:r>
      <w:r>
        <w:t xml:space="preserve"> – </w:t>
      </w:r>
      <w:r w:rsidRPr="00575DED">
        <w:t>Documentatio</w:t>
      </w:r>
      <w:r>
        <w:t>n</w:t>
      </w:r>
      <w:r w:rsidRPr="00575DED">
        <w:t xml:space="preserve"> entered into a patient's record by dental staff, including administrative details, appointment notes, treatment plans, or other relevant information</w:t>
      </w:r>
      <w:r w:rsidR="002C5475">
        <w:t>.</w:t>
      </w:r>
    </w:p>
    <w:p w14:paraId="1125D2F0" w14:textId="1630E1FD" w:rsidR="00F67632" w:rsidRDefault="00F67632" w:rsidP="009F65D5">
      <w:pPr>
        <w:pStyle w:val="BodyText"/>
      </w:pPr>
      <w:r w:rsidRPr="002C5475">
        <w:rPr>
          <w:b/>
        </w:rPr>
        <w:t>Authorization</w:t>
      </w:r>
      <w:r>
        <w:t xml:space="preserve"> – </w:t>
      </w:r>
      <w:r w:rsidRPr="00B71671">
        <w:t>Approval obtained from an insurance carrier or third-party payer before providing certain dental treatments or services to ensure coverage and reimbursement</w:t>
      </w:r>
      <w:r w:rsidR="002C5475">
        <w:t>.</w:t>
      </w:r>
    </w:p>
    <w:p w14:paraId="45087839" w14:textId="5F1CA4D5" w:rsidR="00F67632" w:rsidRDefault="00F67632" w:rsidP="009F65D5">
      <w:pPr>
        <w:pStyle w:val="BodyText"/>
      </w:pPr>
      <w:r w:rsidRPr="002C5475">
        <w:rPr>
          <w:b/>
        </w:rPr>
        <w:t>Bad Debt</w:t>
      </w:r>
      <w:r>
        <w:t xml:space="preserve"> –</w:t>
      </w:r>
      <w:r w:rsidR="002C5475">
        <w:t xml:space="preserve"> </w:t>
      </w:r>
      <w:r w:rsidRPr="00575DED">
        <w:t xml:space="preserve">Unpaid balances owed to a dental </w:t>
      </w:r>
      <w:r>
        <w:t>clinic</w:t>
      </w:r>
      <w:r w:rsidRPr="00575DED">
        <w:t xml:space="preserve"> for services rendered that are deemed </w:t>
      </w:r>
      <w:r w:rsidR="002C5475">
        <w:t>un</w:t>
      </w:r>
      <w:r w:rsidRPr="00575DED">
        <w:t>recoverable</w:t>
      </w:r>
      <w:r w:rsidR="002C5475">
        <w:t>.</w:t>
      </w:r>
    </w:p>
    <w:p w14:paraId="1CB244E0" w14:textId="51100985" w:rsidR="00F67632" w:rsidRDefault="00F67632" w:rsidP="009F65D5">
      <w:pPr>
        <w:pStyle w:val="BodyText"/>
      </w:pPr>
      <w:r w:rsidRPr="002C5475">
        <w:rPr>
          <w:b/>
        </w:rPr>
        <w:t>Benefits Remaini</w:t>
      </w:r>
      <w:r w:rsidR="00E53439" w:rsidRPr="002C5475">
        <w:rPr>
          <w:b/>
        </w:rPr>
        <w:t>ng</w:t>
      </w:r>
      <w:r w:rsidR="002C5475">
        <w:t xml:space="preserve"> </w:t>
      </w:r>
      <w:r>
        <w:t xml:space="preserve">– </w:t>
      </w:r>
      <w:r w:rsidRPr="00575DED">
        <w:t>The portion of a patient's dental insurance benefits that remain available for use after accounting for previous claims or utilization</w:t>
      </w:r>
      <w:r w:rsidR="002C5475">
        <w:t>.</w:t>
      </w:r>
    </w:p>
    <w:p w14:paraId="3D10E8E6" w14:textId="6F4A1386" w:rsidR="00F67632" w:rsidRDefault="00F67632" w:rsidP="009F65D5">
      <w:pPr>
        <w:pStyle w:val="BodyText"/>
      </w:pPr>
      <w:r w:rsidRPr="002C5475">
        <w:rPr>
          <w:b/>
        </w:rPr>
        <w:t>Billing Types</w:t>
      </w:r>
      <w:r>
        <w:t xml:space="preserve"> – </w:t>
      </w:r>
      <w:r w:rsidRPr="00B71671">
        <w:t>Different methods or categories used for billing dental services, such as fee-for-service, capitation, or third-party billing</w:t>
      </w:r>
      <w:r w:rsidR="002C5475">
        <w:t>.</w:t>
      </w:r>
    </w:p>
    <w:p w14:paraId="44320BEA" w14:textId="07DBDE37" w:rsidR="00F67632" w:rsidRDefault="00F67632" w:rsidP="009F65D5">
      <w:pPr>
        <w:pStyle w:val="BodyText"/>
      </w:pPr>
      <w:r w:rsidRPr="002C5475">
        <w:rPr>
          <w:b/>
        </w:rPr>
        <w:t>Claim Denial</w:t>
      </w:r>
      <w:r>
        <w:t xml:space="preserve"> –</w:t>
      </w:r>
      <w:r w:rsidRPr="00575DED">
        <w:t>The refusal of an insurance company to reimburse a dental claim for covered services, often due to the determination that the treatment provided does not meet the criteria for coverage outlined in the patient's insurance plan</w:t>
      </w:r>
      <w:r w:rsidR="002C5475">
        <w:t>.</w:t>
      </w:r>
    </w:p>
    <w:p w14:paraId="0E160CF6" w14:textId="4F0B75A6" w:rsidR="00F67632" w:rsidRDefault="00F67632" w:rsidP="009F65D5">
      <w:pPr>
        <w:pStyle w:val="BodyText"/>
      </w:pPr>
      <w:r w:rsidRPr="002C5475">
        <w:rPr>
          <w:b/>
        </w:rPr>
        <w:t>Claim Rejection</w:t>
      </w:r>
      <w:r>
        <w:t xml:space="preserve"> – </w:t>
      </w:r>
      <w:r w:rsidRPr="00575DED">
        <w:t>The refusal of an insurance company to process a submitted claim due to errors, missing information, or discrepancies</w:t>
      </w:r>
      <w:r w:rsidR="002C5475">
        <w:t>. C</w:t>
      </w:r>
      <w:r w:rsidRPr="00575DED">
        <w:t>laim rejections require correction and resubmission to ensure timely reimbursement for dental services provided</w:t>
      </w:r>
      <w:r w:rsidR="002C5475">
        <w:t>.</w:t>
      </w:r>
    </w:p>
    <w:p w14:paraId="7EFBE918" w14:textId="638EB76B" w:rsidR="00F67632" w:rsidRDefault="00F67632" w:rsidP="009F65D5">
      <w:pPr>
        <w:pStyle w:val="BodyText"/>
      </w:pPr>
      <w:r w:rsidRPr="002C5475">
        <w:rPr>
          <w:b/>
        </w:rPr>
        <w:t>Clear</w:t>
      </w:r>
      <w:r>
        <w:t xml:space="preserve"> – The act of removing (or deleting) information from the patient record</w:t>
      </w:r>
      <w:r w:rsidR="002C5475">
        <w:t>.</w:t>
      </w:r>
    </w:p>
    <w:p w14:paraId="212A329C" w14:textId="05AD4723" w:rsidR="00F67632" w:rsidRDefault="00F67632" w:rsidP="009F65D5">
      <w:pPr>
        <w:pStyle w:val="BodyText"/>
      </w:pPr>
      <w:r w:rsidRPr="002C5475">
        <w:rPr>
          <w:b/>
        </w:rPr>
        <w:t>Clinic</w:t>
      </w:r>
      <w:r>
        <w:t xml:space="preserve"> – The home office, or clinic, where the patient is most likely to be scheduled for dental visits</w:t>
      </w:r>
      <w:r w:rsidR="002C5475">
        <w:t>.</w:t>
      </w:r>
    </w:p>
    <w:p w14:paraId="5341F1AE" w14:textId="751F7C6E" w:rsidR="00F67632" w:rsidRDefault="00F67632" w:rsidP="009F65D5">
      <w:pPr>
        <w:pStyle w:val="BodyText"/>
      </w:pPr>
      <w:r w:rsidRPr="002C5475">
        <w:rPr>
          <w:b/>
        </w:rPr>
        <w:t>Collection Routines</w:t>
      </w:r>
      <w:r>
        <w:t xml:space="preserve"> – </w:t>
      </w:r>
      <w:r w:rsidRPr="00B71671">
        <w:t>Established procedures and practices implemented by dental offices to manage and collect outstanding patient balances or debts</w:t>
      </w:r>
      <w:r w:rsidR="002C5475">
        <w:t>.</w:t>
      </w:r>
    </w:p>
    <w:p w14:paraId="1D618765" w14:textId="4416D973" w:rsidR="00F67632" w:rsidRDefault="00F67632" w:rsidP="009F65D5">
      <w:pPr>
        <w:pStyle w:val="BodyText"/>
      </w:pPr>
      <w:r w:rsidRPr="002C5475">
        <w:rPr>
          <w:b/>
        </w:rPr>
        <w:lastRenderedPageBreak/>
        <w:t>Consent Forms</w:t>
      </w:r>
      <w:r>
        <w:t xml:space="preserve"> – </w:t>
      </w:r>
      <w:r w:rsidR="002C5475">
        <w:t xml:space="preserve"> A form i</w:t>
      </w:r>
      <w:r>
        <w:t>nitiated in Treatment Planner to capture signatures for informed treatment consent</w:t>
      </w:r>
      <w:r w:rsidR="002C5475">
        <w:t>.</w:t>
      </w:r>
      <w:r>
        <w:t xml:space="preserve"> Dentrix Enterprise supports enhanced consent forms (with prompts) and capture of </w:t>
      </w:r>
      <w:r w:rsidR="002C5475">
        <w:t xml:space="preserve">three (3) </w:t>
      </w:r>
      <w:r>
        <w:t>signatures with a global setting enabled</w:t>
      </w:r>
      <w:r w:rsidR="002C5475">
        <w:t>.</w:t>
      </w:r>
    </w:p>
    <w:p w14:paraId="643A1D60" w14:textId="3BA0E4D9" w:rsidR="00F67632" w:rsidRDefault="00F67632" w:rsidP="009F65D5">
      <w:pPr>
        <w:pStyle w:val="BodyText"/>
      </w:pPr>
      <w:r w:rsidRPr="002C5475">
        <w:rPr>
          <w:b/>
        </w:rPr>
        <w:t>Continuing Care</w:t>
      </w:r>
      <w:r>
        <w:t xml:space="preserve"> – The Dentrix Enterprise system of recall (or commonly referred to as recare) to track routine dental procedures due for each patient</w:t>
      </w:r>
      <w:r w:rsidR="002C5475">
        <w:t>.</w:t>
      </w:r>
    </w:p>
    <w:p w14:paraId="3AE7D030" w14:textId="308C8FF2" w:rsidR="00F67632" w:rsidRDefault="00F67632" w:rsidP="009F65D5">
      <w:pPr>
        <w:pStyle w:val="BodyText"/>
      </w:pPr>
      <w:r w:rsidRPr="002C5475">
        <w:rPr>
          <w:b/>
        </w:rPr>
        <w:t>Continuing Care Type</w:t>
      </w:r>
      <w:r>
        <w:t xml:space="preserve"> – The specific routine procedure that can be assigned to recall frequency due for each patient</w:t>
      </w:r>
      <w:r w:rsidR="002C5475">
        <w:t xml:space="preserve"> (</w:t>
      </w:r>
      <w:r>
        <w:t xml:space="preserve">for example, prophy, </w:t>
      </w:r>
      <w:r w:rsidR="002C5475">
        <w:t>X-</w:t>
      </w:r>
      <w:r>
        <w:t xml:space="preserve">rays, </w:t>
      </w:r>
      <w:r w:rsidR="002C5475">
        <w:t xml:space="preserve">or </w:t>
      </w:r>
      <w:r>
        <w:t>exam</w:t>
      </w:r>
      <w:r w:rsidR="002C5475">
        <w:t>).</w:t>
      </w:r>
    </w:p>
    <w:p w14:paraId="7EB38E8C" w14:textId="036591B2" w:rsidR="00F67632" w:rsidRDefault="00F67632" w:rsidP="009F65D5">
      <w:pPr>
        <w:pStyle w:val="BodyText"/>
      </w:pPr>
      <w:r w:rsidRPr="002C5475">
        <w:rPr>
          <w:b/>
        </w:rPr>
        <w:t>Decision Support</w:t>
      </w:r>
      <w:r>
        <w:t xml:space="preserve"> – </w:t>
      </w:r>
      <w:r w:rsidRPr="004D10AF">
        <w:t xml:space="preserve">Tools or resources within </w:t>
      </w:r>
      <w:r>
        <w:t>Dentrix Enterprise</w:t>
      </w:r>
      <w:r w:rsidRPr="004D10AF">
        <w:t xml:space="preserve"> to assist dental professionals in making informed clinical or administrative decisions</w:t>
      </w:r>
      <w:r w:rsidR="002C5475">
        <w:t>.</w:t>
      </w:r>
    </w:p>
    <w:p w14:paraId="00964C40" w14:textId="14830378" w:rsidR="00F67632" w:rsidRDefault="00F67632" w:rsidP="009F65D5">
      <w:pPr>
        <w:pStyle w:val="BodyText"/>
      </w:pPr>
      <w:r w:rsidRPr="002C5475">
        <w:rPr>
          <w:b/>
        </w:rPr>
        <w:t>Dependent</w:t>
      </w:r>
      <w:r>
        <w:t xml:space="preserve"> –</w:t>
      </w:r>
      <w:r w:rsidR="002C5475">
        <w:t xml:space="preserve"> </w:t>
      </w:r>
      <w:r w:rsidRPr="00B71671">
        <w:t>A person covered by a dental insurance plan who is eligible for benefits based on their relationship to the subscriber, such as a spouse or child</w:t>
      </w:r>
      <w:r w:rsidR="002C5475">
        <w:t>.</w:t>
      </w:r>
    </w:p>
    <w:p w14:paraId="6135E0EC" w14:textId="16EE8E73" w:rsidR="00F67632" w:rsidRDefault="00F67632" w:rsidP="009F65D5">
      <w:pPr>
        <w:pStyle w:val="BodyText"/>
      </w:pPr>
      <w:r w:rsidRPr="002C5475">
        <w:rPr>
          <w:b/>
          <w:noProof/>
        </w:rPr>
        <w:drawing>
          <wp:anchor distT="0" distB="0" distL="114300" distR="114300" simplePos="0" relativeHeight="252136452" behindDoc="0" locked="0" layoutInCell="1" allowOverlap="1" wp14:anchorId="52A4FE03" wp14:editId="1EB19867">
            <wp:simplePos x="0" y="0"/>
            <wp:positionH relativeFrom="margin">
              <wp:align>left</wp:align>
            </wp:positionH>
            <wp:positionV relativeFrom="paragraph">
              <wp:posOffset>8890</wp:posOffset>
            </wp:positionV>
            <wp:extent cx="365760" cy="365760"/>
            <wp:effectExtent l="0" t="0" r="0" b="0"/>
            <wp:wrapTight wrapText="bothSides">
              <wp:wrapPolygon edited="0">
                <wp:start x="0" y="0"/>
                <wp:lineTo x="0" y="20250"/>
                <wp:lineTo x="20250" y="20250"/>
                <wp:lineTo x="20250" y="0"/>
                <wp:lineTo x="0" y="0"/>
              </wp:wrapPolygon>
            </wp:wrapTight>
            <wp:docPr id="94319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7367" name=""/>
                    <pic:cNvPicPr/>
                  </pic:nvPicPr>
                  <pic:blipFill>
                    <a:blip r:embed="rId55"/>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2C5475">
        <w:rPr>
          <w:b/>
        </w:rPr>
        <w:t>Document Storage</w:t>
      </w:r>
      <w:r>
        <w:t xml:space="preserve"> – </w:t>
      </w:r>
      <w:r w:rsidRPr="004D10AF">
        <w:t>The secure storage and management of electronic documents, such as patient records, treatment plans, insurance forms, or clinical images</w:t>
      </w:r>
      <w:r>
        <w:t>.</w:t>
      </w:r>
    </w:p>
    <w:p w14:paraId="35D8A12F" w14:textId="0128BD9B" w:rsidR="00F67632" w:rsidRDefault="00F67632" w:rsidP="009F65D5">
      <w:pPr>
        <w:pStyle w:val="BodyText"/>
      </w:pPr>
      <w:r w:rsidRPr="002C5475">
        <w:rPr>
          <w:b/>
        </w:rPr>
        <w:t>Document Tree</w:t>
      </w:r>
      <w:r>
        <w:t xml:space="preserve"> – The</w:t>
      </w:r>
      <w:r w:rsidRPr="004D10AF">
        <w:t xml:space="preserve"> organization</w:t>
      </w:r>
      <w:r>
        <w:t xml:space="preserve"> </w:t>
      </w:r>
      <w:r w:rsidRPr="004D10AF">
        <w:t>that visually represents the relationships between different types of electronic documents. The document tree allows users to navigate and manage documents efficiently, organizing them into folders or categories for easy access and retrieval</w:t>
      </w:r>
      <w:r w:rsidR="002C5475">
        <w:t>.</w:t>
      </w:r>
    </w:p>
    <w:p w14:paraId="3A6BBD39" w14:textId="5ADDCE8A" w:rsidR="00F67632" w:rsidRDefault="00F67632" w:rsidP="009F65D5">
      <w:pPr>
        <w:pStyle w:val="BodyText"/>
      </w:pPr>
      <w:r w:rsidRPr="002C5475">
        <w:rPr>
          <w:b/>
        </w:rPr>
        <w:t>Document Types</w:t>
      </w:r>
      <w:r>
        <w:t xml:space="preserve"> –</w:t>
      </w:r>
      <w:r w:rsidR="002C5475">
        <w:t xml:space="preserve"> </w:t>
      </w:r>
      <w:r w:rsidRPr="004D10AF">
        <w:t>Categories or classifications used to organize electronic documents based on their content, purpose, or origin</w:t>
      </w:r>
      <w:r w:rsidR="002C5475">
        <w:t>.</w:t>
      </w:r>
    </w:p>
    <w:p w14:paraId="557D69DC" w14:textId="46537A9F" w:rsidR="00F67632" w:rsidRDefault="00F67632" w:rsidP="009F65D5">
      <w:pPr>
        <w:pStyle w:val="BodyText"/>
      </w:pPr>
      <w:r w:rsidRPr="002C5475">
        <w:rPr>
          <w:b/>
        </w:rPr>
        <w:t>Document Type Templates</w:t>
      </w:r>
      <w:r>
        <w:t xml:space="preserve"> – </w:t>
      </w:r>
      <w:r w:rsidRPr="004D10AF">
        <w:t>Predefined formats or templates that standardize the structure and layout of specific document types</w:t>
      </w:r>
      <w:r w:rsidR="002C5475">
        <w:t>.</w:t>
      </w:r>
      <w:r>
        <w:t xml:space="preserve"> </w:t>
      </w:r>
      <w:r w:rsidRPr="004D10AF">
        <w:t>Document type templates streamline the creation of documents such as treatment plans, consent forms, or referrals, ensuring consistency and compliance with regulatory requirements</w:t>
      </w:r>
      <w:r w:rsidR="002C5475">
        <w:t>.</w:t>
      </w:r>
    </w:p>
    <w:p w14:paraId="4752FB08" w14:textId="34D5E44D" w:rsidR="00F67632" w:rsidRDefault="00F67632" w:rsidP="009F65D5">
      <w:pPr>
        <w:pStyle w:val="BodyText"/>
      </w:pPr>
      <w:r w:rsidRPr="002C5475">
        <w:rPr>
          <w:b/>
        </w:rPr>
        <w:t>Edit</w:t>
      </w:r>
      <w:r>
        <w:t xml:space="preserve"> – The act of changing the patient record</w:t>
      </w:r>
      <w:r w:rsidR="002C5475">
        <w:t>.</w:t>
      </w:r>
    </w:p>
    <w:p w14:paraId="0E50D6C0" w14:textId="158D497A" w:rsidR="00F67632" w:rsidRPr="00B24CF3" w:rsidRDefault="00F67632" w:rsidP="009F65D5">
      <w:pPr>
        <w:pStyle w:val="BodyText"/>
      </w:pPr>
      <w:r w:rsidRPr="002C5475">
        <w:rPr>
          <w:b/>
        </w:rPr>
        <w:t>External Documents</w:t>
      </w:r>
      <w:r>
        <w:t xml:space="preserve"> – Documents which are stored outside of the EDR</w:t>
      </w:r>
      <w:r w:rsidR="002C5475">
        <w:t xml:space="preserve"> (</w:t>
      </w:r>
      <w:r>
        <w:t>paper, medical system, or other storage system</w:t>
      </w:r>
      <w:r w:rsidR="002C5475">
        <w:t>).</w:t>
      </w:r>
    </w:p>
    <w:p w14:paraId="38082CEE" w14:textId="566DEA65" w:rsidR="00F67632" w:rsidRDefault="00F67632" w:rsidP="009F65D5">
      <w:pPr>
        <w:pStyle w:val="BodyText"/>
      </w:pPr>
      <w:r w:rsidRPr="002C5475">
        <w:rPr>
          <w:b/>
        </w:rPr>
        <w:t>Family Account</w:t>
      </w:r>
      <w:r>
        <w:t xml:space="preserve"> – By design, Dentrix Enterprise is set</w:t>
      </w:r>
      <w:r w:rsidR="002C5475">
        <w:t xml:space="preserve"> </w:t>
      </w:r>
      <w:r>
        <w:t xml:space="preserve">up to allow multiple patients </w:t>
      </w:r>
      <w:r w:rsidR="002C5475">
        <w:t>to be linked as a family in</w:t>
      </w:r>
      <w:r>
        <w:t xml:space="preserve"> </w:t>
      </w:r>
      <w:r w:rsidR="002C5475">
        <w:t>F</w:t>
      </w:r>
      <w:r>
        <w:t xml:space="preserve">amily </w:t>
      </w:r>
      <w:r w:rsidR="002C5475">
        <w:t>F</w:t>
      </w:r>
      <w:r>
        <w:t>ile. EHRs are often configured to transfer patient information as an individual account, so family accounts are not common in the HL7 environment</w:t>
      </w:r>
      <w:r w:rsidR="002C5475">
        <w:t>.</w:t>
      </w:r>
    </w:p>
    <w:p w14:paraId="0A595A19" w14:textId="51C5FDEE" w:rsidR="00F67632" w:rsidRDefault="00F67632" w:rsidP="009F65D5">
      <w:pPr>
        <w:pStyle w:val="BodyText"/>
      </w:pPr>
      <w:r w:rsidRPr="002C5475">
        <w:rPr>
          <w:b/>
        </w:rPr>
        <w:t>Fee</w:t>
      </w:r>
      <w:r>
        <w:t xml:space="preserve"> – </w:t>
      </w:r>
      <w:r w:rsidR="002C5475">
        <w:t xml:space="preserve"> </w:t>
      </w:r>
      <w:r w:rsidRPr="00B71671">
        <w:t>The amount charged by a dental provider for a particular service or treatment rendered to a patient</w:t>
      </w:r>
      <w:r w:rsidR="002C5475">
        <w:t>.</w:t>
      </w:r>
    </w:p>
    <w:p w14:paraId="1CE6A78A" w14:textId="33AB7A1D" w:rsidR="00F67632" w:rsidRDefault="00F67632" w:rsidP="009F65D5">
      <w:pPr>
        <w:pStyle w:val="BodyText"/>
      </w:pPr>
      <w:r w:rsidRPr="002C5475">
        <w:rPr>
          <w:b/>
        </w:rPr>
        <w:t>Fee Schedule</w:t>
      </w:r>
      <w:r>
        <w:t xml:space="preserve"> – </w:t>
      </w:r>
      <w:r w:rsidRPr="00B71671">
        <w:t>A predetermined list of charges or fees established by a dental provider for specific dental services or treatments</w:t>
      </w:r>
      <w:r w:rsidR="002C5475">
        <w:t>.</w:t>
      </w:r>
    </w:p>
    <w:p w14:paraId="3A48219F" w14:textId="2D9AF2A3" w:rsidR="00F67632" w:rsidRDefault="00F67632" w:rsidP="009F65D5">
      <w:pPr>
        <w:pStyle w:val="BodyText"/>
      </w:pPr>
      <w:r w:rsidRPr="002C5475">
        <w:rPr>
          <w:b/>
        </w:rPr>
        <w:t>Fee Schedule Hierarchy (Override)</w:t>
      </w:r>
      <w:r>
        <w:t xml:space="preserve"> – R</w:t>
      </w:r>
      <w:r w:rsidRPr="00D80DDF">
        <w:t>efers to the</w:t>
      </w:r>
      <w:r>
        <w:t xml:space="preserve"> Dentrix Enterprise</w:t>
      </w:r>
      <w:r w:rsidRPr="00D80DDF">
        <w:t xml:space="preserve"> structure for organizing and prioritizing different fee schedules. It allows dental practices to establish multiple fee schedules with varying rates for dental services</w:t>
      </w:r>
      <w:r w:rsidR="002C5475">
        <w:t>.</w:t>
      </w:r>
    </w:p>
    <w:p w14:paraId="076C3DE4" w14:textId="2C5B18C7" w:rsidR="00F67632" w:rsidRDefault="00F67632" w:rsidP="009F65D5">
      <w:pPr>
        <w:pStyle w:val="BodyText"/>
      </w:pPr>
      <w:r w:rsidRPr="002C5475">
        <w:rPr>
          <w:b/>
        </w:rPr>
        <w:t>Financial Class Type</w:t>
      </w:r>
      <w:r>
        <w:t xml:space="preserve"> – </w:t>
      </w:r>
      <w:r w:rsidRPr="00B71671">
        <w:t>Categorization of patients based on their financial status or payment method, such as self-pay, insurance, or government assistance</w:t>
      </w:r>
      <w:r w:rsidR="002C5475">
        <w:t>.</w:t>
      </w:r>
    </w:p>
    <w:p w14:paraId="320676C4" w14:textId="3DD261A9" w:rsidR="00F67632" w:rsidRDefault="00F67632" w:rsidP="009F65D5">
      <w:pPr>
        <w:pStyle w:val="BodyText"/>
      </w:pPr>
      <w:r w:rsidRPr="002C5475">
        <w:rPr>
          <w:b/>
        </w:rPr>
        <w:t>Financial Assistance</w:t>
      </w:r>
      <w:r>
        <w:t xml:space="preserve"> – </w:t>
      </w:r>
      <w:r w:rsidRPr="00B71671">
        <w:t>Programs or options available to help patients manage the cost of dental treatment, including discounts, payment plans, or charitable assistance</w:t>
      </w:r>
      <w:r w:rsidR="002C5475">
        <w:t>.</w:t>
      </w:r>
    </w:p>
    <w:p w14:paraId="513D3300" w14:textId="4AF9624A" w:rsidR="00F67632" w:rsidRDefault="00F67632" w:rsidP="009F65D5">
      <w:pPr>
        <w:pStyle w:val="BodyText"/>
      </w:pPr>
      <w:r w:rsidRPr="002C5475">
        <w:rPr>
          <w:b/>
        </w:rPr>
        <w:t>Financial Information</w:t>
      </w:r>
      <w:r>
        <w:t xml:space="preserve"> – </w:t>
      </w:r>
      <w:r w:rsidRPr="00B71671">
        <w:t>Pertinent data related to the financial aspects of dental treatment, including fees, payments, insurance coverage, and billing details</w:t>
      </w:r>
      <w:r w:rsidR="002C5475">
        <w:t>.</w:t>
      </w:r>
    </w:p>
    <w:p w14:paraId="5ADBF41F" w14:textId="1DB0CE7B" w:rsidR="00F67632" w:rsidRDefault="00F67632" w:rsidP="009F65D5">
      <w:pPr>
        <w:pStyle w:val="BodyText"/>
      </w:pPr>
      <w:r w:rsidRPr="002C5475">
        <w:rPr>
          <w:b/>
        </w:rPr>
        <w:t>First Visit</w:t>
      </w:r>
      <w:r>
        <w:t xml:space="preserve"> – Defined as the first time the patient is seen in the dental clinic</w:t>
      </w:r>
      <w:r w:rsidR="002C5475">
        <w:t>. The</w:t>
      </w:r>
      <w:r>
        <w:t xml:space="preserve"> First Visit date is generated upon patient account (Family File) creation</w:t>
      </w:r>
      <w:r w:rsidR="002C5475">
        <w:t>.</w:t>
      </w:r>
    </w:p>
    <w:p w14:paraId="52750794" w14:textId="22EE0D97" w:rsidR="00F67632" w:rsidRDefault="00F67632" w:rsidP="009F65D5">
      <w:pPr>
        <w:pStyle w:val="BodyText"/>
      </w:pPr>
      <w:r w:rsidRPr="002C5475">
        <w:rPr>
          <w:b/>
        </w:rPr>
        <w:lastRenderedPageBreak/>
        <w:t>Global Alerts</w:t>
      </w:r>
      <w:r>
        <w:t xml:space="preserve"> – </w:t>
      </w:r>
      <w:r w:rsidRPr="004D10AF">
        <w:t xml:space="preserve">Alerts or notifications </w:t>
      </w:r>
      <w:r>
        <w:t>that</w:t>
      </w:r>
      <w:r w:rsidRPr="004D10AF">
        <w:t xml:space="preserve"> are applied universally across all patients or users within the system</w:t>
      </w:r>
      <w:r w:rsidR="002C5475">
        <w:t>.</w:t>
      </w:r>
    </w:p>
    <w:p w14:paraId="06D29789" w14:textId="13BFB665" w:rsidR="00F67632" w:rsidRDefault="00F67632" w:rsidP="009F65D5">
      <w:pPr>
        <w:pStyle w:val="BodyText"/>
      </w:pPr>
      <w:r w:rsidRPr="002C5475">
        <w:rPr>
          <w:b/>
        </w:rPr>
        <w:t>Group/Plan</w:t>
      </w:r>
      <w:r>
        <w:t xml:space="preserve"> –</w:t>
      </w:r>
      <w:r w:rsidR="002C5475">
        <w:t xml:space="preserve"> </w:t>
      </w:r>
      <w:r w:rsidRPr="00B71671">
        <w:t>A collective arrangement where individuals or employees receive dental insurance coverage through a shared policy provided by an employer or organization</w:t>
      </w:r>
      <w:r w:rsidR="002C5475">
        <w:t>.</w:t>
      </w:r>
    </w:p>
    <w:p w14:paraId="580C2109" w14:textId="3CC502B4" w:rsidR="00F67632" w:rsidRDefault="00F67632" w:rsidP="009F65D5">
      <w:pPr>
        <w:pStyle w:val="BodyText"/>
      </w:pPr>
      <w:r w:rsidRPr="002C5475">
        <w:rPr>
          <w:b/>
        </w:rPr>
        <w:t>HOH (Head of Household)</w:t>
      </w:r>
      <w:r>
        <w:t xml:space="preserve"> – The guarantor, or person responsible, for the account</w:t>
      </w:r>
      <w:r w:rsidR="002C5475">
        <w:t>.</w:t>
      </w:r>
    </w:p>
    <w:p w14:paraId="645C2DEF" w14:textId="6D058E34" w:rsidR="00F67632" w:rsidRDefault="00F67632" w:rsidP="009F65D5">
      <w:pPr>
        <w:pStyle w:val="BodyText"/>
      </w:pPr>
      <w:r w:rsidRPr="002C5475">
        <w:rPr>
          <w:b/>
        </w:rPr>
        <w:t>Import</w:t>
      </w:r>
      <w:r>
        <w:t xml:space="preserve"> – </w:t>
      </w:r>
      <w:r w:rsidRPr="004D10AF">
        <w:t xml:space="preserve">The process of transferring electronic data or documents into </w:t>
      </w:r>
      <w:r>
        <w:t>Dentrix Enterprise</w:t>
      </w:r>
      <w:r w:rsidR="002C5475">
        <w:t>.</w:t>
      </w:r>
    </w:p>
    <w:p w14:paraId="24A50008" w14:textId="24230843" w:rsidR="00F67632" w:rsidRDefault="00F67632" w:rsidP="009F65D5">
      <w:pPr>
        <w:pStyle w:val="BodyText"/>
      </w:pPr>
      <w:r w:rsidRPr="002C5475">
        <w:rPr>
          <w:b/>
        </w:rPr>
        <w:t>Incoming Referral</w:t>
      </w:r>
      <w:r>
        <w:t xml:space="preserve"> –</w:t>
      </w:r>
      <w:r w:rsidR="002C5475">
        <w:t xml:space="preserve"> </w:t>
      </w:r>
      <w:r w:rsidRPr="00B71671">
        <w:t>A referral from another healthcare provider or entity recommending a patient for dental care or consultation</w:t>
      </w:r>
      <w:r w:rsidR="002C5475">
        <w:t>.</w:t>
      </w:r>
    </w:p>
    <w:p w14:paraId="183A73DC" w14:textId="6F00B28D" w:rsidR="00F67632" w:rsidRDefault="00F67632" w:rsidP="009F65D5">
      <w:pPr>
        <w:pStyle w:val="BodyText"/>
      </w:pPr>
      <w:r w:rsidRPr="002C5475">
        <w:rPr>
          <w:b/>
        </w:rPr>
        <w:t>Individual Account</w:t>
      </w:r>
      <w:r>
        <w:t xml:space="preserve"> – In Dentrix Enterprise, an individual account is a patient file (family file) that includes only one active patient record</w:t>
      </w:r>
      <w:r w:rsidR="002C5475">
        <w:t>.</w:t>
      </w:r>
    </w:p>
    <w:p w14:paraId="3D1CB680" w14:textId="08CEBE9E" w:rsidR="00F67632" w:rsidRDefault="00F67632" w:rsidP="009F65D5">
      <w:pPr>
        <w:pStyle w:val="BodyText"/>
      </w:pPr>
      <w:r w:rsidRPr="002C5475">
        <w:rPr>
          <w:b/>
        </w:rPr>
        <w:t>Insurance</w:t>
      </w:r>
      <w:r>
        <w:t xml:space="preserve"> – </w:t>
      </w:r>
      <w:r w:rsidRPr="00B71671">
        <w:t>A contractual agreement in which an individual or organization pays premiums to an insurer in exchange for coverage of specified dental services or treatments</w:t>
      </w:r>
      <w:r w:rsidR="002C5475">
        <w:t>.</w:t>
      </w:r>
    </w:p>
    <w:p w14:paraId="2FD29DE6" w14:textId="7E735C61" w:rsidR="00F67632" w:rsidRDefault="00F67632" w:rsidP="009F65D5">
      <w:pPr>
        <w:pStyle w:val="BodyText"/>
      </w:pPr>
      <w:r w:rsidRPr="002C5475">
        <w:rPr>
          <w:b/>
        </w:rPr>
        <w:t>Insurance Carrier/Company</w:t>
      </w:r>
      <w:r>
        <w:t xml:space="preserve"> - </w:t>
      </w:r>
      <w:r w:rsidRPr="00B71671">
        <w:t>The entity responsible for providing dental insurance coverage and processing claims for dental services</w:t>
      </w:r>
      <w:r w:rsidR="002C5475">
        <w:t>.</w:t>
      </w:r>
    </w:p>
    <w:p w14:paraId="2BEC8525" w14:textId="2AAC0327" w:rsidR="00F67632" w:rsidRDefault="00F67632" w:rsidP="009F65D5">
      <w:pPr>
        <w:pStyle w:val="BodyText"/>
      </w:pPr>
      <w:r w:rsidRPr="002C5475">
        <w:rPr>
          <w:b/>
        </w:rPr>
        <w:t>Insurance Claim</w:t>
      </w:r>
      <w:r>
        <w:t xml:space="preserve"> – </w:t>
      </w:r>
      <w:r w:rsidRPr="00575DED">
        <w:t>A request submitted by a dental provider to an insurance company for reimbursement of covered dental services rendered to a patient</w:t>
      </w:r>
      <w:r w:rsidR="002C5475">
        <w:t>.</w:t>
      </w:r>
    </w:p>
    <w:p w14:paraId="7F1A5750" w14:textId="2401CA35" w:rsidR="00F67632" w:rsidRDefault="00F67632" w:rsidP="009F65D5">
      <w:pPr>
        <w:pStyle w:val="BodyText"/>
      </w:pPr>
      <w:r w:rsidRPr="002C5475">
        <w:rPr>
          <w:b/>
        </w:rPr>
        <w:t>Insurance Eligibility (Verification of Benefits)</w:t>
      </w:r>
      <w:r>
        <w:t xml:space="preserve"> – </w:t>
      </w:r>
      <w:r w:rsidRPr="00B71671">
        <w:t>The process of confirming a patient's insurance coverage and benefits before providing dental services to ensure accurate billing and reimbursement</w:t>
      </w:r>
      <w:r w:rsidR="002C5475">
        <w:t>.</w:t>
      </w:r>
    </w:p>
    <w:p w14:paraId="4CA59CDA" w14:textId="73B72154" w:rsidR="00F67632" w:rsidRDefault="00F67632" w:rsidP="009F65D5">
      <w:pPr>
        <w:pStyle w:val="BodyText"/>
      </w:pPr>
      <w:r w:rsidRPr="002C5475">
        <w:rPr>
          <w:b/>
        </w:rPr>
        <w:t>Insurance Estimate</w:t>
      </w:r>
      <w:r>
        <w:t xml:space="preserve"> – </w:t>
      </w:r>
      <w:r w:rsidRPr="00B71671">
        <w:t>An approximation of the amount an insurance carrier is expected to pay for covered dental services based on the patient's insurance plan and benefits</w:t>
      </w:r>
      <w:r w:rsidR="002C5475">
        <w:t>.</w:t>
      </w:r>
    </w:p>
    <w:p w14:paraId="111068E3" w14:textId="2DFC86CA" w:rsidR="00F67632" w:rsidRDefault="00F67632" w:rsidP="009F65D5">
      <w:pPr>
        <w:pStyle w:val="BodyText"/>
      </w:pPr>
      <w:r w:rsidRPr="002C5475">
        <w:rPr>
          <w:b/>
        </w:rPr>
        <w:t>Insurance Plan</w:t>
      </w:r>
      <w:r>
        <w:t xml:space="preserve"> </w:t>
      </w:r>
      <w:r w:rsidR="00D81E9A">
        <w:t>–</w:t>
      </w:r>
      <w:r>
        <w:t xml:space="preserve"> </w:t>
      </w:r>
      <w:r w:rsidRPr="00B71671">
        <w:t>A specific arrangement or package of dental benefits provided by an insurance carrier, outlining covered services, co-payments, deductibles, and other terms</w:t>
      </w:r>
      <w:r w:rsidR="002C5475">
        <w:t>.</w:t>
      </w:r>
    </w:p>
    <w:p w14:paraId="05562E38" w14:textId="718869D9" w:rsidR="00F67632" w:rsidRDefault="00F67632" w:rsidP="009F65D5">
      <w:pPr>
        <w:pStyle w:val="BodyText"/>
      </w:pPr>
      <w:r w:rsidRPr="002C5475">
        <w:rPr>
          <w:b/>
          <w:noProof/>
        </w:rPr>
        <w:drawing>
          <wp:anchor distT="0" distB="0" distL="114300" distR="114300" simplePos="0" relativeHeight="252137476" behindDoc="0" locked="0" layoutInCell="1" allowOverlap="1" wp14:anchorId="1E305CB2" wp14:editId="4060D1C2">
            <wp:simplePos x="0" y="0"/>
            <wp:positionH relativeFrom="margin">
              <wp:align>left</wp:align>
            </wp:positionH>
            <wp:positionV relativeFrom="paragraph">
              <wp:posOffset>46990</wp:posOffset>
            </wp:positionV>
            <wp:extent cx="365760" cy="365760"/>
            <wp:effectExtent l="0" t="0" r="0" b="0"/>
            <wp:wrapTight wrapText="bothSides">
              <wp:wrapPolygon edited="0">
                <wp:start x="0" y="0"/>
                <wp:lineTo x="0" y="20250"/>
                <wp:lineTo x="20250" y="20250"/>
                <wp:lineTo x="20250" y="0"/>
                <wp:lineTo x="0" y="0"/>
              </wp:wrapPolygon>
            </wp:wrapTight>
            <wp:docPr id="926185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78848" name=""/>
                    <pic:cNvPicPr/>
                  </pic:nvPicPr>
                  <pic:blipFill>
                    <a:blip r:embed="rId52"/>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2C5475">
        <w:rPr>
          <w:b/>
        </w:rPr>
        <w:t>Office Journal</w:t>
      </w:r>
      <w:r>
        <w:t xml:space="preserve"> – </w:t>
      </w:r>
      <w:r w:rsidRPr="00575DED">
        <w:t xml:space="preserve">A chronological record or log maintained within Dentrix Enterprise that captures significant events, transactions, or activities occurring in the dental office. </w:t>
      </w:r>
    </w:p>
    <w:p w14:paraId="33E8B998" w14:textId="49AF012E" w:rsidR="00F67632" w:rsidRDefault="00F67632" w:rsidP="009F65D5">
      <w:pPr>
        <w:pStyle w:val="BodyText"/>
      </w:pPr>
      <w:r w:rsidRPr="002C5475">
        <w:rPr>
          <w:b/>
        </w:rPr>
        <w:t>Office Journal Entry</w:t>
      </w:r>
      <w:r>
        <w:t xml:space="preserve"> – </w:t>
      </w:r>
      <w:r w:rsidRPr="00575DED">
        <w:t xml:space="preserve">An individual record within </w:t>
      </w:r>
      <w:r w:rsidR="002C5475">
        <w:t>O</w:t>
      </w:r>
      <w:r w:rsidRPr="00575DED">
        <w:t xml:space="preserve">ffice </w:t>
      </w:r>
      <w:r w:rsidR="002C5475">
        <w:t>J</w:t>
      </w:r>
      <w:r w:rsidRPr="00575DED">
        <w:t xml:space="preserve">ournal </w:t>
      </w:r>
      <w:r w:rsidR="002C5475">
        <w:t>to document</w:t>
      </w:r>
      <w:r w:rsidRPr="00575DED">
        <w:t xml:space="preserve"> a specific event, action, or transaction that occurred in the dental office</w:t>
      </w:r>
      <w:r w:rsidR="002C5475">
        <w:t>.</w:t>
      </w:r>
    </w:p>
    <w:p w14:paraId="58FB7D37" w14:textId="1EFD5D97" w:rsidR="00F67632" w:rsidRDefault="00F67632" w:rsidP="009F65D5">
      <w:pPr>
        <w:pStyle w:val="BodyText"/>
      </w:pPr>
      <w:r w:rsidRPr="002C5475">
        <w:rPr>
          <w:b/>
        </w:rPr>
        <w:t>Office Journal Filtering</w:t>
      </w:r>
      <w:r>
        <w:t xml:space="preserve"> – </w:t>
      </w:r>
      <w:r w:rsidRPr="00575DED">
        <w:t xml:space="preserve">The process of refining or narrowing down the entries displayed in </w:t>
      </w:r>
      <w:r w:rsidR="002C5475">
        <w:t>O</w:t>
      </w:r>
      <w:r w:rsidRPr="00575DED">
        <w:t xml:space="preserve">ffice </w:t>
      </w:r>
      <w:r w:rsidR="002C5475">
        <w:t>J</w:t>
      </w:r>
      <w:r w:rsidRPr="00575DED">
        <w:t>ournal based on specific criteria or parameters, such as date range, user activity, or event type</w:t>
      </w:r>
      <w:r w:rsidR="00D81E9A">
        <w:t>.</w:t>
      </w:r>
    </w:p>
    <w:p w14:paraId="630012CB" w14:textId="7BCFEE1B" w:rsidR="00F67632" w:rsidRDefault="00F67632" w:rsidP="009F65D5">
      <w:pPr>
        <w:pStyle w:val="BodyText"/>
      </w:pPr>
      <w:r w:rsidRPr="00D81E9A">
        <w:rPr>
          <w:b/>
        </w:rPr>
        <w:t>Outgoing Referral</w:t>
      </w:r>
      <w:r>
        <w:t xml:space="preserve"> – </w:t>
      </w:r>
      <w:r w:rsidRPr="00B71671">
        <w:t>A referral made by a dental provider to another healthcare professional or facility for specialized treatment or services beyond the scope of their practice</w:t>
      </w:r>
      <w:r w:rsidR="00D81E9A">
        <w:t>.</w:t>
      </w:r>
    </w:p>
    <w:p w14:paraId="05D17D21" w14:textId="5E8E526F" w:rsidR="00F67632" w:rsidRDefault="00F67632" w:rsidP="009F65D5">
      <w:pPr>
        <w:pStyle w:val="BodyText"/>
      </w:pPr>
      <w:r w:rsidRPr="00D81E9A">
        <w:rPr>
          <w:b/>
        </w:rPr>
        <w:t>Patient Additional Information</w:t>
      </w:r>
      <w:r>
        <w:t xml:space="preserve"> – With a certain Global Setting enabled, additional demographic fields (tribal information, for example) are available </w:t>
      </w:r>
      <w:r w:rsidR="00D81E9A">
        <w:t>in</w:t>
      </w:r>
      <w:r>
        <w:t xml:space="preserve"> the Patient Information window of Family File</w:t>
      </w:r>
      <w:r w:rsidR="00D81E9A">
        <w:t>.</w:t>
      </w:r>
    </w:p>
    <w:p w14:paraId="0B1D702D" w14:textId="14FD49FD" w:rsidR="00F67632" w:rsidRDefault="00F67632" w:rsidP="009F65D5">
      <w:pPr>
        <w:pStyle w:val="BodyText"/>
      </w:pPr>
      <w:r w:rsidRPr="00D81E9A">
        <w:rPr>
          <w:b/>
        </w:rPr>
        <w:t>Patient/Family Alerts</w:t>
      </w:r>
      <w:r>
        <w:t xml:space="preserve"> – </w:t>
      </w:r>
      <w:r w:rsidRPr="004D10AF">
        <w:t>Notifications or reminders that alert dental staff to specific patient needs, preferences, or concerns</w:t>
      </w:r>
      <w:r w:rsidR="00D81E9A">
        <w:t>.</w:t>
      </w:r>
    </w:p>
    <w:p w14:paraId="59C6CDB6" w14:textId="3A23E76E" w:rsidR="00F67632" w:rsidRDefault="00F67632" w:rsidP="009F65D5">
      <w:pPr>
        <w:pStyle w:val="BodyText"/>
      </w:pPr>
      <w:r w:rsidRPr="00D81E9A">
        <w:rPr>
          <w:b/>
        </w:rPr>
        <w:t>Patient Forms</w:t>
      </w:r>
      <w:r>
        <w:t xml:space="preserve"> – </w:t>
      </w:r>
      <w:r w:rsidR="00D81E9A">
        <w:t>P</w:t>
      </w:r>
      <w:r>
        <w:t xml:space="preserve">aper and electronic versions of documents </w:t>
      </w:r>
      <w:r w:rsidR="00D81E9A">
        <w:t xml:space="preserve">that are </w:t>
      </w:r>
      <w:r>
        <w:t>used to gather and store patient information</w:t>
      </w:r>
      <w:r w:rsidR="00D81E9A">
        <w:t>.</w:t>
      </w:r>
    </w:p>
    <w:p w14:paraId="6E7E4ADA" w14:textId="436C569E" w:rsidR="00F67632" w:rsidRDefault="00F67632" w:rsidP="009F65D5">
      <w:pPr>
        <w:pStyle w:val="BodyText"/>
      </w:pPr>
      <w:r w:rsidRPr="00D81E9A">
        <w:rPr>
          <w:b/>
        </w:rPr>
        <w:t>Patient Notes</w:t>
      </w:r>
      <w:r>
        <w:t xml:space="preserve"> </w:t>
      </w:r>
      <w:r w:rsidR="00D81E9A">
        <w:t>–</w:t>
      </w:r>
      <w:r>
        <w:t xml:space="preserve"> Notes in the Family File module</w:t>
      </w:r>
      <w:r w:rsidRPr="00575DED">
        <w:t xml:space="preserve"> that captures relevant information about </w:t>
      </w:r>
      <w:r w:rsidR="00D81E9A">
        <w:t>a patient’s</w:t>
      </w:r>
      <w:r>
        <w:t xml:space="preserve"> personal</w:t>
      </w:r>
      <w:r w:rsidRPr="00575DED">
        <w:t xml:space="preserve"> history,</w:t>
      </w:r>
      <w:r>
        <w:t xml:space="preserve"> general personal reminders</w:t>
      </w:r>
      <w:r w:rsidRPr="00575DED">
        <w:t>, preferences, or other details</w:t>
      </w:r>
      <w:r>
        <w:t xml:space="preserve"> to support communications and dental care</w:t>
      </w:r>
      <w:r w:rsidR="00D81E9A">
        <w:t>.</w:t>
      </w:r>
    </w:p>
    <w:p w14:paraId="718F8576" w14:textId="4BCBC4AE" w:rsidR="00F67632" w:rsidRDefault="00F67632" w:rsidP="009F65D5">
      <w:pPr>
        <w:pStyle w:val="BodyText"/>
      </w:pPr>
      <w:r w:rsidRPr="00D81E9A">
        <w:rPr>
          <w:b/>
        </w:rPr>
        <w:t>Patient Record</w:t>
      </w:r>
      <w:r>
        <w:t xml:space="preserve"> </w:t>
      </w:r>
      <w:r w:rsidR="00D81E9A">
        <w:t>–</w:t>
      </w:r>
      <w:r>
        <w:t xml:space="preserve"> The comprehensive documentation of essential information about a dental patient's medical history, treatments, and appointments</w:t>
      </w:r>
      <w:r w:rsidR="00D81E9A">
        <w:t>.</w:t>
      </w:r>
    </w:p>
    <w:p w14:paraId="59BCAA91" w14:textId="6345241F" w:rsidR="00F67632" w:rsidRDefault="00F67632" w:rsidP="009F65D5">
      <w:pPr>
        <w:pStyle w:val="BodyText"/>
      </w:pPr>
      <w:r w:rsidRPr="00D81E9A">
        <w:rPr>
          <w:b/>
        </w:rPr>
        <w:lastRenderedPageBreak/>
        <w:t>Patient Tags</w:t>
      </w:r>
      <w:r>
        <w:t xml:space="preserve"> – </w:t>
      </w:r>
      <w:r w:rsidRPr="004D10AF">
        <w:t>Customizable labels or identifiers assigned to patients to categorize or group them based on specific criteria</w:t>
      </w:r>
      <w:r w:rsidR="00D81E9A">
        <w:t>.</w:t>
      </w:r>
    </w:p>
    <w:p w14:paraId="2D1AF9D3" w14:textId="2948E152" w:rsidR="00F67632" w:rsidRDefault="00F67632" w:rsidP="009F65D5">
      <w:pPr>
        <w:pStyle w:val="BodyText"/>
      </w:pPr>
      <w:r w:rsidRPr="00D81E9A">
        <w:rPr>
          <w:b/>
        </w:rPr>
        <w:t>Personal / Patient Information</w:t>
      </w:r>
      <w:r>
        <w:t xml:space="preserve"> – Details (or demographics) that are recorded for patient care or billing purposes</w:t>
      </w:r>
      <w:r w:rsidR="00D81E9A">
        <w:t>.</w:t>
      </w:r>
    </w:p>
    <w:p w14:paraId="7EEEE65F" w14:textId="6BF8C32E" w:rsidR="00F67632" w:rsidRDefault="00F67632" w:rsidP="009F65D5">
      <w:pPr>
        <w:pStyle w:val="BodyText"/>
      </w:pPr>
      <w:r w:rsidRPr="00D81E9A">
        <w:rPr>
          <w:b/>
        </w:rPr>
        <w:t>Prov1</w:t>
      </w:r>
      <w:r>
        <w:t xml:space="preserve"> –Assignment (or empanelment) of the patient to a primary provider (dentist)</w:t>
      </w:r>
      <w:r w:rsidR="00D81E9A">
        <w:t>.</w:t>
      </w:r>
    </w:p>
    <w:p w14:paraId="1FA3BF45" w14:textId="20C1E0F4" w:rsidR="00F67632" w:rsidRPr="00D81E9A" w:rsidRDefault="00D81E9A" w:rsidP="009F65D5">
      <w:pPr>
        <w:pStyle w:val="BodyText"/>
      </w:pPr>
      <w:r w:rsidRPr="00D81E9A">
        <w:rPr>
          <w:b/>
          <w:noProof/>
        </w:rPr>
        <w:drawing>
          <wp:anchor distT="0" distB="0" distL="114300" distR="114300" simplePos="0" relativeHeight="252133380" behindDoc="0" locked="0" layoutInCell="1" allowOverlap="1" wp14:anchorId="2094D783" wp14:editId="65C17962">
            <wp:simplePos x="0" y="0"/>
            <wp:positionH relativeFrom="margin">
              <wp:posOffset>0</wp:posOffset>
            </wp:positionH>
            <wp:positionV relativeFrom="paragraph">
              <wp:posOffset>372745</wp:posOffset>
            </wp:positionV>
            <wp:extent cx="365760" cy="365760"/>
            <wp:effectExtent l="0" t="0" r="0" b="0"/>
            <wp:wrapTight wrapText="bothSides">
              <wp:wrapPolygon edited="0">
                <wp:start x="0" y="0"/>
                <wp:lineTo x="0" y="20250"/>
                <wp:lineTo x="20250" y="20250"/>
                <wp:lineTo x="20250" y="0"/>
                <wp:lineTo x="0" y="0"/>
              </wp:wrapPolygon>
            </wp:wrapTight>
            <wp:docPr id="205498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2351" name=""/>
                    <pic:cNvPicPr/>
                  </pic:nvPicPr>
                  <pic:blipFill>
                    <a:blip r:embed="rId48"/>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F67632" w:rsidRPr="00D81E9A">
        <w:rPr>
          <w:b/>
          <w:noProof/>
        </w:rPr>
        <w:drawing>
          <wp:anchor distT="0" distB="0" distL="114300" distR="114300" simplePos="0" relativeHeight="252135428" behindDoc="0" locked="0" layoutInCell="1" allowOverlap="1" wp14:anchorId="5D5BE90D" wp14:editId="3CF9D7B9">
            <wp:simplePos x="0" y="0"/>
            <wp:positionH relativeFrom="margin">
              <wp:posOffset>0</wp:posOffset>
            </wp:positionH>
            <wp:positionV relativeFrom="paragraph">
              <wp:posOffset>8890</wp:posOffset>
            </wp:positionV>
            <wp:extent cx="365760" cy="365760"/>
            <wp:effectExtent l="0" t="0" r="0" b="0"/>
            <wp:wrapTight wrapText="bothSides">
              <wp:wrapPolygon edited="0">
                <wp:start x="0" y="0"/>
                <wp:lineTo x="0" y="20250"/>
                <wp:lineTo x="20250" y="20250"/>
                <wp:lineTo x="20250" y="0"/>
                <wp:lineTo x="0" y="0"/>
              </wp:wrapPolygon>
            </wp:wrapTight>
            <wp:docPr id="152998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04699" name=""/>
                    <pic:cNvPicPr/>
                  </pic:nvPicPr>
                  <pic:blipFill>
                    <a:blip r:embed="rId49"/>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F67632" w:rsidRPr="00D81E9A">
        <w:rPr>
          <w:b/>
        </w:rPr>
        <w:t>Questionnaires</w:t>
      </w:r>
      <w:r w:rsidR="00F67632">
        <w:t xml:space="preserve"> – Interview style question and answer response forms that are saved to the patient record</w:t>
      </w:r>
      <w:r>
        <w:t>.</w:t>
      </w:r>
    </w:p>
    <w:p w14:paraId="1A486267" w14:textId="690931A1" w:rsidR="00F67632" w:rsidRDefault="00F67632" w:rsidP="009F65D5">
      <w:pPr>
        <w:pStyle w:val="BodyText"/>
      </w:pPr>
      <w:r w:rsidRPr="00D81E9A">
        <w:rPr>
          <w:b/>
        </w:rPr>
        <w:t>Quick Letters</w:t>
      </w:r>
      <w:r>
        <w:t xml:space="preserve"> – Microsoft Word merge capability to automate patient account information into a letter template</w:t>
      </w:r>
      <w:r w:rsidR="00D81E9A">
        <w:t>.</w:t>
      </w:r>
    </w:p>
    <w:p w14:paraId="5968A1F4" w14:textId="4BE0886F" w:rsidR="00F67632" w:rsidRDefault="00F67632" w:rsidP="009F65D5">
      <w:pPr>
        <w:pStyle w:val="BodyText"/>
      </w:pPr>
      <w:r w:rsidRPr="00D81E9A">
        <w:rPr>
          <w:b/>
        </w:rPr>
        <w:t>Revenue Cycle Management</w:t>
      </w:r>
      <w:r>
        <w:t xml:space="preserve"> – </w:t>
      </w:r>
      <w:r w:rsidRPr="00B71671">
        <w:t>The process of managing the financial aspects of a dental practice from patient registration and appointment scheduling to claims processing, payment collection, and revenue generation</w:t>
      </w:r>
      <w:r w:rsidR="00D81E9A">
        <w:t>.</w:t>
      </w:r>
    </w:p>
    <w:p w14:paraId="6333E6F5" w14:textId="298FE0E4" w:rsidR="00F67632" w:rsidRDefault="00F67632" w:rsidP="009F65D5">
      <w:pPr>
        <w:pStyle w:val="BodyText"/>
      </w:pPr>
      <w:r w:rsidRPr="00D81E9A">
        <w:rPr>
          <w:b/>
        </w:rPr>
        <w:t>Scan/Acquire</w:t>
      </w:r>
      <w:r>
        <w:t xml:space="preserve"> – </w:t>
      </w:r>
      <w:r w:rsidRPr="004D10AF">
        <w:t xml:space="preserve">The process of digitizing paper documents or images using a scanner or digital </w:t>
      </w:r>
      <w:r w:rsidR="00D81E9A">
        <w:t>a</w:t>
      </w:r>
      <w:r w:rsidRPr="004D10AF">
        <w:t xml:space="preserve">cquisition device and importing them into </w:t>
      </w:r>
      <w:r>
        <w:t>Document Center</w:t>
      </w:r>
      <w:r w:rsidR="00D81E9A">
        <w:t>.</w:t>
      </w:r>
    </w:p>
    <w:p w14:paraId="35D961AA" w14:textId="57626C2E" w:rsidR="00F67632" w:rsidRDefault="00F67632" w:rsidP="009F65D5">
      <w:pPr>
        <w:pStyle w:val="BodyText"/>
      </w:pPr>
      <w:r w:rsidRPr="00D81E9A">
        <w:rPr>
          <w:b/>
        </w:rPr>
        <w:t>Send to Document Center</w:t>
      </w:r>
      <w:r>
        <w:t xml:space="preserve"> – </w:t>
      </w:r>
      <w:r w:rsidRPr="004D10AF">
        <w:t>A feature that enables users to electronically send documents or files to</w:t>
      </w:r>
      <w:r>
        <w:t xml:space="preserve"> Document Center</w:t>
      </w:r>
      <w:r w:rsidR="00D81E9A">
        <w:t>. S</w:t>
      </w:r>
      <w:r w:rsidRPr="004D10AF">
        <w:t xml:space="preserve">ending documents to </w:t>
      </w:r>
      <w:r w:rsidR="00D81E9A">
        <w:t>D</w:t>
      </w:r>
      <w:r w:rsidRPr="004D10AF">
        <w:t xml:space="preserve">ocument </w:t>
      </w:r>
      <w:r w:rsidR="00D81E9A">
        <w:t>C</w:t>
      </w:r>
      <w:r w:rsidRPr="004D10AF">
        <w:t>enter ensures that they are securely stored and accessible to authorized users for reference or retrieval</w:t>
      </w:r>
      <w:r w:rsidR="00D81E9A">
        <w:t>.</w:t>
      </w:r>
    </w:p>
    <w:p w14:paraId="391416F5" w14:textId="75DD0B68" w:rsidR="00F67632" w:rsidRDefault="00F67632" w:rsidP="009F65D5">
      <w:pPr>
        <w:pStyle w:val="BodyText"/>
      </w:pPr>
      <w:r w:rsidRPr="00D81E9A">
        <w:rPr>
          <w:b/>
        </w:rPr>
        <w:t>Special Adjustments</w:t>
      </w:r>
      <w:r>
        <w:t xml:space="preserve"> – When a family is combined or separated in Dentrix Enterprise, the line item accounting uses special adjustments to move credits from one account to another to balance payments that were divided between family members</w:t>
      </w:r>
      <w:r w:rsidR="00D81E9A">
        <w:t>.</w:t>
      </w:r>
    </w:p>
    <w:p w14:paraId="6535F5C9" w14:textId="3C0B87CC" w:rsidR="00F67632" w:rsidRDefault="00F67632" w:rsidP="009F65D5">
      <w:pPr>
        <w:pStyle w:val="BodyText"/>
      </w:pPr>
      <w:r w:rsidRPr="00D81E9A">
        <w:rPr>
          <w:b/>
        </w:rPr>
        <w:t>Subscriber</w:t>
      </w:r>
      <w:r>
        <w:t xml:space="preserve"> –</w:t>
      </w:r>
      <w:r w:rsidRPr="00B71671">
        <w:t>The primary policyholder or individual who enrolls in a dental insurance plan and is responsible for paying premiums</w:t>
      </w:r>
      <w:r w:rsidR="00D81E9A">
        <w:t>.</w:t>
      </w:r>
    </w:p>
    <w:p w14:paraId="7883DD48" w14:textId="2165700F" w:rsidR="00F67632" w:rsidRDefault="00F67632" w:rsidP="009F65D5">
      <w:pPr>
        <w:pStyle w:val="BodyText"/>
      </w:pPr>
      <w:r w:rsidRPr="00D81E9A">
        <w:rPr>
          <w:b/>
        </w:rPr>
        <w:t>Time of Service</w:t>
      </w:r>
      <w:r>
        <w:t xml:space="preserve"> – </w:t>
      </w:r>
      <w:r w:rsidRPr="00575DED">
        <w:t>The moment when dental services are rendered or provided to a patient, typically coinciding with the actual appointment time</w:t>
      </w:r>
      <w:r w:rsidR="00D81E9A">
        <w:t>.</w:t>
      </w:r>
    </w:p>
    <w:p w14:paraId="55EE3371" w14:textId="142B134F" w:rsidR="00F67632" w:rsidRDefault="00F67632" w:rsidP="009F65D5">
      <w:pPr>
        <w:pStyle w:val="BodyText"/>
      </w:pPr>
      <w:r w:rsidRPr="00D81E9A">
        <w:rPr>
          <w:b/>
        </w:rPr>
        <w:t>WIA or TWAIN Compliant</w:t>
      </w:r>
      <w:r>
        <w:t xml:space="preserve"> – </w:t>
      </w:r>
      <w:r w:rsidRPr="004D10AF">
        <w:t xml:space="preserve">Standards for scanner compatibility that ensure compatibility and interoperability with </w:t>
      </w:r>
      <w:r>
        <w:t>Dentrix Enterprise</w:t>
      </w:r>
      <w:r w:rsidR="00D81E9A">
        <w:t xml:space="preserve">: </w:t>
      </w:r>
      <w:r w:rsidRPr="004D10AF">
        <w:t>WIA (Windows Image Acquisition) and TWAIN (Technology Without An Interesting Name)</w:t>
      </w:r>
      <w:r w:rsidR="00D81E9A">
        <w:t>.</w:t>
      </w:r>
      <w:r w:rsidRPr="004D10AF">
        <w:t xml:space="preserve"> </w:t>
      </w:r>
    </w:p>
    <w:p w14:paraId="2E386878" w14:textId="0E2C1EB9" w:rsidR="00F67632" w:rsidRPr="00D81E9A" w:rsidRDefault="00F67632" w:rsidP="00D81E9A">
      <w:pPr>
        <w:pStyle w:val="Heading3"/>
        <w:numPr>
          <w:ilvl w:val="0"/>
          <w:numId w:val="0"/>
        </w:numPr>
      </w:pPr>
      <w:bookmarkStart w:id="361" w:name="_Toc166834435"/>
      <w:r w:rsidRPr="00D81E9A">
        <w:rPr>
          <w:rStyle w:val="Heading4Char"/>
          <w:rFonts w:cs="Arial"/>
          <w:b/>
          <w:iCs w:val="0"/>
          <w:sz w:val="28"/>
          <w:szCs w:val="28"/>
        </w:rPr>
        <w:t>Clinical Records Management Terms</w:t>
      </w:r>
      <w:bookmarkEnd w:id="361"/>
    </w:p>
    <w:p w14:paraId="4B5D9DC7" w14:textId="1CF6520D" w:rsidR="00D81E9A" w:rsidRPr="00A5592F" w:rsidRDefault="00D81E9A" w:rsidP="00D81E9A">
      <w:pPr>
        <w:pStyle w:val="BodyText"/>
        <w:rPr>
          <w:iCs/>
        </w:rPr>
      </w:pPr>
      <w:r>
        <w:rPr>
          <w:iCs/>
        </w:rPr>
        <w:t>T</w:t>
      </w:r>
      <w:r w:rsidRPr="00A5592F">
        <w:rPr>
          <w:iCs/>
        </w:rPr>
        <w:t xml:space="preserve">erms and features </w:t>
      </w:r>
      <w:r>
        <w:rPr>
          <w:iCs/>
        </w:rPr>
        <w:t>for</w:t>
      </w:r>
      <w:r w:rsidRPr="00A5592F">
        <w:rPr>
          <w:iCs/>
        </w:rPr>
        <w:t xml:space="preserve"> the </w:t>
      </w:r>
      <w:r>
        <w:rPr>
          <w:iCs/>
        </w:rPr>
        <w:t>Clinical</w:t>
      </w:r>
      <w:r w:rsidRPr="00A5592F">
        <w:rPr>
          <w:iCs/>
        </w:rPr>
        <w:t xml:space="preserve"> Records Management section</w:t>
      </w:r>
      <w:r>
        <w:rPr>
          <w:iCs/>
        </w:rPr>
        <w:t>:</w:t>
      </w:r>
    </w:p>
    <w:p w14:paraId="7E63AD8F" w14:textId="30B66CE7" w:rsidR="00F67632" w:rsidRDefault="00F67632" w:rsidP="009F65D5">
      <w:pPr>
        <w:pStyle w:val="BodyText"/>
      </w:pPr>
      <w:r w:rsidRPr="00D81E9A">
        <w:rPr>
          <w:b/>
        </w:rPr>
        <w:t>Active/Inactive Medical Alert</w:t>
      </w:r>
      <w:r>
        <w:t xml:space="preserve"> – </w:t>
      </w:r>
      <w:r w:rsidRPr="00B1436A">
        <w:t>Status indicators within patient records indicating whether medical alerts are currently relevant and active or have been resolved or become inactive</w:t>
      </w:r>
      <w:r w:rsidR="00D81E9A">
        <w:t>.</w:t>
      </w:r>
    </w:p>
    <w:p w14:paraId="76271478" w14:textId="41716CCF" w:rsidR="00F67632" w:rsidRDefault="00F67632" w:rsidP="009F65D5">
      <w:pPr>
        <w:pStyle w:val="BodyText"/>
      </w:pPr>
      <w:r w:rsidRPr="00D81E9A">
        <w:rPr>
          <w:b/>
        </w:rPr>
        <w:t>Addendum</w:t>
      </w:r>
      <w:r>
        <w:t xml:space="preserve"> </w:t>
      </w:r>
      <w:r w:rsidR="00D81E9A">
        <w:t xml:space="preserve">– </w:t>
      </w:r>
      <w:r w:rsidRPr="00B1436A">
        <w:t xml:space="preserve">Additional information or updates appended to existing clinical documentation or records, </w:t>
      </w:r>
      <w:r w:rsidR="00D81E9A">
        <w:t xml:space="preserve">which are </w:t>
      </w:r>
      <w:r w:rsidRPr="00B1436A">
        <w:t>used to provide context, clarification, or follow-up on previous entries</w:t>
      </w:r>
      <w:r w:rsidR="00D81E9A">
        <w:t>.</w:t>
      </w:r>
    </w:p>
    <w:p w14:paraId="1F79E073" w14:textId="37682B26" w:rsidR="00F67632" w:rsidRDefault="00F67632" w:rsidP="009F65D5">
      <w:pPr>
        <w:pStyle w:val="BodyText"/>
      </w:pPr>
      <w:r w:rsidRPr="00D81E9A">
        <w:rPr>
          <w:b/>
        </w:rPr>
        <w:t>Alternate Treatment Options</w:t>
      </w:r>
      <w:r>
        <w:t xml:space="preserve"> – </w:t>
      </w:r>
      <w:r w:rsidRPr="00B1436A">
        <w:t>Alternative approaches or interventions considered for addressing a patient's dental needs, providing flexibility and choice in treatment planning based on patient preferences and clinical circumstances</w:t>
      </w:r>
      <w:r w:rsidR="00D81E9A">
        <w:t>.</w:t>
      </w:r>
    </w:p>
    <w:p w14:paraId="39BA68AE" w14:textId="1AAF96CE" w:rsidR="00F67632" w:rsidRDefault="00F67632" w:rsidP="009F65D5">
      <w:pPr>
        <w:pStyle w:val="BodyText"/>
      </w:pPr>
      <w:r w:rsidRPr="00D81E9A">
        <w:rPr>
          <w:b/>
        </w:rPr>
        <w:t>Case Severity</w:t>
      </w:r>
      <w:r>
        <w:t xml:space="preserve"> –</w:t>
      </w:r>
      <w:r w:rsidR="00961B13">
        <w:t xml:space="preserve"> </w:t>
      </w:r>
      <w:r w:rsidRPr="00B1436A">
        <w:t>The degree of severity or complexity of a patient's dental case, ranging from mild to severe</w:t>
      </w:r>
      <w:r w:rsidR="00D81E9A">
        <w:t>. Base the severity on</w:t>
      </w:r>
      <w:r w:rsidRPr="00B1436A">
        <w:t xml:space="preserve"> the extent of dental disease, functional impairment, and treatment requirements</w:t>
      </w:r>
      <w:r w:rsidR="00D81E9A">
        <w:t>.</w:t>
      </w:r>
    </w:p>
    <w:p w14:paraId="47E69804" w14:textId="5D390A77" w:rsidR="00F67632" w:rsidRDefault="00F67632" w:rsidP="009F65D5">
      <w:pPr>
        <w:pStyle w:val="BodyText"/>
      </w:pPr>
      <w:r w:rsidRPr="00D81E9A">
        <w:rPr>
          <w:b/>
        </w:rPr>
        <w:lastRenderedPageBreak/>
        <w:t>Case Status</w:t>
      </w:r>
      <w:r>
        <w:t xml:space="preserve"> – </w:t>
      </w:r>
      <w:r w:rsidRPr="00B1436A">
        <w:t>The overall condition or progress of a patient's dental case, reflecting the complexity, severity, and responsiveness to treatment of oral health conditions</w:t>
      </w:r>
      <w:r w:rsidR="00D81E9A">
        <w:t>.</w:t>
      </w:r>
    </w:p>
    <w:p w14:paraId="0AF2CFA9" w14:textId="705368D2" w:rsidR="00F67632" w:rsidRDefault="00F67632" w:rsidP="009F65D5">
      <w:pPr>
        <w:pStyle w:val="BodyText"/>
      </w:pPr>
      <w:r w:rsidRPr="00D81E9A">
        <w:rPr>
          <w:b/>
        </w:rPr>
        <w:t>Case Visit Order</w:t>
      </w:r>
      <w:r>
        <w:t xml:space="preserve"> – </w:t>
      </w:r>
      <w:r w:rsidRPr="00B1436A">
        <w:t>The sequence or order in which dental treatment visits are scheduled and conducted for a patient's comprehensive care plan, ensuring timely and coordinated treatment delivery</w:t>
      </w:r>
      <w:r w:rsidR="00D81E9A">
        <w:t>.</w:t>
      </w:r>
    </w:p>
    <w:p w14:paraId="687F7B83" w14:textId="603623F4" w:rsidR="00F67632" w:rsidRDefault="00F67632" w:rsidP="009F65D5">
      <w:pPr>
        <w:pStyle w:val="BodyText"/>
      </w:pPr>
      <w:r w:rsidRPr="00D81E9A">
        <w:rPr>
          <w:b/>
        </w:rPr>
        <w:t>CDT (Current Dental Terminology)</w:t>
      </w:r>
      <w:r>
        <w:t xml:space="preserve"> – Dental codes</w:t>
      </w:r>
      <w:r w:rsidR="00D81E9A">
        <w:t>. A</w:t>
      </w:r>
      <w:r w:rsidRPr="00B51D4F">
        <w:t xml:space="preserve"> standardized code set published by the American Dental</w:t>
      </w:r>
      <w:r w:rsidR="00961B13">
        <w:t xml:space="preserve"> </w:t>
      </w:r>
      <w:r w:rsidRPr="00B51D4F">
        <w:t>Association (ADA) used for reporting dental procedures and services</w:t>
      </w:r>
      <w:r w:rsidR="00D81E9A">
        <w:t>.</w:t>
      </w:r>
      <w:r w:rsidRPr="00B51D4F">
        <w:t xml:space="preserve"> </w:t>
      </w:r>
    </w:p>
    <w:p w14:paraId="779156B6" w14:textId="180E2F1F" w:rsidR="00F67632" w:rsidRDefault="00F67632" w:rsidP="009F65D5">
      <w:pPr>
        <w:pStyle w:val="BodyText"/>
      </w:pPr>
      <w:r w:rsidRPr="00D81E9A">
        <w:rPr>
          <w:b/>
        </w:rPr>
        <w:t>Clinical Attachment Level (CAL)</w:t>
      </w:r>
      <w:r w:rsidRPr="00D80DDF">
        <w:rPr>
          <w:bCs/>
        </w:rPr>
        <w:t xml:space="preserve"> </w:t>
      </w:r>
      <w:r>
        <w:t xml:space="preserve">– </w:t>
      </w:r>
      <w:r w:rsidRPr="00B1436A">
        <w:t>The measurement of the distance between the base of a periodontal pocket and the location where the gum tissue attaches to the tooth's surface, indicating the degree of attachment loss due to periodontal disease</w:t>
      </w:r>
      <w:r w:rsidR="00D81E9A">
        <w:t>.</w:t>
      </w:r>
    </w:p>
    <w:p w14:paraId="66682748" w14:textId="733265D1" w:rsidR="00F67632" w:rsidRDefault="00F67632" w:rsidP="009F65D5">
      <w:pPr>
        <w:pStyle w:val="BodyText"/>
      </w:pPr>
      <w:r w:rsidRPr="00D81E9A">
        <w:rPr>
          <w:b/>
        </w:rPr>
        <w:t>Clinical Notes</w:t>
      </w:r>
      <w:r>
        <w:t xml:space="preserve"> – </w:t>
      </w:r>
      <w:r w:rsidRPr="00B1436A">
        <w:t>Detailed documentation entered by dental professionals to record observations, findings, treatments, and recommendations during patient encounters, enhancing continuity of care and communication among dental team members</w:t>
      </w:r>
      <w:r w:rsidR="00D81E9A">
        <w:t>.</w:t>
      </w:r>
    </w:p>
    <w:p w14:paraId="44B7ECD1" w14:textId="06FFF913" w:rsidR="00F67632" w:rsidRDefault="00F67632" w:rsidP="009F65D5">
      <w:pPr>
        <w:pStyle w:val="BodyText"/>
      </w:pPr>
      <w:r w:rsidRPr="00D81E9A">
        <w:rPr>
          <w:b/>
        </w:rPr>
        <w:t>Clinical Note Lock</w:t>
      </w:r>
      <w:r>
        <w:t xml:space="preserve"> – </w:t>
      </w:r>
      <w:r w:rsidRPr="00B1436A">
        <w:t>A feature that restricts editing or modification of clinical notes once the</w:t>
      </w:r>
      <w:r w:rsidR="00961B13">
        <w:t xml:space="preserve">y </w:t>
      </w:r>
      <w:r w:rsidRPr="00B1436A">
        <w:t>have been finalized or locked, ensuring data integrity and compliance with regulatory requirements</w:t>
      </w:r>
      <w:r w:rsidR="00D81E9A">
        <w:t>.</w:t>
      </w:r>
    </w:p>
    <w:p w14:paraId="5AB1F692" w14:textId="722B6265" w:rsidR="00F67632" w:rsidRDefault="00F67632" w:rsidP="009F65D5">
      <w:pPr>
        <w:pStyle w:val="BodyText"/>
      </w:pPr>
      <w:r w:rsidRPr="00D81E9A">
        <w:rPr>
          <w:b/>
        </w:rPr>
        <w:t>Clinical Record</w:t>
      </w:r>
      <w:r>
        <w:t xml:space="preserve"> –</w:t>
      </w:r>
      <w:r w:rsidR="00D81E9A">
        <w:t xml:space="preserve"> </w:t>
      </w:r>
      <w:r>
        <w:t>In Dentrix Enterprise, this is the patient</w:t>
      </w:r>
      <w:r w:rsidR="00D81E9A">
        <w:t>’s</w:t>
      </w:r>
      <w:r>
        <w:t xml:space="preserve"> </w:t>
      </w:r>
      <w:r w:rsidR="00D81E9A">
        <w:t>C</w:t>
      </w:r>
      <w:r>
        <w:t xml:space="preserve">hart </w:t>
      </w:r>
      <w:r w:rsidR="00D81E9A">
        <w:t xml:space="preserve">record </w:t>
      </w:r>
      <w:r>
        <w:t>and is the source of diagnostic information, clinical notes, and treatment performed</w:t>
      </w:r>
      <w:r w:rsidR="00D81E9A">
        <w:t>.</w:t>
      </w:r>
    </w:p>
    <w:p w14:paraId="76D7DFEA" w14:textId="47FC8506" w:rsidR="00F67632" w:rsidRPr="00961B13" w:rsidRDefault="00F67632" w:rsidP="009F65D5">
      <w:pPr>
        <w:pStyle w:val="BodyText"/>
      </w:pPr>
      <w:r w:rsidRPr="00D81E9A">
        <w:rPr>
          <w:b/>
        </w:rPr>
        <w:t>Coding</w:t>
      </w:r>
      <w:r w:rsidRPr="00D80DDF">
        <w:rPr>
          <w:bCs/>
        </w:rPr>
        <w:t xml:space="preserve"> </w:t>
      </w:r>
      <w:r>
        <w:t>– The assignment of a unique identifier (often a specific series of characters) that is</w:t>
      </w:r>
      <w:r w:rsidR="00D81E9A">
        <w:t xml:space="preserve"> </w:t>
      </w:r>
      <w:r>
        <w:t>associated with a uniform system, such as the Current Dental Terminology code system</w:t>
      </w:r>
      <w:r w:rsidR="00D81E9A">
        <w:t>.</w:t>
      </w:r>
    </w:p>
    <w:p w14:paraId="2D0A1A9C" w14:textId="3D881B22" w:rsidR="00F67632" w:rsidRDefault="00F67632" w:rsidP="009F65D5">
      <w:pPr>
        <w:pStyle w:val="BodyText"/>
      </w:pPr>
      <w:r w:rsidRPr="00D81E9A">
        <w:rPr>
          <w:b/>
        </w:rPr>
        <w:t>Coding Connected Features</w:t>
      </w:r>
      <w:r>
        <w:t xml:space="preserve"> – </w:t>
      </w:r>
      <w:r w:rsidRPr="00B1436A">
        <w:t>Functionalities that facilitate accurate coding and billing for dental procedures, ensuring compliance with coding standards and insurance requirements</w:t>
      </w:r>
      <w:r w:rsidR="00D81E9A">
        <w:t>.</w:t>
      </w:r>
    </w:p>
    <w:p w14:paraId="7025E1D9" w14:textId="577EC412" w:rsidR="00F67632" w:rsidRDefault="00F67632" w:rsidP="009F65D5">
      <w:pPr>
        <w:pStyle w:val="BodyText"/>
      </w:pPr>
      <w:r w:rsidRPr="00D81E9A">
        <w:rPr>
          <w:b/>
        </w:rPr>
        <w:t>Condition</w:t>
      </w:r>
      <w:r>
        <w:t xml:space="preserve"> </w:t>
      </w:r>
      <w:r w:rsidR="00D81E9A">
        <w:t xml:space="preserve">– </w:t>
      </w:r>
      <w:r w:rsidRPr="00B1436A">
        <w:t>A state or status of oral health, including diseases, disorders, injuries, or abnormalities, diagnosed and managed by dental professionals through treatment interventions and preventive measures</w:t>
      </w:r>
      <w:r w:rsidR="00D81E9A">
        <w:t>.</w:t>
      </w:r>
    </w:p>
    <w:p w14:paraId="2101FB81" w14:textId="54F8281F" w:rsidR="00F67632" w:rsidRDefault="00F67632" w:rsidP="009F65D5">
      <w:pPr>
        <w:pStyle w:val="BodyText"/>
      </w:pPr>
      <w:r w:rsidRPr="00D81E9A">
        <w:rPr>
          <w:b/>
        </w:rPr>
        <w:t>Consent Forms</w:t>
      </w:r>
      <w:r>
        <w:t xml:space="preserve"> – </w:t>
      </w:r>
      <w:r w:rsidRPr="00B1436A">
        <w:t>Documents signed by patients or legal guardians authorizing specific dental treatments, procedures</w:t>
      </w:r>
      <w:r w:rsidR="007C3C6E">
        <w:t>,</w:t>
      </w:r>
      <w:r w:rsidRPr="00B1436A">
        <w:t xml:space="preserve"> or interventions</w:t>
      </w:r>
      <w:r w:rsidR="007C3C6E">
        <w:t>. They</w:t>
      </w:r>
      <w:r w:rsidRPr="00B1436A">
        <w:t xml:space="preserve"> </w:t>
      </w:r>
      <w:r w:rsidR="007C3C6E">
        <w:t xml:space="preserve">can </w:t>
      </w:r>
      <w:r w:rsidRPr="00B1436A">
        <w:t>acknowledg</w:t>
      </w:r>
      <w:r w:rsidR="007C3C6E">
        <w:t>e</w:t>
      </w:r>
      <w:r w:rsidRPr="00B1436A">
        <w:t xml:space="preserve"> risks, benefits, and alternatives</w:t>
      </w:r>
      <w:r w:rsidR="00D81E9A">
        <w:t>.</w:t>
      </w:r>
    </w:p>
    <w:p w14:paraId="5DA44C72" w14:textId="4B905A8E" w:rsidR="00F67632" w:rsidRDefault="00F67632" w:rsidP="009F65D5">
      <w:pPr>
        <w:pStyle w:val="BodyText"/>
      </w:pPr>
      <w:r w:rsidRPr="007C3C6E">
        <w:rPr>
          <w:b/>
        </w:rPr>
        <w:t>CPT (Current Procedural Terminology)</w:t>
      </w:r>
      <w:r>
        <w:t xml:space="preserve"> – Medical codes</w:t>
      </w:r>
      <w:r w:rsidR="007C3C6E">
        <w:t>. A</w:t>
      </w:r>
      <w:r w:rsidRPr="00B51D4F">
        <w:t xml:space="preserve"> medical code set published by the American Medical Association (AMA) used for reporting medical procedures and services</w:t>
      </w:r>
      <w:r w:rsidR="007C3C6E">
        <w:t>.</w:t>
      </w:r>
    </w:p>
    <w:p w14:paraId="714917B5" w14:textId="7BEEC87B" w:rsidR="00F67632" w:rsidRDefault="00F67632" w:rsidP="009F65D5">
      <w:pPr>
        <w:pStyle w:val="BodyText"/>
      </w:pPr>
      <w:r w:rsidRPr="007C3C6E">
        <w:rPr>
          <w:b/>
        </w:rPr>
        <w:t>Cross-Coding</w:t>
      </w:r>
      <w:r>
        <w:t xml:space="preserve"> – </w:t>
      </w:r>
      <w:r w:rsidRPr="00B1436A">
        <w:t xml:space="preserve">The process of assigning both dental and medical procedure codes to dental treatments or procedures, </w:t>
      </w:r>
      <w:r>
        <w:t>allowing</w:t>
      </w:r>
      <w:r w:rsidRPr="00B1436A">
        <w:t xml:space="preserve"> reimbursement from both dental and medical insurance plans when applicable</w:t>
      </w:r>
      <w:r w:rsidR="007C3C6E">
        <w:t>.</w:t>
      </w:r>
    </w:p>
    <w:p w14:paraId="7CC30870" w14:textId="128E2127" w:rsidR="00F67632" w:rsidRDefault="00F67632" w:rsidP="009F65D5">
      <w:pPr>
        <w:pStyle w:val="BodyText"/>
      </w:pPr>
      <w:r w:rsidRPr="007C3C6E">
        <w:rPr>
          <w:b/>
        </w:rPr>
        <w:t>Diagnosis</w:t>
      </w:r>
      <w:r>
        <w:t xml:space="preserve"> – </w:t>
      </w:r>
      <w:r w:rsidRPr="00B1436A">
        <w:t>The identification and classification of oral health conditions, diseases, or abnormalities affecting the teeth, gums, jaw, or surrounding structures, guiding treatment planning and billing</w:t>
      </w:r>
      <w:r w:rsidR="007C3C6E">
        <w:t>.</w:t>
      </w:r>
    </w:p>
    <w:p w14:paraId="48C2E322" w14:textId="13835452" w:rsidR="00F67632" w:rsidRDefault="00F67632" w:rsidP="009F65D5">
      <w:pPr>
        <w:pStyle w:val="BodyText"/>
      </w:pPr>
      <w:r w:rsidRPr="007C3C6E">
        <w:rPr>
          <w:b/>
        </w:rPr>
        <w:t>ePrescribe</w:t>
      </w:r>
      <w:r>
        <w:t xml:space="preserve"> – </w:t>
      </w:r>
      <w:r w:rsidRPr="00B1436A">
        <w:t>Electronic prescription functionality that allows dental professionals to electronically send prescriptions to pharmacies for fulfillment</w:t>
      </w:r>
      <w:r w:rsidR="007C3C6E">
        <w:t>.</w:t>
      </w:r>
    </w:p>
    <w:p w14:paraId="50743B57" w14:textId="30467B46" w:rsidR="00F67632" w:rsidRDefault="00F67632" w:rsidP="009F65D5">
      <w:pPr>
        <w:pStyle w:val="BodyText"/>
      </w:pPr>
      <w:r w:rsidRPr="007C3C6E">
        <w:rPr>
          <w:b/>
        </w:rPr>
        <w:t>Exam Comparison</w:t>
      </w:r>
      <w:r>
        <w:t xml:space="preserve"> – </w:t>
      </w:r>
      <w:r w:rsidRPr="00B1436A">
        <w:t>A side-by-side comparison of periodontal examination findings from multiple visits or time points, allowing for tracking changes in periodontal health and treatment effectiveness over time</w:t>
      </w:r>
      <w:r w:rsidR="007C3C6E">
        <w:t>.</w:t>
      </w:r>
    </w:p>
    <w:p w14:paraId="49FA7D3E" w14:textId="1AF3E9B9" w:rsidR="00F67632" w:rsidRDefault="00F67632" w:rsidP="009F65D5">
      <w:pPr>
        <w:pStyle w:val="BodyText"/>
      </w:pPr>
      <w:r w:rsidRPr="007C3C6E">
        <w:rPr>
          <w:b/>
        </w:rPr>
        <w:t>Exam Order</w:t>
      </w:r>
      <w:r>
        <w:t xml:space="preserve"> – </w:t>
      </w:r>
      <w:r w:rsidRPr="00B1436A">
        <w:t>The sequence or arrangement in which dental examinations are conducted, customized based on patient needs or treatment priorities</w:t>
      </w:r>
      <w:r w:rsidR="007C3C6E">
        <w:t>.</w:t>
      </w:r>
    </w:p>
    <w:p w14:paraId="02F174C5" w14:textId="39DB6BA5" w:rsidR="00F67632" w:rsidRDefault="00F67632" w:rsidP="009F65D5">
      <w:pPr>
        <w:pStyle w:val="BodyText"/>
      </w:pPr>
      <w:r w:rsidRPr="007C3C6E">
        <w:rPr>
          <w:b/>
        </w:rPr>
        <w:t>Exam Diagnostics</w:t>
      </w:r>
      <w:r>
        <w:t xml:space="preserve"> –</w:t>
      </w:r>
      <w:r w:rsidR="007C3C6E">
        <w:t xml:space="preserve"> </w:t>
      </w:r>
      <w:r w:rsidRPr="00B1436A">
        <w:t>The analysis and interpretation of clinical findings from periodontal examinations to diagnose oral health conditions, develop treatment plans, and monitor patient progress</w:t>
      </w:r>
      <w:r w:rsidR="007C3C6E">
        <w:t>.</w:t>
      </w:r>
    </w:p>
    <w:p w14:paraId="04196716" w14:textId="55D2A871" w:rsidR="00F67632" w:rsidRDefault="00F67632" w:rsidP="009F65D5">
      <w:pPr>
        <w:pStyle w:val="BodyText"/>
      </w:pPr>
      <w:r w:rsidRPr="007C3C6E">
        <w:rPr>
          <w:b/>
        </w:rPr>
        <w:t>Encounter</w:t>
      </w:r>
      <w:r>
        <w:t xml:space="preserve"> –</w:t>
      </w:r>
      <w:r w:rsidR="007C3C6E">
        <w:t xml:space="preserve"> </w:t>
      </w:r>
      <w:r>
        <w:t>A patient dental visit</w:t>
      </w:r>
      <w:r w:rsidR="007C3C6E">
        <w:t>.</w:t>
      </w:r>
    </w:p>
    <w:p w14:paraId="2CD1BC46" w14:textId="31BD727B" w:rsidR="00F67632" w:rsidRDefault="00F67632" w:rsidP="009F65D5">
      <w:pPr>
        <w:pStyle w:val="BodyText"/>
      </w:pPr>
      <w:r w:rsidRPr="007C3C6E">
        <w:rPr>
          <w:b/>
        </w:rPr>
        <w:t>Gingival Margin (GM)</w:t>
      </w:r>
      <w:r w:rsidRPr="00D80DDF">
        <w:rPr>
          <w:bCs/>
        </w:rPr>
        <w:t xml:space="preserve"> </w:t>
      </w:r>
      <w:r>
        <w:t xml:space="preserve">– </w:t>
      </w:r>
      <w:r w:rsidRPr="00B1436A">
        <w:t>The margin or edge of the gum tissue surrounding the teeth, measured in relation to the tooth's surface to assess gum recession or tissue inflammation</w:t>
      </w:r>
      <w:r w:rsidR="007C3C6E">
        <w:t>.</w:t>
      </w:r>
    </w:p>
    <w:p w14:paraId="564B304D" w14:textId="3E3378B2" w:rsidR="00F67632" w:rsidRDefault="00F67632" w:rsidP="009F65D5">
      <w:pPr>
        <w:pStyle w:val="BodyText"/>
      </w:pPr>
      <w:r w:rsidRPr="007C3C6E">
        <w:rPr>
          <w:b/>
        </w:rPr>
        <w:lastRenderedPageBreak/>
        <w:t>Global Setting</w:t>
      </w:r>
      <w:r>
        <w:t xml:space="preserve"> – </w:t>
      </w:r>
      <w:r w:rsidRPr="00B1436A">
        <w:t xml:space="preserve">Configuration or preference applied universally across all users </w:t>
      </w:r>
      <w:r>
        <w:t>and clinics</w:t>
      </w:r>
      <w:r w:rsidRPr="00B1436A">
        <w:t>, providing consistency and standardization in system behavior and functionality</w:t>
      </w:r>
      <w:r w:rsidR="007C3C6E">
        <w:t>.</w:t>
      </w:r>
    </w:p>
    <w:p w14:paraId="264C5790" w14:textId="57AA1E81" w:rsidR="00F67632" w:rsidRDefault="00F67632" w:rsidP="009F65D5">
      <w:pPr>
        <w:pStyle w:val="BodyText"/>
      </w:pPr>
      <w:r w:rsidRPr="007C3C6E">
        <w:rPr>
          <w:b/>
        </w:rPr>
        <w:t>Graphic Chart</w:t>
      </w:r>
      <w:r>
        <w:t xml:space="preserve"> – </w:t>
      </w:r>
      <w:r w:rsidRPr="00B1436A">
        <w:t>A visual representation of periodontal measurements, gum conditions, and other diagnostic findings, aiding in the assessment and communication of periodontal health</w:t>
      </w:r>
      <w:r w:rsidR="007C3C6E">
        <w:t>.</w:t>
      </w:r>
    </w:p>
    <w:p w14:paraId="66FA9288" w14:textId="00541D95" w:rsidR="00F67632" w:rsidRDefault="00F67632" w:rsidP="009F65D5">
      <w:pPr>
        <w:pStyle w:val="BodyText"/>
      </w:pPr>
      <w:r w:rsidRPr="007C3C6E">
        <w:rPr>
          <w:b/>
        </w:rPr>
        <w:t>ICD-10 (International Classification of Diseases)</w:t>
      </w:r>
      <w:r>
        <w:t xml:space="preserve"> – Diagnostic codes</w:t>
      </w:r>
      <w:r w:rsidR="007C3C6E">
        <w:t>. A</w:t>
      </w:r>
      <w:r w:rsidRPr="004C6BEC">
        <w:t xml:space="preserve"> standardized system for classifying and coding diseases, injuries, and medical conditions used in healthcare settings, including dental diagnoses and procedures</w:t>
      </w:r>
      <w:r w:rsidR="007C3C6E">
        <w:t>.</w:t>
      </w:r>
    </w:p>
    <w:p w14:paraId="234A46B2" w14:textId="0A2ABD2A" w:rsidR="00F67632" w:rsidRDefault="00F67632" w:rsidP="009F65D5">
      <w:pPr>
        <w:pStyle w:val="BodyText"/>
      </w:pPr>
      <w:r w:rsidRPr="007C3C6E">
        <w:rPr>
          <w:b/>
        </w:rPr>
        <w:t>Implantable Devices</w:t>
      </w:r>
      <w:r>
        <w:t xml:space="preserve"> – </w:t>
      </w:r>
      <w:r w:rsidRPr="00B1436A">
        <w:t>Dental devices or prosthetics designed to be surgically placed within the jawbone to replace missing teeth or support dental restorations, such as dental implants and implant-supported dentures</w:t>
      </w:r>
      <w:r w:rsidR="007C3C6E">
        <w:t>.</w:t>
      </w:r>
    </w:p>
    <w:p w14:paraId="57C587E7" w14:textId="24A79C1F" w:rsidR="00F67632" w:rsidRDefault="00F67632" w:rsidP="009F65D5">
      <w:pPr>
        <w:pStyle w:val="BodyText"/>
      </w:pPr>
      <w:r w:rsidRPr="007C3C6E">
        <w:rPr>
          <w:b/>
        </w:rPr>
        <w:t>Measurement Calculation</w:t>
      </w:r>
      <w:r>
        <w:t xml:space="preserve"> – </w:t>
      </w:r>
      <w:r w:rsidRPr="00B1436A">
        <w:t>The process of determining and recording measurements related to periodontal health, such as pocket depth and clinical attachment levels, to assess disease severity and monitor treatment outcomes</w:t>
      </w:r>
      <w:r w:rsidR="007C3C6E">
        <w:t>.</w:t>
      </w:r>
    </w:p>
    <w:p w14:paraId="0074EB66" w14:textId="4D1D1D04" w:rsidR="00F67632" w:rsidRDefault="00F67632" w:rsidP="009F65D5">
      <w:pPr>
        <w:pStyle w:val="BodyText"/>
      </w:pPr>
      <w:r w:rsidRPr="007C3C6E">
        <w:rPr>
          <w:b/>
        </w:rPr>
        <w:t>Medical Alerts</w:t>
      </w:r>
      <w:r>
        <w:t xml:space="preserve"> – </w:t>
      </w:r>
      <w:r w:rsidRPr="00B1436A">
        <w:t>Notifications or warnings within patient records indicating significant medical conditions, allergies, or other health considerations that may impact dental treatment or procedures</w:t>
      </w:r>
      <w:r w:rsidR="007C3C6E">
        <w:t>.</w:t>
      </w:r>
    </w:p>
    <w:p w14:paraId="205DC6CB" w14:textId="70EEEE6E" w:rsidR="00F67632" w:rsidRDefault="00F67632" w:rsidP="009F65D5">
      <w:pPr>
        <w:pStyle w:val="BodyText"/>
      </w:pPr>
      <w:r w:rsidRPr="007C3C6E">
        <w:rPr>
          <w:b/>
        </w:rPr>
        <w:t>Mucogingival Junction (MGJ)</w:t>
      </w:r>
      <w:r w:rsidRPr="00D80DDF">
        <w:rPr>
          <w:bCs/>
        </w:rPr>
        <w:t xml:space="preserve"> </w:t>
      </w:r>
      <w:r>
        <w:t xml:space="preserve">– </w:t>
      </w:r>
      <w:r w:rsidRPr="00B1436A">
        <w:t>The point where the gum tissue meets the underlying connective tissue, serving as an important landmark in periodontal assessment and treatment planning</w:t>
      </w:r>
      <w:r w:rsidR="007C3C6E">
        <w:t>.</w:t>
      </w:r>
    </w:p>
    <w:p w14:paraId="42BB9C30" w14:textId="4ABB7AD0" w:rsidR="00F67632" w:rsidRDefault="00F67632" w:rsidP="009F65D5">
      <w:pPr>
        <w:pStyle w:val="BodyText"/>
      </w:pPr>
      <w:r w:rsidRPr="007C3C6E">
        <w:rPr>
          <w:b/>
        </w:rPr>
        <w:t>Multi-Codes</w:t>
      </w:r>
      <w:r>
        <w:t xml:space="preserve"> </w:t>
      </w:r>
      <w:r w:rsidR="007C3C6E">
        <w:t xml:space="preserve">– </w:t>
      </w:r>
      <w:r w:rsidRPr="00B1436A">
        <w:t>Multiple procedure codes assigned to a single dental treatment or procedure to represent the complexity or variety of services rendered, ensuring proper billing and reimbursement</w:t>
      </w:r>
      <w:r w:rsidR="007C3C6E">
        <w:t>.</w:t>
      </w:r>
    </w:p>
    <w:p w14:paraId="38103E3B" w14:textId="73CE7D0F" w:rsidR="00F67632" w:rsidRDefault="00F67632" w:rsidP="009F65D5">
      <w:pPr>
        <w:pStyle w:val="BodyText"/>
      </w:pPr>
      <w:r w:rsidRPr="007C3C6E">
        <w:rPr>
          <w:b/>
        </w:rPr>
        <w:t>Narrative</w:t>
      </w:r>
      <w:r w:rsidRPr="00D80DDF">
        <w:rPr>
          <w:bCs/>
        </w:rPr>
        <w:t xml:space="preserve"> </w:t>
      </w:r>
      <w:r>
        <w:t xml:space="preserve">– </w:t>
      </w:r>
      <w:r w:rsidRPr="00B1436A">
        <w:t>Descriptive documentation accompanying clinical findings or treatment plans, providing context, explanations, and rationale for patient care decisions</w:t>
      </w:r>
      <w:r w:rsidR="007C3C6E">
        <w:t>.</w:t>
      </w:r>
    </w:p>
    <w:p w14:paraId="6DDC7493" w14:textId="24BEFA85" w:rsidR="00F67632" w:rsidRDefault="00F67632" w:rsidP="009F65D5">
      <w:pPr>
        <w:pStyle w:val="BodyText"/>
      </w:pPr>
      <w:r w:rsidRPr="007C3C6E">
        <w:rPr>
          <w:b/>
        </w:rPr>
        <w:t>Odontogram</w:t>
      </w:r>
      <w:r>
        <w:t xml:space="preserve"> </w:t>
      </w:r>
      <w:r w:rsidR="007C3C6E">
        <w:t xml:space="preserve">– </w:t>
      </w:r>
      <w:r w:rsidRPr="004C6BEC">
        <w:t>A visual representation or diagram of a patient's teeth and their associated conditions</w:t>
      </w:r>
      <w:r w:rsidR="007C3C6E">
        <w:t xml:space="preserve"> that is</w:t>
      </w:r>
      <w:r w:rsidRPr="004C6BEC">
        <w:t xml:space="preserve"> used to document and track dental findings, treatments, and abnormalities</w:t>
      </w:r>
      <w:r w:rsidR="007C3C6E">
        <w:t>.</w:t>
      </w:r>
    </w:p>
    <w:p w14:paraId="37D99F8B" w14:textId="21E50A7E" w:rsidR="00F67632" w:rsidRDefault="00F67632" w:rsidP="009F65D5">
      <w:pPr>
        <w:pStyle w:val="BodyText"/>
      </w:pPr>
      <w:r w:rsidRPr="007C3C6E">
        <w:rPr>
          <w:b/>
        </w:rPr>
        <w:t>Patient Visit Lifecycle</w:t>
      </w:r>
      <w:r>
        <w:t xml:space="preserve"> – The start to finish steps to complete a patient dental visit</w:t>
      </w:r>
      <w:r w:rsidR="007C3C6E">
        <w:rPr>
          <w:rFonts w:cs="Times New Roman"/>
        </w:rPr>
        <w:t>—</w:t>
      </w:r>
      <w:r>
        <w:t>from initial contact/scheduling, to the dental diagnosis and treatment, to billing and receipt of payment for care</w:t>
      </w:r>
      <w:r w:rsidR="007C3C6E">
        <w:t>.</w:t>
      </w:r>
    </w:p>
    <w:p w14:paraId="1BCF5D64" w14:textId="443C6726" w:rsidR="00F67632" w:rsidRDefault="00F67632" w:rsidP="009F65D5">
      <w:pPr>
        <w:pStyle w:val="BodyText"/>
      </w:pPr>
      <w:r w:rsidRPr="007C3C6E">
        <w:rPr>
          <w:b/>
        </w:rPr>
        <w:t>Perio (Periodontal)</w:t>
      </w:r>
      <w:r>
        <w:t xml:space="preserve"> – </w:t>
      </w:r>
      <w:r w:rsidRPr="00B1436A">
        <w:t>Relating to the gums and supporting structures of the teeth, specifically focusing on the diagnosis and treatment of periodontal disease</w:t>
      </w:r>
      <w:r w:rsidR="007C3C6E">
        <w:t>.</w:t>
      </w:r>
    </w:p>
    <w:p w14:paraId="61FD9960" w14:textId="66182E05" w:rsidR="00F67632" w:rsidRDefault="00F67632" w:rsidP="009F65D5">
      <w:pPr>
        <w:pStyle w:val="BodyText"/>
      </w:pPr>
      <w:r w:rsidRPr="007C3C6E">
        <w:rPr>
          <w:b/>
        </w:rPr>
        <w:t>Perio Chart</w:t>
      </w:r>
      <w:r>
        <w:t xml:space="preserve"> –</w:t>
      </w:r>
      <w:r w:rsidR="007C3C6E">
        <w:t xml:space="preserve"> </w:t>
      </w:r>
      <w:r w:rsidRPr="00B1436A">
        <w:t>A graphical representation or chart documenting the condition of a patient's periodontal health, indicating measurements of pocket depth, gum recession, and attachment levels</w:t>
      </w:r>
      <w:r w:rsidR="007C3C6E">
        <w:t>.</w:t>
      </w:r>
    </w:p>
    <w:p w14:paraId="52740F38" w14:textId="577EAA65" w:rsidR="00F67632" w:rsidRDefault="00F67632" w:rsidP="009F65D5">
      <w:pPr>
        <w:pStyle w:val="BodyText"/>
      </w:pPr>
      <w:r w:rsidRPr="007C3C6E">
        <w:rPr>
          <w:b/>
        </w:rPr>
        <w:t>Perio Path</w:t>
      </w:r>
      <w:r>
        <w:t xml:space="preserve"> – </w:t>
      </w:r>
      <w:r w:rsidRPr="00B1436A">
        <w:t>The pathway o</w:t>
      </w:r>
      <w:r>
        <w:t xml:space="preserve">f measuring or entering </w:t>
      </w:r>
      <w:r w:rsidRPr="00B1436A">
        <w:t>periodontal disease</w:t>
      </w:r>
      <w:r>
        <w:t xml:space="preserve"> conditions</w:t>
      </w:r>
      <w:r w:rsidRPr="00B1436A">
        <w:t xml:space="preserve"> within a patient's mouth, including </w:t>
      </w:r>
      <w:r>
        <w:t>probing depth</w:t>
      </w:r>
      <w:r w:rsidR="007C3C6E">
        <w:t>s and</w:t>
      </w:r>
      <w:r>
        <w:t xml:space="preserve"> gingival margin</w:t>
      </w:r>
      <w:r w:rsidR="007C3C6E">
        <w:t>s.</w:t>
      </w:r>
    </w:p>
    <w:p w14:paraId="34F5F7F9" w14:textId="74DDF3F8" w:rsidR="00F67632" w:rsidRDefault="00F67632" w:rsidP="009F65D5">
      <w:pPr>
        <w:pStyle w:val="BodyText"/>
      </w:pPr>
      <w:r w:rsidRPr="007C3C6E">
        <w:rPr>
          <w:b/>
        </w:rPr>
        <w:t>Periodontal Case Type</w:t>
      </w:r>
      <w:r>
        <w:t xml:space="preserve"> – </w:t>
      </w:r>
      <w:r w:rsidRPr="00B1436A">
        <w:t>Classification or categorization of periodontal cases based on disease severity, extent of tissue involvement, and treatment complexity, guiding treatment planning and prognosis</w:t>
      </w:r>
      <w:r w:rsidR="007C3C6E">
        <w:t>.</w:t>
      </w:r>
    </w:p>
    <w:p w14:paraId="62E7F336" w14:textId="07AA5A8A" w:rsidR="00F67632" w:rsidRDefault="00F67632" w:rsidP="009F65D5">
      <w:pPr>
        <w:pStyle w:val="BodyText"/>
      </w:pPr>
      <w:r w:rsidRPr="007C3C6E">
        <w:rPr>
          <w:b/>
        </w:rPr>
        <w:t>Prescriptions</w:t>
      </w:r>
      <w:r>
        <w:t xml:space="preserve"> – </w:t>
      </w:r>
      <w:r w:rsidRPr="00B1436A">
        <w:t>Medication orders written by dental professionals for patients to treat oral health conditions, manage pain, or prevent infection</w:t>
      </w:r>
      <w:r w:rsidR="007C3C6E">
        <w:t>. Prescriptions are t</w:t>
      </w:r>
      <w:r w:rsidRPr="00B1436A">
        <w:t>ypically dispensed by pharmacies</w:t>
      </w:r>
      <w:r w:rsidR="007C3C6E">
        <w:t>.</w:t>
      </w:r>
    </w:p>
    <w:p w14:paraId="4537C1CF" w14:textId="5832D9A2" w:rsidR="00F67632" w:rsidRDefault="00F67632" w:rsidP="009F65D5">
      <w:pPr>
        <w:pStyle w:val="BodyText"/>
      </w:pPr>
      <w:r w:rsidRPr="007C3C6E">
        <w:rPr>
          <w:b/>
        </w:rPr>
        <w:t>Probing or Pocket Depth (PD)</w:t>
      </w:r>
      <w:r>
        <w:t xml:space="preserve"> – </w:t>
      </w:r>
      <w:r w:rsidRPr="00B1436A">
        <w:t>The measurement of the depth of periodontal pockets, recorded in millimeters, to assess gum health and determine the severity of periodontal disease</w:t>
      </w:r>
      <w:r w:rsidR="007C3C6E">
        <w:t>.</w:t>
      </w:r>
    </w:p>
    <w:p w14:paraId="4ADE1D39" w14:textId="25D3BEFB" w:rsidR="00F67632" w:rsidRDefault="00F67632" w:rsidP="009F65D5">
      <w:pPr>
        <w:pStyle w:val="BodyText"/>
      </w:pPr>
      <w:r w:rsidRPr="007C3C6E">
        <w:rPr>
          <w:b/>
        </w:rPr>
        <w:t>Procedure</w:t>
      </w:r>
      <w:r w:rsidRPr="00D80DDF">
        <w:rPr>
          <w:bCs/>
        </w:rPr>
        <w:t xml:space="preserve"> </w:t>
      </w:r>
      <w:r>
        <w:t>–</w:t>
      </w:r>
      <w:r w:rsidR="007C3C6E">
        <w:t xml:space="preserve"> </w:t>
      </w:r>
      <w:r w:rsidRPr="00B1436A">
        <w:t>A specific dental treatment, service, or intervention performed by a dental professional to address oral health issues, restore function, or improve aesthetics</w:t>
      </w:r>
      <w:r w:rsidR="007C3C6E">
        <w:t>. This is r</w:t>
      </w:r>
      <w:r w:rsidRPr="00B1436A">
        <w:t>epresented by a procedure code for billing</w:t>
      </w:r>
      <w:r>
        <w:t xml:space="preserve"> and reporting</w:t>
      </w:r>
      <w:r w:rsidRPr="00B1436A">
        <w:t xml:space="preserve"> purposes</w:t>
      </w:r>
      <w:r w:rsidR="007C3C6E">
        <w:t>.</w:t>
      </w:r>
    </w:p>
    <w:p w14:paraId="042E3550" w14:textId="475277DA" w:rsidR="00F67632" w:rsidRDefault="00F67632" w:rsidP="009F65D5">
      <w:pPr>
        <w:pStyle w:val="BodyText"/>
      </w:pPr>
      <w:r w:rsidRPr="007C3C6E">
        <w:rPr>
          <w:b/>
        </w:rPr>
        <w:t>Procedure Button Sets</w:t>
      </w:r>
      <w:r>
        <w:t xml:space="preserve"> – </w:t>
      </w:r>
      <w:r w:rsidRPr="00B1436A">
        <w:t>Predefined sets of procedure buttons or shortcuts enabling quick access to commonly performed dental procedures for efficient treatment documentation and billing</w:t>
      </w:r>
      <w:r w:rsidR="007C3C6E">
        <w:t>.</w:t>
      </w:r>
    </w:p>
    <w:p w14:paraId="0E2C069A" w14:textId="41CCC9C6" w:rsidR="00F67632" w:rsidRDefault="00F67632" w:rsidP="009F65D5">
      <w:pPr>
        <w:pStyle w:val="BodyText"/>
      </w:pPr>
      <w:r w:rsidRPr="007C3C6E">
        <w:rPr>
          <w:b/>
        </w:rPr>
        <w:lastRenderedPageBreak/>
        <w:t>Procedure Categories</w:t>
      </w:r>
      <w:r>
        <w:t xml:space="preserve"> – </w:t>
      </w:r>
      <w:r w:rsidRPr="00B1436A">
        <w:t xml:space="preserve">Groupings or classifications of dental treatments or services based on similarities in </w:t>
      </w:r>
      <w:r w:rsidR="00961B13">
        <w:t>fu</w:t>
      </w:r>
      <w:r w:rsidRPr="00B1436A">
        <w:t xml:space="preserve">nction, type, or purpose, facilitating organization and management </w:t>
      </w:r>
      <w:r>
        <w:t>of patient treatment</w:t>
      </w:r>
      <w:r w:rsidR="007C3C6E">
        <w:t>.</w:t>
      </w:r>
    </w:p>
    <w:p w14:paraId="60B38CC5" w14:textId="68659A20" w:rsidR="00F67632" w:rsidRDefault="00F67632" w:rsidP="009F65D5">
      <w:pPr>
        <w:pStyle w:val="BodyText"/>
      </w:pPr>
      <w:r w:rsidRPr="007C3C6E">
        <w:rPr>
          <w:b/>
        </w:rPr>
        <w:t>Referral</w:t>
      </w:r>
      <w:r>
        <w:t xml:space="preserve"> –</w:t>
      </w:r>
      <w:r w:rsidRPr="00B1436A">
        <w:t>The process of directing a patient to a specialist or another dental provider for specialized treatment or consultation beyond the scope of the referring dentist's practice</w:t>
      </w:r>
      <w:r w:rsidR="007C3C6E">
        <w:t>.</w:t>
      </w:r>
    </w:p>
    <w:p w14:paraId="330115AE" w14:textId="1CD6BEBB" w:rsidR="00F67632" w:rsidRDefault="00F67632" w:rsidP="009F65D5">
      <w:pPr>
        <w:pStyle w:val="BodyText"/>
      </w:pPr>
      <w:r w:rsidRPr="007C3C6E">
        <w:rPr>
          <w:b/>
        </w:rPr>
        <w:t>Signature Manager</w:t>
      </w:r>
      <w:r>
        <w:t xml:space="preserve"> – </w:t>
      </w:r>
      <w:r w:rsidRPr="00B1436A">
        <w:t xml:space="preserve">A tool or feature </w:t>
      </w:r>
      <w:r>
        <w:t>t</w:t>
      </w:r>
      <w:r w:rsidRPr="00B1436A">
        <w:t>hat facilitates electronic signatures for clinical</w:t>
      </w:r>
      <w:r>
        <w:t xml:space="preserve"> notes</w:t>
      </w:r>
      <w:r w:rsidRPr="00B1436A">
        <w:t>, ensuring authentication and compliance with legal and regulatory requirements for documentation</w:t>
      </w:r>
      <w:r w:rsidR="007C3C6E">
        <w:t>.</w:t>
      </w:r>
    </w:p>
    <w:p w14:paraId="6C1CB2D1" w14:textId="0DC7D8EE" w:rsidR="00F67632" w:rsidRDefault="00F67632" w:rsidP="009F65D5">
      <w:pPr>
        <w:pStyle w:val="BodyText"/>
      </w:pPr>
      <w:r w:rsidRPr="007C3C6E">
        <w:rPr>
          <w:b/>
        </w:rPr>
        <w:t>Supporting Documentation</w:t>
      </w:r>
      <w:r>
        <w:t xml:space="preserve"> – </w:t>
      </w:r>
      <w:r w:rsidRPr="00B1436A">
        <w:t>Additional records, images, or reports provided to supplement clinical findings and support treatment decisions</w:t>
      </w:r>
      <w:r w:rsidR="007C3C6E">
        <w:t>. This o</w:t>
      </w:r>
      <w:r w:rsidRPr="00B1436A">
        <w:t>ften includ</w:t>
      </w:r>
      <w:r w:rsidR="007C3C6E">
        <w:t>es</w:t>
      </w:r>
      <w:r w:rsidRPr="00B1436A">
        <w:t xml:space="preserve"> radiographs, photographs, and laboratory results</w:t>
      </w:r>
      <w:r w:rsidR="007C3C6E">
        <w:t>.</w:t>
      </w:r>
    </w:p>
    <w:p w14:paraId="6AEDD654" w14:textId="750E1303" w:rsidR="00F67632" w:rsidRDefault="00F67632" w:rsidP="009F65D5">
      <w:pPr>
        <w:pStyle w:val="BodyText"/>
      </w:pPr>
      <w:r w:rsidRPr="007C3C6E">
        <w:rPr>
          <w:b/>
        </w:rPr>
        <w:t>Treatment Area Flags</w:t>
      </w:r>
      <w:r>
        <w:t xml:space="preserve"> – </w:t>
      </w:r>
      <w:r w:rsidRPr="00B1436A">
        <w:t>Visual indicators or flags highlighting specific areas or aspects of a patient's oral health requiring attention or treatment, such as periodontal disease or areas of decay</w:t>
      </w:r>
      <w:r w:rsidR="007C3C6E">
        <w:t>.</w:t>
      </w:r>
    </w:p>
    <w:p w14:paraId="78A1A10C" w14:textId="396681C5" w:rsidR="00F67632" w:rsidRDefault="00F67632" w:rsidP="009F65D5">
      <w:pPr>
        <w:pStyle w:val="BodyText"/>
      </w:pPr>
      <w:r w:rsidRPr="007C3C6E">
        <w:rPr>
          <w:b/>
        </w:rPr>
        <w:t>Treatment Planning</w:t>
      </w:r>
      <w:r>
        <w:t xml:space="preserve"> – </w:t>
      </w:r>
      <w:r w:rsidRPr="00B1436A">
        <w:t>The process of developing comprehensive plans for addressing a patient's dental needs, including preventive care, restorative treatments, and periodontal therapy</w:t>
      </w:r>
      <w:r w:rsidR="007C3C6E">
        <w:t>. The treatment plan is b</w:t>
      </w:r>
      <w:r w:rsidRPr="00B1436A">
        <w:t>ased on clinical assessments and patient preferences</w:t>
      </w:r>
      <w:r w:rsidR="007C3C6E">
        <w:t>.</w:t>
      </w:r>
    </w:p>
    <w:p w14:paraId="4BB16982" w14:textId="3CB78DE5" w:rsidR="00F67632" w:rsidRDefault="00F67632" w:rsidP="009F65D5">
      <w:pPr>
        <w:pStyle w:val="BodyText"/>
      </w:pPr>
      <w:r w:rsidRPr="007C3C6E">
        <w:rPr>
          <w:b/>
        </w:rPr>
        <w:t>Treatment Status</w:t>
      </w:r>
      <w:r>
        <w:t xml:space="preserve"> –</w:t>
      </w:r>
      <w:r w:rsidR="007C3C6E">
        <w:t xml:space="preserve"> </w:t>
      </w:r>
      <w:r w:rsidRPr="00B1436A">
        <w:t>The current stage or status of dental treatment within a patient's care plan, indicating whether treatment is planned, in progress, completed, or deferred</w:t>
      </w:r>
      <w:r w:rsidR="007C3C6E">
        <w:t>.</w:t>
      </w:r>
    </w:p>
    <w:p w14:paraId="70297591" w14:textId="2B320B65" w:rsidR="00F67632" w:rsidRPr="00035AE4" w:rsidRDefault="00F67632" w:rsidP="00035AE4">
      <w:pPr>
        <w:pStyle w:val="Heading3"/>
        <w:numPr>
          <w:ilvl w:val="0"/>
          <w:numId w:val="0"/>
        </w:numPr>
      </w:pPr>
      <w:bookmarkStart w:id="362" w:name="_Toc166834436"/>
      <w:r w:rsidRPr="00035AE4">
        <w:rPr>
          <w:rStyle w:val="Heading4Char"/>
          <w:rFonts w:cs="Arial"/>
          <w:b/>
          <w:iCs w:val="0"/>
          <w:sz w:val="28"/>
          <w:szCs w:val="28"/>
        </w:rPr>
        <w:t>Revenue Cycle Management Terms</w:t>
      </w:r>
      <w:bookmarkEnd w:id="362"/>
    </w:p>
    <w:p w14:paraId="0190379C" w14:textId="1F543C4B" w:rsidR="00F67632" w:rsidRPr="007C3C6E" w:rsidRDefault="007C3C6E" w:rsidP="009F65D5">
      <w:pPr>
        <w:pStyle w:val="BodyText"/>
        <w:rPr>
          <w:iCs/>
        </w:rPr>
      </w:pPr>
      <w:r>
        <w:rPr>
          <w:iCs/>
        </w:rPr>
        <w:t>T</w:t>
      </w:r>
      <w:r w:rsidRPr="00A5592F">
        <w:rPr>
          <w:iCs/>
        </w:rPr>
        <w:t xml:space="preserve">erms and features </w:t>
      </w:r>
      <w:r>
        <w:rPr>
          <w:iCs/>
        </w:rPr>
        <w:t>for</w:t>
      </w:r>
      <w:r w:rsidRPr="00A5592F">
        <w:rPr>
          <w:iCs/>
        </w:rPr>
        <w:t xml:space="preserve"> the</w:t>
      </w:r>
      <w:r w:rsidR="00F67632" w:rsidRPr="007C3C6E">
        <w:rPr>
          <w:iCs/>
        </w:rPr>
        <w:t xml:space="preserve"> Revenue Cycle Management section</w:t>
      </w:r>
      <w:r>
        <w:rPr>
          <w:iCs/>
        </w:rPr>
        <w:t>:</w:t>
      </w:r>
    </w:p>
    <w:p w14:paraId="13C832B9" w14:textId="7B68896C" w:rsidR="00F67632" w:rsidRDefault="00F67632" w:rsidP="009F65D5">
      <w:pPr>
        <w:pStyle w:val="BodyText"/>
      </w:pPr>
      <w:r w:rsidRPr="001A368D">
        <w:rPr>
          <w:b/>
        </w:rPr>
        <w:t>Adjudicate</w:t>
      </w:r>
      <w:r>
        <w:t xml:space="preserve"> –</w:t>
      </w:r>
      <w:r w:rsidR="007C3C6E">
        <w:t xml:space="preserve"> </w:t>
      </w:r>
      <w:r w:rsidRPr="004C6BEC">
        <w:t>The process of evaluating and determining the validity, eligibility, and payment</w:t>
      </w:r>
      <w:r w:rsidR="00961B13">
        <w:t xml:space="preserve"> </w:t>
      </w:r>
      <w:r w:rsidRPr="004C6BEC">
        <w:t>status of a dental insurance claim by an insurance company, including assessing coverage, processing fees, and issuing payments</w:t>
      </w:r>
      <w:r w:rsidR="001A368D">
        <w:t>.</w:t>
      </w:r>
    </w:p>
    <w:p w14:paraId="1D7FE798" w14:textId="47DCC46E" w:rsidR="00F67632" w:rsidRDefault="00F67632" w:rsidP="009F65D5">
      <w:pPr>
        <w:pStyle w:val="BodyText"/>
      </w:pPr>
      <w:r w:rsidRPr="001A368D">
        <w:rPr>
          <w:b/>
        </w:rPr>
        <w:t>Adjustment Types</w:t>
      </w:r>
      <w:r>
        <w:t xml:space="preserve"> –</w:t>
      </w:r>
      <w:r w:rsidR="007C3C6E">
        <w:t xml:space="preserve"> </w:t>
      </w:r>
      <w:r w:rsidRPr="00B1436A">
        <w:t>Categories or classifications used to categorize financial adjustments made to patient accounts or insurance claims, such as write-offs, discounts, or contractual allowances</w:t>
      </w:r>
      <w:r w:rsidR="001A368D">
        <w:t>.</w:t>
      </w:r>
    </w:p>
    <w:p w14:paraId="2FDCBFB3" w14:textId="4D40BE99" w:rsidR="00F67632" w:rsidRDefault="00F67632" w:rsidP="009F65D5">
      <w:pPr>
        <w:pStyle w:val="BodyText"/>
      </w:pPr>
      <w:r w:rsidRPr="001A368D">
        <w:rPr>
          <w:b/>
        </w:rPr>
        <w:t>Allocate</w:t>
      </w:r>
      <w:r>
        <w:t xml:space="preserve"> – </w:t>
      </w:r>
      <w:r w:rsidRPr="004C6BEC">
        <w:t>The distribution or assignment of funds, resources, or payments to specific accounts, invoices, or</w:t>
      </w:r>
      <w:r>
        <w:t xml:space="preserve"> purposes</w:t>
      </w:r>
      <w:r w:rsidRPr="004C6BEC">
        <w:t>, ensuring accurate accounting and recordkeeping</w:t>
      </w:r>
      <w:r w:rsidR="001A368D">
        <w:t>.</w:t>
      </w:r>
    </w:p>
    <w:p w14:paraId="5ACA5DB9" w14:textId="31753C9C" w:rsidR="00F67632" w:rsidRDefault="00F67632" w:rsidP="009F65D5">
      <w:pPr>
        <w:pStyle w:val="BodyText"/>
      </w:pPr>
      <w:r w:rsidRPr="001A368D">
        <w:rPr>
          <w:b/>
        </w:rPr>
        <w:t>Auto Adjustment</w:t>
      </w:r>
      <w:r>
        <w:t xml:space="preserve"> –</w:t>
      </w:r>
      <w:r w:rsidR="007C3C6E">
        <w:t xml:space="preserve"> </w:t>
      </w:r>
      <w:r w:rsidRPr="00B1436A">
        <w:t>Automatic adjustments made to insurance claims based on predefined rules or criteria</w:t>
      </w:r>
      <w:r w:rsidR="001A368D">
        <w:t xml:space="preserve"> (</w:t>
      </w:r>
      <w:r w:rsidRPr="00B1436A">
        <w:t>such as contractual agreements, fee schedules, or coverage limitations</w:t>
      </w:r>
      <w:r w:rsidR="001A368D">
        <w:t xml:space="preserve">) </w:t>
      </w:r>
      <w:r w:rsidRPr="00B1436A">
        <w:t>to calculate patient responsibility and insurance payments accurately</w:t>
      </w:r>
      <w:r w:rsidR="001A368D">
        <w:t>.</w:t>
      </w:r>
    </w:p>
    <w:p w14:paraId="207A5CF3" w14:textId="6160639B" w:rsidR="00F67632" w:rsidRDefault="00F67632" w:rsidP="009F65D5">
      <w:pPr>
        <w:pStyle w:val="BodyText"/>
      </w:pPr>
      <w:r w:rsidRPr="001A368D">
        <w:rPr>
          <w:b/>
        </w:rPr>
        <w:t>Automated</w:t>
      </w:r>
      <w:r w:rsidRPr="00BB374B">
        <w:rPr>
          <w:bCs/>
        </w:rPr>
        <w:t xml:space="preserve"> </w:t>
      </w:r>
      <w:r>
        <w:t>–</w:t>
      </w:r>
      <w:r w:rsidR="007C3C6E">
        <w:t xml:space="preserve"> </w:t>
      </w:r>
      <w:r w:rsidRPr="004C6BEC">
        <w:t>Processes or tasks that are performed automatically or with minimal manual intervention</w:t>
      </w:r>
      <w:r w:rsidR="001A368D">
        <w:t>.</w:t>
      </w:r>
    </w:p>
    <w:p w14:paraId="401CA4FC" w14:textId="7D13D54F" w:rsidR="00F67632" w:rsidRDefault="00F67632" w:rsidP="009F65D5">
      <w:pPr>
        <w:pStyle w:val="BodyText"/>
      </w:pPr>
      <w:r w:rsidRPr="001A368D">
        <w:rPr>
          <w:b/>
        </w:rPr>
        <w:t>Back Date</w:t>
      </w:r>
      <w:r>
        <w:t xml:space="preserve"> –</w:t>
      </w:r>
      <w:r w:rsidR="007C3C6E">
        <w:t xml:space="preserve"> </w:t>
      </w:r>
      <w:r w:rsidRPr="004C6BEC">
        <w:t xml:space="preserve">Assigning a date to a dental transaction or activity that predates the </w:t>
      </w:r>
      <w:r>
        <w:t>current date</w:t>
      </w:r>
      <w:r w:rsidR="001A368D">
        <w:t>. This is o</w:t>
      </w:r>
      <w:r w:rsidRPr="004C6BEC">
        <w:t>ften done for administrative purposes or to correct errors in documentation</w:t>
      </w:r>
      <w:r w:rsidR="001A368D">
        <w:t>.</w:t>
      </w:r>
    </w:p>
    <w:p w14:paraId="564C60EC" w14:textId="2AFC1CD5" w:rsidR="00F67632" w:rsidRDefault="00F67632" w:rsidP="009F65D5">
      <w:pPr>
        <w:pStyle w:val="BodyText"/>
      </w:pPr>
      <w:r w:rsidRPr="001A368D">
        <w:rPr>
          <w:b/>
        </w:rPr>
        <w:t>Balance</w:t>
      </w:r>
      <w:r>
        <w:t xml:space="preserve"> – </w:t>
      </w:r>
      <w:r w:rsidRPr="004C6BEC">
        <w:t>The difference between credits and debits in a financial account or ledger, indicating the amount of funds available or owed</w:t>
      </w:r>
      <w:r w:rsidR="001A368D">
        <w:t>.</w:t>
      </w:r>
    </w:p>
    <w:p w14:paraId="3D1D8978" w14:textId="6AF71E80" w:rsidR="00F67632" w:rsidRDefault="00F67632" w:rsidP="009F65D5">
      <w:pPr>
        <w:pStyle w:val="BodyText"/>
      </w:pPr>
      <w:r w:rsidRPr="001A368D">
        <w:rPr>
          <w:b/>
        </w:rPr>
        <w:t>Batch Insurance Payment</w:t>
      </w:r>
      <w:r>
        <w:t xml:space="preserve"> – </w:t>
      </w:r>
      <w:r w:rsidRPr="004C6BEC">
        <w:t>A group or collection of dental insurance payments processed together in a single batch</w:t>
      </w:r>
      <w:r w:rsidR="001A368D">
        <w:t>. These are t</w:t>
      </w:r>
      <w:r w:rsidRPr="004C6BEC">
        <w:t>ypically organized by date, provider, or insurance company for accounting and reconciliation purposes</w:t>
      </w:r>
      <w:r w:rsidR="001A368D">
        <w:t>.</w:t>
      </w:r>
    </w:p>
    <w:p w14:paraId="0855FC3E" w14:textId="01FDA26A" w:rsidR="00F67632" w:rsidRDefault="00F67632" w:rsidP="009F65D5">
      <w:pPr>
        <w:pStyle w:val="BodyText"/>
      </w:pPr>
      <w:r w:rsidRPr="001A368D">
        <w:rPr>
          <w:b/>
        </w:rPr>
        <w:t>Benefit Renewal</w:t>
      </w:r>
      <w:r>
        <w:t xml:space="preserve"> </w:t>
      </w:r>
      <w:r w:rsidR="001A368D">
        <w:t xml:space="preserve">– </w:t>
      </w:r>
      <w:r w:rsidRPr="00B1436A">
        <w:t>The process of updating and renewing insurance benefits for covered individuals</w:t>
      </w:r>
      <w:r w:rsidR="001A368D">
        <w:t xml:space="preserve"> </w:t>
      </w:r>
      <w:r w:rsidRPr="00B1436A">
        <w:t>occurring annually or at specified intervals</w:t>
      </w:r>
      <w:r w:rsidR="001A368D">
        <w:t>.</w:t>
      </w:r>
    </w:p>
    <w:p w14:paraId="42F914E4" w14:textId="6958E5B1" w:rsidR="00F67632" w:rsidRDefault="00F67632" w:rsidP="009F65D5">
      <w:pPr>
        <w:pStyle w:val="BodyText"/>
      </w:pPr>
      <w:r w:rsidRPr="001A368D">
        <w:rPr>
          <w:b/>
        </w:rPr>
        <w:lastRenderedPageBreak/>
        <w:t>Billing Provider</w:t>
      </w:r>
      <w:r>
        <w:t xml:space="preserve"> – </w:t>
      </w:r>
      <w:r w:rsidRPr="00B1436A">
        <w:t>The dental entity or individual responsible for submitting insurance claims and receiving payments for services rendered</w:t>
      </w:r>
      <w:r w:rsidR="001A368D">
        <w:t>. This is t</w:t>
      </w:r>
      <w:r w:rsidRPr="00B1436A">
        <w:t>ypically the dental practice or provider performing the treatment</w:t>
      </w:r>
      <w:r w:rsidR="001A368D">
        <w:t>.</w:t>
      </w:r>
    </w:p>
    <w:p w14:paraId="5D947DDB" w14:textId="1270B841" w:rsidR="00F67632" w:rsidRDefault="00F67632" w:rsidP="009F65D5">
      <w:pPr>
        <w:pStyle w:val="BodyText"/>
      </w:pPr>
      <w:r w:rsidRPr="001A368D">
        <w:rPr>
          <w:b/>
        </w:rPr>
        <w:t>Bulk Insurance Payment</w:t>
      </w:r>
      <w:r>
        <w:t xml:space="preserve"> – </w:t>
      </w:r>
      <w:r w:rsidRPr="004C6BEC">
        <w:t>A large-scale payment from an insurance company to a dental provider for multiple claims or services rendered within a specified period</w:t>
      </w:r>
      <w:r w:rsidR="001A368D">
        <w:t>.</w:t>
      </w:r>
    </w:p>
    <w:p w14:paraId="4A752702" w14:textId="5B3A4621" w:rsidR="00F67632" w:rsidRDefault="00F67632" w:rsidP="009F65D5">
      <w:pPr>
        <w:pStyle w:val="BodyText"/>
      </w:pPr>
      <w:r w:rsidRPr="001A368D">
        <w:rPr>
          <w:b/>
        </w:rPr>
        <w:t>Cap Plan</w:t>
      </w:r>
      <w:r>
        <w:t xml:space="preserve"> </w:t>
      </w:r>
      <w:r w:rsidR="001A368D">
        <w:t xml:space="preserve">– </w:t>
      </w:r>
      <w:r w:rsidRPr="00B1436A">
        <w:t>A dental insurance plan that imposes a maximum limit or cap on the total benefits payable for covered services within a specified period</w:t>
      </w:r>
      <w:r w:rsidR="001A368D">
        <w:t>. This is o</w:t>
      </w:r>
      <w:r w:rsidRPr="00B1436A">
        <w:t>ften used to control costs and manage risk for insurance carriers</w:t>
      </w:r>
      <w:r w:rsidR="001A368D">
        <w:t>.</w:t>
      </w:r>
    </w:p>
    <w:p w14:paraId="6D29324E" w14:textId="52660283" w:rsidR="00F67632" w:rsidRDefault="00F67632" w:rsidP="009F65D5">
      <w:pPr>
        <w:pStyle w:val="BodyText"/>
      </w:pPr>
      <w:r w:rsidRPr="001A368D">
        <w:rPr>
          <w:b/>
        </w:rPr>
        <w:t>Carrier Name</w:t>
      </w:r>
      <w:r>
        <w:t xml:space="preserve"> – </w:t>
      </w:r>
      <w:r w:rsidRPr="00B1436A">
        <w:t>The name of the insurance company or carrier providing coverage for dental services</w:t>
      </w:r>
      <w:r w:rsidR="001A368D">
        <w:t xml:space="preserve">. This is </w:t>
      </w:r>
      <w:r w:rsidR="00961B13">
        <w:t xml:space="preserve">recorded </w:t>
      </w:r>
      <w:r w:rsidRPr="00B1436A">
        <w:t>in patient records and insurance claim submissions</w:t>
      </w:r>
      <w:r w:rsidR="001A368D">
        <w:t>.</w:t>
      </w:r>
    </w:p>
    <w:p w14:paraId="08E0A44D" w14:textId="65ED3651" w:rsidR="00F67632" w:rsidRDefault="00F67632" w:rsidP="009F65D5">
      <w:pPr>
        <w:pStyle w:val="BodyText"/>
      </w:pPr>
      <w:r w:rsidRPr="001A368D">
        <w:rPr>
          <w:b/>
        </w:rPr>
        <w:t>Charges</w:t>
      </w:r>
      <w:r w:rsidRPr="00BB374B">
        <w:rPr>
          <w:bCs/>
        </w:rPr>
        <w:t xml:space="preserve"> </w:t>
      </w:r>
      <w:r>
        <w:t>–</w:t>
      </w:r>
      <w:r w:rsidR="001A368D">
        <w:t xml:space="preserve"> </w:t>
      </w:r>
      <w:r w:rsidRPr="004C6BEC">
        <w:t>The fees or costs associated with dental services rendered to a patient</w:t>
      </w:r>
      <w:r w:rsidR="001A368D">
        <w:t>. These are</w:t>
      </w:r>
      <w:r w:rsidR="001A368D" w:rsidRPr="004C6BEC">
        <w:t xml:space="preserve"> </w:t>
      </w:r>
      <w:r w:rsidR="001A368D">
        <w:t>r</w:t>
      </w:r>
      <w:r w:rsidRPr="004C6BEC">
        <w:t xml:space="preserve">ecorded as line items in a patient's account or ledger </w:t>
      </w:r>
      <w:r w:rsidR="001A368D">
        <w:t xml:space="preserve">to </w:t>
      </w:r>
      <w:r w:rsidRPr="004C6BEC">
        <w:t>reflect the value of treatments provided</w:t>
      </w:r>
      <w:r w:rsidR="001A368D">
        <w:t>.</w:t>
      </w:r>
    </w:p>
    <w:p w14:paraId="0CC6F199" w14:textId="6EA16296" w:rsidR="00F67632" w:rsidRDefault="00F67632" w:rsidP="009F65D5">
      <w:pPr>
        <w:pStyle w:val="BodyText"/>
      </w:pPr>
      <w:r w:rsidRPr="001A368D">
        <w:rPr>
          <w:b/>
        </w:rPr>
        <w:t>Claim Denials</w:t>
      </w:r>
      <w:r>
        <w:t xml:space="preserve"> – </w:t>
      </w:r>
      <w:r w:rsidRPr="00B51D4F">
        <w:t>Notifications from insurance carriers indicating that dental insurance claims have been rejected or denied for reimbursement</w:t>
      </w:r>
      <w:r w:rsidR="001A368D">
        <w:t>. It is o</w:t>
      </w:r>
      <w:r>
        <w:t>ften</w:t>
      </w:r>
      <w:r w:rsidRPr="00B51D4F">
        <w:t xml:space="preserve"> </w:t>
      </w:r>
      <w:r w:rsidR="001A368D">
        <w:t>necessary to</w:t>
      </w:r>
      <w:r w:rsidRPr="00B51D4F">
        <w:t xml:space="preserve"> follow-up </w:t>
      </w:r>
      <w:r w:rsidR="001A368D">
        <w:t xml:space="preserve">with the carrier </w:t>
      </w:r>
      <w:r w:rsidRPr="00B51D4F">
        <w:t>to resolve issues and resubmit claims if necessary</w:t>
      </w:r>
      <w:r w:rsidR="001A368D">
        <w:t>.</w:t>
      </w:r>
    </w:p>
    <w:p w14:paraId="7A9629A2" w14:textId="40500E1A" w:rsidR="00F67632" w:rsidRDefault="00F67632" w:rsidP="009F65D5">
      <w:pPr>
        <w:pStyle w:val="BodyText"/>
      </w:pPr>
      <w:r w:rsidRPr="001A368D">
        <w:rPr>
          <w:b/>
        </w:rPr>
        <w:t>Claim Format</w:t>
      </w:r>
      <w:r>
        <w:t xml:space="preserve"> – </w:t>
      </w:r>
      <w:r w:rsidRPr="00B1436A">
        <w:t>The structure or layout of dental insurance claims submitted to insurance carriers, including required fields, codes, and formatting conventions</w:t>
      </w:r>
      <w:r w:rsidR="001A368D">
        <w:t>.</w:t>
      </w:r>
    </w:p>
    <w:p w14:paraId="5203A205" w14:textId="354B19D3" w:rsidR="00F67632" w:rsidRDefault="00F67632" w:rsidP="009F65D5">
      <w:pPr>
        <w:pStyle w:val="BodyText"/>
      </w:pPr>
      <w:r w:rsidRPr="001A368D">
        <w:rPr>
          <w:b/>
        </w:rPr>
        <w:t>Claim Management</w:t>
      </w:r>
      <w:r>
        <w:t xml:space="preserve"> – </w:t>
      </w:r>
      <w:r w:rsidRPr="00B1436A">
        <w:t>The process of handling and overseeing dental insurance claims from submission to reimbursement, including claim preparation, submission, tracking, follow-up, and resolution of issues</w:t>
      </w:r>
      <w:r w:rsidR="001A368D">
        <w:t>.</w:t>
      </w:r>
    </w:p>
    <w:p w14:paraId="66B39505" w14:textId="41706F0F" w:rsidR="00F67632" w:rsidRDefault="00F67632" w:rsidP="009F65D5">
      <w:pPr>
        <w:pStyle w:val="BodyText"/>
      </w:pPr>
      <w:r w:rsidRPr="001A368D">
        <w:rPr>
          <w:b/>
        </w:rPr>
        <w:t>Claim Notes</w:t>
      </w:r>
      <w:r>
        <w:t xml:space="preserve"> – </w:t>
      </w:r>
      <w:r w:rsidRPr="00B51D4F">
        <w:t>Additional information or comments associated with a dental insurance claim</w:t>
      </w:r>
      <w:r w:rsidR="001A368D">
        <w:t>. These notes are u</w:t>
      </w:r>
      <w:r w:rsidRPr="00B51D4F">
        <w:t>sed to document communication, actions taken, or follow-up needed regarding the claim</w:t>
      </w:r>
      <w:r w:rsidR="001A368D">
        <w:t>.</w:t>
      </w:r>
    </w:p>
    <w:p w14:paraId="1CC96EAC" w14:textId="22DED5A0" w:rsidR="00F67632" w:rsidRDefault="00F67632" w:rsidP="009F65D5">
      <w:pPr>
        <w:pStyle w:val="BodyText"/>
      </w:pPr>
      <w:r w:rsidRPr="001A368D">
        <w:rPr>
          <w:b/>
        </w:rPr>
        <w:t>Claim Payment</w:t>
      </w:r>
      <w:r>
        <w:t xml:space="preserve"> – </w:t>
      </w:r>
      <w:r w:rsidRPr="004C6BEC">
        <w:t>The amount paid by an insurance company to a dental provider for covered services rendered to a patient</w:t>
      </w:r>
      <w:r w:rsidR="001A368D">
        <w:t>. This is b</w:t>
      </w:r>
      <w:r w:rsidRPr="004C6BEC">
        <w:t>ased on the patient's insurance plan benefits and contractual agreements</w:t>
      </w:r>
      <w:r w:rsidR="001A368D">
        <w:t>.</w:t>
      </w:r>
    </w:p>
    <w:p w14:paraId="12BDE82D" w14:textId="59B61292" w:rsidR="00F67632" w:rsidRDefault="00F67632" w:rsidP="009F65D5">
      <w:pPr>
        <w:pStyle w:val="BodyText"/>
      </w:pPr>
      <w:r w:rsidRPr="001A368D">
        <w:rPr>
          <w:b/>
        </w:rPr>
        <w:t>Claim Setup</w:t>
      </w:r>
      <w:r>
        <w:t xml:space="preserve"> – </w:t>
      </w:r>
      <w:r w:rsidRPr="00B1436A">
        <w:t>The process of configuring and customizing settings for creating and submitting insurance claims, including payer details, fee schedules, and billing preferences</w:t>
      </w:r>
      <w:r w:rsidR="001A368D">
        <w:t>.</w:t>
      </w:r>
    </w:p>
    <w:p w14:paraId="5A5103B3" w14:textId="38F354C3" w:rsidR="00F67632" w:rsidRDefault="00F67632" w:rsidP="009F65D5">
      <w:pPr>
        <w:pStyle w:val="BodyText"/>
      </w:pPr>
      <w:r w:rsidRPr="001A368D">
        <w:rPr>
          <w:b/>
        </w:rPr>
        <w:t>Claim Status</w:t>
      </w:r>
      <w:r>
        <w:t xml:space="preserve"> – </w:t>
      </w:r>
      <w:r w:rsidRPr="00B51D4F">
        <w:t>The current stage or status of a dental insurance claim within the claims processing cycle, including pending, submitted, processed, paid, denied, or rejected</w:t>
      </w:r>
      <w:r w:rsidR="001A368D">
        <w:t>.</w:t>
      </w:r>
    </w:p>
    <w:p w14:paraId="356AA4E6" w14:textId="4D667323" w:rsidR="00F67632" w:rsidRDefault="00F67632" w:rsidP="009F65D5">
      <w:pPr>
        <w:pStyle w:val="BodyText"/>
      </w:pPr>
      <w:r w:rsidRPr="001A368D">
        <w:rPr>
          <w:b/>
        </w:rPr>
        <w:t>Claim Submission</w:t>
      </w:r>
      <w:r>
        <w:t xml:space="preserve"> –</w:t>
      </w:r>
      <w:r w:rsidR="001A368D">
        <w:t xml:space="preserve"> </w:t>
      </w:r>
      <w:r w:rsidRPr="00B1436A">
        <w:t>The process of transmitting dental insurance claims to insurance carriers for processing and reimbursement</w:t>
      </w:r>
      <w:r w:rsidR="001A368D">
        <w:t>. This is o</w:t>
      </w:r>
      <w:r>
        <w:t>ften</w:t>
      </w:r>
      <w:r w:rsidRPr="00B1436A">
        <w:t xml:space="preserve"> done electronically through a clearinghouse o</w:t>
      </w:r>
      <w:r w:rsidR="00961B13">
        <w:t xml:space="preserve">r </w:t>
      </w:r>
      <w:r w:rsidRPr="00B1436A">
        <w:t>directly to the insurance company</w:t>
      </w:r>
      <w:r w:rsidR="001A368D">
        <w:t>.</w:t>
      </w:r>
    </w:p>
    <w:p w14:paraId="304328B9" w14:textId="08BBFDCD" w:rsidR="00F67632" w:rsidRDefault="00F67632" w:rsidP="009F65D5">
      <w:pPr>
        <w:pStyle w:val="BodyText"/>
      </w:pPr>
      <w:r w:rsidRPr="001A368D">
        <w:rPr>
          <w:b/>
        </w:rPr>
        <w:t>Claim Tracking</w:t>
      </w:r>
      <w:r>
        <w:t xml:space="preserve"> – </w:t>
      </w:r>
      <w:r w:rsidRPr="00B51D4F">
        <w:t>The process of monitoring and managing the progress of dental insurance claims from submission to reimbursement</w:t>
      </w:r>
      <w:r w:rsidR="001A368D">
        <w:t>. You can use</w:t>
      </w:r>
      <w:r w:rsidRPr="00B51D4F">
        <w:t xml:space="preserve"> software tools or systems to track claim status and follow-up on outstanding claims</w:t>
      </w:r>
      <w:r w:rsidR="001A368D">
        <w:t>.</w:t>
      </w:r>
    </w:p>
    <w:p w14:paraId="664130F9" w14:textId="4406AAE1" w:rsidR="00F67632" w:rsidRDefault="00F67632" w:rsidP="009F65D5">
      <w:pPr>
        <w:pStyle w:val="BodyText"/>
      </w:pPr>
      <w:r w:rsidRPr="001A368D">
        <w:rPr>
          <w:b/>
        </w:rPr>
        <w:t>Claims Not Sent</w:t>
      </w:r>
      <w:r>
        <w:t xml:space="preserve"> – </w:t>
      </w:r>
      <w:r w:rsidRPr="00B51D4F">
        <w:t>Dental insurance claims that have not been submitted or transmitted to insurance carriers for processing</w:t>
      </w:r>
      <w:r w:rsidR="001A368D">
        <w:t xml:space="preserve"> and require</w:t>
      </w:r>
      <w:r w:rsidRPr="00B51D4F">
        <w:t xml:space="preserve"> action to initiate claim submission</w:t>
      </w:r>
      <w:r w:rsidR="001A368D">
        <w:t>s</w:t>
      </w:r>
      <w:r w:rsidRPr="00B51D4F">
        <w:t xml:space="preserve"> </w:t>
      </w:r>
      <w:r w:rsidR="001A368D">
        <w:t>or</w:t>
      </w:r>
      <w:r w:rsidRPr="00B51D4F">
        <w:t xml:space="preserve"> follow</w:t>
      </w:r>
      <w:r w:rsidR="001A368D">
        <w:t xml:space="preserve"> </w:t>
      </w:r>
      <w:r w:rsidRPr="00B51D4F">
        <w:t>up on outstanding claims</w:t>
      </w:r>
      <w:r w:rsidR="001A368D">
        <w:t>.</w:t>
      </w:r>
    </w:p>
    <w:p w14:paraId="2D92C914" w14:textId="0CB2F4F5" w:rsidR="00F67632" w:rsidRDefault="00F67632" w:rsidP="009F65D5">
      <w:pPr>
        <w:pStyle w:val="BodyText"/>
      </w:pPr>
      <w:r w:rsidRPr="001A368D">
        <w:rPr>
          <w:b/>
        </w:rPr>
        <w:t>Clean Claim</w:t>
      </w:r>
      <w:r>
        <w:t xml:space="preserve"> – </w:t>
      </w:r>
      <w:r w:rsidRPr="00B1436A">
        <w:t>An insurance claim that is complete, accurate, and free of errors or discrepancies</w:t>
      </w:r>
      <w:r w:rsidR="001A368D">
        <w:t>. The claim meets</w:t>
      </w:r>
      <w:r w:rsidRPr="00B1436A">
        <w:t xml:space="preserve"> all requirements for timely processing and reimbursement by insurance carriers</w:t>
      </w:r>
      <w:r w:rsidR="001A368D">
        <w:t>.</w:t>
      </w:r>
    </w:p>
    <w:p w14:paraId="63C5307C" w14:textId="486C1CCA" w:rsidR="00F67632" w:rsidRDefault="00F67632" w:rsidP="009F65D5">
      <w:pPr>
        <w:pStyle w:val="BodyText"/>
      </w:pPr>
      <w:r w:rsidRPr="001A368D">
        <w:rPr>
          <w:b/>
        </w:rPr>
        <w:t>Credit Balance</w:t>
      </w:r>
      <w:r>
        <w:t xml:space="preserve"> –</w:t>
      </w:r>
      <w:r w:rsidR="00961B13">
        <w:t xml:space="preserve"> </w:t>
      </w:r>
      <w:r w:rsidRPr="004C6BEC">
        <w:t xml:space="preserve">A </w:t>
      </w:r>
      <w:r>
        <w:t>negative</w:t>
      </w:r>
      <w:r w:rsidRPr="004C6BEC">
        <w:t xml:space="preserve"> balance in a patient's account resulting from overpayments, refunds, or adjustments, indicating funds available for future services or potential refunds</w:t>
      </w:r>
      <w:r w:rsidR="001A368D">
        <w:t>.</w:t>
      </w:r>
    </w:p>
    <w:p w14:paraId="45E68F1D" w14:textId="76995DA7" w:rsidR="00F67632" w:rsidRDefault="00F67632" w:rsidP="009F65D5">
      <w:pPr>
        <w:pStyle w:val="BodyText"/>
      </w:pPr>
      <w:r w:rsidRPr="001A368D">
        <w:rPr>
          <w:b/>
        </w:rPr>
        <w:t>Collection</w:t>
      </w:r>
      <w:r w:rsidRPr="00BB374B">
        <w:rPr>
          <w:bCs/>
        </w:rPr>
        <w:t xml:space="preserve"> </w:t>
      </w:r>
      <w:r>
        <w:t xml:space="preserve">– </w:t>
      </w:r>
      <w:r w:rsidRPr="004C6BEC">
        <w:t>The process of gathering or retrieving payments owed to a dental practice for services rendered, including follow-up on outstanding balances, pursuing overdue accounts, and managing debt recovery efforts</w:t>
      </w:r>
      <w:r w:rsidR="001A368D">
        <w:t>.</w:t>
      </w:r>
    </w:p>
    <w:p w14:paraId="42222F32" w14:textId="3F1D7016" w:rsidR="00F67632" w:rsidRDefault="00F67632" w:rsidP="009F65D5">
      <w:pPr>
        <w:pStyle w:val="BodyText"/>
      </w:pPr>
      <w:r w:rsidRPr="001A368D">
        <w:rPr>
          <w:b/>
        </w:rPr>
        <w:lastRenderedPageBreak/>
        <w:t>Co-Payment</w:t>
      </w:r>
      <w:r>
        <w:t xml:space="preserve"> – </w:t>
      </w:r>
      <w:r w:rsidRPr="00B1436A">
        <w:t xml:space="preserve">The fixed amount or percentage of the total cost of dental services that a patient is required </w:t>
      </w:r>
      <w:r w:rsidR="00961B13">
        <w:t>t</w:t>
      </w:r>
      <w:r w:rsidRPr="00B1436A">
        <w:t>o pay out of pocket at the time of service</w:t>
      </w:r>
      <w:r w:rsidR="001A368D">
        <w:t xml:space="preserve">. This is </w:t>
      </w:r>
      <w:r w:rsidRPr="00B1436A">
        <w:t>specified by the insurance plan or coverage agreement</w:t>
      </w:r>
      <w:r w:rsidR="001A368D">
        <w:t>.</w:t>
      </w:r>
    </w:p>
    <w:p w14:paraId="2E813444" w14:textId="74AABB90" w:rsidR="00F67632" w:rsidRDefault="00F67632" w:rsidP="009F65D5">
      <w:pPr>
        <w:pStyle w:val="BodyText"/>
      </w:pPr>
      <w:r w:rsidRPr="001A368D">
        <w:rPr>
          <w:b/>
        </w:rPr>
        <w:t>Components</w:t>
      </w:r>
      <w:r w:rsidRPr="00D80DDF">
        <w:rPr>
          <w:bCs/>
        </w:rPr>
        <w:t xml:space="preserve"> </w:t>
      </w:r>
      <w:r>
        <w:t xml:space="preserve">– </w:t>
      </w:r>
      <w:r w:rsidRPr="00B1436A">
        <w:t>Individual elements</w:t>
      </w:r>
      <w:r>
        <w:t xml:space="preserve"> </w:t>
      </w:r>
      <w:r w:rsidRPr="00B1436A">
        <w:t>that perform specific functions or tasks, such as modules, features, or tools</w:t>
      </w:r>
      <w:r w:rsidR="001A368D">
        <w:t>.</w:t>
      </w:r>
    </w:p>
    <w:p w14:paraId="0C994CCC" w14:textId="376CF39E" w:rsidR="00F67632" w:rsidRDefault="00F67632" w:rsidP="009F65D5">
      <w:pPr>
        <w:pStyle w:val="BodyText"/>
      </w:pPr>
      <w:r w:rsidRPr="001A368D">
        <w:rPr>
          <w:b/>
        </w:rPr>
        <w:t>Coverage Table</w:t>
      </w:r>
      <w:r>
        <w:t xml:space="preserve"> </w:t>
      </w:r>
      <w:r w:rsidR="001A368D">
        <w:t xml:space="preserve">– </w:t>
      </w:r>
      <w:r w:rsidRPr="00B1436A">
        <w:t>A reference table that outlines the details of insurance coverage for specific procedures, including benefit amounts, limitations, and exclusions for different types of</w:t>
      </w:r>
      <w:r w:rsidR="00961B13">
        <w:t xml:space="preserve"> </w:t>
      </w:r>
      <w:r w:rsidRPr="00B1436A">
        <w:t>treatments</w:t>
      </w:r>
      <w:r w:rsidR="001A368D">
        <w:t>.</w:t>
      </w:r>
    </w:p>
    <w:p w14:paraId="2DBFB014" w14:textId="47EAF289" w:rsidR="00F67632" w:rsidRDefault="00F67632" w:rsidP="009F65D5">
      <w:pPr>
        <w:pStyle w:val="BodyText"/>
      </w:pPr>
      <w:r w:rsidRPr="001A368D">
        <w:rPr>
          <w:b/>
        </w:rPr>
        <w:t>Credit</w:t>
      </w:r>
      <w:r>
        <w:t xml:space="preserve"> – </w:t>
      </w:r>
      <w:r w:rsidRPr="004C6BEC">
        <w:t xml:space="preserve">A financial transaction that results in the </w:t>
      </w:r>
      <w:r>
        <w:t>reduction of the</w:t>
      </w:r>
      <w:r w:rsidRPr="004C6BEC">
        <w:t xml:space="preserve"> account balance, such as when a payment is received from an insurance company</w:t>
      </w:r>
      <w:r w:rsidR="001A368D">
        <w:t>.</w:t>
      </w:r>
    </w:p>
    <w:p w14:paraId="05949ADF" w14:textId="6320249D" w:rsidR="00F67632" w:rsidRDefault="00F67632" w:rsidP="009F65D5">
      <w:pPr>
        <w:pStyle w:val="BodyText"/>
      </w:pPr>
      <w:r w:rsidRPr="001A368D">
        <w:rPr>
          <w:b/>
        </w:rPr>
        <w:t>Debit</w:t>
      </w:r>
      <w:r w:rsidRPr="00BB374B">
        <w:rPr>
          <w:bCs/>
        </w:rPr>
        <w:t xml:space="preserve"> </w:t>
      </w:r>
      <w:r>
        <w:t xml:space="preserve">– </w:t>
      </w:r>
      <w:r w:rsidRPr="004C6BEC">
        <w:t xml:space="preserve">A financial transaction that results in the </w:t>
      </w:r>
      <w:r>
        <w:t>addition</w:t>
      </w:r>
      <w:r w:rsidRPr="004C6BEC">
        <w:t xml:space="preserve"> </w:t>
      </w:r>
      <w:r>
        <w:t>to the</w:t>
      </w:r>
      <w:r w:rsidRPr="004C6BEC">
        <w:t xml:space="preserve"> account balance, such as when a </w:t>
      </w:r>
      <w:r>
        <w:t>refund is issued</w:t>
      </w:r>
      <w:r w:rsidR="001A368D">
        <w:t>.</w:t>
      </w:r>
    </w:p>
    <w:p w14:paraId="4FB0A8B8" w14:textId="0C64D989" w:rsidR="00F67632" w:rsidRDefault="00F67632" w:rsidP="009F65D5">
      <w:pPr>
        <w:pStyle w:val="BodyText"/>
      </w:pPr>
      <w:r w:rsidRPr="001A368D">
        <w:rPr>
          <w:b/>
        </w:rPr>
        <w:t>Defaults</w:t>
      </w:r>
      <w:r w:rsidRPr="00D80DDF">
        <w:rPr>
          <w:bCs/>
        </w:rPr>
        <w:t xml:space="preserve"> </w:t>
      </w:r>
      <w:r>
        <w:t xml:space="preserve">– </w:t>
      </w:r>
      <w:r w:rsidRPr="00B1436A">
        <w:t>Default settings or values preconfigured within dental software to streamline processes or ensure consistency</w:t>
      </w:r>
      <w:r w:rsidR="001F186F">
        <w:t>. These are o</w:t>
      </w:r>
      <w:r w:rsidRPr="00B1436A">
        <w:t>ften used for appointment scheduling, billing, or treatment planning</w:t>
      </w:r>
      <w:r w:rsidR="001A368D">
        <w:t>.</w:t>
      </w:r>
    </w:p>
    <w:p w14:paraId="526003CB" w14:textId="25CCA31D" w:rsidR="00F67632" w:rsidRDefault="00F67632" w:rsidP="009F65D5">
      <w:pPr>
        <w:pStyle w:val="BodyText"/>
      </w:pPr>
      <w:r w:rsidRPr="001F186F">
        <w:rPr>
          <w:b/>
        </w:rPr>
        <w:t>Dental Claim: Primary</w:t>
      </w:r>
      <w:r>
        <w:t xml:space="preserve"> – </w:t>
      </w:r>
      <w:r w:rsidRPr="00B51D4F">
        <w:t>The initial dental insurance claim submitted to the patient's primary insurance carrier for reimbursement of covered dental services</w:t>
      </w:r>
      <w:r w:rsidR="001F186F">
        <w:t>. This is often</w:t>
      </w:r>
      <w:r w:rsidRPr="00B51D4F">
        <w:t xml:space="preserve"> the first step in the claims process</w:t>
      </w:r>
      <w:r w:rsidR="001A368D">
        <w:t>.</w:t>
      </w:r>
    </w:p>
    <w:p w14:paraId="4A75A68D" w14:textId="280C1933" w:rsidR="00F67632" w:rsidRDefault="00F67632" w:rsidP="009F65D5">
      <w:pPr>
        <w:pStyle w:val="BodyText"/>
      </w:pPr>
      <w:r w:rsidRPr="001F186F">
        <w:rPr>
          <w:b/>
        </w:rPr>
        <w:t>Dental Claim: Secondary</w:t>
      </w:r>
      <w:r>
        <w:t xml:space="preserve"> – </w:t>
      </w:r>
      <w:r w:rsidRPr="00B51D4F">
        <w:t>A dental insurance claim submitted to a secondary insurance carrier after the primary carrier has processed the claim</w:t>
      </w:r>
      <w:r w:rsidR="001F186F">
        <w:t>. This is t</w:t>
      </w:r>
      <w:r w:rsidRPr="00B51D4F">
        <w:t>ypically to cover any remaining balance or to coordinate benefits between multiple insurance plans</w:t>
      </w:r>
      <w:r w:rsidR="001A368D">
        <w:t>.</w:t>
      </w:r>
    </w:p>
    <w:p w14:paraId="2E90D13C" w14:textId="7406935D" w:rsidR="00F67632" w:rsidRDefault="00F67632" w:rsidP="009F65D5">
      <w:pPr>
        <w:pStyle w:val="BodyText"/>
      </w:pPr>
      <w:r w:rsidRPr="001F186F">
        <w:rPr>
          <w:b/>
        </w:rPr>
        <w:t>Dental Claim: Tertiary</w:t>
      </w:r>
      <w:r>
        <w:t xml:space="preserve"> – </w:t>
      </w:r>
      <w:r w:rsidRPr="00B51D4F">
        <w:t>A dental insurance claim submitted to a third insurance carrier if the patient is covered by additional insurance plans beyond the primary and secondary carriers</w:t>
      </w:r>
      <w:r w:rsidR="001A368D">
        <w:t>.</w:t>
      </w:r>
    </w:p>
    <w:p w14:paraId="469195DD" w14:textId="3B505377" w:rsidR="00F67632" w:rsidRDefault="00F67632" w:rsidP="009F65D5">
      <w:pPr>
        <w:pStyle w:val="BodyText"/>
      </w:pPr>
      <w:r w:rsidRPr="001F186F">
        <w:rPr>
          <w:b/>
        </w:rPr>
        <w:t>Dental Claim: Quaternary</w:t>
      </w:r>
      <w:r>
        <w:t xml:space="preserve"> – </w:t>
      </w:r>
      <w:r w:rsidRPr="00B51D4F">
        <w:t>A dental insurance claim submitted to a fourth insurance carrier if the patient has coverage under multiple insurance plans beyond the primary, secondary, and tertiary carriers</w:t>
      </w:r>
      <w:r w:rsidR="001A368D">
        <w:t>.</w:t>
      </w:r>
    </w:p>
    <w:p w14:paraId="7894E006" w14:textId="02A2B56C" w:rsidR="00F67632" w:rsidRDefault="00F67632" w:rsidP="009F65D5">
      <w:pPr>
        <w:pStyle w:val="BodyText"/>
      </w:pPr>
      <w:r w:rsidRPr="001F186F">
        <w:rPr>
          <w:b/>
        </w:rPr>
        <w:t>Dental Entity</w:t>
      </w:r>
      <w:r>
        <w:t xml:space="preserve"> – </w:t>
      </w:r>
      <w:r w:rsidRPr="00B51D4F">
        <w:t xml:space="preserve">Any individual or organization involved in providing dental services, including dental practices, clinics, dental laboratories, and dental professionals </w:t>
      </w:r>
      <w:r w:rsidR="001F186F">
        <w:t>(</w:t>
      </w:r>
      <w:r w:rsidRPr="00B51D4F">
        <w:t>such as dentists, hygienists, and assistants</w:t>
      </w:r>
      <w:r w:rsidR="001F186F">
        <w:t>)</w:t>
      </w:r>
      <w:r w:rsidR="001A368D">
        <w:t>.</w:t>
      </w:r>
    </w:p>
    <w:p w14:paraId="36FCFF00" w14:textId="0E1E4078" w:rsidR="00F67632" w:rsidRDefault="00F67632" w:rsidP="009F65D5">
      <w:pPr>
        <w:pStyle w:val="BodyText"/>
      </w:pPr>
      <w:r w:rsidRPr="001F186F">
        <w:rPr>
          <w:b/>
        </w:rPr>
        <w:t>Do Not Bill</w:t>
      </w:r>
      <w:r>
        <w:t xml:space="preserve"> –</w:t>
      </w:r>
      <w:r w:rsidR="001F186F">
        <w:t xml:space="preserve"> </w:t>
      </w:r>
      <w:r w:rsidRPr="00B51D4F">
        <w:t xml:space="preserve">A designation or instruction that certain services or procedures should not be billed to </w:t>
      </w:r>
      <w:r w:rsidR="001F186F">
        <w:t xml:space="preserve">the </w:t>
      </w:r>
      <w:r w:rsidRPr="00B51D4F">
        <w:t>insurance carrier</w:t>
      </w:r>
      <w:r w:rsidR="001F186F">
        <w:t>. This is o</w:t>
      </w:r>
      <w:r w:rsidRPr="00B51D4F">
        <w:t>ften due to contractual agreements or billing restrictions</w:t>
      </w:r>
      <w:r w:rsidR="001A368D">
        <w:t>.</w:t>
      </w:r>
    </w:p>
    <w:p w14:paraId="0B48E00E" w14:textId="3638DD03" w:rsidR="00F67632" w:rsidRDefault="00F67632" w:rsidP="009F65D5">
      <w:pPr>
        <w:pStyle w:val="BodyText"/>
      </w:pPr>
      <w:r w:rsidRPr="001F186F">
        <w:rPr>
          <w:b/>
        </w:rPr>
        <w:t>eCentral Insurance Manager</w:t>
      </w:r>
      <w:r>
        <w:t xml:space="preserve"> – </w:t>
      </w:r>
      <w:r w:rsidRPr="00B51D4F">
        <w:t>A feature that enables electronic management and processing of dental insurance claims, including submission, tracking, and reconciliation</w:t>
      </w:r>
      <w:r w:rsidR="001A368D">
        <w:t>.</w:t>
      </w:r>
    </w:p>
    <w:p w14:paraId="69FDF205" w14:textId="497E921C" w:rsidR="00F67632" w:rsidRDefault="00F67632" w:rsidP="009F65D5">
      <w:pPr>
        <w:pStyle w:val="BodyText"/>
      </w:pPr>
      <w:r w:rsidRPr="001F186F">
        <w:rPr>
          <w:b/>
        </w:rPr>
        <w:t>eClaims</w:t>
      </w:r>
      <w:r>
        <w:t xml:space="preserve"> – </w:t>
      </w:r>
      <w:r w:rsidRPr="00B1436A">
        <w:t>Electronic dental insurance claims submitted electronically to insurance carriers for processing and reimbursement</w:t>
      </w:r>
      <w:r w:rsidR="001F186F">
        <w:t xml:space="preserve">. Claims are sent </w:t>
      </w:r>
      <w:r w:rsidRPr="00B1436A">
        <w:t>using standardized formats and protocols for transmission</w:t>
      </w:r>
      <w:r w:rsidR="001A368D">
        <w:t>.</w:t>
      </w:r>
    </w:p>
    <w:p w14:paraId="379FC145" w14:textId="58CE00A0" w:rsidR="00F67632" w:rsidRDefault="00F67632" w:rsidP="009F65D5">
      <w:pPr>
        <w:pStyle w:val="BodyText"/>
      </w:pPr>
      <w:r w:rsidRPr="001F186F">
        <w:rPr>
          <w:b/>
        </w:rPr>
        <w:t>Employer</w:t>
      </w:r>
      <w:r w:rsidRPr="00D80DDF">
        <w:rPr>
          <w:bCs/>
        </w:rPr>
        <w:t xml:space="preserve"> </w:t>
      </w:r>
      <w:r>
        <w:t xml:space="preserve">– </w:t>
      </w:r>
      <w:r w:rsidRPr="00B1436A">
        <w:t>The organization or company that sponsors and provides dental insurance coverage to its employees as part of an employee benefits package</w:t>
      </w:r>
      <w:r w:rsidR="001A368D">
        <w:t>.</w:t>
      </w:r>
    </w:p>
    <w:p w14:paraId="00BE8DEC" w14:textId="4628691E" w:rsidR="00F67632" w:rsidRDefault="00F67632" w:rsidP="009F65D5">
      <w:pPr>
        <w:pStyle w:val="BodyText"/>
      </w:pPr>
      <w:r w:rsidRPr="001F186F">
        <w:rPr>
          <w:b/>
        </w:rPr>
        <w:t>Group Number</w:t>
      </w:r>
      <w:r>
        <w:t xml:space="preserve"> –</w:t>
      </w:r>
      <w:r w:rsidR="001A368D">
        <w:t xml:space="preserve"> </w:t>
      </w:r>
      <w:r w:rsidRPr="00B1436A">
        <w:t>A unique identifier assigned to a specific group insurance plan within a dental insurance carrier's system</w:t>
      </w:r>
      <w:r w:rsidR="001F186F">
        <w:t xml:space="preserve">. It is </w:t>
      </w:r>
      <w:r w:rsidRPr="00B1436A">
        <w:t>used to associate individuals with their group coverage</w:t>
      </w:r>
      <w:r w:rsidR="001A368D">
        <w:t>.</w:t>
      </w:r>
    </w:p>
    <w:p w14:paraId="158482C2" w14:textId="308605EB" w:rsidR="00F67632" w:rsidRDefault="00F67632" w:rsidP="009F65D5">
      <w:pPr>
        <w:pStyle w:val="BodyText"/>
      </w:pPr>
      <w:r w:rsidRPr="001F186F">
        <w:rPr>
          <w:b/>
        </w:rPr>
        <w:t>Group Plan</w:t>
      </w:r>
      <w:r>
        <w:t xml:space="preserve"> –</w:t>
      </w:r>
      <w:r w:rsidR="001A368D">
        <w:t xml:space="preserve"> </w:t>
      </w:r>
      <w:r w:rsidRPr="00B1436A">
        <w:t xml:space="preserve">An insurance plan provided to a group of individuals, </w:t>
      </w:r>
      <w:r w:rsidR="001F186F">
        <w:t xml:space="preserve">which are </w:t>
      </w:r>
      <w:r w:rsidRPr="00B1436A">
        <w:t>typically employees of a company or members of an organization</w:t>
      </w:r>
      <w:r w:rsidR="001A368D">
        <w:t>.</w:t>
      </w:r>
    </w:p>
    <w:p w14:paraId="64C3C82F" w14:textId="1CFD0714" w:rsidR="00F67632" w:rsidRDefault="00F67632" w:rsidP="009F65D5">
      <w:pPr>
        <w:pStyle w:val="BodyText"/>
      </w:pPr>
      <w:r w:rsidRPr="001F186F">
        <w:rPr>
          <w:b/>
        </w:rPr>
        <w:t>In History</w:t>
      </w:r>
      <w:r>
        <w:t xml:space="preserve"> – </w:t>
      </w:r>
      <w:r w:rsidRPr="004C6BEC">
        <w:t>Referring to dental transactions or activities that have occurred in the past and are no longer active or pending</w:t>
      </w:r>
      <w:r w:rsidR="001F186F">
        <w:t>. T</w:t>
      </w:r>
      <w:r>
        <w:t>ransactions are</w:t>
      </w:r>
      <w:r w:rsidRPr="004C6BEC">
        <w:t xml:space="preserve"> archived or stored for reference</w:t>
      </w:r>
      <w:r w:rsidR="001A368D">
        <w:t>.</w:t>
      </w:r>
    </w:p>
    <w:p w14:paraId="48FEA7FC" w14:textId="7D4DC497" w:rsidR="00F67632" w:rsidRDefault="00F67632" w:rsidP="009F65D5">
      <w:pPr>
        <w:pStyle w:val="BodyText"/>
      </w:pPr>
      <w:r w:rsidRPr="001F186F">
        <w:rPr>
          <w:b/>
        </w:rPr>
        <w:t>Insurance Coverage</w:t>
      </w:r>
      <w:r>
        <w:t xml:space="preserve"> – </w:t>
      </w:r>
      <w:r w:rsidRPr="00B1436A">
        <w:t>The extent or scope of dental services covered by a patient's insurance plan, including benefits, limitations, exclusions, and reimbursement rates</w:t>
      </w:r>
      <w:r w:rsidR="001A368D">
        <w:t>.</w:t>
      </w:r>
    </w:p>
    <w:p w14:paraId="697ED5D8" w14:textId="1DEA573A" w:rsidR="00F67632" w:rsidRDefault="00F67632" w:rsidP="009F65D5">
      <w:pPr>
        <w:pStyle w:val="BodyText"/>
      </w:pPr>
      <w:r w:rsidRPr="001F186F">
        <w:rPr>
          <w:b/>
        </w:rPr>
        <w:lastRenderedPageBreak/>
        <w:t>Insurance Data</w:t>
      </w:r>
      <w:r>
        <w:t xml:space="preserve"> –</w:t>
      </w:r>
      <w:r w:rsidR="001A368D">
        <w:t xml:space="preserve"> </w:t>
      </w:r>
      <w:r w:rsidRPr="00B1436A">
        <w:t>Information related to patient insurance coverage, carriers, policies, and claims stored for reference and billing purposes</w:t>
      </w:r>
      <w:r w:rsidR="001A368D">
        <w:t>.</w:t>
      </w:r>
    </w:p>
    <w:p w14:paraId="0EA2AE98" w14:textId="69949FB4" w:rsidR="00F67632" w:rsidRDefault="00F67632" w:rsidP="009F65D5">
      <w:pPr>
        <w:pStyle w:val="BodyText"/>
      </w:pPr>
      <w:r w:rsidRPr="001F186F">
        <w:rPr>
          <w:b/>
        </w:rPr>
        <w:t>Insurance Plan Claim Settings</w:t>
      </w:r>
      <w:r>
        <w:t xml:space="preserve"> – </w:t>
      </w:r>
      <w:r w:rsidRPr="00B1436A">
        <w:t>Configuration options that define how insurance claims are processed and billed according to specific insurance plans, including fee schedules, coverage rules, and claim submission preferences</w:t>
      </w:r>
      <w:r w:rsidR="001F186F">
        <w:t>.</w:t>
      </w:r>
    </w:p>
    <w:p w14:paraId="1213C409" w14:textId="05BFB0D5" w:rsidR="00F67632" w:rsidRDefault="00F67632" w:rsidP="009F65D5">
      <w:pPr>
        <w:pStyle w:val="BodyText"/>
      </w:pPr>
      <w:r w:rsidRPr="001F186F">
        <w:rPr>
          <w:b/>
        </w:rPr>
        <w:t>Insurance Override</w:t>
      </w:r>
      <w:r>
        <w:t xml:space="preserve"> – </w:t>
      </w:r>
      <w:r w:rsidRPr="00B1436A">
        <w:t>Manual adjustments made to insurance claims to override automated calculations or settings, typically used to accommodate special circumstances, correct errors, or apply contractual agreements</w:t>
      </w:r>
      <w:r w:rsidR="001F186F">
        <w:t>.</w:t>
      </w:r>
    </w:p>
    <w:p w14:paraId="09A9780C" w14:textId="051A59F0" w:rsidR="00F67632" w:rsidRDefault="00F67632" w:rsidP="009F65D5">
      <w:pPr>
        <w:pStyle w:val="BodyText"/>
      </w:pPr>
      <w:r w:rsidRPr="001F186F">
        <w:rPr>
          <w:b/>
        </w:rPr>
        <w:t>Insurance Tags</w:t>
      </w:r>
      <w:r>
        <w:t xml:space="preserve"> –</w:t>
      </w:r>
      <w:r w:rsidR="001F186F">
        <w:t xml:space="preserve"> </w:t>
      </w:r>
      <w:r w:rsidRPr="00B1436A">
        <w:t>Labels or identifiers used to categorize and organize insurance-related information, such as patient insurance plans, carriers, or policy details</w:t>
      </w:r>
      <w:r w:rsidR="001F186F">
        <w:t>.</w:t>
      </w:r>
    </w:p>
    <w:p w14:paraId="4F9C95B4" w14:textId="4B23175F" w:rsidR="00F67632" w:rsidRDefault="00F67632" w:rsidP="009F65D5">
      <w:pPr>
        <w:pStyle w:val="BodyText"/>
      </w:pPr>
      <w:r w:rsidRPr="001F186F">
        <w:rPr>
          <w:b/>
        </w:rPr>
        <w:t>Integrated</w:t>
      </w:r>
      <w:r>
        <w:t xml:space="preserve"> – </w:t>
      </w:r>
      <w:r w:rsidRPr="004C6BEC">
        <w:t>Referring to systems or processes that are interconnected or unified, such as integrated dental software that combines various functions like scheduling, billing, and patient records into a single platform for seamless workflow management</w:t>
      </w:r>
      <w:r w:rsidR="001F186F">
        <w:t>.</w:t>
      </w:r>
    </w:p>
    <w:p w14:paraId="3905F43A" w14:textId="0A10CC61" w:rsidR="00F67632" w:rsidRDefault="00F67632" w:rsidP="009F65D5">
      <w:pPr>
        <w:pStyle w:val="BodyText"/>
      </w:pPr>
      <w:r w:rsidRPr="001F186F">
        <w:rPr>
          <w:b/>
        </w:rPr>
        <w:t>Insurance Claims Aging</w:t>
      </w:r>
      <w:r>
        <w:t xml:space="preserve"> – </w:t>
      </w:r>
      <w:r w:rsidRPr="00B51D4F">
        <w:t>The process of analyzing and monitoring the aging of dental insurance claims based on the length of time elapsed since submission</w:t>
      </w:r>
      <w:r w:rsidR="001F186F">
        <w:t>. This is u</w:t>
      </w:r>
      <w:r w:rsidRPr="00B51D4F">
        <w:t>sed to identify and address overdue or unresolved claims</w:t>
      </w:r>
      <w:r w:rsidR="001F186F">
        <w:t>.</w:t>
      </w:r>
    </w:p>
    <w:p w14:paraId="5ACB3844" w14:textId="69756056" w:rsidR="00F67632" w:rsidRDefault="00F67632" w:rsidP="009F65D5">
      <w:pPr>
        <w:pStyle w:val="BodyText"/>
      </w:pPr>
      <w:r w:rsidRPr="001F186F">
        <w:rPr>
          <w:b/>
        </w:rPr>
        <w:t>Insurance Overpayment</w:t>
      </w:r>
      <w:r>
        <w:t xml:space="preserve"> – </w:t>
      </w:r>
      <w:r w:rsidRPr="004C6BEC">
        <w:t>An excess payment received from an insurance company for dental services rendered</w:t>
      </w:r>
      <w:r w:rsidR="001F186F">
        <w:t>, which result</w:t>
      </w:r>
      <w:r w:rsidRPr="004C6BEC">
        <w:t xml:space="preserve"> from billing errors or duplicate payments</w:t>
      </w:r>
      <w:r w:rsidR="001F186F">
        <w:t>.</w:t>
      </w:r>
    </w:p>
    <w:p w14:paraId="777BC4D2" w14:textId="5BAC512D" w:rsidR="00F67632" w:rsidRDefault="00F67632" w:rsidP="009F65D5">
      <w:pPr>
        <w:pStyle w:val="BodyText"/>
      </w:pPr>
      <w:r w:rsidRPr="001F186F">
        <w:rPr>
          <w:b/>
        </w:rPr>
        <w:t>Insurance Underpayment</w:t>
      </w:r>
      <w:r>
        <w:t xml:space="preserve"> – </w:t>
      </w:r>
      <w:r w:rsidRPr="004C6BEC">
        <w:t>A payment received from an insurance company for dental services rendered that is less than the expected or contracted amount</w:t>
      </w:r>
      <w:r w:rsidR="001F186F">
        <w:t>.</w:t>
      </w:r>
    </w:p>
    <w:p w14:paraId="0EE945C5" w14:textId="1A1A522C" w:rsidR="00F67632" w:rsidRDefault="00F67632" w:rsidP="009F65D5">
      <w:pPr>
        <w:pStyle w:val="BodyText"/>
      </w:pPr>
      <w:r w:rsidRPr="001F186F">
        <w:rPr>
          <w:b/>
        </w:rPr>
        <w:t>Last Update</w:t>
      </w:r>
      <w:r>
        <w:t xml:space="preserve"> – </w:t>
      </w:r>
      <w:r w:rsidRPr="00B1436A">
        <w:t>The most recent date or time when information was modified, edited, or updated</w:t>
      </w:r>
      <w:r w:rsidR="001F186F">
        <w:t>. This is o</w:t>
      </w:r>
      <w:r w:rsidRPr="00B1436A">
        <w:t>ften used for tracking changes and version control</w:t>
      </w:r>
      <w:r w:rsidR="001F186F">
        <w:t>.</w:t>
      </w:r>
    </w:p>
    <w:p w14:paraId="252FE277" w14:textId="7A6D9905" w:rsidR="00F67632" w:rsidRDefault="00F67632" w:rsidP="009F65D5">
      <w:pPr>
        <w:pStyle w:val="BodyText"/>
      </w:pPr>
      <w:r w:rsidRPr="001F186F">
        <w:rPr>
          <w:b/>
        </w:rPr>
        <w:t>Ledger</w:t>
      </w:r>
      <w:r>
        <w:t xml:space="preserve"> – </w:t>
      </w:r>
      <w:r w:rsidRPr="004C6BEC">
        <w:t>A record or account that tracks financial transactions, charges, payments, and balances associated with a patient's account or a dental practice's financial activities</w:t>
      </w:r>
      <w:r w:rsidR="001F186F">
        <w:t>.</w:t>
      </w:r>
    </w:p>
    <w:p w14:paraId="3987F996" w14:textId="599457B7" w:rsidR="00F67632" w:rsidRDefault="00F67632" w:rsidP="009F65D5">
      <w:pPr>
        <w:pStyle w:val="BodyText"/>
      </w:pPr>
      <w:r w:rsidRPr="001F186F">
        <w:rPr>
          <w:b/>
        </w:rPr>
        <w:t>Line-Item Accounting</w:t>
      </w:r>
      <w:r>
        <w:t xml:space="preserve"> – </w:t>
      </w:r>
      <w:r w:rsidRPr="00B1436A">
        <w:t>A method of accounting for dental services and transactions that tracks individual line items or charges separately, allowing for detailed analysis and reporting of revenue, expenses, and reimbursements</w:t>
      </w:r>
      <w:r w:rsidR="001F186F">
        <w:t>.</w:t>
      </w:r>
    </w:p>
    <w:p w14:paraId="0BED28D2" w14:textId="2AF5EDE9" w:rsidR="00F67632" w:rsidRDefault="00F67632" w:rsidP="009F65D5">
      <w:pPr>
        <w:pStyle w:val="BodyText"/>
      </w:pPr>
      <w:r w:rsidRPr="001F186F">
        <w:rPr>
          <w:b/>
        </w:rPr>
        <w:t>Medical Claim</w:t>
      </w:r>
      <w:r>
        <w:t xml:space="preserve"> – </w:t>
      </w:r>
      <w:r w:rsidRPr="00B51D4F">
        <w:t>A claim submitted to a patient's medical insurance carrier for reimbursement of dental services that are medically necessary or related to a covered medical condition</w:t>
      </w:r>
      <w:r w:rsidR="001F186F">
        <w:t>.</w:t>
      </w:r>
    </w:p>
    <w:p w14:paraId="2E1DB3B8" w14:textId="2B96FE64" w:rsidR="00F67632" w:rsidRDefault="00F67632" w:rsidP="009F65D5">
      <w:pPr>
        <w:pStyle w:val="BodyText"/>
      </w:pPr>
      <w:r w:rsidRPr="001F186F">
        <w:rPr>
          <w:b/>
        </w:rPr>
        <w:t>No Surprise Act</w:t>
      </w:r>
      <w:r>
        <w:t xml:space="preserve"> – </w:t>
      </w:r>
      <w:r w:rsidRPr="00B1436A">
        <w:t>Legislation aimed at protecting patients from unexpected medical bills by requiring healthcare providers to disclose and obtain consent for out-of-network services and charges, ensuring transparency and fairness in healthcare billing</w:t>
      </w:r>
      <w:r w:rsidR="001F186F">
        <w:t>.</w:t>
      </w:r>
    </w:p>
    <w:p w14:paraId="28AD0E5E" w14:textId="2C9F7DE4" w:rsidR="00F67632" w:rsidRDefault="00F67632" w:rsidP="009F65D5">
      <w:pPr>
        <w:pStyle w:val="BodyText"/>
      </w:pPr>
      <w:r w:rsidRPr="001F186F">
        <w:rPr>
          <w:b/>
        </w:rPr>
        <w:t>Patient Ledger Report</w:t>
      </w:r>
      <w:r>
        <w:t xml:space="preserve"> – </w:t>
      </w:r>
      <w:r w:rsidRPr="004C6BEC">
        <w:t>A financial report that provides a detailed summary of a patient's account activity, including charges, payments, adjustments, and current balance</w:t>
      </w:r>
      <w:r w:rsidR="001F186F">
        <w:t>.</w:t>
      </w:r>
    </w:p>
    <w:p w14:paraId="120CFD00" w14:textId="7DAD5443" w:rsidR="00F67632" w:rsidRDefault="00F67632" w:rsidP="009F65D5">
      <w:pPr>
        <w:pStyle w:val="BodyText"/>
      </w:pPr>
      <w:r w:rsidRPr="001F186F">
        <w:rPr>
          <w:b/>
        </w:rPr>
        <w:t>Pay-To</w:t>
      </w:r>
      <w:r>
        <w:t xml:space="preserve"> – </w:t>
      </w:r>
      <w:r w:rsidRPr="00B51D4F">
        <w:t>The designated recipient or entity to whom dental insurance payments are directed</w:t>
      </w:r>
      <w:r w:rsidR="001F186F">
        <w:t>.</w:t>
      </w:r>
    </w:p>
    <w:p w14:paraId="573B66A3" w14:textId="7D8696A2" w:rsidR="00F67632" w:rsidRDefault="00F67632" w:rsidP="009F65D5">
      <w:pPr>
        <w:pStyle w:val="BodyText"/>
      </w:pPr>
      <w:r w:rsidRPr="001F186F">
        <w:rPr>
          <w:b/>
        </w:rPr>
        <w:t>Payment</w:t>
      </w:r>
      <w:r>
        <w:t xml:space="preserve"> – </w:t>
      </w:r>
      <w:r w:rsidRPr="00B1436A">
        <w:t>Funds received by a dental practice as compensation for services rendered, from patients, insurance companies, or third-party payers, and recorded as revenue in financial records</w:t>
      </w:r>
      <w:r w:rsidR="001F186F">
        <w:t>.</w:t>
      </w:r>
    </w:p>
    <w:p w14:paraId="1CDD6936" w14:textId="2F4DAE47" w:rsidR="00F67632" w:rsidRDefault="00F67632" w:rsidP="009F65D5">
      <w:pPr>
        <w:pStyle w:val="BodyText"/>
      </w:pPr>
      <w:r w:rsidRPr="001F186F">
        <w:rPr>
          <w:b/>
        </w:rPr>
        <w:t>Payment Table</w:t>
      </w:r>
      <w:r>
        <w:t xml:space="preserve"> –</w:t>
      </w:r>
      <w:r w:rsidR="00961B13">
        <w:t xml:space="preserve"> </w:t>
      </w:r>
      <w:r w:rsidRPr="00B1436A">
        <w:t>A table that tracks and records payment</w:t>
      </w:r>
      <w:r>
        <w:t xml:space="preserve"> amounts</w:t>
      </w:r>
      <w:r w:rsidRPr="00B1436A">
        <w:t xml:space="preserve"> received for dental services rendered</w:t>
      </w:r>
      <w:r w:rsidR="001F186F">
        <w:t>.</w:t>
      </w:r>
    </w:p>
    <w:p w14:paraId="02D6EF75" w14:textId="005E6792" w:rsidR="00F67632" w:rsidRDefault="00F67632" w:rsidP="009F65D5">
      <w:pPr>
        <w:pStyle w:val="BodyText"/>
      </w:pPr>
      <w:r w:rsidRPr="001F186F">
        <w:rPr>
          <w:b/>
        </w:rPr>
        <w:t>Payor</w:t>
      </w:r>
      <w:r w:rsidRPr="00D80DDF">
        <w:rPr>
          <w:bCs/>
        </w:rPr>
        <w:t xml:space="preserve"> </w:t>
      </w:r>
      <w:r>
        <w:t xml:space="preserve">– </w:t>
      </w:r>
      <w:r w:rsidRPr="00B1436A">
        <w:t>The entity responsible for reimbursing dental providers for services rendered</w:t>
      </w:r>
      <w:r w:rsidR="001F186F">
        <w:t>. This is o</w:t>
      </w:r>
      <w:r w:rsidRPr="00B1436A">
        <w:t>ften an insurance company, employer-sponsored plan, or government agency</w:t>
      </w:r>
      <w:r w:rsidR="001F186F">
        <w:t>.</w:t>
      </w:r>
    </w:p>
    <w:p w14:paraId="2E076F22" w14:textId="6D394765" w:rsidR="00F67632" w:rsidRDefault="00F67632" w:rsidP="009F65D5">
      <w:pPr>
        <w:pStyle w:val="BodyText"/>
      </w:pPr>
      <w:r w:rsidRPr="001F186F">
        <w:rPr>
          <w:b/>
        </w:rPr>
        <w:t>Payor ID</w:t>
      </w:r>
      <w:r>
        <w:t xml:space="preserve"> </w:t>
      </w:r>
      <w:r w:rsidR="001F186F">
        <w:t xml:space="preserve">– </w:t>
      </w:r>
      <w:r w:rsidRPr="00B1436A">
        <w:t>A unique identifier assigned to insurance carriers or payors for electronic claim submission and processing</w:t>
      </w:r>
      <w:r w:rsidR="001F186F">
        <w:t>.</w:t>
      </w:r>
    </w:p>
    <w:p w14:paraId="67BA67D3" w14:textId="228EBA91" w:rsidR="00F67632" w:rsidRDefault="00F67632" w:rsidP="009F65D5">
      <w:pPr>
        <w:pStyle w:val="BodyText"/>
      </w:pPr>
      <w:r w:rsidRPr="001F186F">
        <w:rPr>
          <w:b/>
        </w:rPr>
        <w:lastRenderedPageBreak/>
        <w:t>Pre-Authorization (Pre-Est)</w:t>
      </w:r>
      <w:r>
        <w:t xml:space="preserve"> – </w:t>
      </w:r>
      <w:r w:rsidRPr="00B1436A">
        <w:t>Approval obtained from an insurance carrier or third-party payer before providing specific dental treatments or procedures, confirming coverage and eligibility for</w:t>
      </w:r>
      <w:r w:rsidR="00961B13">
        <w:t xml:space="preserve"> </w:t>
      </w:r>
      <w:r w:rsidRPr="00B1436A">
        <w:t>reimbursement</w:t>
      </w:r>
      <w:r w:rsidR="001F186F">
        <w:t>.</w:t>
      </w:r>
    </w:p>
    <w:p w14:paraId="609B0F16" w14:textId="58981116" w:rsidR="00F67632" w:rsidRDefault="00F67632" w:rsidP="009F65D5">
      <w:pPr>
        <w:pStyle w:val="BodyText"/>
      </w:pPr>
      <w:r w:rsidRPr="001F186F">
        <w:rPr>
          <w:b/>
        </w:rPr>
        <w:t>Prerequisite</w:t>
      </w:r>
      <w:r>
        <w:t xml:space="preserve"> –</w:t>
      </w:r>
      <w:r w:rsidR="00961B13">
        <w:t xml:space="preserve"> </w:t>
      </w:r>
      <w:r w:rsidRPr="00B1436A">
        <w:t>A condition, requirement, or qualification that must be met before proceeding with a specific dental treatment, procedure, or course of action, ensuring patient safety, effectiveness, or regulatory compliance</w:t>
      </w:r>
      <w:r w:rsidR="001F186F">
        <w:t>.</w:t>
      </w:r>
    </w:p>
    <w:p w14:paraId="379EB1B5" w14:textId="40B80D9A" w:rsidR="00F67632" w:rsidRDefault="00F67632" w:rsidP="009F65D5">
      <w:pPr>
        <w:pStyle w:val="BodyText"/>
      </w:pPr>
      <w:r w:rsidRPr="001F186F">
        <w:rPr>
          <w:b/>
        </w:rPr>
        <w:t>Procedures Not Attached</w:t>
      </w:r>
      <w:r>
        <w:t xml:space="preserve"> – </w:t>
      </w:r>
      <w:r w:rsidRPr="00B51D4F">
        <w:t>Dental procedures or treatments that have not been associated or linked with a claim</w:t>
      </w:r>
      <w:r w:rsidR="001F186F">
        <w:t>.</w:t>
      </w:r>
    </w:p>
    <w:p w14:paraId="4B6C20D0" w14:textId="791E30FD" w:rsidR="00F67632" w:rsidRDefault="00F67632" w:rsidP="009F65D5">
      <w:pPr>
        <w:pStyle w:val="BodyText"/>
      </w:pPr>
      <w:r w:rsidRPr="001F186F">
        <w:rPr>
          <w:b/>
        </w:rPr>
        <w:t>Production</w:t>
      </w:r>
      <w:r>
        <w:t xml:space="preserve"> –</w:t>
      </w:r>
      <w:r w:rsidR="001F186F">
        <w:t xml:space="preserve"> </w:t>
      </w:r>
      <w:r w:rsidRPr="004C6BEC">
        <w:t xml:space="preserve">The total value or </w:t>
      </w:r>
      <w:r w:rsidR="001F186F">
        <w:t xml:space="preserve">number </w:t>
      </w:r>
      <w:r w:rsidRPr="004C6BEC">
        <w:t xml:space="preserve">of dental services rendered by a dental practice within a specific </w:t>
      </w:r>
      <w:r w:rsidR="00961B13">
        <w:t>t</w:t>
      </w:r>
      <w:r w:rsidRPr="004C6BEC">
        <w:t>imeframe</w:t>
      </w:r>
      <w:r w:rsidR="001F186F">
        <w:t>. This is m</w:t>
      </w:r>
      <w:r w:rsidRPr="004C6BEC">
        <w:t xml:space="preserve">easured in terms of </w:t>
      </w:r>
      <w:r w:rsidR="001F186F">
        <w:t xml:space="preserve">a </w:t>
      </w:r>
      <w:r w:rsidRPr="004C6BEC">
        <w:t>monetary value or procedure counts</w:t>
      </w:r>
      <w:r w:rsidR="001F186F">
        <w:t>.</w:t>
      </w:r>
    </w:p>
    <w:p w14:paraId="6E041619" w14:textId="01A947D4" w:rsidR="00F67632" w:rsidRDefault="00F67632" w:rsidP="009F65D5">
      <w:pPr>
        <w:pStyle w:val="BodyText"/>
      </w:pPr>
      <w:r w:rsidRPr="001F186F">
        <w:rPr>
          <w:b/>
        </w:rPr>
        <w:t>Rate Code (Encounter Rate)</w:t>
      </w:r>
      <w:r>
        <w:t xml:space="preserve"> – </w:t>
      </w:r>
      <w:r w:rsidRPr="00B1436A">
        <w:t xml:space="preserve">A numerical code or identifier assigned to specific dental </w:t>
      </w:r>
      <w:r>
        <w:t>visit</w:t>
      </w:r>
      <w:r w:rsidR="001F186F">
        <w:t>. This is u</w:t>
      </w:r>
      <w:r w:rsidRPr="00B1436A">
        <w:t>sed to determine reimbursement rates for insurance claims</w:t>
      </w:r>
      <w:r w:rsidR="001F186F">
        <w:t>.</w:t>
      </w:r>
    </w:p>
    <w:p w14:paraId="2DD0A323" w14:textId="1CCAE24E" w:rsidR="00F67632" w:rsidRDefault="00F67632" w:rsidP="009F65D5">
      <w:pPr>
        <w:pStyle w:val="BodyText"/>
      </w:pPr>
      <w:r w:rsidRPr="001F186F">
        <w:rPr>
          <w:b/>
        </w:rPr>
        <w:t>Receipts</w:t>
      </w:r>
      <w:r w:rsidRPr="00BB374B">
        <w:rPr>
          <w:bCs/>
        </w:rPr>
        <w:t xml:space="preserve"> </w:t>
      </w:r>
      <w:r>
        <w:t xml:space="preserve">– </w:t>
      </w:r>
      <w:r w:rsidRPr="004C6BEC">
        <w:t>Documents acknowledging the receipt of payment for dental services rendered</w:t>
      </w:r>
      <w:r w:rsidR="001F186F">
        <w:t>.</w:t>
      </w:r>
    </w:p>
    <w:p w14:paraId="3AF67417" w14:textId="2E588322" w:rsidR="00F67632" w:rsidRDefault="00F67632" w:rsidP="009F65D5">
      <w:pPr>
        <w:pStyle w:val="BodyText"/>
      </w:pPr>
      <w:r w:rsidRPr="001F186F">
        <w:rPr>
          <w:b/>
        </w:rPr>
        <w:t>Refund</w:t>
      </w:r>
      <w:r w:rsidRPr="00BB374B">
        <w:rPr>
          <w:bCs/>
        </w:rPr>
        <w:t xml:space="preserve"> </w:t>
      </w:r>
      <w:r>
        <w:t xml:space="preserve">– </w:t>
      </w:r>
      <w:r w:rsidRPr="004C6BEC">
        <w:t>The return of funds to a patient or insurance company due to overpayment, cancellation of services, or other reasons</w:t>
      </w:r>
      <w:r w:rsidR="001F186F">
        <w:t>.</w:t>
      </w:r>
    </w:p>
    <w:p w14:paraId="26DA3AEC" w14:textId="0DD997B4" w:rsidR="00F67632" w:rsidRDefault="00F67632" w:rsidP="009F65D5">
      <w:pPr>
        <w:pStyle w:val="BodyText"/>
      </w:pPr>
      <w:r w:rsidRPr="001F186F">
        <w:rPr>
          <w:b/>
        </w:rPr>
        <w:t>Rendering Provider</w:t>
      </w:r>
      <w:r>
        <w:t xml:space="preserve"> –</w:t>
      </w:r>
      <w:r w:rsidR="00961B13">
        <w:t xml:space="preserve"> </w:t>
      </w:r>
      <w:r w:rsidRPr="00B1436A">
        <w:t>The dental professional who performed the dental services or procedures documented in an insurance claim</w:t>
      </w:r>
      <w:r w:rsidR="00397CFA">
        <w:t>. This is t</w:t>
      </w:r>
      <w:r w:rsidRPr="00B1436A">
        <w:t>ypically the dentist or specialist directly involved in patient care</w:t>
      </w:r>
      <w:r w:rsidR="001F186F">
        <w:t>.</w:t>
      </w:r>
    </w:p>
    <w:p w14:paraId="7DC3FD89" w14:textId="0F0DA201" w:rsidR="00F67632" w:rsidRDefault="00F67632" w:rsidP="009F65D5">
      <w:pPr>
        <w:pStyle w:val="BodyText"/>
      </w:pPr>
      <w:r w:rsidRPr="00397CFA">
        <w:rPr>
          <w:b/>
        </w:rPr>
        <w:t>Resubmit Claim</w:t>
      </w:r>
      <w:r>
        <w:t xml:space="preserve"> – </w:t>
      </w:r>
      <w:r w:rsidRPr="004C6BEC">
        <w:t>The action of submitting a dental insurance claim for reconsideration or processing again after it has been rejected, denied, or voided</w:t>
      </w:r>
      <w:r w:rsidR="00397CFA">
        <w:t>. The claim o</w:t>
      </w:r>
      <w:r>
        <w:t>ften</w:t>
      </w:r>
      <w:r w:rsidRPr="004C6BEC">
        <w:t xml:space="preserve"> </w:t>
      </w:r>
      <w:r w:rsidR="00397CFA">
        <w:t>includes</w:t>
      </w:r>
      <w:r w:rsidRPr="004C6BEC">
        <w:t xml:space="preserve"> corrections or additional information</w:t>
      </w:r>
      <w:r w:rsidR="001F186F">
        <w:t>.</w:t>
      </w:r>
    </w:p>
    <w:p w14:paraId="25652300" w14:textId="2B345916" w:rsidR="00F67632" w:rsidRDefault="00F67632" w:rsidP="009F65D5">
      <w:pPr>
        <w:pStyle w:val="BodyText"/>
      </w:pPr>
      <w:r w:rsidRPr="00397CFA">
        <w:rPr>
          <w:b/>
        </w:rPr>
        <w:t>Resubmit Reason</w:t>
      </w:r>
      <w:r>
        <w:t xml:space="preserve"> –</w:t>
      </w:r>
      <w:r w:rsidR="001F186F">
        <w:t xml:space="preserve"> </w:t>
      </w:r>
      <w:r w:rsidRPr="004C6BEC">
        <w:t>The explanation or rationale provided when resubmitting a dental insurance claim, detailing the reasons for the resubmission and any corrections or updates made to the claim</w:t>
      </w:r>
      <w:r w:rsidR="001F186F">
        <w:t>.</w:t>
      </w:r>
    </w:p>
    <w:p w14:paraId="71C92727" w14:textId="4CF72BA1" w:rsidR="00F67632" w:rsidRDefault="00F67632" w:rsidP="009F65D5">
      <w:pPr>
        <w:pStyle w:val="BodyText"/>
      </w:pPr>
      <w:r w:rsidRPr="00397CFA">
        <w:rPr>
          <w:b/>
        </w:rPr>
        <w:t>Revenue Cycle</w:t>
      </w:r>
      <w:r>
        <w:t xml:space="preserve"> –</w:t>
      </w:r>
      <w:r w:rsidR="001F186F">
        <w:t xml:space="preserve"> </w:t>
      </w:r>
      <w:r w:rsidRPr="00B1436A">
        <w:t xml:space="preserve">The process of managing and tracking the financial aspects of dental services from </w:t>
      </w:r>
      <w:r w:rsidR="001F186F">
        <w:t xml:space="preserve">a </w:t>
      </w:r>
      <w:r w:rsidRPr="00B1436A">
        <w:t>patient</w:t>
      </w:r>
      <w:r w:rsidR="00397CFA">
        <w:t xml:space="preserve"> </w:t>
      </w:r>
      <w:r w:rsidRPr="00B1436A">
        <w:t>registration and appointment scheduling to claims submission, payment collection, and revenue generation, ensuring the financial health of a dental practice</w:t>
      </w:r>
      <w:r w:rsidR="001F186F">
        <w:t>.</w:t>
      </w:r>
    </w:p>
    <w:p w14:paraId="2D9332B6" w14:textId="5FECF924" w:rsidR="00F67632" w:rsidRDefault="00F67632" w:rsidP="009F65D5">
      <w:pPr>
        <w:pStyle w:val="BodyText"/>
      </w:pPr>
      <w:r w:rsidRPr="00397CFA">
        <w:rPr>
          <w:b/>
        </w:rPr>
        <w:t>Split Claim</w:t>
      </w:r>
      <w:r>
        <w:t xml:space="preserve"> – </w:t>
      </w:r>
      <w:r w:rsidRPr="004C6BEC">
        <w:t>Dividing a dental treatment or procedure into multiple claims for submission to an insurance company</w:t>
      </w:r>
      <w:r w:rsidR="001F186F">
        <w:t>.</w:t>
      </w:r>
    </w:p>
    <w:p w14:paraId="2C125943" w14:textId="211EC467" w:rsidR="00F67632" w:rsidRDefault="00F67632" w:rsidP="009F65D5">
      <w:pPr>
        <w:pStyle w:val="BodyText"/>
      </w:pPr>
      <w:r w:rsidRPr="00397CFA">
        <w:rPr>
          <w:b/>
        </w:rPr>
        <w:t>Statement</w:t>
      </w:r>
      <w:r>
        <w:t xml:space="preserve"> – </w:t>
      </w:r>
      <w:r w:rsidRPr="004C6BEC">
        <w:t>A document provided to patients summarizing their account activity, including charges, payments, adjustments, and outstanding balances</w:t>
      </w:r>
      <w:r w:rsidR="001F186F">
        <w:t>.</w:t>
      </w:r>
    </w:p>
    <w:p w14:paraId="60B0980E" w14:textId="415192BC" w:rsidR="00F67632" w:rsidRDefault="00F67632" w:rsidP="009F65D5">
      <w:pPr>
        <w:pStyle w:val="BodyText"/>
      </w:pPr>
      <w:r w:rsidRPr="00397CFA">
        <w:rPr>
          <w:b/>
        </w:rPr>
        <w:t>Suspended Credit</w:t>
      </w:r>
      <w:r>
        <w:t xml:space="preserve"> –</w:t>
      </w:r>
      <w:r w:rsidR="001F186F">
        <w:t xml:space="preserve"> </w:t>
      </w:r>
      <w:r w:rsidRPr="004C6BEC">
        <w:t>Funds or credits temporarily held or reserved in a patient's account for future services or refunds, pending resolution of insurance claims</w:t>
      </w:r>
      <w:r w:rsidR="00397CFA">
        <w:t>,</w:t>
      </w:r>
      <w:r w:rsidRPr="004C6BEC">
        <w:t xml:space="preserve"> or adjustments</w:t>
      </w:r>
      <w:r w:rsidR="001F186F">
        <w:t>.</w:t>
      </w:r>
    </w:p>
    <w:p w14:paraId="0E997CB4" w14:textId="16C38AD5" w:rsidR="00F67632" w:rsidRDefault="00F67632" w:rsidP="009F65D5">
      <w:pPr>
        <w:pStyle w:val="BodyText"/>
      </w:pPr>
      <w:r w:rsidRPr="00397CFA">
        <w:rPr>
          <w:b/>
        </w:rPr>
        <w:t>Take Back</w:t>
      </w:r>
      <w:r>
        <w:t xml:space="preserve"> – </w:t>
      </w:r>
      <w:r w:rsidRPr="004C6BEC">
        <w:t>The reversal of a previously recorded transaction, such as removing a payment or adjustment from a patient's account due to an error or correction</w:t>
      </w:r>
      <w:r w:rsidR="00397CFA">
        <w:t>. A</w:t>
      </w:r>
      <w:r>
        <w:t xml:space="preserve"> forced refund by an insurance payor </w:t>
      </w:r>
      <w:r w:rsidR="00397CFA">
        <w:t>to remove</w:t>
      </w:r>
      <w:r>
        <w:t xml:space="preserve"> payment from a current check to refund (or take back) a previously issued payment</w:t>
      </w:r>
      <w:r w:rsidR="001F186F">
        <w:t>.</w:t>
      </w:r>
    </w:p>
    <w:p w14:paraId="2FF663A6" w14:textId="4608CA06" w:rsidR="00F67632" w:rsidRDefault="00F67632" w:rsidP="009F65D5">
      <w:pPr>
        <w:pStyle w:val="BodyText"/>
      </w:pPr>
      <w:r w:rsidRPr="00397CFA">
        <w:rPr>
          <w:b/>
        </w:rPr>
        <w:t>Tracer</w:t>
      </w:r>
      <w:r>
        <w:t xml:space="preserve"> – </w:t>
      </w:r>
      <w:r w:rsidRPr="004C6BEC">
        <w:t>A request for additional information or clarification regarding a dental claim submitted to an insurance company</w:t>
      </w:r>
      <w:r w:rsidR="00397CFA">
        <w:t>. This is i</w:t>
      </w:r>
      <w:r w:rsidRPr="004C6BEC">
        <w:t>nitiated by the dental provider to resolve claim processing issues or delays</w:t>
      </w:r>
      <w:r w:rsidR="001F186F">
        <w:t>.</w:t>
      </w:r>
    </w:p>
    <w:p w14:paraId="7CF9551A" w14:textId="3610458F" w:rsidR="00F67632" w:rsidRDefault="00F67632" w:rsidP="009F65D5">
      <w:pPr>
        <w:pStyle w:val="BodyText"/>
      </w:pPr>
      <w:r w:rsidRPr="00397CFA">
        <w:rPr>
          <w:b/>
        </w:rPr>
        <w:t>Treating Dentist</w:t>
      </w:r>
      <w:r>
        <w:t xml:space="preserve"> –</w:t>
      </w:r>
      <w:r w:rsidR="001F186F">
        <w:t xml:space="preserve"> </w:t>
      </w:r>
      <w:r w:rsidRPr="00B51D4F">
        <w:t>The dental provider responsible for diagnosing, planning, and administering treatment to a patient within a dental practice</w:t>
      </w:r>
      <w:r w:rsidR="00397CFA">
        <w:t>. This is t</w:t>
      </w:r>
      <w:r w:rsidRPr="00B51D4F">
        <w:t>ypically the dentist directly involved in providing care</w:t>
      </w:r>
      <w:r w:rsidR="001F186F">
        <w:t>.</w:t>
      </w:r>
    </w:p>
    <w:p w14:paraId="117AF817" w14:textId="3ACF834E" w:rsidR="00F67632" w:rsidRDefault="00F67632" w:rsidP="009F65D5">
      <w:pPr>
        <w:pStyle w:val="BodyText"/>
      </w:pPr>
      <w:r w:rsidRPr="00397CFA">
        <w:rPr>
          <w:b/>
        </w:rPr>
        <w:t>Treatment Location</w:t>
      </w:r>
      <w:r>
        <w:t xml:space="preserve"> – </w:t>
      </w:r>
      <w:r w:rsidRPr="00B51D4F">
        <w:t xml:space="preserve">The physical site or facility where dental services are </w:t>
      </w:r>
      <w:r w:rsidR="00397CFA">
        <w:t>provided</w:t>
      </w:r>
      <w:r w:rsidRPr="00B51D4F">
        <w:t xml:space="preserve"> to a patient, such as a dental office, clinic, or specialized treatment center</w:t>
      </w:r>
      <w:r w:rsidR="001F186F">
        <w:t>.</w:t>
      </w:r>
    </w:p>
    <w:p w14:paraId="62ADE936" w14:textId="45502229" w:rsidR="00F67632" w:rsidRDefault="00F67632" w:rsidP="009F65D5">
      <w:pPr>
        <w:pStyle w:val="BodyText"/>
      </w:pPr>
      <w:r w:rsidRPr="00397CFA">
        <w:rPr>
          <w:b/>
        </w:rPr>
        <w:lastRenderedPageBreak/>
        <w:t>Voided Claim</w:t>
      </w:r>
      <w:r>
        <w:t xml:space="preserve"> – </w:t>
      </w:r>
      <w:r w:rsidRPr="004C6BEC">
        <w:t>A dental insurance claim that has been canceled or invalidated before processing</w:t>
      </w:r>
      <w:r w:rsidR="00397CFA">
        <w:t>. This is o</w:t>
      </w:r>
      <w:r w:rsidRPr="004C6BEC">
        <w:t>ften due to errors in submission, duplicate claims, or incorrect patient information</w:t>
      </w:r>
      <w:r w:rsidR="001F186F">
        <w:t>.</w:t>
      </w:r>
    </w:p>
    <w:p w14:paraId="4441B5FA" w14:textId="0CE36666" w:rsidR="00F67632" w:rsidRDefault="00F67632" w:rsidP="009F65D5">
      <w:pPr>
        <w:pStyle w:val="BodyText"/>
      </w:pPr>
      <w:r w:rsidRPr="00397CFA">
        <w:rPr>
          <w:b/>
        </w:rPr>
        <w:t>Walkout</w:t>
      </w:r>
      <w:r w:rsidRPr="00BB374B">
        <w:rPr>
          <w:bCs/>
        </w:rPr>
        <w:t xml:space="preserve"> </w:t>
      </w:r>
      <w:r>
        <w:t xml:space="preserve">– </w:t>
      </w:r>
      <w:r w:rsidRPr="004C6BEC">
        <w:t xml:space="preserve">The process of finalizing a patient's visit and providing a summary of charges, payments made, and any outstanding balance before </w:t>
      </w:r>
      <w:r w:rsidR="00397CFA">
        <w:t>he/she leaves</w:t>
      </w:r>
      <w:r w:rsidRPr="004C6BEC">
        <w:t xml:space="preserve"> the dental office</w:t>
      </w:r>
      <w:r w:rsidR="001F186F">
        <w:t>.</w:t>
      </w:r>
    </w:p>
    <w:p w14:paraId="1A73E756" w14:textId="042A9F3E" w:rsidR="00F67632" w:rsidRDefault="00F67632" w:rsidP="009F65D5">
      <w:pPr>
        <w:pStyle w:val="BodyText"/>
      </w:pPr>
      <w:r w:rsidRPr="00397CFA">
        <w:rPr>
          <w:b/>
        </w:rPr>
        <w:t>Zero Payment</w:t>
      </w:r>
      <w:r>
        <w:t xml:space="preserve"> – </w:t>
      </w:r>
      <w:r w:rsidRPr="004C6BEC">
        <w:t>A dental insurance claim processed by an insurance company that results in no payment to the dental provider</w:t>
      </w:r>
      <w:r w:rsidR="001F186F">
        <w:t>.</w:t>
      </w:r>
    </w:p>
    <w:p w14:paraId="6B7E847D" w14:textId="5F1D9D7F" w:rsidR="00F67632" w:rsidRPr="00397CFA" w:rsidRDefault="00F67632" w:rsidP="00397CFA">
      <w:pPr>
        <w:pStyle w:val="Heading3"/>
        <w:numPr>
          <w:ilvl w:val="0"/>
          <w:numId w:val="0"/>
        </w:numPr>
      </w:pPr>
      <w:bookmarkStart w:id="363" w:name="_Toc166834437"/>
      <w:r w:rsidRPr="00397CFA">
        <w:rPr>
          <w:rStyle w:val="Heading4Char"/>
          <w:rFonts w:cs="Arial"/>
          <w:b/>
          <w:iCs w:val="0"/>
          <w:sz w:val="28"/>
          <w:szCs w:val="28"/>
        </w:rPr>
        <w:t>Database Design Terms</w:t>
      </w:r>
      <w:bookmarkEnd w:id="363"/>
    </w:p>
    <w:p w14:paraId="6FAD9CBA" w14:textId="2EDD02D6" w:rsidR="00F67632" w:rsidRPr="00397CFA" w:rsidRDefault="00397CFA" w:rsidP="009F65D5">
      <w:pPr>
        <w:pStyle w:val="BodyText"/>
        <w:rPr>
          <w:iCs/>
        </w:rPr>
      </w:pPr>
      <w:r>
        <w:rPr>
          <w:iCs/>
        </w:rPr>
        <w:t>T</w:t>
      </w:r>
      <w:r w:rsidR="00F67632" w:rsidRPr="00397CFA">
        <w:rPr>
          <w:iCs/>
        </w:rPr>
        <w:t xml:space="preserve">erms and features </w:t>
      </w:r>
      <w:r>
        <w:rPr>
          <w:iCs/>
        </w:rPr>
        <w:t>for</w:t>
      </w:r>
      <w:r w:rsidR="00F67632" w:rsidRPr="00397CFA">
        <w:rPr>
          <w:iCs/>
        </w:rPr>
        <w:t xml:space="preserve"> the Database Design section</w:t>
      </w:r>
      <w:r>
        <w:rPr>
          <w:iCs/>
        </w:rPr>
        <w:t>:</w:t>
      </w:r>
    </w:p>
    <w:p w14:paraId="49AFFBA4" w14:textId="70368D49" w:rsidR="00F67632" w:rsidRDefault="00F67632" w:rsidP="009F65D5">
      <w:pPr>
        <w:pStyle w:val="BodyText"/>
      </w:pPr>
      <w:r w:rsidRPr="00397CFA">
        <w:rPr>
          <w:b/>
        </w:rPr>
        <w:t>Central Clinic</w:t>
      </w:r>
      <w:r>
        <w:t xml:space="preserve"> </w:t>
      </w:r>
      <w:r w:rsidR="00397CFA">
        <w:t xml:space="preserve">– </w:t>
      </w:r>
      <w:r>
        <w:t xml:space="preserve">In Dentrix Enterprise, this clinic is the hub of all setup, </w:t>
      </w:r>
      <w:r w:rsidRPr="00D80DDF">
        <w:t>administrative functions, resource management, and decision-making</w:t>
      </w:r>
      <w:r w:rsidR="00397CFA">
        <w:t>.</w:t>
      </w:r>
    </w:p>
    <w:p w14:paraId="3B5E8A8B" w14:textId="77D7150A" w:rsidR="00F67632" w:rsidRDefault="00F67632" w:rsidP="009F65D5">
      <w:pPr>
        <w:pStyle w:val="BodyText"/>
      </w:pPr>
      <w:r w:rsidRPr="00397CFA">
        <w:rPr>
          <w:b/>
        </w:rPr>
        <w:t>Centralized</w:t>
      </w:r>
      <w:r w:rsidRPr="00D80DDF">
        <w:rPr>
          <w:bCs/>
        </w:rPr>
        <w:t xml:space="preserve"> </w:t>
      </w:r>
      <w:r>
        <w:t>–</w:t>
      </w:r>
      <w:r w:rsidR="00397CFA">
        <w:t xml:space="preserve"> </w:t>
      </w:r>
      <w:r w:rsidRPr="00D80DDF">
        <w:t>Referring to a system or operation where control, management, or resources are concentrated in a single location, such as centralized administration of multiple dental clinics from a central office</w:t>
      </w:r>
      <w:r w:rsidR="00397CFA">
        <w:t>.</w:t>
      </w:r>
    </w:p>
    <w:p w14:paraId="531B7DE0" w14:textId="114F13A7" w:rsidR="00F67632" w:rsidRDefault="00F67632" w:rsidP="009F65D5">
      <w:pPr>
        <w:pStyle w:val="BodyText"/>
      </w:pPr>
      <w:r w:rsidRPr="00397CFA">
        <w:rPr>
          <w:b/>
        </w:rPr>
        <w:t>Clinic Information</w:t>
      </w:r>
      <w:r>
        <w:t xml:space="preserve"> –</w:t>
      </w:r>
      <w:r w:rsidR="00397CFA">
        <w:t xml:space="preserve"> </w:t>
      </w:r>
      <w:r>
        <w:t>Information</w:t>
      </w:r>
      <w:r w:rsidRPr="00D80DDF">
        <w:t xml:space="preserve"> related to a dental clinic, including its name, address, contact information, operating hours, services offered, and any other </w:t>
      </w:r>
      <w:r>
        <w:t>details</w:t>
      </w:r>
      <w:r w:rsidR="00397CFA">
        <w:t>.</w:t>
      </w:r>
    </w:p>
    <w:p w14:paraId="0A53A0B2" w14:textId="0607D429" w:rsidR="00F67632" w:rsidRDefault="00F67632" w:rsidP="009F65D5">
      <w:pPr>
        <w:pStyle w:val="BodyText"/>
      </w:pPr>
      <w:r w:rsidRPr="00397CFA">
        <w:rPr>
          <w:b/>
        </w:rPr>
        <w:t>Configuration</w:t>
      </w:r>
      <w:r>
        <w:t xml:space="preserve"> –</w:t>
      </w:r>
      <w:r w:rsidR="00397CFA">
        <w:t xml:space="preserve"> </w:t>
      </w:r>
      <w:r w:rsidRPr="00D80DDF">
        <w:t>The process of setting up or customizing software, systems, or equipment to meet specific needs or requirements, such as configuring dental practice management software to match the workflows and preferences of a dental office</w:t>
      </w:r>
      <w:r w:rsidR="00397CFA">
        <w:t>.</w:t>
      </w:r>
    </w:p>
    <w:p w14:paraId="0B2362D6" w14:textId="7C387606" w:rsidR="00F67632" w:rsidRDefault="00F67632" w:rsidP="009F65D5">
      <w:pPr>
        <w:pStyle w:val="BodyText"/>
      </w:pPr>
      <w:r w:rsidRPr="00397CFA">
        <w:rPr>
          <w:b/>
        </w:rPr>
        <w:t>Database Design</w:t>
      </w:r>
      <w:r>
        <w:t xml:space="preserve"> – </w:t>
      </w:r>
      <w:r w:rsidR="00397CFA">
        <w:t>This i</w:t>
      </w:r>
      <w:r w:rsidRPr="00575DED">
        <w:t xml:space="preserve">nvolves </w:t>
      </w:r>
      <w:r>
        <w:t>the setup (or design configurations) in Dentrix Enterprise for</w:t>
      </w:r>
      <w:r w:rsidRPr="00575DED">
        <w:t xml:space="preserve"> patient records, appointments, financial data, and treatment history</w:t>
      </w:r>
      <w:r w:rsidR="00397CFA">
        <w:t>.</w:t>
      </w:r>
    </w:p>
    <w:p w14:paraId="1E481B88" w14:textId="409155FC" w:rsidR="00F67632" w:rsidRDefault="00F67632" w:rsidP="009F65D5">
      <w:pPr>
        <w:pStyle w:val="BodyText"/>
      </w:pPr>
      <w:r w:rsidRPr="00397CFA">
        <w:rPr>
          <w:b/>
        </w:rPr>
        <w:t>Definitions</w:t>
      </w:r>
      <w:r w:rsidRPr="00D80DDF">
        <w:rPr>
          <w:bCs/>
        </w:rPr>
        <w:t xml:space="preserve"> </w:t>
      </w:r>
      <w:r>
        <w:t xml:space="preserve">– </w:t>
      </w:r>
      <w:r w:rsidRPr="00D80DDF">
        <w:t>Clear and precise explanations or descriptions of terms, concepts, or procedures used within the context of dental practice management software, ensuring mutual understanding and consistency among users</w:t>
      </w:r>
      <w:r w:rsidR="00397CFA">
        <w:t>.</w:t>
      </w:r>
    </w:p>
    <w:p w14:paraId="4F54F6EA" w14:textId="229C76AC" w:rsidR="00F67632" w:rsidRDefault="00F67632" w:rsidP="009F65D5">
      <w:pPr>
        <w:pStyle w:val="BodyText"/>
      </w:pPr>
      <w:r w:rsidRPr="00397CFA">
        <w:rPr>
          <w:b/>
        </w:rPr>
        <w:t>Enterprise</w:t>
      </w:r>
      <w:r>
        <w:t xml:space="preserve"> – In Dentrix Enterprise, this is the master user of the software</w:t>
      </w:r>
      <w:r w:rsidR="00397CFA">
        <w:t>.</w:t>
      </w:r>
    </w:p>
    <w:p w14:paraId="2534638D" w14:textId="67815AF5" w:rsidR="00F67632" w:rsidRDefault="00F67632" w:rsidP="009F65D5">
      <w:pPr>
        <w:pStyle w:val="BodyText"/>
      </w:pPr>
      <w:r w:rsidRPr="00397CFA">
        <w:rPr>
          <w:b/>
        </w:rPr>
        <w:t>Filter</w:t>
      </w:r>
      <w:r w:rsidRPr="00D80DDF">
        <w:rPr>
          <w:bCs/>
        </w:rPr>
        <w:t xml:space="preserve"> </w:t>
      </w:r>
      <w:r>
        <w:t xml:space="preserve">– </w:t>
      </w:r>
      <w:r w:rsidRPr="00D80DDF">
        <w:t>A tool or feature in software applications that allows users to refine or narrow down data or information based on specific criteria, facilitating efficient data analysis and retrieval in dental practice management systems</w:t>
      </w:r>
      <w:r w:rsidR="00397CFA">
        <w:t>.</w:t>
      </w:r>
    </w:p>
    <w:p w14:paraId="415F4778" w14:textId="426222B6" w:rsidR="00F67632" w:rsidRDefault="00F67632" w:rsidP="009F65D5">
      <w:pPr>
        <w:pStyle w:val="BodyText"/>
      </w:pPr>
      <w:r w:rsidRPr="00397CFA">
        <w:rPr>
          <w:b/>
        </w:rPr>
        <w:t>Fiscal Year</w:t>
      </w:r>
      <w:r>
        <w:t xml:space="preserve"> – </w:t>
      </w:r>
      <w:r w:rsidR="00961B13">
        <w:t xml:space="preserve"> </w:t>
      </w:r>
      <w:r w:rsidRPr="00D80DDF">
        <w:t>A 12-month accounting period used for financial reporting and budgeting purposes</w:t>
      </w:r>
      <w:r w:rsidR="00397CFA">
        <w:t>. This often differs</w:t>
      </w:r>
      <w:r w:rsidRPr="00D80DDF">
        <w:t xml:space="preserve"> from the calendar year and align</w:t>
      </w:r>
      <w:r w:rsidR="00397CFA">
        <w:t>s</w:t>
      </w:r>
      <w:r w:rsidRPr="00D80DDF">
        <w:t xml:space="preserve"> with a dental practice's fiscal cycles and reporting requirements</w:t>
      </w:r>
      <w:r w:rsidR="00397CFA">
        <w:t>.</w:t>
      </w:r>
    </w:p>
    <w:p w14:paraId="3672C65B" w14:textId="41DDC6A6" w:rsidR="00F67632" w:rsidRDefault="00F67632" w:rsidP="009F65D5">
      <w:pPr>
        <w:pStyle w:val="BodyText"/>
      </w:pPr>
      <w:r w:rsidRPr="00397CFA">
        <w:rPr>
          <w:b/>
        </w:rPr>
        <w:t>Location Based</w:t>
      </w:r>
      <w:r>
        <w:t xml:space="preserve"> – </w:t>
      </w:r>
      <w:r w:rsidRPr="00D80DDF">
        <w:t>Pertaining to systems or processes that are organized or tailored according to the physical locations of dental clinics or offices, such as location-based reporting or inventory management</w:t>
      </w:r>
      <w:r w:rsidR="00397CFA">
        <w:t>.</w:t>
      </w:r>
    </w:p>
    <w:p w14:paraId="18736BE0" w14:textId="7F1893EA" w:rsidR="00F67632" w:rsidRDefault="00F67632" w:rsidP="009F65D5">
      <w:pPr>
        <w:pStyle w:val="BodyText"/>
      </w:pPr>
      <w:r w:rsidRPr="00397CFA">
        <w:rPr>
          <w:b/>
        </w:rPr>
        <w:t>Meaningful Use</w:t>
      </w:r>
      <w:r>
        <w:t xml:space="preserve"> –</w:t>
      </w:r>
      <w:r w:rsidR="00397CFA">
        <w:t xml:space="preserve"> </w:t>
      </w:r>
      <w:r w:rsidRPr="00DD44B8">
        <w:t xml:space="preserve">In the context of health IT, meaningful use is a term used to define minimum U.S. government standards for electronic health records (EHR), </w:t>
      </w:r>
      <w:r w:rsidR="00397CFA">
        <w:t>which outlines</w:t>
      </w:r>
      <w:r w:rsidRPr="00DD44B8">
        <w:t xml:space="preserve"> how clinical patient data should be exchanged between healthcare providers, between providers and insurers</w:t>
      </w:r>
      <w:r w:rsidR="00397CFA">
        <w:t>,</w:t>
      </w:r>
      <w:r w:rsidRPr="00DD44B8">
        <w:t xml:space="preserve"> and between providers and patients</w:t>
      </w:r>
      <w:r w:rsidR="00397CFA">
        <w:t>.</w:t>
      </w:r>
    </w:p>
    <w:p w14:paraId="19BA50F4" w14:textId="60751439" w:rsidR="00F67632" w:rsidRDefault="00F67632" w:rsidP="009F65D5">
      <w:pPr>
        <w:pStyle w:val="BodyText"/>
      </w:pPr>
      <w:r w:rsidRPr="00397CFA">
        <w:rPr>
          <w:b/>
        </w:rPr>
        <w:t>Module</w:t>
      </w:r>
      <w:r>
        <w:t xml:space="preserve"> – </w:t>
      </w:r>
      <w:r w:rsidRPr="00D80DDF">
        <w:t xml:space="preserve">A component or feature </w:t>
      </w:r>
      <w:r>
        <w:t xml:space="preserve">window </w:t>
      </w:r>
      <w:r w:rsidRPr="00D80DDF">
        <w:t>within</w:t>
      </w:r>
      <w:r>
        <w:t xml:space="preserve"> Dentrix Enterprise </w:t>
      </w:r>
      <w:r w:rsidRPr="00D80DDF">
        <w:t xml:space="preserve">that performs a specific set of functions or tasks, such as </w:t>
      </w:r>
      <w:r>
        <w:t>Appointment Book, Ledger, or Chart</w:t>
      </w:r>
      <w:r w:rsidR="00397CFA">
        <w:t>.</w:t>
      </w:r>
    </w:p>
    <w:p w14:paraId="041F6F4F" w14:textId="221A8F9B" w:rsidR="00F67632" w:rsidRDefault="00397CFA" w:rsidP="009F65D5">
      <w:pPr>
        <w:pStyle w:val="BodyText"/>
      </w:pPr>
      <w:r w:rsidRPr="00397CFA">
        <w:rPr>
          <w:b/>
          <w:noProof/>
        </w:rPr>
        <w:drawing>
          <wp:anchor distT="0" distB="0" distL="114300" distR="114300" simplePos="0" relativeHeight="252134404" behindDoc="0" locked="0" layoutInCell="1" allowOverlap="1" wp14:anchorId="2750FC51" wp14:editId="79E57CB1">
            <wp:simplePos x="0" y="0"/>
            <wp:positionH relativeFrom="margin">
              <wp:posOffset>0</wp:posOffset>
            </wp:positionH>
            <wp:positionV relativeFrom="paragraph">
              <wp:posOffset>57785</wp:posOffset>
            </wp:positionV>
            <wp:extent cx="365760" cy="365760"/>
            <wp:effectExtent l="0" t="0" r="0" b="0"/>
            <wp:wrapTight wrapText="bothSides">
              <wp:wrapPolygon edited="0">
                <wp:start x="0" y="0"/>
                <wp:lineTo x="0" y="20250"/>
                <wp:lineTo x="20250" y="20250"/>
                <wp:lineTo x="20250" y="0"/>
                <wp:lineTo x="0" y="0"/>
              </wp:wrapPolygon>
            </wp:wrapTight>
            <wp:docPr id="41359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4106" name=""/>
                    <pic:cNvPicPr/>
                  </pic:nvPicPr>
                  <pic:blipFill>
                    <a:blip r:embed="rId54"/>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F67632" w:rsidRPr="00397CFA">
        <w:rPr>
          <w:b/>
        </w:rPr>
        <w:t>Office Manager</w:t>
      </w:r>
      <w:r w:rsidR="00F67632">
        <w:t xml:space="preserve"> </w:t>
      </w:r>
      <w:r>
        <w:t>– I</w:t>
      </w:r>
      <w:r w:rsidR="00F67632" w:rsidRPr="00575DED">
        <w:t xml:space="preserve">n Dentrix Enterprise, </w:t>
      </w:r>
      <w:r>
        <w:t>the o</w:t>
      </w:r>
      <w:r w:rsidR="00F67632" w:rsidRPr="00575DED">
        <w:t xml:space="preserve">ffice </w:t>
      </w:r>
      <w:r>
        <w:t>m</w:t>
      </w:r>
      <w:r w:rsidR="00F67632" w:rsidRPr="00575DED">
        <w:t>anager role typically refers to a staff member responsible for overseeing the day-to-day operations of the dental office, including administrative tasks, staff management, patient relations, and workflow optimization.</w:t>
      </w:r>
    </w:p>
    <w:p w14:paraId="57EA523D" w14:textId="5B5F80D6" w:rsidR="00F67632" w:rsidRDefault="00F67632" w:rsidP="009F65D5">
      <w:pPr>
        <w:pStyle w:val="BodyText"/>
      </w:pPr>
      <w:r w:rsidRPr="00397CFA">
        <w:rPr>
          <w:b/>
        </w:rPr>
        <w:lastRenderedPageBreak/>
        <w:t>Operatory</w:t>
      </w:r>
      <w:r w:rsidRPr="00D80DDF">
        <w:rPr>
          <w:bCs/>
        </w:rPr>
        <w:t xml:space="preserve"> </w:t>
      </w:r>
      <w:r>
        <w:t xml:space="preserve">– </w:t>
      </w:r>
      <w:r w:rsidRPr="00D80DDF">
        <w:t>A designated area within a dental clinic where dental procedures and treatments are performed</w:t>
      </w:r>
      <w:r w:rsidR="00397CFA">
        <w:t>. An operatory is ty</w:t>
      </w:r>
      <w:r w:rsidRPr="00D80DDF">
        <w:t>pically equipped with dental chairs, instruments, and equipment necessary for patient care</w:t>
      </w:r>
      <w:r w:rsidR="00397CFA">
        <w:t>.</w:t>
      </w:r>
    </w:p>
    <w:p w14:paraId="5361C587" w14:textId="27A1FB29" w:rsidR="00F67632" w:rsidRDefault="00F67632" w:rsidP="009F65D5">
      <w:pPr>
        <w:pStyle w:val="BodyText"/>
      </w:pPr>
      <w:r w:rsidRPr="00397CFA">
        <w:rPr>
          <w:b/>
        </w:rPr>
        <w:t>Outcome</w:t>
      </w:r>
      <w:r>
        <w:t xml:space="preserve"> – </w:t>
      </w:r>
      <w:r w:rsidR="00397CFA">
        <w:t>An a</w:t>
      </w:r>
      <w:r>
        <w:t>dd-on Dentrix Enterprise module for</w:t>
      </w:r>
      <w:r w:rsidRPr="00C76688">
        <w:t xml:space="preserve"> caries risk assessment and reporting functionality</w:t>
      </w:r>
      <w:r w:rsidR="00397CFA">
        <w:t>.</w:t>
      </w:r>
    </w:p>
    <w:p w14:paraId="7F2EEE7A" w14:textId="77E62EA7" w:rsidR="00F67632" w:rsidRDefault="00F67632" w:rsidP="009F65D5">
      <w:pPr>
        <w:pStyle w:val="BodyText"/>
      </w:pPr>
      <w:r w:rsidRPr="00397CFA">
        <w:rPr>
          <w:b/>
        </w:rPr>
        <w:t>Provider</w:t>
      </w:r>
      <w:r>
        <w:t xml:space="preserve"> – </w:t>
      </w:r>
      <w:r w:rsidRPr="00D80DDF">
        <w:t>A licensed dental professional who delivers dental care and services to patients, such as dentists, dental hygienists, or dental therapists</w:t>
      </w:r>
      <w:r w:rsidR="00397CFA">
        <w:t>.</w:t>
      </w:r>
    </w:p>
    <w:p w14:paraId="2FE4D399" w14:textId="3A774B88" w:rsidR="00F67632" w:rsidRDefault="00F67632" w:rsidP="009F65D5">
      <w:pPr>
        <w:pStyle w:val="BodyText"/>
      </w:pPr>
      <w:r w:rsidRPr="00397CFA">
        <w:rPr>
          <w:b/>
        </w:rPr>
        <w:t>Reporting</w:t>
      </w:r>
      <w:r w:rsidRPr="00D80DDF">
        <w:rPr>
          <w:bCs/>
        </w:rPr>
        <w:t xml:space="preserve"> </w:t>
      </w:r>
      <w:r>
        <w:t>–</w:t>
      </w:r>
      <w:r w:rsidR="00397CFA">
        <w:t xml:space="preserve"> </w:t>
      </w:r>
      <w:r w:rsidRPr="00D80DDF">
        <w:t>The process of generating and presenting organized information, data, or statistics derived from various sources within a dental practice management system, aiding in decision-making, performance evaluation, and compliance monitoring</w:t>
      </w:r>
      <w:r w:rsidR="00397CFA">
        <w:t>.</w:t>
      </w:r>
    </w:p>
    <w:p w14:paraId="33F49B39" w14:textId="01E330BA" w:rsidR="00F67632" w:rsidRDefault="00F67632" w:rsidP="009F65D5">
      <w:pPr>
        <w:pStyle w:val="BodyText"/>
      </w:pPr>
      <w:r w:rsidRPr="00B622FA">
        <w:rPr>
          <w:b/>
        </w:rPr>
        <w:t>Security</w:t>
      </w:r>
      <w:r>
        <w:t xml:space="preserve"> – </w:t>
      </w:r>
      <w:r w:rsidRPr="00D80DDF">
        <w:t>Measures and protocols implemented to safeguard sensitive information, systems, and resources within a dental practice, such as patient records, financial data, and intellectual property, from unauthorized access, breaches, or misuse</w:t>
      </w:r>
      <w:r w:rsidR="00397CFA">
        <w:t>.</w:t>
      </w:r>
    </w:p>
    <w:p w14:paraId="22F44DC9" w14:textId="285E6D37" w:rsidR="00F67632" w:rsidRDefault="00F67632" w:rsidP="009F65D5">
      <w:pPr>
        <w:pStyle w:val="BodyText"/>
      </w:pPr>
      <w:r w:rsidRPr="00B622FA">
        <w:rPr>
          <w:b/>
        </w:rPr>
        <w:t>Setup</w:t>
      </w:r>
      <w:r>
        <w:t xml:space="preserve"> – </w:t>
      </w:r>
      <w:r w:rsidRPr="00575DED">
        <w:t xml:space="preserve">Setup in Dentrix Enterprise refers to the </w:t>
      </w:r>
      <w:r>
        <w:t>design</w:t>
      </w:r>
      <w:r w:rsidRPr="00575DED">
        <w:t xml:space="preserve"> configuration and customization of the software to align with the specific needs and workflows of a dental practice</w:t>
      </w:r>
      <w:r w:rsidR="00397CFA">
        <w:t>.</w:t>
      </w:r>
    </w:p>
    <w:p w14:paraId="1B15842D" w14:textId="4990959C" w:rsidR="00F67632" w:rsidRDefault="00F67632" w:rsidP="009F65D5">
      <w:pPr>
        <w:pStyle w:val="BodyText"/>
      </w:pPr>
      <w:r w:rsidRPr="00B622FA">
        <w:rPr>
          <w:b/>
        </w:rPr>
        <w:t>Staff</w:t>
      </w:r>
      <w:r>
        <w:t xml:space="preserve"> – </w:t>
      </w:r>
      <w:r w:rsidRPr="00D80DDF">
        <w:t>Individuals employed by a dental practice to support various administrative, clinical, or operational functions, including receptionists, dental assistants, office managers, and administrative staff</w:t>
      </w:r>
      <w:r w:rsidR="00397CFA">
        <w:t>.</w:t>
      </w:r>
    </w:p>
    <w:p w14:paraId="77E4EF9A" w14:textId="2C074F1D" w:rsidR="00F67632" w:rsidRDefault="00F67632" w:rsidP="009F65D5">
      <w:pPr>
        <w:pStyle w:val="BodyText"/>
      </w:pPr>
      <w:r w:rsidRPr="00B622FA">
        <w:rPr>
          <w:b/>
        </w:rPr>
        <w:t>Updox</w:t>
      </w:r>
      <w:r>
        <w:t xml:space="preserve"> – Secure patient-provider communication </w:t>
      </w:r>
      <w:r w:rsidR="00B622FA">
        <w:t>through</w:t>
      </w:r>
      <w:r>
        <w:t xml:space="preserve"> </w:t>
      </w:r>
      <w:r w:rsidRPr="00C76688">
        <w:t>online forms, HIPAA-compliant texting</w:t>
      </w:r>
      <w:r w:rsidR="00B622FA">
        <w:t>, and</w:t>
      </w:r>
      <w:r w:rsidR="00E53439">
        <w:t xml:space="preserve"> </w:t>
      </w:r>
      <w:r w:rsidRPr="00C76688">
        <w:t>electronic faxing all in one inbox</w:t>
      </w:r>
      <w:r w:rsidR="00397CFA">
        <w:t>.</w:t>
      </w:r>
    </w:p>
    <w:p w14:paraId="24C8F191" w14:textId="77777777" w:rsidR="00F67632" w:rsidRDefault="00F67632" w:rsidP="00F67632">
      <w:pPr>
        <w:spacing w:after="0" w:line="360" w:lineRule="auto"/>
      </w:pPr>
    </w:p>
    <w:p w14:paraId="4BE7FCA6" w14:textId="77777777" w:rsidR="00F67632" w:rsidRDefault="00F67632" w:rsidP="00F67632">
      <w:pPr>
        <w:spacing w:after="0" w:line="360" w:lineRule="auto"/>
      </w:pPr>
    </w:p>
    <w:p w14:paraId="1DD45641" w14:textId="77777777" w:rsidR="00F67632" w:rsidRDefault="00F67632" w:rsidP="00F67632">
      <w:pPr>
        <w:spacing w:after="0" w:line="360" w:lineRule="auto"/>
      </w:pPr>
    </w:p>
    <w:p w14:paraId="75FDCF4E" w14:textId="77777777" w:rsidR="00F67632" w:rsidRDefault="00F67632" w:rsidP="00F67632">
      <w:pPr>
        <w:spacing w:after="0" w:line="360" w:lineRule="auto"/>
      </w:pPr>
    </w:p>
    <w:p w14:paraId="2506DF6B" w14:textId="77777777" w:rsidR="00F67632" w:rsidRDefault="00F67632" w:rsidP="00F67632">
      <w:pPr>
        <w:spacing w:after="0" w:line="360" w:lineRule="auto"/>
      </w:pPr>
    </w:p>
    <w:p w14:paraId="13B5DDEC" w14:textId="77777777" w:rsidR="00F67632" w:rsidRDefault="00F67632" w:rsidP="00F67632">
      <w:pPr>
        <w:spacing w:after="0" w:line="360" w:lineRule="auto"/>
      </w:pPr>
    </w:p>
    <w:p w14:paraId="430F563D" w14:textId="77777777" w:rsidR="00F67632" w:rsidRDefault="00F67632" w:rsidP="00F67632">
      <w:pPr>
        <w:spacing w:after="0" w:line="360" w:lineRule="auto"/>
      </w:pPr>
    </w:p>
    <w:p w14:paraId="3E6C4225" w14:textId="77777777" w:rsidR="00F67632" w:rsidRPr="00865A17" w:rsidRDefault="00F67632" w:rsidP="00F67632">
      <w:pPr>
        <w:rPr>
          <w:b/>
          <w:bCs/>
        </w:rPr>
      </w:pPr>
    </w:p>
    <w:p w14:paraId="5A325311" w14:textId="77777777" w:rsidR="00F67632" w:rsidRDefault="00F67632" w:rsidP="00F67632"/>
    <w:p w14:paraId="5A0BDAF5" w14:textId="7F3751B7" w:rsidR="00F67632" w:rsidRPr="00F01E75" w:rsidRDefault="00F67632" w:rsidP="00154525">
      <w:pPr>
        <w:spacing w:before="100" w:beforeAutospacing="1" w:after="100" w:afterAutospacing="1"/>
        <w:rPr>
          <w:rFonts w:eastAsia="Times New Roman"/>
          <w:b/>
          <w:bCs/>
          <w:color w:val="353535"/>
          <w:sz w:val="44"/>
          <w:szCs w:val="44"/>
          <w:lang w:val="en"/>
        </w:rPr>
        <w:sectPr w:rsidR="00F67632" w:rsidRPr="00F01E75" w:rsidSect="00C616BD">
          <w:headerReference w:type="even" r:id="rId120"/>
          <w:headerReference w:type="default" r:id="rId121"/>
          <w:footerReference w:type="even" r:id="rId122"/>
          <w:footerReference w:type="default" r:id="rId123"/>
          <w:pgSz w:w="12240" w:h="15840"/>
          <w:pgMar w:top="1440" w:right="1440" w:bottom="1440" w:left="1440" w:header="360" w:footer="360" w:gutter="0"/>
          <w:cols w:space="720"/>
          <w:docGrid w:linePitch="299"/>
        </w:sectPr>
      </w:pPr>
    </w:p>
    <w:p w14:paraId="627DC56E" w14:textId="67A97A34" w:rsidR="00154525" w:rsidRDefault="00247063" w:rsidP="00247063">
      <w:pPr>
        <w:pStyle w:val="Heading1"/>
        <w:rPr>
          <w:lang w:val="en"/>
        </w:rPr>
      </w:pPr>
      <w:bookmarkStart w:id="364" w:name="_Toc166834438"/>
      <w:bookmarkEnd w:id="353"/>
      <w:r>
        <w:rPr>
          <w:lang w:val="en"/>
        </w:rPr>
        <w:lastRenderedPageBreak/>
        <w:t>Appendix</w:t>
      </w:r>
      <w:bookmarkEnd w:id="364"/>
    </w:p>
    <w:p w14:paraId="5BF74176" w14:textId="77777777" w:rsidR="003D4D47" w:rsidRPr="00FF7D88" w:rsidRDefault="003D4D47" w:rsidP="004F45B6">
      <w:pPr>
        <w:pStyle w:val="Heading2"/>
        <w:numPr>
          <w:ilvl w:val="0"/>
          <w:numId w:val="158"/>
        </w:numPr>
      </w:pPr>
      <w:bookmarkStart w:id="365" w:name="_Toc166834439"/>
      <w:r w:rsidRPr="00FF7D88">
        <w:t>Daily Clinic Closeout Duties</w:t>
      </w:r>
      <w:bookmarkEnd w:id="365"/>
    </w:p>
    <w:p w14:paraId="45A8133F" w14:textId="12DCA283" w:rsidR="003D4D47" w:rsidRDefault="003D4D47" w:rsidP="003D4D47">
      <w:r w:rsidRPr="00912847">
        <w:t xml:space="preserve">The Daily Clinic Closeout Duties </w:t>
      </w:r>
      <w:r>
        <w:t>checklist</w:t>
      </w:r>
      <w:r w:rsidRPr="00912847">
        <w:t xml:space="preserve"> </w:t>
      </w:r>
      <w:r>
        <w:t xml:space="preserve">is </w:t>
      </w:r>
      <w:r w:rsidRPr="00912847">
        <w:t xml:space="preserve">a comprehensive list of checks and balances to ensure the accuracy of today's entries recorded within Dentrix Enterprise, allow </w:t>
      </w:r>
      <w:r>
        <w:t xml:space="preserve">the </w:t>
      </w:r>
      <w:r w:rsidRPr="00912847">
        <w:t>tracking and review</w:t>
      </w:r>
      <w:r>
        <w:t>ing</w:t>
      </w:r>
      <w:r w:rsidRPr="00912847">
        <w:t xml:space="preserve"> of daily internal key performance indicators, guide preparations for tomorrow's scheduled appointments, and verify the completion of today's insurance revenue processes, where applicable. </w:t>
      </w:r>
      <w:r>
        <w:t>Each table of the checklist provides details for performing a task. To complete the task’s objective, use the</w:t>
      </w:r>
      <w:r w:rsidRPr="00912847">
        <w:t xml:space="preserve"> suggested report filters</w:t>
      </w:r>
      <w:r>
        <w:t xml:space="preserve">, </w:t>
      </w:r>
      <w:r w:rsidRPr="00912847">
        <w:t>review</w:t>
      </w:r>
      <w:r>
        <w:t xml:space="preserve"> the report</w:t>
      </w:r>
      <w:r w:rsidRPr="00912847">
        <w:t xml:space="preserve">, </w:t>
      </w:r>
      <w:r>
        <w:t>be aware of any</w:t>
      </w:r>
      <w:r w:rsidRPr="00912847">
        <w:t xml:space="preserve"> dependencies</w:t>
      </w:r>
      <w:r>
        <w:t>, and take actions or make</w:t>
      </w:r>
      <w:r w:rsidRPr="00912847">
        <w:t xml:space="preserve"> corrections if</w:t>
      </w:r>
      <w:r>
        <w:t xml:space="preserve"> </w:t>
      </w:r>
      <w:r w:rsidRPr="00912847">
        <w:t>the report does not yield the expected result.</w:t>
      </w:r>
    </w:p>
    <w:tbl>
      <w:tblPr>
        <w:tblStyle w:val="TableGrid"/>
        <w:tblW w:w="12940"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3240"/>
        <w:gridCol w:w="1180"/>
        <w:gridCol w:w="27"/>
        <w:gridCol w:w="1603"/>
        <w:gridCol w:w="2761"/>
        <w:gridCol w:w="1800"/>
        <w:gridCol w:w="2329"/>
      </w:tblGrid>
      <w:tr w:rsidR="00D32D81" w:rsidRPr="00EE4BD6" w14:paraId="324FAFDC" w14:textId="77777777" w:rsidTr="00264CB6">
        <w:trPr>
          <w:cantSplit/>
        </w:trPr>
        <w:tc>
          <w:tcPr>
            <w:tcW w:w="12940" w:type="dxa"/>
            <w:gridSpan w:val="7"/>
            <w:shd w:val="clear" w:color="auto" w:fill="E2EFD9" w:themeFill="accent6" w:themeFillTint="33"/>
            <w:vAlign w:val="center"/>
          </w:tcPr>
          <w:p w14:paraId="118EE764" w14:textId="77FABE15" w:rsidR="00D32D81" w:rsidRPr="00FF74B1" w:rsidRDefault="009B7716" w:rsidP="009B7716">
            <w:pPr>
              <w:pStyle w:val="Heading4"/>
              <w:rPr>
                <w:b w:val="0"/>
                <w:bCs/>
                <w:sz w:val="16"/>
                <w:szCs w:val="18"/>
              </w:rPr>
            </w:pPr>
            <w:bookmarkStart w:id="366" w:name="_Day_Sheet_Report"/>
            <w:bookmarkEnd w:id="366"/>
            <w:r w:rsidRPr="00080E00">
              <w:t>Day Sheet Report (All Clinics / All Providers)</w:t>
            </w:r>
            <w:r w:rsidR="00BB2D77">
              <w:tab/>
            </w:r>
            <w:hyperlink w:anchor="_Daily_Checklist" w:history="1">
              <w:r w:rsidR="00FF74B1" w:rsidRPr="00FF74B1">
                <w:rPr>
                  <w:rStyle w:val="Hyperlink"/>
                  <w:b w:val="0"/>
                  <w:bCs/>
                  <w:sz w:val="16"/>
                  <w:szCs w:val="18"/>
                </w:rPr>
                <w:t>Return to Daily Checklist</w:t>
              </w:r>
            </w:hyperlink>
          </w:p>
        </w:tc>
      </w:tr>
      <w:tr w:rsidR="00E63CE1" w:rsidRPr="00EE4BD6" w14:paraId="4C049866" w14:textId="77777777" w:rsidTr="00264CB6">
        <w:trPr>
          <w:cantSplit/>
          <w:tblHeader/>
        </w:trPr>
        <w:tc>
          <w:tcPr>
            <w:tcW w:w="3240" w:type="dxa"/>
            <w:vAlign w:val="center"/>
          </w:tcPr>
          <w:p w14:paraId="6F001074" w14:textId="47FAB66B" w:rsidR="005919FC" w:rsidRPr="005919FC" w:rsidRDefault="009C1799" w:rsidP="005919FC">
            <w:pPr>
              <w:pStyle w:val="TableText"/>
              <w:jc w:val="center"/>
            </w:pPr>
            <w:r w:rsidRPr="00912847">
              <w:rPr>
                <w:b/>
                <w:bCs/>
              </w:rPr>
              <w:t>Suggested Report Filters</w:t>
            </w:r>
          </w:p>
        </w:tc>
        <w:tc>
          <w:tcPr>
            <w:tcW w:w="1207" w:type="dxa"/>
            <w:gridSpan w:val="2"/>
            <w:vAlign w:val="center"/>
          </w:tcPr>
          <w:p w14:paraId="7084369C" w14:textId="77777777" w:rsidR="009C1799" w:rsidRPr="00912847" w:rsidRDefault="009C1799" w:rsidP="009F357F">
            <w:pPr>
              <w:pStyle w:val="TableText"/>
              <w:jc w:val="center"/>
              <w:rPr>
                <w:b/>
                <w:bCs/>
              </w:rPr>
            </w:pPr>
            <w:r w:rsidRPr="00912847">
              <w:rPr>
                <w:b/>
                <w:bCs/>
              </w:rPr>
              <w:t>Intent / Responsibility</w:t>
            </w:r>
          </w:p>
        </w:tc>
        <w:tc>
          <w:tcPr>
            <w:tcW w:w="1603" w:type="dxa"/>
            <w:vAlign w:val="center"/>
          </w:tcPr>
          <w:p w14:paraId="1B300446" w14:textId="77777777" w:rsidR="009C1799" w:rsidRPr="00912847" w:rsidRDefault="009C1799" w:rsidP="009F357F">
            <w:pPr>
              <w:pStyle w:val="TableText"/>
              <w:jc w:val="center"/>
              <w:rPr>
                <w:b/>
                <w:bCs/>
              </w:rPr>
            </w:pPr>
            <w:r w:rsidRPr="00912847">
              <w:rPr>
                <w:b/>
                <w:bCs/>
              </w:rPr>
              <w:t>Objective</w:t>
            </w:r>
          </w:p>
        </w:tc>
        <w:tc>
          <w:tcPr>
            <w:tcW w:w="2761" w:type="dxa"/>
            <w:vAlign w:val="center"/>
          </w:tcPr>
          <w:p w14:paraId="1C209FD0" w14:textId="77777777" w:rsidR="009C1799" w:rsidRPr="00912847" w:rsidRDefault="009C1799" w:rsidP="009F357F">
            <w:pPr>
              <w:pStyle w:val="TableText"/>
              <w:jc w:val="center"/>
              <w:rPr>
                <w:b/>
                <w:bCs/>
              </w:rPr>
            </w:pPr>
            <w:r w:rsidRPr="00912847">
              <w:rPr>
                <w:b/>
                <w:bCs/>
              </w:rPr>
              <w:t>Dependencies and Possible Actions or Corrections Needed to Meet Objective</w:t>
            </w:r>
          </w:p>
        </w:tc>
        <w:tc>
          <w:tcPr>
            <w:tcW w:w="1800" w:type="dxa"/>
            <w:vAlign w:val="center"/>
          </w:tcPr>
          <w:p w14:paraId="2A9FB2C0" w14:textId="77777777" w:rsidR="009C1799" w:rsidRPr="009A1DE7" w:rsidRDefault="009C1799" w:rsidP="009F357F">
            <w:pPr>
              <w:pStyle w:val="TableText"/>
              <w:jc w:val="center"/>
            </w:pPr>
            <w:r w:rsidRPr="00912847">
              <w:rPr>
                <w:b/>
                <w:bCs/>
              </w:rPr>
              <w:t>Warning</w:t>
            </w:r>
          </w:p>
          <w:p w14:paraId="4B992E77" w14:textId="77777777" w:rsidR="009C1799" w:rsidRPr="009A1DE7" w:rsidRDefault="009C1799"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2329" w:type="dxa"/>
            <w:vAlign w:val="center"/>
          </w:tcPr>
          <w:p w14:paraId="4E986658" w14:textId="77777777" w:rsidR="009C1799" w:rsidRPr="009A1DE7" w:rsidRDefault="009C1799" w:rsidP="009F357F">
            <w:pPr>
              <w:pStyle w:val="TableText"/>
              <w:jc w:val="center"/>
            </w:pPr>
            <w:r w:rsidRPr="00912847">
              <w:rPr>
                <w:b/>
                <w:bCs/>
              </w:rPr>
              <w:t>References</w:t>
            </w:r>
          </w:p>
          <w:p w14:paraId="479B1303" w14:textId="77777777" w:rsidR="009C1799" w:rsidRPr="009A1DE7" w:rsidRDefault="009C1799" w:rsidP="009F357F">
            <w:pPr>
              <w:pStyle w:val="TableText"/>
              <w:jc w:val="center"/>
            </w:pPr>
            <w:r w:rsidRPr="009A1DE7">
              <w:rPr>
                <w:i/>
                <w:iCs/>
              </w:rPr>
              <w:t>An asterisk (*) denotes an external resource.</w:t>
            </w:r>
          </w:p>
        </w:tc>
      </w:tr>
      <w:tr w:rsidR="00E63CE1" w:rsidRPr="00EE4BD6" w14:paraId="05BB8F6F" w14:textId="77777777" w:rsidTr="005919FC">
        <w:trPr>
          <w:cantSplit/>
        </w:trPr>
        <w:tc>
          <w:tcPr>
            <w:tcW w:w="3240" w:type="dxa"/>
          </w:tcPr>
          <w:p w14:paraId="1DB13015" w14:textId="77777777" w:rsidR="009C1799" w:rsidRPr="009A1DE7" w:rsidRDefault="009C1799" w:rsidP="009F357F">
            <w:pPr>
              <w:pStyle w:val="TableText"/>
              <w:numPr>
                <w:ilvl w:val="0"/>
                <w:numId w:val="3"/>
              </w:numPr>
              <w:ind w:left="226" w:hanging="180"/>
            </w:pPr>
            <w:r w:rsidRPr="009A1DE7">
              <w:t>Date Range: Today</w:t>
            </w:r>
            <w:r>
              <w:t>,</w:t>
            </w:r>
            <w:r w:rsidRPr="009A1DE7">
              <w:t xml:space="preserve"> by Entry Date</w:t>
            </w:r>
          </w:p>
          <w:p w14:paraId="318E49A1" w14:textId="46AC646E" w:rsidR="005919FC" w:rsidRPr="005919FC" w:rsidRDefault="009C1799" w:rsidP="005919FC">
            <w:pPr>
              <w:pStyle w:val="TableText"/>
              <w:numPr>
                <w:ilvl w:val="0"/>
                <w:numId w:val="3"/>
              </w:numPr>
              <w:ind w:left="226" w:hanging="180"/>
            </w:pPr>
            <w:r w:rsidRPr="009A1DE7">
              <w:t>All parameters for Clinic, Provider, Billing Type, and Patient Tag</w:t>
            </w:r>
          </w:p>
        </w:tc>
        <w:tc>
          <w:tcPr>
            <w:tcW w:w="1207" w:type="dxa"/>
            <w:gridSpan w:val="2"/>
          </w:tcPr>
          <w:p w14:paraId="3AAB8193" w14:textId="77777777" w:rsidR="009C1799" w:rsidRPr="009A1DE7" w:rsidRDefault="009C1799" w:rsidP="009F357F">
            <w:pPr>
              <w:pStyle w:val="TableText"/>
            </w:pPr>
            <w:r w:rsidRPr="009A1DE7">
              <w:t>Dental Chief or Management Lead</w:t>
            </w:r>
          </w:p>
        </w:tc>
        <w:tc>
          <w:tcPr>
            <w:tcW w:w="1603" w:type="dxa"/>
          </w:tcPr>
          <w:p w14:paraId="6096C74E" w14:textId="77777777" w:rsidR="009C1799" w:rsidRPr="009A1DE7" w:rsidRDefault="009C1799" w:rsidP="009F357F">
            <w:pPr>
              <w:pStyle w:val="TableText"/>
            </w:pPr>
            <w:r w:rsidRPr="009A1DE7">
              <w:t>Review all transaction activity to gain an understanding of the care provided to patients, identify gaps</w:t>
            </w:r>
            <w:r>
              <w:t xml:space="preserve"> in care,</w:t>
            </w:r>
            <w:r w:rsidRPr="009A1DE7">
              <w:t xml:space="preserve"> and </w:t>
            </w:r>
            <w:r>
              <w:t>determine</w:t>
            </w:r>
            <w:r w:rsidRPr="009A1DE7">
              <w:t xml:space="preserve"> </w:t>
            </w:r>
            <w:r>
              <w:t xml:space="preserve">the </w:t>
            </w:r>
            <w:r w:rsidRPr="009A1DE7">
              <w:t>productivity of each provider.</w:t>
            </w:r>
          </w:p>
        </w:tc>
        <w:tc>
          <w:tcPr>
            <w:tcW w:w="2761" w:type="dxa"/>
          </w:tcPr>
          <w:p w14:paraId="1368F28D" w14:textId="77777777" w:rsidR="009C1799" w:rsidRPr="009A1DE7" w:rsidRDefault="009C1799" w:rsidP="009F357F">
            <w:pPr>
              <w:pStyle w:val="TableText"/>
            </w:pPr>
            <w:r w:rsidRPr="009A1DE7">
              <w:t>Prior to running the Day Sheet Report, all appointments must be marked as &lt;</w:t>
            </w:r>
            <w:r>
              <w:t>C</w:t>
            </w:r>
            <w:r w:rsidRPr="009A1DE7">
              <w:t xml:space="preserve">omplete&gt;, </w:t>
            </w:r>
            <w:r>
              <w:t>which indicates</w:t>
            </w:r>
            <w:r w:rsidRPr="009A1DE7">
              <w:t xml:space="preserve"> that all procedures have been completed and reviewed for accuracy.</w:t>
            </w:r>
          </w:p>
          <w:p w14:paraId="3C2DBE53" w14:textId="77777777" w:rsidR="009C1799" w:rsidRPr="009A1DE7" w:rsidRDefault="009C1799" w:rsidP="009F357F">
            <w:pPr>
              <w:pStyle w:val="TableText"/>
              <w:numPr>
                <w:ilvl w:val="0"/>
                <w:numId w:val="2"/>
              </w:numPr>
              <w:ind w:left="232" w:hanging="180"/>
            </w:pPr>
            <w:r w:rsidRPr="009A1DE7">
              <w:rPr>
                <w:u w:val="single"/>
              </w:rPr>
              <w:t>Appointment Book</w:t>
            </w:r>
            <w:r w:rsidRPr="009A1DE7">
              <w:t xml:space="preserve">: Confirm all </w:t>
            </w:r>
            <w:r>
              <w:t>appointment</w:t>
            </w:r>
            <w:r w:rsidRPr="009A1DE7">
              <w:t xml:space="preserve"> status</w:t>
            </w:r>
            <w:r>
              <w:t>es</w:t>
            </w:r>
            <w:r w:rsidRPr="009A1DE7">
              <w:t xml:space="preserve"> have been changed to COMPLETE</w:t>
            </w:r>
            <w:r>
              <w:t xml:space="preserve">. </w:t>
            </w:r>
            <w:r w:rsidRPr="009A1DE7">
              <w:t>Cross check the schedule with the day sheet for missing patients</w:t>
            </w:r>
            <w:r>
              <w:t>.</w:t>
            </w:r>
          </w:p>
          <w:p w14:paraId="41EB4B59" w14:textId="77777777" w:rsidR="009C1799" w:rsidRPr="009A1DE7" w:rsidRDefault="009C1799" w:rsidP="009F357F">
            <w:pPr>
              <w:pStyle w:val="TableText"/>
              <w:numPr>
                <w:ilvl w:val="0"/>
                <w:numId w:val="2"/>
              </w:numPr>
              <w:ind w:left="232" w:hanging="180"/>
            </w:pPr>
            <w:r w:rsidRPr="009A1DE7">
              <w:rPr>
                <w:u w:val="single"/>
              </w:rPr>
              <w:t>Chart</w:t>
            </w:r>
            <w:r w:rsidRPr="009A1DE7">
              <w:t xml:space="preserve">: </w:t>
            </w:r>
            <w:r>
              <w:t xml:space="preserve">Assign the correct patient </w:t>
            </w:r>
            <w:r w:rsidRPr="009A1DE7">
              <w:t>clinic</w:t>
            </w:r>
            <w:r>
              <w:t xml:space="preserve"> and</w:t>
            </w:r>
            <w:r w:rsidRPr="009A1DE7">
              <w:t xml:space="preserve"> provider(s)</w:t>
            </w:r>
            <w:r>
              <w:t xml:space="preserve"> to </w:t>
            </w:r>
            <w:r w:rsidRPr="009A1DE7">
              <w:t xml:space="preserve">and complete </w:t>
            </w:r>
            <w:r>
              <w:t xml:space="preserve">the </w:t>
            </w:r>
            <w:r w:rsidRPr="009A1DE7">
              <w:t>day</w:t>
            </w:r>
            <w:r>
              <w:t>’</w:t>
            </w:r>
            <w:r w:rsidRPr="009A1DE7">
              <w:t>s services</w:t>
            </w:r>
            <w:r>
              <w:t>.</w:t>
            </w:r>
          </w:p>
          <w:p w14:paraId="7AB65CF6" w14:textId="77777777" w:rsidR="009C1799" w:rsidRPr="009A1DE7" w:rsidRDefault="009C1799" w:rsidP="009F357F">
            <w:pPr>
              <w:pStyle w:val="TableText"/>
              <w:numPr>
                <w:ilvl w:val="0"/>
                <w:numId w:val="2"/>
              </w:numPr>
              <w:ind w:left="232" w:hanging="180"/>
            </w:pPr>
            <w:r w:rsidRPr="009A1DE7">
              <w:rPr>
                <w:u w:val="single"/>
              </w:rPr>
              <w:t>Ledger</w:t>
            </w:r>
            <w:r w:rsidRPr="009A1DE7">
              <w:t>: Correct posting errors for payments</w:t>
            </w:r>
            <w:r>
              <w:t xml:space="preserve"> and </w:t>
            </w:r>
            <w:r w:rsidRPr="009A1DE7">
              <w:t>adjustments</w:t>
            </w:r>
            <w:r>
              <w:t>.</w:t>
            </w:r>
          </w:p>
          <w:p w14:paraId="41193C15" w14:textId="77777777" w:rsidR="009C1799" w:rsidRPr="009A1DE7" w:rsidRDefault="009C1799" w:rsidP="009F357F">
            <w:pPr>
              <w:pStyle w:val="TableText"/>
              <w:numPr>
                <w:ilvl w:val="0"/>
                <w:numId w:val="2"/>
              </w:numPr>
              <w:ind w:left="232" w:hanging="180"/>
            </w:pPr>
            <w:r w:rsidRPr="009A1DE7">
              <w:rPr>
                <w:u w:val="single"/>
              </w:rPr>
              <w:t>Family File</w:t>
            </w:r>
            <w:r w:rsidRPr="009A1DE7">
              <w:t xml:space="preserve">: Assign </w:t>
            </w:r>
            <w:r>
              <w:t xml:space="preserve">the </w:t>
            </w:r>
            <w:r w:rsidRPr="009A1DE7">
              <w:t>correct billing type</w:t>
            </w:r>
            <w:r>
              <w:t>.</w:t>
            </w:r>
          </w:p>
        </w:tc>
        <w:tc>
          <w:tcPr>
            <w:tcW w:w="1800" w:type="dxa"/>
          </w:tcPr>
          <w:p w14:paraId="0022CF12" w14:textId="77777777" w:rsidR="009C1799" w:rsidRPr="00EF587A" w:rsidRDefault="009C1799" w:rsidP="009F357F">
            <w:pPr>
              <w:pStyle w:val="TableText"/>
            </w:pPr>
            <w:r w:rsidRPr="009A1DE7">
              <w:t xml:space="preserve">The Dental Chief (or </w:t>
            </w:r>
            <w:r>
              <w:t>M</w:t>
            </w:r>
            <w:r w:rsidRPr="009A1DE7">
              <w:t xml:space="preserve">anagement </w:t>
            </w:r>
            <w:r>
              <w:t>L</w:t>
            </w:r>
            <w:r w:rsidRPr="009A1DE7">
              <w:t xml:space="preserve">ead) will not be able to </w:t>
            </w:r>
            <w:r>
              <w:t>observe</w:t>
            </w:r>
            <w:r w:rsidRPr="009A1DE7">
              <w:t xml:space="preserve"> the amount and type of dental care being delivered by the clinic as a whole and/or by specific </w:t>
            </w:r>
            <w:r>
              <w:t>p</w:t>
            </w:r>
            <w:r w:rsidRPr="009A1DE7">
              <w:t xml:space="preserve">rimary and </w:t>
            </w:r>
            <w:r>
              <w:t>s</w:t>
            </w:r>
            <w:r w:rsidRPr="009A1DE7">
              <w:t xml:space="preserve">econdary </w:t>
            </w:r>
            <w:r>
              <w:t>p</w:t>
            </w:r>
            <w:r w:rsidRPr="009A1DE7">
              <w:t>roviders.</w:t>
            </w:r>
          </w:p>
        </w:tc>
        <w:tc>
          <w:tcPr>
            <w:tcW w:w="2329" w:type="dxa"/>
          </w:tcPr>
          <w:p w14:paraId="526E860F" w14:textId="77777777" w:rsidR="009C1799" w:rsidRPr="009A1DE7" w:rsidRDefault="009C1799" w:rsidP="009F357F">
            <w:pPr>
              <w:pStyle w:val="TableText"/>
              <w:numPr>
                <w:ilvl w:val="0"/>
                <w:numId w:val="1"/>
              </w:numPr>
              <w:spacing w:after="0"/>
              <w:ind w:left="187" w:hanging="187"/>
            </w:pPr>
            <w:r w:rsidRPr="009A1DE7">
              <w:t>Schedule Optimization</w:t>
            </w:r>
          </w:p>
          <w:p w14:paraId="7519C0D8" w14:textId="77777777" w:rsidR="009C1799" w:rsidRPr="009A1DE7" w:rsidRDefault="009C1799" w:rsidP="009F357F">
            <w:pPr>
              <w:pStyle w:val="TableText"/>
              <w:numPr>
                <w:ilvl w:val="0"/>
                <w:numId w:val="1"/>
              </w:numPr>
              <w:spacing w:after="0"/>
              <w:ind w:left="187" w:hanging="187"/>
            </w:pPr>
            <w:r w:rsidRPr="009A1DE7">
              <w:t>Patient Records</w:t>
            </w:r>
          </w:p>
          <w:p w14:paraId="78080D0F" w14:textId="77777777" w:rsidR="009C1799" w:rsidRPr="009A1DE7" w:rsidRDefault="009C1799" w:rsidP="009F357F">
            <w:pPr>
              <w:pStyle w:val="TableText"/>
              <w:numPr>
                <w:ilvl w:val="0"/>
                <w:numId w:val="1"/>
              </w:numPr>
              <w:spacing w:after="0"/>
              <w:ind w:left="187" w:hanging="187"/>
            </w:pPr>
            <w:r w:rsidRPr="009A1DE7">
              <w:t>Clinical Records</w:t>
            </w:r>
          </w:p>
          <w:p w14:paraId="67E9FC8C" w14:textId="77777777" w:rsidR="009C1799" w:rsidRDefault="009C1799" w:rsidP="009F357F">
            <w:pPr>
              <w:pStyle w:val="TableText"/>
              <w:numPr>
                <w:ilvl w:val="0"/>
                <w:numId w:val="1"/>
              </w:numPr>
              <w:spacing w:after="0"/>
              <w:ind w:left="187" w:hanging="187"/>
            </w:pPr>
            <w:r w:rsidRPr="009A1DE7">
              <w:t>Revenue Cycle</w:t>
            </w:r>
          </w:p>
          <w:p w14:paraId="168A69B1" w14:textId="77777777" w:rsidR="009C1799" w:rsidRPr="00EF587A" w:rsidRDefault="009C1799" w:rsidP="009F357F">
            <w:pPr>
              <w:pStyle w:val="TableText"/>
              <w:numPr>
                <w:ilvl w:val="0"/>
                <w:numId w:val="1"/>
              </w:numPr>
              <w:spacing w:after="0"/>
              <w:ind w:left="187" w:hanging="187"/>
            </w:pPr>
            <w:r w:rsidRPr="009A1DE7">
              <w:t>Reports Reference*</w:t>
            </w:r>
          </w:p>
        </w:tc>
      </w:tr>
      <w:tr w:rsidR="00D32D81" w:rsidRPr="009A1DE7" w14:paraId="135FFD1D" w14:textId="77777777" w:rsidTr="00264CB6">
        <w:trPr>
          <w:cantSplit/>
          <w:tblHeader/>
        </w:trPr>
        <w:tc>
          <w:tcPr>
            <w:tcW w:w="12940" w:type="dxa"/>
            <w:gridSpan w:val="7"/>
            <w:shd w:val="clear" w:color="auto" w:fill="E2EFD9" w:themeFill="accent6" w:themeFillTint="33"/>
            <w:vAlign w:val="center"/>
          </w:tcPr>
          <w:p w14:paraId="42FA3214" w14:textId="17AD8136" w:rsidR="00D32D81" w:rsidRPr="00912847" w:rsidRDefault="00D32D81" w:rsidP="00D32D81">
            <w:pPr>
              <w:pStyle w:val="Heading4"/>
              <w:rPr>
                <w:bCs/>
              </w:rPr>
            </w:pPr>
            <w:bookmarkStart w:id="367" w:name="_Day_Sheet_Report_1"/>
            <w:bookmarkEnd w:id="367"/>
            <w:r w:rsidRPr="00487FA2">
              <w:lastRenderedPageBreak/>
              <w:t>Day Sheet Report (</w:t>
            </w:r>
            <w:r>
              <w:t>Individual</w:t>
            </w:r>
            <w:r w:rsidRPr="00487FA2">
              <w:t xml:space="preserve"> Provider)</w:t>
            </w:r>
            <w:r w:rsidR="00BB2D77">
              <w:tab/>
            </w:r>
            <w:hyperlink w:anchor="_Daily_Checklist" w:history="1">
              <w:r w:rsidR="00FF74B1" w:rsidRPr="00FF74B1">
                <w:rPr>
                  <w:rStyle w:val="Hyperlink"/>
                  <w:b w:val="0"/>
                  <w:bCs/>
                  <w:sz w:val="16"/>
                  <w:szCs w:val="18"/>
                </w:rPr>
                <w:t>Return to Daily Checklist</w:t>
              </w:r>
            </w:hyperlink>
          </w:p>
        </w:tc>
      </w:tr>
      <w:tr w:rsidR="00E63CE1" w:rsidRPr="009A1DE7" w14:paraId="03E9F0FA" w14:textId="77777777" w:rsidTr="00264CB6">
        <w:trPr>
          <w:cantSplit/>
          <w:tblHeader/>
        </w:trPr>
        <w:tc>
          <w:tcPr>
            <w:tcW w:w="3240" w:type="dxa"/>
            <w:vAlign w:val="center"/>
          </w:tcPr>
          <w:p w14:paraId="4CBA2345" w14:textId="77777777" w:rsidR="005427AD" w:rsidRPr="00912847" w:rsidRDefault="005427AD" w:rsidP="009F357F">
            <w:pPr>
              <w:pStyle w:val="TableText"/>
              <w:jc w:val="center"/>
              <w:rPr>
                <w:b/>
                <w:bCs/>
              </w:rPr>
            </w:pPr>
            <w:r w:rsidRPr="00912847">
              <w:rPr>
                <w:b/>
                <w:bCs/>
              </w:rPr>
              <w:t>Suggested Report Filters</w:t>
            </w:r>
          </w:p>
        </w:tc>
        <w:tc>
          <w:tcPr>
            <w:tcW w:w="1180" w:type="dxa"/>
            <w:vAlign w:val="center"/>
          </w:tcPr>
          <w:p w14:paraId="1BE7E37D" w14:textId="77777777" w:rsidR="005427AD" w:rsidRPr="00912847" w:rsidRDefault="005427AD" w:rsidP="009F357F">
            <w:pPr>
              <w:pStyle w:val="TableText"/>
              <w:jc w:val="center"/>
              <w:rPr>
                <w:b/>
                <w:bCs/>
              </w:rPr>
            </w:pPr>
            <w:r w:rsidRPr="00912847">
              <w:rPr>
                <w:b/>
                <w:bCs/>
              </w:rPr>
              <w:t>Intent / Responsibility</w:t>
            </w:r>
          </w:p>
        </w:tc>
        <w:tc>
          <w:tcPr>
            <w:tcW w:w="1630" w:type="dxa"/>
            <w:gridSpan w:val="2"/>
            <w:vAlign w:val="center"/>
          </w:tcPr>
          <w:p w14:paraId="2A0EE896" w14:textId="77777777" w:rsidR="005427AD" w:rsidRPr="00912847" w:rsidRDefault="005427AD" w:rsidP="009F357F">
            <w:pPr>
              <w:pStyle w:val="TableText"/>
              <w:jc w:val="center"/>
              <w:rPr>
                <w:b/>
                <w:bCs/>
              </w:rPr>
            </w:pPr>
            <w:r w:rsidRPr="00912847">
              <w:rPr>
                <w:b/>
                <w:bCs/>
              </w:rPr>
              <w:t>Objective</w:t>
            </w:r>
          </w:p>
        </w:tc>
        <w:tc>
          <w:tcPr>
            <w:tcW w:w="2761" w:type="dxa"/>
            <w:vAlign w:val="center"/>
          </w:tcPr>
          <w:p w14:paraId="18FD827C" w14:textId="77777777" w:rsidR="005427AD" w:rsidRPr="00912847" w:rsidRDefault="005427AD" w:rsidP="009F357F">
            <w:pPr>
              <w:pStyle w:val="TableText"/>
              <w:jc w:val="center"/>
              <w:rPr>
                <w:b/>
                <w:bCs/>
              </w:rPr>
            </w:pPr>
            <w:r w:rsidRPr="00912847">
              <w:rPr>
                <w:b/>
                <w:bCs/>
              </w:rPr>
              <w:t>Dependencies and Possible Actions or Corrections Needed to Meet Objective</w:t>
            </w:r>
          </w:p>
        </w:tc>
        <w:tc>
          <w:tcPr>
            <w:tcW w:w="1800" w:type="dxa"/>
            <w:vAlign w:val="center"/>
          </w:tcPr>
          <w:p w14:paraId="5083872B" w14:textId="77777777" w:rsidR="005427AD" w:rsidRPr="009A1DE7" w:rsidRDefault="005427AD" w:rsidP="009F357F">
            <w:pPr>
              <w:pStyle w:val="TableText"/>
              <w:jc w:val="center"/>
            </w:pPr>
            <w:r w:rsidRPr="00912847">
              <w:rPr>
                <w:b/>
                <w:bCs/>
              </w:rPr>
              <w:t>Warning</w:t>
            </w:r>
          </w:p>
          <w:p w14:paraId="60E55855" w14:textId="77777777" w:rsidR="005427AD" w:rsidRPr="009A1DE7" w:rsidRDefault="005427A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2329" w:type="dxa"/>
            <w:vAlign w:val="center"/>
          </w:tcPr>
          <w:p w14:paraId="597A9B4E" w14:textId="77777777" w:rsidR="005427AD" w:rsidRPr="009A1DE7" w:rsidRDefault="005427AD" w:rsidP="009F357F">
            <w:pPr>
              <w:pStyle w:val="TableText"/>
              <w:jc w:val="center"/>
            </w:pPr>
            <w:r w:rsidRPr="00912847">
              <w:rPr>
                <w:b/>
                <w:bCs/>
              </w:rPr>
              <w:t>References</w:t>
            </w:r>
          </w:p>
          <w:p w14:paraId="4FA4E4CA" w14:textId="77777777" w:rsidR="005427AD" w:rsidRPr="009A1DE7" w:rsidRDefault="005427AD" w:rsidP="009F357F">
            <w:pPr>
              <w:pStyle w:val="TableText"/>
              <w:jc w:val="center"/>
            </w:pPr>
            <w:r w:rsidRPr="009A1DE7">
              <w:rPr>
                <w:i/>
                <w:iCs/>
              </w:rPr>
              <w:t>An asterisk (*) denotes an external resource.</w:t>
            </w:r>
          </w:p>
        </w:tc>
      </w:tr>
      <w:tr w:rsidR="00AC52B1" w:rsidRPr="00EE4BD6" w14:paraId="4E00506E" w14:textId="77777777" w:rsidTr="00264CB6">
        <w:trPr>
          <w:cantSplit/>
          <w:trHeight w:val="654"/>
        </w:trPr>
        <w:tc>
          <w:tcPr>
            <w:tcW w:w="3240" w:type="dxa"/>
          </w:tcPr>
          <w:p w14:paraId="34366CC8" w14:textId="77777777" w:rsidR="008B44A2" w:rsidRPr="00F37181" w:rsidRDefault="008B44A2" w:rsidP="009F357F">
            <w:pPr>
              <w:pStyle w:val="TableText"/>
              <w:numPr>
                <w:ilvl w:val="0"/>
                <w:numId w:val="1"/>
              </w:numPr>
              <w:ind w:left="232" w:hanging="180"/>
            </w:pPr>
            <w:r w:rsidRPr="00F37181">
              <w:t>Date Range: Today, by Entry Date</w:t>
            </w:r>
          </w:p>
          <w:p w14:paraId="26F806EE" w14:textId="77777777" w:rsidR="008B44A2" w:rsidRPr="00F37181" w:rsidRDefault="008B44A2" w:rsidP="009F357F">
            <w:pPr>
              <w:pStyle w:val="TableText"/>
              <w:numPr>
                <w:ilvl w:val="0"/>
                <w:numId w:val="1"/>
              </w:numPr>
              <w:ind w:left="232" w:hanging="180"/>
            </w:pPr>
            <w:r w:rsidRPr="00F37181">
              <w:t>All parameters for Clinic, Billing Type, and Patient Tag</w:t>
            </w:r>
          </w:p>
          <w:p w14:paraId="142E9CE0" w14:textId="77777777" w:rsidR="008B44A2" w:rsidRPr="009A1DE7" w:rsidRDefault="008B44A2" w:rsidP="009F357F">
            <w:pPr>
              <w:pStyle w:val="TableText"/>
              <w:numPr>
                <w:ilvl w:val="0"/>
                <w:numId w:val="1"/>
              </w:numPr>
              <w:ind w:left="232" w:hanging="180"/>
            </w:pPr>
            <w:r w:rsidRPr="00F37181">
              <w:t>Filter by individual Provider</w:t>
            </w:r>
          </w:p>
        </w:tc>
        <w:tc>
          <w:tcPr>
            <w:tcW w:w="1180" w:type="dxa"/>
          </w:tcPr>
          <w:p w14:paraId="5B44EAA1" w14:textId="77777777" w:rsidR="008B44A2" w:rsidRPr="009A1DE7" w:rsidRDefault="008B44A2" w:rsidP="009F357F">
            <w:pPr>
              <w:pStyle w:val="TableText"/>
            </w:pPr>
            <w:r>
              <w:t>Individual Provider</w:t>
            </w:r>
          </w:p>
        </w:tc>
        <w:tc>
          <w:tcPr>
            <w:tcW w:w="1630" w:type="dxa"/>
            <w:gridSpan w:val="2"/>
          </w:tcPr>
          <w:p w14:paraId="7DEA1799" w14:textId="77777777" w:rsidR="008B44A2" w:rsidRPr="009A1DE7" w:rsidRDefault="008B44A2" w:rsidP="009F357F">
            <w:pPr>
              <w:pStyle w:val="TableText"/>
            </w:pPr>
            <w:r>
              <w:t>An i</w:t>
            </w:r>
            <w:r w:rsidRPr="009A1DE7">
              <w:t>ndividual provider reviews their completed procedures prior to filing insurance claim</w:t>
            </w:r>
            <w:r>
              <w:t xml:space="preserve">s so they can take </w:t>
            </w:r>
            <w:r w:rsidRPr="009A1DE7">
              <w:t xml:space="preserve">accountability </w:t>
            </w:r>
            <w:r>
              <w:t>for</w:t>
            </w:r>
            <w:r w:rsidRPr="009A1DE7">
              <w:t xml:space="preserve"> patient care </w:t>
            </w:r>
            <w:r>
              <w:t>that was performed</w:t>
            </w:r>
            <w:r w:rsidRPr="009A1DE7">
              <w:t>.</w:t>
            </w:r>
          </w:p>
        </w:tc>
        <w:tc>
          <w:tcPr>
            <w:tcW w:w="2761" w:type="dxa"/>
          </w:tcPr>
          <w:p w14:paraId="1898451E" w14:textId="77777777" w:rsidR="008B44A2" w:rsidRPr="009A1DE7" w:rsidRDefault="008B44A2" w:rsidP="009F357F">
            <w:pPr>
              <w:pStyle w:val="TableText"/>
            </w:pPr>
            <w:r w:rsidRPr="009A1DE7">
              <w:t>Prior to running the Day Sheet Report, all appointments must be marked as &lt;</w:t>
            </w:r>
            <w:r>
              <w:t>C</w:t>
            </w:r>
            <w:r w:rsidRPr="009A1DE7">
              <w:t xml:space="preserve">omplete&gt;, </w:t>
            </w:r>
            <w:r>
              <w:t>which indicates</w:t>
            </w:r>
            <w:r w:rsidRPr="009A1DE7">
              <w:t xml:space="preserve"> that all procedures have been completed and reviewed for accuracy</w:t>
            </w:r>
            <w:r>
              <w:t>.</w:t>
            </w:r>
          </w:p>
          <w:p w14:paraId="24A03F2E" w14:textId="77777777" w:rsidR="008B44A2" w:rsidRPr="009A1DE7" w:rsidRDefault="008B44A2" w:rsidP="009F357F">
            <w:pPr>
              <w:pStyle w:val="TableText"/>
              <w:keepNext/>
              <w:keepLines/>
              <w:numPr>
                <w:ilvl w:val="0"/>
                <w:numId w:val="2"/>
              </w:numPr>
              <w:ind w:left="232" w:hanging="180"/>
            </w:pPr>
            <w:r w:rsidRPr="009A1DE7">
              <w:rPr>
                <w:u w:val="single"/>
              </w:rPr>
              <w:t>Appointment Book</w:t>
            </w:r>
            <w:r w:rsidRPr="009A1DE7">
              <w:t xml:space="preserve">: Confirm all </w:t>
            </w:r>
            <w:r>
              <w:t>appointment</w:t>
            </w:r>
            <w:r w:rsidRPr="009A1DE7">
              <w:t xml:space="preserve"> status</w:t>
            </w:r>
            <w:r>
              <w:t>es</w:t>
            </w:r>
            <w:r w:rsidRPr="009A1DE7">
              <w:t xml:space="preserve"> have been changed to COMPLETE</w:t>
            </w:r>
            <w:r>
              <w:t xml:space="preserve">. </w:t>
            </w:r>
            <w:r w:rsidRPr="009A1DE7">
              <w:t>Cross check the schedule with the day sheet for missing patients</w:t>
            </w:r>
            <w:r>
              <w:t>.</w:t>
            </w:r>
          </w:p>
          <w:p w14:paraId="32A492CA" w14:textId="77777777" w:rsidR="008B44A2" w:rsidRPr="009A1DE7" w:rsidRDefault="008B44A2" w:rsidP="009F357F">
            <w:pPr>
              <w:pStyle w:val="TableText"/>
              <w:keepNext/>
              <w:keepLines/>
              <w:numPr>
                <w:ilvl w:val="0"/>
                <w:numId w:val="2"/>
              </w:numPr>
              <w:ind w:left="232" w:hanging="180"/>
            </w:pPr>
            <w:r w:rsidRPr="009A1DE7">
              <w:rPr>
                <w:u w:val="single"/>
              </w:rPr>
              <w:t>Chart</w:t>
            </w:r>
            <w:r w:rsidRPr="009A1DE7">
              <w:t xml:space="preserve">: </w:t>
            </w:r>
            <w:r>
              <w:t xml:space="preserve">Assign the correct patient </w:t>
            </w:r>
            <w:r w:rsidRPr="009A1DE7">
              <w:t>clinic</w:t>
            </w:r>
            <w:r>
              <w:t xml:space="preserve"> and</w:t>
            </w:r>
            <w:r w:rsidRPr="009A1DE7">
              <w:t xml:space="preserve"> provider(s)</w:t>
            </w:r>
            <w:r>
              <w:t xml:space="preserve"> to </w:t>
            </w:r>
            <w:r w:rsidRPr="009A1DE7">
              <w:t xml:space="preserve">and complete </w:t>
            </w:r>
            <w:r>
              <w:t xml:space="preserve">the </w:t>
            </w:r>
            <w:r w:rsidRPr="009A1DE7">
              <w:t>day</w:t>
            </w:r>
            <w:r>
              <w:t>’</w:t>
            </w:r>
            <w:r w:rsidRPr="009A1DE7">
              <w:t>s services</w:t>
            </w:r>
            <w:r>
              <w:t>.</w:t>
            </w:r>
          </w:p>
          <w:p w14:paraId="6EA0295F" w14:textId="77777777" w:rsidR="008B44A2" w:rsidRPr="009A1DE7" w:rsidRDefault="008B44A2" w:rsidP="009F357F">
            <w:pPr>
              <w:pStyle w:val="TableText"/>
              <w:keepNext/>
              <w:keepLines/>
              <w:numPr>
                <w:ilvl w:val="0"/>
                <w:numId w:val="2"/>
              </w:numPr>
              <w:ind w:left="232" w:hanging="180"/>
            </w:pPr>
            <w:r w:rsidRPr="009A1DE7">
              <w:rPr>
                <w:u w:val="single"/>
              </w:rPr>
              <w:t>Ledger</w:t>
            </w:r>
            <w:r w:rsidRPr="009A1DE7">
              <w:t>: Correct posting errors for payments</w:t>
            </w:r>
            <w:r>
              <w:t xml:space="preserve"> and </w:t>
            </w:r>
            <w:r w:rsidRPr="009A1DE7">
              <w:t>adjustments</w:t>
            </w:r>
            <w:r>
              <w:t>.</w:t>
            </w:r>
          </w:p>
          <w:p w14:paraId="11600120" w14:textId="77777777" w:rsidR="008B44A2" w:rsidRPr="009A1DE7" w:rsidRDefault="008B44A2" w:rsidP="009F357F">
            <w:pPr>
              <w:pStyle w:val="TableText"/>
              <w:numPr>
                <w:ilvl w:val="0"/>
                <w:numId w:val="2"/>
              </w:numPr>
              <w:ind w:left="232" w:hanging="180"/>
            </w:pPr>
            <w:r w:rsidRPr="009A1DE7">
              <w:rPr>
                <w:u w:val="single"/>
              </w:rPr>
              <w:t>Family File</w:t>
            </w:r>
            <w:r w:rsidRPr="009A1DE7">
              <w:t xml:space="preserve">: Assign </w:t>
            </w:r>
            <w:r>
              <w:t xml:space="preserve">the </w:t>
            </w:r>
            <w:r w:rsidRPr="009A1DE7">
              <w:t>correct billing type</w:t>
            </w:r>
            <w:r>
              <w:t>.</w:t>
            </w:r>
          </w:p>
        </w:tc>
        <w:tc>
          <w:tcPr>
            <w:tcW w:w="1800" w:type="dxa"/>
          </w:tcPr>
          <w:p w14:paraId="2B17D369" w14:textId="77777777" w:rsidR="008B44A2" w:rsidRPr="00EF587A" w:rsidRDefault="008B44A2" w:rsidP="009F357F">
            <w:pPr>
              <w:pStyle w:val="TableText"/>
            </w:pPr>
            <w:r w:rsidRPr="009A1DE7">
              <w:t>If accurate data is not in place, it will adversely affect both production and collection numbers.</w:t>
            </w:r>
            <w:r>
              <w:t xml:space="preserve"> </w:t>
            </w:r>
            <w:r w:rsidRPr="009A1DE7">
              <w:t xml:space="preserve">The Provider delivering the patient care is the true source accountable for the patient clinical record.  Additionally, </w:t>
            </w:r>
            <w:r>
              <w:t xml:space="preserve">submitting </w:t>
            </w:r>
            <w:r w:rsidRPr="009A1DE7">
              <w:t xml:space="preserve">insurance claims </w:t>
            </w:r>
            <w:r>
              <w:t>with incorrect information leads</w:t>
            </w:r>
            <w:r w:rsidRPr="009A1DE7">
              <w:t xml:space="preserve"> to processing delays, resubmission</w:t>
            </w:r>
            <w:r>
              <w:t>s</w:t>
            </w:r>
            <w:r w:rsidRPr="009A1DE7">
              <w:t>, and claim payment delays.</w:t>
            </w:r>
          </w:p>
        </w:tc>
        <w:tc>
          <w:tcPr>
            <w:tcW w:w="2329" w:type="dxa"/>
          </w:tcPr>
          <w:p w14:paraId="4C16321E" w14:textId="77777777" w:rsidR="008B44A2" w:rsidRPr="009A1DE7" w:rsidRDefault="008B44A2" w:rsidP="009F357F">
            <w:pPr>
              <w:pStyle w:val="TableText"/>
              <w:numPr>
                <w:ilvl w:val="0"/>
                <w:numId w:val="1"/>
              </w:numPr>
              <w:spacing w:after="0"/>
              <w:ind w:left="187" w:hanging="187"/>
            </w:pPr>
            <w:r w:rsidRPr="009A1DE7">
              <w:t>Schedule Optimization</w:t>
            </w:r>
          </w:p>
          <w:p w14:paraId="0A8D93F9" w14:textId="77777777" w:rsidR="008B44A2" w:rsidRPr="009A1DE7" w:rsidRDefault="008B44A2" w:rsidP="009F357F">
            <w:pPr>
              <w:pStyle w:val="TableText"/>
              <w:numPr>
                <w:ilvl w:val="0"/>
                <w:numId w:val="1"/>
              </w:numPr>
              <w:spacing w:after="0"/>
              <w:ind w:left="187" w:hanging="187"/>
            </w:pPr>
            <w:r w:rsidRPr="009A1DE7">
              <w:t>Patient Records</w:t>
            </w:r>
          </w:p>
          <w:p w14:paraId="74728096" w14:textId="77777777" w:rsidR="008B44A2" w:rsidRPr="009A1DE7" w:rsidRDefault="008B44A2" w:rsidP="009F357F">
            <w:pPr>
              <w:pStyle w:val="TableText"/>
              <w:numPr>
                <w:ilvl w:val="0"/>
                <w:numId w:val="1"/>
              </w:numPr>
              <w:spacing w:after="0"/>
              <w:ind w:left="187" w:hanging="187"/>
            </w:pPr>
            <w:r w:rsidRPr="009A1DE7">
              <w:t>Clinical Records</w:t>
            </w:r>
          </w:p>
          <w:p w14:paraId="67BBDF1E" w14:textId="77777777" w:rsidR="008B44A2" w:rsidRPr="009A1DE7" w:rsidRDefault="008B44A2" w:rsidP="009F357F">
            <w:pPr>
              <w:pStyle w:val="TableText"/>
              <w:numPr>
                <w:ilvl w:val="0"/>
                <w:numId w:val="1"/>
              </w:numPr>
              <w:spacing w:after="0"/>
              <w:ind w:left="187" w:hanging="187"/>
            </w:pPr>
            <w:r w:rsidRPr="009A1DE7">
              <w:t>Revenue Cycle</w:t>
            </w:r>
          </w:p>
          <w:p w14:paraId="2D6B8001" w14:textId="77777777" w:rsidR="008B44A2" w:rsidRPr="00EF587A" w:rsidRDefault="008B44A2" w:rsidP="009F357F">
            <w:pPr>
              <w:pStyle w:val="TableText"/>
              <w:numPr>
                <w:ilvl w:val="0"/>
                <w:numId w:val="1"/>
              </w:numPr>
              <w:spacing w:after="0"/>
              <w:ind w:left="187" w:hanging="187"/>
            </w:pPr>
            <w:r w:rsidRPr="009A1DE7">
              <w:t>Reports Reference*</w:t>
            </w:r>
          </w:p>
        </w:tc>
      </w:tr>
    </w:tbl>
    <w:p w14:paraId="31DA8F6F" w14:textId="77777777" w:rsidR="00264CB6" w:rsidRDefault="00264CB6">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608"/>
        <w:gridCol w:w="93"/>
        <w:gridCol w:w="1343"/>
        <w:gridCol w:w="10"/>
        <w:gridCol w:w="2517"/>
        <w:gridCol w:w="13"/>
        <w:gridCol w:w="3318"/>
        <w:gridCol w:w="2430"/>
        <w:gridCol w:w="1629"/>
      </w:tblGrid>
      <w:tr w:rsidR="002F2E44" w:rsidRPr="009A1DE7" w14:paraId="292475F6" w14:textId="77777777" w:rsidTr="00264CB6">
        <w:trPr>
          <w:cantSplit/>
          <w:tblHeader/>
        </w:trPr>
        <w:tc>
          <w:tcPr>
            <w:tcW w:w="12961" w:type="dxa"/>
            <w:gridSpan w:val="9"/>
            <w:shd w:val="clear" w:color="auto" w:fill="E2EFD9" w:themeFill="accent6" w:themeFillTint="33"/>
            <w:vAlign w:val="center"/>
          </w:tcPr>
          <w:p w14:paraId="4E8D989C" w14:textId="3DC04047" w:rsidR="002F2E44" w:rsidRPr="00912847" w:rsidRDefault="002F2E44" w:rsidP="002F2E44">
            <w:pPr>
              <w:pStyle w:val="Heading4"/>
              <w:rPr>
                <w:bCs/>
              </w:rPr>
            </w:pPr>
            <w:bookmarkStart w:id="368" w:name="_Daily_Appointment_List"/>
            <w:bookmarkEnd w:id="368"/>
            <w:r w:rsidRPr="00F37181">
              <w:lastRenderedPageBreak/>
              <w:t>Daily Appointment List -or- Appointment Book View Printout</w:t>
            </w:r>
            <w:r w:rsidR="00BB2D77">
              <w:tab/>
            </w:r>
            <w:hyperlink w:anchor="_Daily_Checklist" w:history="1">
              <w:r w:rsidR="00FF74B1" w:rsidRPr="00FF74B1">
                <w:rPr>
                  <w:rStyle w:val="Hyperlink"/>
                  <w:b w:val="0"/>
                  <w:bCs/>
                  <w:sz w:val="16"/>
                  <w:szCs w:val="18"/>
                </w:rPr>
                <w:t>Return to Daily Checklist</w:t>
              </w:r>
            </w:hyperlink>
          </w:p>
        </w:tc>
      </w:tr>
      <w:tr w:rsidR="00E63CE1" w:rsidRPr="009A1DE7" w14:paraId="5AEA59D3" w14:textId="77777777" w:rsidTr="00264CB6">
        <w:trPr>
          <w:cantSplit/>
          <w:tblHeader/>
        </w:trPr>
        <w:tc>
          <w:tcPr>
            <w:tcW w:w="1608" w:type="dxa"/>
            <w:vAlign w:val="center"/>
          </w:tcPr>
          <w:p w14:paraId="54A698FE" w14:textId="77777777" w:rsidR="0011231C" w:rsidRPr="00912847" w:rsidRDefault="0011231C" w:rsidP="009F357F">
            <w:pPr>
              <w:pStyle w:val="TableText"/>
              <w:jc w:val="center"/>
              <w:rPr>
                <w:b/>
                <w:bCs/>
              </w:rPr>
            </w:pPr>
            <w:r w:rsidRPr="00912847">
              <w:rPr>
                <w:b/>
                <w:bCs/>
              </w:rPr>
              <w:t>Suggested Report Filters</w:t>
            </w:r>
          </w:p>
        </w:tc>
        <w:tc>
          <w:tcPr>
            <w:tcW w:w="1436" w:type="dxa"/>
            <w:gridSpan w:val="2"/>
            <w:vAlign w:val="center"/>
          </w:tcPr>
          <w:p w14:paraId="16482796" w14:textId="77777777" w:rsidR="0011231C" w:rsidRPr="00912847" w:rsidRDefault="0011231C" w:rsidP="009F357F">
            <w:pPr>
              <w:pStyle w:val="TableText"/>
              <w:jc w:val="center"/>
              <w:rPr>
                <w:b/>
                <w:bCs/>
              </w:rPr>
            </w:pPr>
            <w:r w:rsidRPr="00912847">
              <w:rPr>
                <w:b/>
                <w:bCs/>
              </w:rPr>
              <w:t>Intent / Responsibility</w:t>
            </w:r>
          </w:p>
        </w:tc>
        <w:tc>
          <w:tcPr>
            <w:tcW w:w="2540" w:type="dxa"/>
            <w:gridSpan w:val="3"/>
            <w:vAlign w:val="center"/>
          </w:tcPr>
          <w:p w14:paraId="69236926" w14:textId="77777777" w:rsidR="0011231C" w:rsidRPr="00912847" w:rsidRDefault="0011231C" w:rsidP="009F357F">
            <w:pPr>
              <w:pStyle w:val="TableText"/>
              <w:jc w:val="center"/>
              <w:rPr>
                <w:b/>
                <w:bCs/>
              </w:rPr>
            </w:pPr>
            <w:r w:rsidRPr="00912847">
              <w:rPr>
                <w:b/>
                <w:bCs/>
              </w:rPr>
              <w:t>Objective</w:t>
            </w:r>
          </w:p>
        </w:tc>
        <w:tc>
          <w:tcPr>
            <w:tcW w:w="3318" w:type="dxa"/>
            <w:vAlign w:val="center"/>
          </w:tcPr>
          <w:p w14:paraId="0E85D7D6" w14:textId="77777777" w:rsidR="0011231C" w:rsidRPr="00912847" w:rsidRDefault="0011231C" w:rsidP="009F357F">
            <w:pPr>
              <w:pStyle w:val="TableText"/>
              <w:jc w:val="center"/>
              <w:rPr>
                <w:b/>
                <w:bCs/>
              </w:rPr>
            </w:pPr>
            <w:r w:rsidRPr="00912847">
              <w:rPr>
                <w:b/>
                <w:bCs/>
              </w:rPr>
              <w:t>Dependencies and Possible Actions or Corrections Needed to Meet Objective</w:t>
            </w:r>
          </w:p>
        </w:tc>
        <w:tc>
          <w:tcPr>
            <w:tcW w:w="2430" w:type="dxa"/>
            <w:vAlign w:val="center"/>
          </w:tcPr>
          <w:p w14:paraId="3FB5D7FA" w14:textId="77777777" w:rsidR="0011231C" w:rsidRPr="009A1DE7" w:rsidRDefault="0011231C" w:rsidP="009F357F">
            <w:pPr>
              <w:pStyle w:val="TableText"/>
              <w:jc w:val="center"/>
            </w:pPr>
            <w:r w:rsidRPr="00912847">
              <w:rPr>
                <w:b/>
                <w:bCs/>
              </w:rPr>
              <w:t>Warning</w:t>
            </w:r>
          </w:p>
          <w:p w14:paraId="3E2B643E" w14:textId="77777777" w:rsidR="0011231C" w:rsidRPr="009A1DE7" w:rsidRDefault="0011231C"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29" w:type="dxa"/>
            <w:vAlign w:val="center"/>
          </w:tcPr>
          <w:p w14:paraId="21B170DF" w14:textId="77777777" w:rsidR="0011231C" w:rsidRPr="009A1DE7" w:rsidRDefault="0011231C" w:rsidP="009F357F">
            <w:pPr>
              <w:pStyle w:val="TableText"/>
              <w:jc w:val="center"/>
            </w:pPr>
            <w:r w:rsidRPr="00912847">
              <w:rPr>
                <w:b/>
                <w:bCs/>
              </w:rPr>
              <w:t>References</w:t>
            </w:r>
          </w:p>
          <w:p w14:paraId="2F43E664" w14:textId="77777777" w:rsidR="0011231C" w:rsidRPr="009A1DE7" w:rsidRDefault="0011231C" w:rsidP="009F357F">
            <w:pPr>
              <w:pStyle w:val="TableText"/>
              <w:jc w:val="center"/>
            </w:pPr>
            <w:r w:rsidRPr="009A1DE7">
              <w:rPr>
                <w:i/>
                <w:iCs/>
              </w:rPr>
              <w:t>An asterisk (*) denotes an external resource.</w:t>
            </w:r>
          </w:p>
        </w:tc>
      </w:tr>
      <w:tr w:rsidR="00AC52B1" w:rsidRPr="00EE4BD6" w14:paraId="5D858B67" w14:textId="77777777" w:rsidTr="00264CB6">
        <w:trPr>
          <w:cantSplit/>
          <w:trHeight w:val="478"/>
        </w:trPr>
        <w:tc>
          <w:tcPr>
            <w:tcW w:w="1608" w:type="dxa"/>
          </w:tcPr>
          <w:p w14:paraId="31FB42F7" w14:textId="77777777" w:rsidR="004F0314" w:rsidRPr="009A1DE7" w:rsidRDefault="004F0314" w:rsidP="009F357F">
            <w:pPr>
              <w:pStyle w:val="TableText"/>
              <w:keepNext/>
              <w:keepLines/>
              <w:numPr>
                <w:ilvl w:val="0"/>
                <w:numId w:val="3"/>
              </w:numPr>
              <w:ind w:left="226" w:hanging="180"/>
            </w:pPr>
            <w:r>
              <w:t>Appointment Date</w:t>
            </w:r>
            <w:r w:rsidRPr="009A1DE7">
              <w:t>: T</w:t>
            </w:r>
            <w:r>
              <w:t>omorrow</w:t>
            </w:r>
          </w:p>
          <w:p w14:paraId="0F44D88C" w14:textId="77777777" w:rsidR="004F0314" w:rsidRDefault="004F0314" w:rsidP="009F357F">
            <w:pPr>
              <w:pStyle w:val="TableText"/>
              <w:keepNext/>
              <w:keepLines/>
              <w:numPr>
                <w:ilvl w:val="0"/>
                <w:numId w:val="3"/>
              </w:numPr>
              <w:ind w:left="226" w:hanging="180"/>
            </w:pPr>
            <w:r w:rsidRPr="009A1DE7">
              <w:t xml:space="preserve">All parameters for </w:t>
            </w:r>
            <w:r>
              <w:t>Provider</w:t>
            </w:r>
            <w:r w:rsidRPr="009A1DE7">
              <w:t xml:space="preserve">, </w:t>
            </w:r>
            <w:r>
              <w:t>Operatory</w:t>
            </w:r>
            <w:r w:rsidRPr="009A1DE7">
              <w:t>, and Patient</w:t>
            </w:r>
          </w:p>
          <w:p w14:paraId="5F342C07" w14:textId="77777777" w:rsidR="004F0314" w:rsidRPr="009A1DE7" w:rsidRDefault="004F0314" w:rsidP="009F357F">
            <w:pPr>
              <w:pStyle w:val="TableText"/>
              <w:numPr>
                <w:ilvl w:val="0"/>
                <w:numId w:val="3"/>
              </w:numPr>
              <w:ind w:left="226" w:hanging="180"/>
            </w:pPr>
            <w:r>
              <w:t>Select Report Type (as preferred)</w:t>
            </w:r>
          </w:p>
        </w:tc>
        <w:tc>
          <w:tcPr>
            <w:tcW w:w="1436" w:type="dxa"/>
            <w:gridSpan w:val="2"/>
          </w:tcPr>
          <w:p w14:paraId="6F89F915" w14:textId="77777777" w:rsidR="004F0314" w:rsidRPr="009A1DE7" w:rsidRDefault="004F0314" w:rsidP="009F357F">
            <w:pPr>
              <w:pStyle w:val="TableText"/>
            </w:pPr>
            <w:r>
              <w:t>Provider</w:t>
            </w:r>
          </w:p>
        </w:tc>
        <w:tc>
          <w:tcPr>
            <w:tcW w:w="2540" w:type="dxa"/>
            <w:gridSpan w:val="3"/>
          </w:tcPr>
          <w:p w14:paraId="1B259417" w14:textId="77777777" w:rsidR="004F0314" w:rsidRPr="009A1DE7" w:rsidRDefault="004F0314" w:rsidP="009F357F">
            <w:pPr>
              <w:pStyle w:val="TableText"/>
            </w:pPr>
            <w:r>
              <w:t>Provider reviews tomorrow's schedule to ensure their availability for appointments scheduled and identify patient treatment needs and challenges.</w:t>
            </w:r>
          </w:p>
        </w:tc>
        <w:tc>
          <w:tcPr>
            <w:tcW w:w="3318" w:type="dxa"/>
          </w:tcPr>
          <w:p w14:paraId="0BAEFAC5" w14:textId="77777777" w:rsidR="004F0314" w:rsidRPr="009A1DE7" w:rsidRDefault="004F0314" w:rsidP="009F357F">
            <w:pPr>
              <w:pStyle w:val="TableText"/>
              <w:keepNext/>
              <w:keepLines/>
            </w:pPr>
            <w:r w:rsidRPr="00694A4B">
              <w:t>Patients have been confirmed and emergencies have been allotted a time slot in the appointment schedule</w:t>
            </w:r>
            <w:r w:rsidRPr="009A1DE7">
              <w:t>.</w:t>
            </w:r>
          </w:p>
          <w:p w14:paraId="52D704D3" w14:textId="77777777" w:rsidR="004F0314" w:rsidRPr="009A1DE7" w:rsidRDefault="004F0314" w:rsidP="009F357F">
            <w:pPr>
              <w:pStyle w:val="TableText"/>
              <w:keepNext/>
              <w:keepLines/>
              <w:numPr>
                <w:ilvl w:val="0"/>
                <w:numId w:val="2"/>
              </w:numPr>
              <w:ind w:left="232" w:hanging="180"/>
            </w:pPr>
            <w:r w:rsidRPr="009A1DE7">
              <w:rPr>
                <w:u w:val="single"/>
              </w:rPr>
              <w:t>Appointment Book</w:t>
            </w:r>
            <w:r w:rsidRPr="009A1DE7">
              <w:t xml:space="preserve">: </w:t>
            </w:r>
            <w:r w:rsidRPr="00694A4B">
              <w:t>Attach correct procedures, provider</w:t>
            </w:r>
            <w:r>
              <w:t>,</w:t>
            </w:r>
            <w:r w:rsidRPr="00694A4B">
              <w:t xml:space="preserve"> and time length to appointments</w:t>
            </w:r>
            <w:r>
              <w:t xml:space="preserve">. </w:t>
            </w:r>
            <w:r w:rsidRPr="00694A4B">
              <w:t>Document additional information when needed for specific appointment types</w:t>
            </w:r>
            <w:r>
              <w:t xml:space="preserve">. </w:t>
            </w:r>
            <w:r w:rsidRPr="00694A4B">
              <w:t xml:space="preserve">Lab </w:t>
            </w:r>
            <w:r>
              <w:t>c</w:t>
            </w:r>
            <w:r w:rsidRPr="00694A4B">
              <w:t>ase follow-up</w:t>
            </w:r>
            <w:r>
              <w:t>s.</w:t>
            </w:r>
          </w:p>
          <w:p w14:paraId="1DE0E168" w14:textId="77777777" w:rsidR="004F0314" w:rsidRPr="009A1DE7" w:rsidRDefault="004F0314" w:rsidP="009F357F">
            <w:pPr>
              <w:pStyle w:val="TableText"/>
              <w:numPr>
                <w:ilvl w:val="0"/>
                <w:numId w:val="2"/>
              </w:numPr>
              <w:ind w:left="232" w:hanging="180"/>
            </w:pPr>
            <w:r w:rsidRPr="009A1DE7">
              <w:rPr>
                <w:u w:val="single"/>
              </w:rPr>
              <w:t>Family Fil</w:t>
            </w:r>
            <w:r>
              <w:rPr>
                <w:u w:val="single"/>
              </w:rPr>
              <w:t>e / Patient Records</w:t>
            </w:r>
            <w:r w:rsidRPr="009A1DE7">
              <w:t xml:space="preserve">: </w:t>
            </w:r>
            <w:r w:rsidRPr="00694A4B">
              <w:t>Identify and record needed patient form updates</w:t>
            </w:r>
            <w:r>
              <w:t>.</w:t>
            </w:r>
          </w:p>
        </w:tc>
        <w:tc>
          <w:tcPr>
            <w:tcW w:w="2430" w:type="dxa"/>
          </w:tcPr>
          <w:p w14:paraId="57340296" w14:textId="77777777" w:rsidR="004F0314" w:rsidRPr="00EF587A" w:rsidRDefault="004F0314" w:rsidP="009F357F">
            <w:pPr>
              <w:pStyle w:val="TableText"/>
            </w:pPr>
            <w:r w:rsidRPr="00694A4B">
              <w:t xml:space="preserve">Without this review of tomorrow's schedule, Providers and Staff may be ill-prepared to work through challenges with the schedule </w:t>
            </w:r>
            <w:r>
              <w:t xml:space="preserve">that can easily be avoided </w:t>
            </w:r>
            <w:r w:rsidRPr="00694A4B">
              <w:t>(</w:t>
            </w:r>
            <w:r>
              <w:t>such as</w:t>
            </w:r>
            <w:r w:rsidRPr="00694A4B">
              <w:t xml:space="preserve"> appointments that are too short to provide </w:t>
            </w:r>
            <w:r>
              <w:t xml:space="preserve">the </w:t>
            </w:r>
            <w:r w:rsidRPr="00694A4B">
              <w:t>needed care</w:t>
            </w:r>
            <w:r>
              <w:t xml:space="preserve"> and</w:t>
            </w:r>
            <w:r w:rsidRPr="00694A4B">
              <w:t xml:space="preserve"> </w:t>
            </w:r>
            <w:r>
              <w:t xml:space="preserve">a </w:t>
            </w:r>
            <w:r w:rsidRPr="00694A4B">
              <w:t xml:space="preserve">provider </w:t>
            </w:r>
            <w:r>
              <w:t xml:space="preserve">being </w:t>
            </w:r>
            <w:r w:rsidRPr="00694A4B">
              <w:t>out of the office for part of the day).</w:t>
            </w:r>
          </w:p>
        </w:tc>
        <w:tc>
          <w:tcPr>
            <w:tcW w:w="1629" w:type="dxa"/>
          </w:tcPr>
          <w:p w14:paraId="015409FD" w14:textId="77777777" w:rsidR="004F0314" w:rsidRPr="009A1DE7" w:rsidRDefault="004F0314" w:rsidP="009F357F">
            <w:pPr>
              <w:pStyle w:val="TableText"/>
              <w:numPr>
                <w:ilvl w:val="0"/>
                <w:numId w:val="1"/>
              </w:numPr>
              <w:spacing w:after="0"/>
              <w:ind w:left="187" w:hanging="187"/>
            </w:pPr>
            <w:r w:rsidRPr="009A1DE7">
              <w:t>Schedule Optimization</w:t>
            </w:r>
          </w:p>
          <w:p w14:paraId="100FEC0E" w14:textId="77777777" w:rsidR="004F0314" w:rsidRPr="009A1DE7" w:rsidRDefault="004F0314" w:rsidP="009F357F">
            <w:pPr>
              <w:pStyle w:val="TableText"/>
              <w:numPr>
                <w:ilvl w:val="0"/>
                <w:numId w:val="1"/>
              </w:numPr>
              <w:spacing w:after="0"/>
              <w:ind w:left="187" w:hanging="187"/>
            </w:pPr>
            <w:r w:rsidRPr="009A1DE7">
              <w:t>Patient Records</w:t>
            </w:r>
          </w:p>
          <w:p w14:paraId="4DDF90F4" w14:textId="77777777" w:rsidR="004F0314" w:rsidRPr="00EF587A" w:rsidRDefault="004F0314" w:rsidP="009F357F">
            <w:pPr>
              <w:pStyle w:val="TableText"/>
              <w:numPr>
                <w:ilvl w:val="0"/>
                <w:numId w:val="1"/>
              </w:numPr>
              <w:spacing w:after="0"/>
              <w:ind w:left="187" w:hanging="187"/>
            </w:pPr>
            <w:r w:rsidRPr="009A1DE7">
              <w:t>Clinical Records</w:t>
            </w:r>
          </w:p>
        </w:tc>
      </w:tr>
      <w:tr w:rsidR="00485074" w:rsidRPr="009A1DE7" w14:paraId="4C465F01" w14:textId="77777777" w:rsidTr="00264CB6">
        <w:trPr>
          <w:cantSplit/>
          <w:tblHeader/>
        </w:trPr>
        <w:tc>
          <w:tcPr>
            <w:tcW w:w="12961" w:type="dxa"/>
            <w:gridSpan w:val="9"/>
            <w:shd w:val="clear" w:color="auto" w:fill="E2EFD9" w:themeFill="accent6" w:themeFillTint="33"/>
            <w:vAlign w:val="center"/>
          </w:tcPr>
          <w:p w14:paraId="79EE7689" w14:textId="7B17132E" w:rsidR="00485074" w:rsidRPr="00912847" w:rsidRDefault="00485074" w:rsidP="00485074">
            <w:pPr>
              <w:pStyle w:val="Heading4"/>
              <w:rPr>
                <w:bCs/>
              </w:rPr>
            </w:pPr>
            <w:bookmarkStart w:id="369" w:name="_Insurance_Eligibility_Report"/>
            <w:bookmarkEnd w:id="369"/>
            <w:r w:rsidRPr="0011231C">
              <w:t>Insurance Eligibility Report</w:t>
            </w:r>
            <w:r w:rsidR="00BB2D77">
              <w:tab/>
            </w:r>
            <w:hyperlink w:anchor="_Daily_Checklist" w:history="1">
              <w:r w:rsidR="00FF74B1" w:rsidRPr="00FF74B1">
                <w:rPr>
                  <w:rStyle w:val="Hyperlink"/>
                  <w:b w:val="0"/>
                  <w:bCs/>
                  <w:sz w:val="16"/>
                  <w:szCs w:val="18"/>
                </w:rPr>
                <w:t>Return to Daily Checklist</w:t>
              </w:r>
            </w:hyperlink>
          </w:p>
        </w:tc>
      </w:tr>
      <w:tr w:rsidR="001F23FC" w:rsidRPr="009A1DE7" w14:paraId="47FFA2B8" w14:textId="77777777" w:rsidTr="00264CB6">
        <w:trPr>
          <w:cantSplit/>
          <w:tblHeader/>
        </w:trPr>
        <w:tc>
          <w:tcPr>
            <w:tcW w:w="1701" w:type="dxa"/>
            <w:gridSpan w:val="2"/>
            <w:vAlign w:val="center"/>
          </w:tcPr>
          <w:p w14:paraId="2BB1913A" w14:textId="77777777" w:rsidR="00FB231B" w:rsidRPr="00912847" w:rsidRDefault="00FB231B" w:rsidP="009F357F">
            <w:pPr>
              <w:pStyle w:val="TableText"/>
              <w:jc w:val="center"/>
              <w:rPr>
                <w:b/>
                <w:bCs/>
              </w:rPr>
            </w:pPr>
            <w:r w:rsidRPr="00912847">
              <w:rPr>
                <w:b/>
                <w:bCs/>
              </w:rPr>
              <w:t>Suggested Report Filters</w:t>
            </w:r>
          </w:p>
        </w:tc>
        <w:tc>
          <w:tcPr>
            <w:tcW w:w="1353" w:type="dxa"/>
            <w:gridSpan w:val="2"/>
            <w:vAlign w:val="center"/>
          </w:tcPr>
          <w:p w14:paraId="561D34FC" w14:textId="77777777" w:rsidR="00FB231B" w:rsidRPr="00912847" w:rsidRDefault="00FB231B" w:rsidP="009F357F">
            <w:pPr>
              <w:pStyle w:val="TableText"/>
              <w:jc w:val="center"/>
              <w:rPr>
                <w:b/>
                <w:bCs/>
              </w:rPr>
            </w:pPr>
            <w:r w:rsidRPr="00912847">
              <w:rPr>
                <w:b/>
                <w:bCs/>
              </w:rPr>
              <w:t>Intent / Responsibility</w:t>
            </w:r>
          </w:p>
        </w:tc>
        <w:tc>
          <w:tcPr>
            <w:tcW w:w="2517" w:type="dxa"/>
            <w:vAlign w:val="center"/>
          </w:tcPr>
          <w:p w14:paraId="39869C5C" w14:textId="77777777" w:rsidR="00FB231B" w:rsidRPr="00912847" w:rsidRDefault="00FB231B" w:rsidP="009F357F">
            <w:pPr>
              <w:pStyle w:val="TableText"/>
              <w:jc w:val="center"/>
              <w:rPr>
                <w:b/>
                <w:bCs/>
              </w:rPr>
            </w:pPr>
            <w:r w:rsidRPr="00912847">
              <w:rPr>
                <w:b/>
                <w:bCs/>
              </w:rPr>
              <w:t>Objective</w:t>
            </w:r>
          </w:p>
        </w:tc>
        <w:tc>
          <w:tcPr>
            <w:tcW w:w="3331" w:type="dxa"/>
            <w:gridSpan w:val="2"/>
            <w:vAlign w:val="center"/>
          </w:tcPr>
          <w:p w14:paraId="7C295613" w14:textId="77777777" w:rsidR="00FB231B" w:rsidRPr="00912847" w:rsidRDefault="00FB231B" w:rsidP="009F357F">
            <w:pPr>
              <w:pStyle w:val="TableText"/>
              <w:jc w:val="center"/>
              <w:rPr>
                <w:b/>
                <w:bCs/>
              </w:rPr>
            </w:pPr>
            <w:r w:rsidRPr="00912847">
              <w:rPr>
                <w:b/>
                <w:bCs/>
              </w:rPr>
              <w:t>Dependencies and Possible Actions or Corrections Needed to Meet Objective</w:t>
            </w:r>
          </w:p>
        </w:tc>
        <w:tc>
          <w:tcPr>
            <w:tcW w:w="2430" w:type="dxa"/>
            <w:vAlign w:val="center"/>
          </w:tcPr>
          <w:p w14:paraId="58D8233E" w14:textId="77777777" w:rsidR="00FB231B" w:rsidRPr="009A1DE7" w:rsidRDefault="00FB231B" w:rsidP="009F357F">
            <w:pPr>
              <w:pStyle w:val="TableText"/>
              <w:jc w:val="center"/>
            </w:pPr>
            <w:r w:rsidRPr="00912847">
              <w:rPr>
                <w:b/>
                <w:bCs/>
              </w:rPr>
              <w:t>Warning</w:t>
            </w:r>
          </w:p>
          <w:p w14:paraId="76CCE39A" w14:textId="77777777" w:rsidR="00FB231B" w:rsidRPr="009A1DE7" w:rsidRDefault="00FB231B"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29" w:type="dxa"/>
            <w:vAlign w:val="center"/>
          </w:tcPr>
          <w:p w14:paraId="2D44823C" w14:textId="77777777" w:rsidR="00FB231B" w:rsidRPr="009A1DE7" w:rsidRDefault="00FB231B" w:rsidP="009F357F">
            <w:pPr>
              <w:pStyle w:val="TableText"/>
              <w:jc w:val="center"/>
            </w:pPr>
            <w:r w:rsidRPr="00912847">
              <w:rPr>
                <w:b/>
                <w:bCs/>
              </w:rPr>
              <w:t>References</w:t>
            </w:r>
          </w:p>
          <w:p w14:paraId="3844F1DE" w14:textId="77777777" w:rsidR="00FB231B" w:rsidRPr="009A1DE7" w:rsidRDefault="00FB231B" w:rsidP="009F357F">
            <w:pPr>
              <w:pStyle w:val="TableText"/>
              <w:jc w:val="center"/>
            </w:pPr>
            <w:r w:rsidRPr="009A1DE7">
              <w:rPr>
                <w:i/>
                <w:iCs/>
              </w:rPr>
              <w:t>An asterisk (*) denotes an external resource.</w:t>
            </w:r>
          </w:p>
        </w:tc>
      </w:tr>
      <w:tr w:rsidR="00981869" w:rsidRPr="00EE4BD6" w14:paraId="36902255" w14:textId="77777777" w:rsidTr="00264CB6">
        <w:trPr>
          <w:cantSplit/>
          <w:trHeight w:val="549"/>
        </w:trPr>
        <w:tc>
          <w:tcPr>
            <w:tcW w:w="1701" w:type="dxa"/>
            <w:gridSpan w:val="2"/>
          </w:tcPr>
          <w:p w14:paraId="64DCECD1" w14:textId="77777777" w:rsidR="0011231C" w:rsidRPr="00AC006A" w:rsidRDefault="0011231C" w:rsidP="004F45B6">
            <w:pPr>
              <w:pStyle w:val="TableText"/>
              <w:numPr>
                <w:ilvl w:val="0"/>
                <w:numId w:val="160"/>
              </w:numPr>
              <w:ind w:left="215" w:hanging="180"/>
            </w:pPr>
            <w:r w:rsidRPr="00AC006A">
              <w:t>All parameters for Provider, Employer, Patient, and Insurance</w:t>
            </w:r>
          </w:p>
          <w:p w14:paraId="0A7605F7" w14:textId="77777777" w:rsidR="0011231C" w:rsidRPr="00AC006A" w:rsidRDefault="0011231C" w:rsidP="004F45B6">
            <w:pPr>
              <w:pStyle w:val="TableText"/>
              <w:numPr>
                <w:ilvl w:val="0"/>
                <w:numId w:val="160"/>
              </w:numPr>
              <w:ind w:left="215" w:hanging="180"/>
            </w:pPr>
            <w:r w:rsidRPr="00AC006A">
              <w:t>Date Range: Tomorrow (and the next day)</w:t>
            </w:r>
          </w:p>
        </w:tc>
        <w:tc>
          <w:tcPr>
            <w:tcW w:w="1353" w:type="dxa"/>
            <w:gridSpan w:val="2"/>
          </w:tcPr>
          <w:p w14:paraId="6CCF87C1" w14:textId="77777777" w:rsidR="0011231C" w:rsidRPr="00AC006A" w:rsidRDefault="0011231C" w:rsidP="009F357F">
            <w:pPr>
              <w:pStyle w:val="TableText"/>
            </w:pPr>
            <w:r w:rsidRPr="00AC006A">
              <w:t>Billing or Front Desk Staff</w:t>
            </w:r>
          </w:p>
        </w:tc>
        <w:tc>
          <w:tcPr>
            <w:tcW w:w="2517" w:type="dxa"/>
          </w:tcPr>
          <w:p w14:paraId="7097EBB3" w14:textId="77777777" w:rsidR="0011231C" w:rsidRPr="00AC006A" w:rsidRDefault="0011231C" w:rsidP="009F357F">
            <w:pPr>
              <w:pStyle w:val="TableText"/>
            </w:pPr>
            <w:r w:rsidRPr="00AC006A">
              <w:t>Review patient insurance eligibility and coverage for the date of scheduled treatment.</w:t>
            </w:r>
          </w:p>
        </w:tc>
        <w:tc>
          <w:tcPr>
            <w:tcW w:w="3331" w:type="dxa"/>
            <w:gridSpan w:val="2"/>
          </w:tcPr>
          <w:p w14:paraId="0F3A2425" w14:textId="77777777" w:rsidR="0011231C" w:rsidRPr="00AC006A" w:rsidRDefault="0011231C" w:rsidP="009F357F">
            <w:pPr>
              <w:pStyle w:val="TableText"/>
            </w:pPr>
            <w:r w:rsidRPr="00AC006A">
              <w:t xml:space="preserve">An insurance plan has been attached to the patient along with dates of eligibility. This will result in an "E" indicator on the patient's scheduled appointment. </w:t>
            </w:r>
          </w:p>
          <w:p w14:paraId="44896B7E" w14:textId="77777777" w:rsidR="0011231C" w:rsidRPr="00AC006A" w:rsidRDefault="0011231C" w:rsidP="00E46B8D">
            <w:pPr>
              <w:pStyle w:val="TableText"/>
            </w:pPr>
            <w:r w:rsidRPr="00AC006A">
              <w:t>Color code for eligibility Indicator on appointments:</w:t>
            </w:r>
          </w:p>
          <w:p w14:paraId="66EDA89F" w14:textId="77777777" w:rsidR="0011231C" w:rsidRPr="00AC006A" w:rsidRDefault="0011231C" w:rsidP="002E77F3">
            <w:pPr>
              <w:pStyle w:val="TableText"/>
              <w:ind w:left="139"/>
            </w:pPr>
            <w:r w:rsidRPr="00AC006A">
              <w:t>Yellow = Not Checked</w:t>
            </w:r>
          </w:p>
          <w:p w14:paraId="466AD286" w14:textId="77777777" w:rsidR="0011231C" w:rsidRPr="00AC006A" w:rsidRDefault="0011231C" w:rsidP="002E77F3">
            <w:pPr>
              <w:pStyle w:val="TableText"/>
              <w:ind w:left="139"/>
            </w:pPr>
            <w:r w:rsidRPr="00AC006A">
              <w:t>Green = Eligible</w:t>
            </w:r>
          </w:p>
          <w:p w14:paraId="0B1B34B3" w14:textId="77777777" w:rsidR="0011231C" w:rsidRPr="00AC006A" w:rsidRDefault="0011231C" w:rsidP="002E77F3">
            <w:pPr>
              <w:pStyle w:val="TableText"/>
              <w:ind w:left="139"/>
            </w:pPr>
            <w:r w:rsidRPr="00AC006A">
              <w:t>Red = Not Eligible</w:t>
            </w:r>
          </w:p>
          <w:p w14:paraId="2DC17E96" w14:textId="77777777" w:rsidR="0011231C" w:rsidRPr="00AC006A" w:rsidRDefault="0011231C" w:rsidP="009F357F">
            <w:pPr>
              <w:pStyle w:val="TableText"/>
              <w:numPr>
                <w:ilvl w:val="0"/>
                <w:numId w:val="1"/>
              </w:numPr>
              <w:ind w:left="245" w:hanging="187"/>
            </w:pPr>
            <w:r w:rsidRPr="00AC006A">
              <w:rPr>
                <w:u w:val="single"/>
              </w:rPr>
              <w:t>Family File</w:t>
            </w:r>
            <w:r w:rsidRPr="00AC006A">
              <w:t>: Attach insurance plan to patient record. Verify insurance eligibility. Enter eligibility dates and coverage detail.</w:t>
            </w:r>
          </w:p>
        </w:tc>
        <w:tc>
          <w:tcPr>
            <w:tcW w:w="2430" w:type="dxa"/>
          </w:tcPr>
          <w:p w14:paraId="732205DF" w14:textId="77777777" w:rsidR="0011231C" w:rsidRPr="00EF587A" w:rsidRDefault="0011231C" w:rsidP="009F357F">
            <w:pPr>
              <w:pStyle w:val="TableText"/>
            </w:pPr>
            <w:r w:rsidRPr="00D506A7">
              <w:t>If the insurance information for the scheduled patient is not verified, the coverage</w:t>
            </w:r>
            <w:r>
              <w:t xml:space="preserve"> or </w:t>
            </w:r>
            <w:r w:rsidRPr="00D506A7">
              <w:t xml:space="preserve">payment for services may be </w:t>
            </w:r>
            <w:r>
              <w:t>jeopardized</w:t>
            </w:r>
            <w:r w:rsidRPr="00D506A7">
              <w:t>. Any treatment rendered and accounts receivable increase without verification of insurance benefits will require further billing review for additional action.</w:t>
            </w:r>
          </w:p>
        </w:tc>
        <w:tc>
          <w:tcPr>
            <w:tcW w:w="1629" w:type="dxa"/>
          </w:tcPr>
          <w:p w14:paraId="7B4843DA" w14:textId="77777777" w:rsidR="0011231C" w:rsidRPr="009A1DE7" w:rsidRDefault="0011231C" w:rsidP="009F357F">
            <w:pPr>
              <w:pStyle w:val="TableText"/>
              <w:numPr>
                <w:ilvl w:val="0"/>
                <w:numId w:val="1"/>
              </w:numPr>
              <w:spacing w:after="0"/>
              <w:ind w:left="187" w:hanging="187"/>
            </w:pPr>
            <w:r w:rsidRPr="009A1DE7">
              <w:t>Patient Records</w:t>
            </w:r>
          </w:p>
          <w:p w14:paraId="1E600E8A" w14:textId="77777777" w:rsidR="0011231C" w:rsidRPr="00EF587A" w:rsidRDefault="0011231C" w:rsidP="009F357F">
            <w:pPr>
              <w:pStyle w:val="TableText"/>
              <w:numPr>
                <w:ilvl w:val="0"/>
                <w:numId w:val="1"/>
              </w:numPr>
              <w:spacing w:after="0"/>
              <w:ind w:left="187" w:hanging="187"/>
            </w:pPr>
            <w:r>
              <w:t>Revenue Cycle</w:t>
            </w:r>
          </w:p>
        </w:tc>
      </w:tr>
    </w:tbl>
    <w:p w14:paraId="18903CF0" w14:textId="77777777" w:rsidR="00264CB6" w:rsidRDefault="00264CB6">
      <w:r>
        <w:rPr>
          <w:b/>
          <w:iCs/>
        </w:rPr>
        <w:br w:type="page"/>
      </w:r>
    </w:p>
    <w:tbl>
      <w:tblPr>
        <w:tblStyle w:val="TableGrid"/>
        <w:tblW w:w="12962"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00"/>
        <w:gridCol w:w="1353"/>
        <w:gridCol w:w="2519"/>
        <w:gridCol w:w="3330"/>
        <w:gridCol w:w="2430"/>
        <w:gridCol w:w="1630"/>
      </w:tblGrid>
      <w:tr w:rsidR="00FF04B9" w:rsidRPr="009A1DE7" w14:paraId="543C54BF" w14:textId="77777777" w:rsidTr="00264CB6">
        <w:trPr>
          <w:cantSplit/>
          <w:tblHeader/>
        </w:trPr>
        <w:tc>
          <w:tcPr>
            <w:tcW w:w="12962" w:type="dxa"/>
            <w:gridSpan w:val="6"/>
            <w:shd w:val="clear" w:color="auto" w:fill="E2EFD9" w:themeFill="accent6" w:themeFillTint="33"/>
            <w:vAlign w:val="center"/>
          </w:tcPr>
          <w:p w14:paraId="3B9813CC" w14:textId="0181E658" w:rsidR="00FF04B9" w:rsidRPr="00912847" w:rsidRDefault="00FF04B9" w:rsidP="00FF04B9">
            <w:pPr>
              <w:pStyle w:val="Heading4"/>
              <w:rPr>
                <w:bCs/>
              </w:rPr>
            </w:pPr>
            <w:bookmarkStart w:id="370" w:name="_Scheduling_Assistant_(v."/>
            <w:bookmarkEnd w:id="370"/>
            <w:r>
              <w:lastRenderedPageBreak/>
              <w:t>Scheduling Assistant (v. 8.0.9 and later)</w:t>
            </w:r>
            <w:r w:rsidR="00BB2D77">
              <w:tab/>
            </w:r>
            <w:hyperlink w:anchor="_Daily_Checklist" w:history="1">
              <w:r w:rsidR="00FF74B1" w:rsidRPr="00FF74B1">
                <w:rPr>
                  <w:rStyle w:val="Hyperlink"/>
                  <w:b w:val="0"/>
                  <w:bCs/>
                  <w:sz w:val="16"/>
                  <w:szCs w:val="18"/>
                </w:rPr>
                <w:t>Return to Daily Checklist</w:t>
              </w:r>
            </w:hyperlink>
          </w:p>
        </w:tc>
      </w:tr>
      <w:tr w:rsidR="00264CB6" w:rsidRPr="009A1DE7" w14:paraId="51CCC681" w14:textId="77777777" w:rsidTr="00264CB6">
        <w:trPr>
          <w:cantSplit/>
          <w:tblHeader/>
        </w:trPr>
        <w:tc>
          <w:tcPr>
            <w:tcW w:w="1700" w:type="dxa"/>
            <w:vAlign w:val="center"/>
          </w:tcPr>
          <w:p w14:paraId="22CB6EFD" w14:textId="77777777" w:rsidR="001E3509" w:rsidRPr="00912847" w:rsidRDefault="001E3509" w:rsidP="009F357F">
            <w:pPr>
              <w:pStyle w:val="TableText"/>
              <w:jc w:val="center"/>
              <w:rPr>
                <w:b/>
                <w:bCs/>
              </w:rPr>
            </w:pPr>
            <w:r w:rsidRPr="00912847">
              <w:rPr>
                <w:b/>
                <w:bCs/>
              </w:rPr>
              <w:t>Suggested Report Filters</w:t>
            </w:r>
          </w:p>
        </w:tc>
        <w:tc>
          <w:tcPr>
            <w:tcW w:w="1353" w:type="dxa"/>
            <w:vAlign w:val="center"/>
          </w:tcPr>
          <w:p w14:paraId="716DB181" w14:textId="77777777" w:rsidR="001E3509" w:rsidRPr="00912847" w:rsidRDefault="001E3509" w:rsidP="009F357F">
            <w:pPr>
              <w:pStyle w:val="TableText"/>
              <w:jc w:val="center"/>
              <w:rPr>
                <w:b/>
                <w:bCs/>
              </w:rPr>
            </w:pPr>
            <w:r w:rsidRPr="00912847">
              <w:rPr>
                <w:b/>
                <w:bCs/>
              </w:rPr>
              <w:t>Intent / Responsibility</w:t>
            </w:r>
          </w:p>
        </w:tc>
        <w:tc>
          <w:tcPr>
            <w:tcW w:w="2519" w:type="dxa"/>
            <w:vAlign w:val="center"/>
          </w:tcPr>
          <w:p w14:paraId="183F9AA7" w14:textId="77777777" w:rsidR="001E3509" w:rsidRPr="00912847" w:rsidRDefault="001E3509" w:rsidP="009F357F">
            <w:pPr>
              <w:pStyle w:val="TableText"/>
              <w:jc w:val="center"/>
              <w:rPr>
                <w:b/>
                <w:bCs/>
              </w:rPr>
            </w:pPr>
            <w:r w:rsidRPr="00912847">
              <w:rPr>
                <w:b/>
                <w:bCs/>
              </w:rPr>
              <w:t>Objective</w:t>
            </w:r>
          </w:p>
        </w:tc>
        <w:tc>
          <w:tcPr>
            <w:tcW w:w="3330" w:type="dxa"/>
            <w:vAlign w:val="center"/>
          </w:tcPr>
          <w:p w14:paraId="5B1CA4A6" w14:textId="77777777" w:rsidR="001E3509" w:rsidRPr="00912847" w:rsidRDefault="001E3509" w:rsidP="009F357F">
            <w:pPr>
              <w:pStyle w:val="TableText"/>
              <w:jc w:val="center"/>
              <w:rPr>
                <w:b/>
                <w:bCs/>
              </w:rPr>
            </w:pPr>
            <w:r w:rsidRPr="00912847">
              <w:rPr>
                <w:b/>
                <w:bCs/>
              </w:rPr>
              <w:t>Dependencies and Possible Actions or Corrections Needed to Meet Objective</w:t>
            </w:r>
          </w:p>
        </w:tc>
        <w:tc>
          <w:tcPr>
            <w:tcW w:w="2430" w:type="dxa"/>
            <w:vAlign w:val="center"/>
          </w:tcPr>
          <w:p w14:paraId="74E5660B" w14:textId="77777777" w:rsidR="001E3509" w:rsidRPr="009A1DE7" w:rsidRDefault="001E3509" w:rsidP="009F357F">
            <w:pPr>
              <w:pStyle w:val="TableText"/>
              <w:jc w:val="center"/>
            </w:pPr>
            <w:r w:rsidRPr="00912847">
              <w:rPr>
                <w:b/>
                <w:bCs/>
              </w:rPr>
              <w:t>Warning</w:t>
            </w:r>
          </w:p>
          <w:p w14:paraId="1F88A9DC" w14:textId="77777777" w:rsidR="001E3509" w:rsidRPr="009A1DE7" w:rsidRDefault="001E3509"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58E92C1F" w14:textId="77777777" w:rsidR="001E3509" w:rsidRPr="009A1DE7" w:rsidRDefault="001E3509" w:rsidP="009F357F">
            <w:pPr>
              <w:pStyle w:val="TableText"/>
              <w:jc w:val="center"/>
            </w:pPr>
            <w:r w:rsidRPr="00912847">
              <w:rPr>
                <w:b/>
                <w:bCs/>
              </w:rPr>
              <w:t>References</w:t>
            </w:r>
          </w:p>
          <w:p w14:paraId="044E7AE1" w14:textId="77777777" w:rsidR="001E3509" w:rsidRPr="009A1DE7" w:rsidRDefault="001E3509" w:rsidP="009F357F">
            <w:pPr>
              <w:pStyle w:val="TableText"/>
              <w:jc w:val="center"/>
            </w:pPr>
            <w:r w:rsidRPr="009A1DE7">
              <w:rPr>
                <w:i/>
                <w:iCs/>
              </w:rPr>
              <w:t>An asterisk (*) denotes an external resource.</w:t>
            </w:r>
          </w:p>
        </w:tc>
      </w:tr>
      <w:tr w:rsidR="00264CB6" w:rsidRPr="00EE4BD6" w14:paraId="49120673" w14:textId="77777777" w:rsidTr="00264CB6">
        <w:trPr>
          <w:cantSplit/>
          <w:trHeight w:val="654"/>
        </w:trPr>
        <w:tc>
          <w:tcPr>
            <w:tcW w:w="1700" w:type="dxa"/>
          </w:tcPr>
          <w:p w14:paraId="7B4F9F99" w14:textId="77777777" w:rsidR="00FB231B" w:rsidRDefault="00FB231B" w:rsidP="009F357F">
            <w:pPr>
              <w:pStyle w:val="TableText"/>
              <w:keepNext/>
              <w:keepLines/>
              <w:numPr>
                <w:ilvl w:val="0"/>
                <w:numId w:val="3"/>
              </w:numPr>
              <w:ind w:left="226" w:hanging="180"/>
            </w:pPr>
            <w:r w:rsidRPr="00D160F4">
              <w:t>Select Appointment List: Continuing Care, Unscheduled Appointments, ASAP, Unscheduled Treatment</w:t>
            </w:r>
            <w:r>
              <w:t>,</w:t>
            </w:r>
            <w:r w:rsidRPr="00D160F4">
              <w:t xml:space="preserve"> or Unscheduled Treatment</w:t>
            </w:r>
            <w:r>
              <w:t xml:space="preserve"> </w:t>
            </w:r>
            <w:r w:rsidRPr="00D160F4">
              <w:t>Requests</w:t>
            </w:r>
          </w:p>
          <w:p w14:paraId="38AAA851" w14:textId="77777777" w:rsidR="00FB231B" w:rsidRDefault="00FB231B" w:rsidP="009F357F">
            <w:pPr>
              <w:pStyle w:val="TableText"/>
              <w:keepNext/>
              <w:keepLines/>
              <w:numPr>
                <w:ilvl w:val="0"/>
                <w:numId w:val="3"/>
              </w:numPr>
              <w:ind w:left="226" w:hanging="180"/>
            </w:pPr>
            <w:r w:rsidRPr="00D160F4">
              <w:t>Select list filters</w:t>
            </w:r>
          </w:p>
          <w:p w14:paraId="06080F75" w14:textId="77777777" w:rsidR="00FB231B" w:rsidRPr="009A1DE7" w:rsidRDefault="00FB231B" w:rsidP="009F357F">
            <w:pPr>
              <w:pStyle w:val="TableText"/>
              <w:numPr>
                <w:ilvl w:val="0"/>
                <w:numId w:val="3"/>
              </w:numPr>
              <w:ind w:left="226" w:hanging="180"/>
            </w:pPr>
            <w:r w:rsidRPr="00D160F4">
              <w:t>Clinic and Provider (as needed)</w:t>
            </w:r>
          </w:p>
        </w:tc>
        <w:tc>
          <w:tcPr>
            <w:tcW w:w="1353" w:type="dxa"/>
          </w:tcPr>
          <w:p w14:paraId="7E45C1C8" w14:textId="77777777" w:rsidR="00FB231B" w:rsidRPr="009A1DE7" w:rsidRDefault="00FB231B" w:rsidP="009F357F">
            <w:pPr>
              <w:pStyle w:val="TableText"/>
            </w:pPr>
            <w:r>
              <w:t>Front Desk Staff</w:t>
            </w:r>
          </w:p>
        </w:tc>
        <w:tc>
          <w:tcPr>
            <w:tcW w:w="2519" w:type="dxa"/>
          </w:tcPr>
          <w:p w14:paraId="55282465" w14:textId="77777777" w:rsidR="00FB231B" w:rsidRPr="009A1DE7" w:rsidRDefault="00FB231B" w:rsidP="009F357F">
            <w:pPr>
              <w:pStyle w:val="TableText"/>
            </w:pPr>
            <w:r w:rsidRPr="00D160F4">
              <w:t>Compare scheduling lists with appointment opportunities to ensure timely patient care.</w:t>
            </w:r>
          </w:p>
        </w:tc>
        <w:tc>
          <w:tcPr>
            <w:tcW w:w="3330" w:type="dxa"/>
          </w:tcPr>
          <w:p w14:paraId="00091195" w14:textId="77777777" w:rsidR="00FB231B" w:rsidRDefault="00FB231B" w:rsidP="009F357F">
            <w:pPr>
              <w:pStyle w:val="TableText"/>
              <w:keepNext/>
              <w:keepLines/>
            </w:pPr>
            <w:r w:rsidRPr="00D160F4">
              <w:t xml:space="preserve">Continuing </w:t>
            </w:r>
            <w:r>
              <w:t>c</w:t>
            </w:r>
            <w:r w:rsidRPr="00D160F4">
              <w:t xml:space="preserve">are </w:t>
            </w:r>
            <w:r>
              <w:t xml:space="preserve">is </w:t>
            </w:r>
            <w:r w:rsidRPr="00D160F4">
              <w:t xml:space="preserve">attached to </w:t>
            </w:r>
            <w:r>
              <w:t xml:space="preserve">a </w:t>
            </w:r>
            <w:r w:rsidRPr="00D160F4">
              <w:t>patient</w:t>
            </w:r>
            <w:r>
              <w:t xml:space="preserve"> record</w:t>
            </w:r>
            <w:r w:rsidRPr="00D160F4">
              <w:t xml:space="preserve">. Proper appointment break/wait/will call workflow. ASAP appointment status assigned to appointment. Treatment </w:t>
            </w:r>
            <w:r>
              <w:t>p</w:t>
            </w:r>
            <w:r w:rsidRPr="00D160F4">
              <w:t xml:space="preserve">lans and </w:t>
            </w:r>
            <w:r>
              <w:t>t</w:t>
            </w:r>
            <w:r w:rsidRPr="00D160F4">
              <w:t xml:space="preserve">reatment </w:t>
            </w:r>
            <w:r>
              <w:t>r</w:t>
            </w:r>
            <w:r w:rsidRPr="00D160F4">
              <w:t>equests attached to patient record.</w:t>
            </w:r>
          </w:p>
          <w:p w14:paraId="76F44144" w14:textId="77777777" w:rsidR="00FB231B" w:rsidRDefault="00FB231B" w:rsidP="009F357F">
            <w:pPr>
              <w:pStyle w:val="TableText"/>
              <w:keepNext/>
              <w:keepLines/>
              <w:numPr>
                <w:ilvl w:val="0"/>
                <w:numId w:val="2"/>
              </w:numPr>
              <w:ind w:left="232" w:hanging="180"/>
            </w:pPr>
            <w:r w:rsidRPr="00D160F4">
              <w:rPr>
                <w:u w:val="single"/>
              </w:rPr>
              <w:t>Appointment Book</w:t>
            </w:r>
            <w:r>
              <w:t xml:space="preserve">: </w:t>
            </w:r>
            <w:r w:rsidRPr="00D160F4">
              <w:t>Create appointment and assign ASAP</w:t>
            </w:r>
            <w:r>
              <w:t xml:space="preserve"> status. A</w:t>
            </w:r>
            <w:r w:rsidRPr="00D160F4">
              <w:t xml:space="preserve">ttach </w:t>
            </w:r>
            <w:r>
              <w:t>c</w:t>
            </w:r>
            <w:r w:rsidRPr="00D160F4">
              <w:t xml:space="preserve">ontinuing </w:t>
            </w:r>
            <w:r>
              <w:t>c</w:t>
            </w:r>
            <w:r w:rsidRPr="00D160F4">
              <w:t>are to appointments</w:t>
            </w:r>
            <w:r>
              <w:t>. For cancellations, b</w:t>
            </w:r>
            <w:r w:rsidRPr="00D160F4">
              <w:t xml:space="preserve">reak </w:t>
            </w:r>
            <w:r>
              <w:t xml:space="preserve">the appointments, </w:t>
            </w:r>
            <w:r w:rsidRPr="00D160F4">
              <w:t xml:space="preserve">and </w:t>
            </w:r>
            <w:r>
              <w:t xml:space="preserve">mark them as </w:t>
            </w:r>
            <w:r w:rsidRPr="00D160F4">
              <w:t>Wait/Will Call</w:t>
            </w:r>
            <w:r>
              <w:t>.</w:t>
            </w:r>
          </w:p>
          <w:p w14:paraId="1378BA21" w14:textId="77777777" w:rsidR="00FB231B" w:rsidRPr="00D160F4" w:rsidRDefault="00FB231B" w:rsidP="009F357F">
            <w:pPr>
              <w:pStyle w:val="TableText"/>
              <w:keepNext/>
              <w:keepLines/>
              <w:numPr>
                <w:ilvl w:val="0"/>
                <w:numId w:val="2"/>
              </w:numPr>
              <w:ind w:left="232" w:hanging="180"/>
            </w:pPr>
            <w:r w:rsidRPr="00D160F4">
              <w:rPr>
                <w:u w:val="single"/>
              </w:rPr>
              <w:t>Family File</w:t>
            </w:r>
            <w:r>
              <w:t xml:space="preserve">: </w:t>
            </w:r>
            <w:r w:rsidRPr="00D160F4">
              <w:t>Assign app</w:t>
            </w:r>
            <w:r>
              <w:t>licable</w:t>
            </w:r>
            <w:r w:rsidRPr="00D160F4">
              <w:t xml:space="preserve"> </w:t>
            </w:r>
            <w:r>
              <w:t>c</w:t>
            </w:r>
            <w:r w:rsidRPr="00D160F4">
              <w:t xml:space="preserve">ontinuing </w:t>
            </w:r>
            <w:r>
              <w:t>c</w:t>
            </w:r>
            <w:r w:rsidRPr="00D160F4">
              <w:t>are types and intervals</w:t>
            </w:r>
            <w:r>
              <w:t>.</w:t>
            </w:r>
          </w:p>
          <w:p w14:paraId="19893ECF" w14:textId="77777777" w:rsidR="00FB231B" w:rsidRPr="009A1DE7" w:rsidRDefault="00FB231B" w:rsidP="009F357F">
            <w:pPr>
              <w:pStyle w:val="TableText"/>
              <w:keepNext/>
              <w:keepLines/>
              <w:numPr>
                <w:ilvl w:val="0"/>
                <w:numId w:val="2"/>
              </w:numPr>
              <w:ind w:left="232" w:hanging="180"/>
            </w:pPr>
            <w:r w:rsidRPr="009A1DE7">
              <w:rPr>
                <w:u w:val="single"/>
              </w:rPr>
              <w:t>Chart</w:t>
            </w:r>
            <w:r w:rsidRPr="009A1DE7">
              <w:t xml:space="preserve">: </w:t>
            </w:r>
            <w:r w:rsidRPr="00D160F4">
              <w:t>Enter treatment plan</w:t>
            </w:r>
            <w:r>
              <w:t>.</w:t>
            </w:r>
          </w:p>
          <w:p w14:paraId="413B553B" w14:textId="77777777" w:rsidR="00FB231B" w:rsidRPr="009A1DE7" w:rsidRDefault="00FB231B" w:rsidP="009F357F">
            <w:pPr>
              <w:pStyle w:val="TableText"/>
              <w:numPr>
                <w:ilvl w:val="0"/>
                <w:numId w:val="2"/>
              </w:numPr>
              <w:ind w:left="232" w:hanging="180"/>
            </w:pPr>
            <w:r>
              <w:rPr>
                <w:u w:val="single"/>
              </w:rPr>
              <w:t>More Information</w:t>
            </w:r>
            <w:r w:rsidRPr="009A1DE7">
              <w:t xml:space="preserve">: </w:t>
            </w:r>
            <w:r w:rsidRPr="00D160F4">
              <w:t>Enter treatment request</w:t>
            </w:r>
            <w:r>
              <w:t>.</w:t>
            </w:r>
          </w:p>
        </w:tc>
        <w:tc>
          <w:tcPr>
            <w:tcW w:w="2430" w:type="dxa"/>
          </w:tcPr>
          <w:p w14:paraId="1C417D98" w14:textId="77777777" w:rsidR="00FB231B" w:rsidRPr="00EF587A" w:rsidRDefault="00FB231B" w:rsidP="009F357F">
            <w:pPr>
              <w:pStyle w:val="TableText"/>
            </w:pPr>
            <w:r w:rsidRPr="00D160F4">
              <w:t xml:space="preserve">Patient care opportunities are not optimized if those in need of appointments before provider availability occurs are not monitored. </w:t>
            </w:r>
            <w:r>
              <w:t>Open times</w:t>
            </w:r>
            <w:r w:rsidRPr="00D160F4">
              <w:t xml:space="preserve"> in the clinic's schedule</w:t>
            </w:r>
            <w:r>
              <w:t xml:space="preserve"> due to c</w:t>
            </w:r>
            <w:r w:rsidRPr="00D160F4">
              <w:t>ancellations will not be as easily filled if the scheduling lists are not used.</w:t>
            </w:r>
          </w:p>
        </w:tc>
        <w:tc>
          <w:tcPr>
            <w:tcW w:w="1630" w:type="dxa"/>
          </w:tcPr>
          <w:p w14:paraId="177BFCCC" w14:textId="77777777" w:rsidR="00FB231B" w:rsidRDefault="00FB231B" w:rsidP="009F357F">
            <w:pPr>
              <w:pStyle w:val="TableText"/>
              <w:numPr>
                <w:ilvl w:val="0"/>
                <w:numId w:val="1"/>
              </w:numPr>
              <w:spacing w:after="0"/>
              <w:ind w:left="187" w:hanging="187"/>
            </w:pPr>
            <w:r>
              <w:t>Schedule Optimization</w:t>
            </w:r>
          </w:p>
          <w:p w14:paraId="0A9DEA04" w14:textId="77777777" w:rsidR="00FB231B" w:rsidRPr="009A1DE7" w:rsidRDefault="00FB231B" w:rsidP="009F357F">
            <w:pPr>
              <w:pStyle w:val="TableText"/>
              <w:numPr>
                <w:ilvl w:val="0"/>
                <w:numId w:val="1"/>
              </w:numPr>
              <w:spacing w:after="0"/>
              <w:ind w:left="187" w:hanging="187"/>
            </w:pPr>
            <w:r w:rsidRPr="009A1DE7">
              <w:t>Patient Records</w:t>
            </w:r>
          </w:p>
          <w:p w14:paraId="67274F00" w14:textId="77777777" w:rsidR="00FB231B" w:rsidRPr="00EF587A" w:rsidRDefault="00FB231B" w:rsidP="009F357F">
            <w:pPr>
              <w:pStyle w:val="TableText"/>
              <w:numPr>
                <w:ilvl w:val="0"/>
                <w:numId w:val="1"/>
              </w:numPr>
              <w:spacing w:after="0"/>
              <w:ind w:left="187" w:hanging="187"/>
            </w:pPr>
            <w:r>
              <w:t>Clinical Records</w:t>
            </w:r>
          </w:p>
        </w:tc>
      </w:tr>
      <w:tr w:rsidR="00FF04B9" w:rsidRPr="00EE4BD6" w14:paraId="39E8C0EB" w14:textId="77777777" w:rsidTr="00264CB6">
        <w:trPr>
          <w:cantSplit/>
          <w:trHeight w:val="428"/>
        </w:trPr>
        <w:tc>
          <w:tcPr>
            <w:tcW w:w="12962" w:type="dxa"/>
            <w:gridSpan w:val="6"/>
            <w:shd w:val="clear" w:color="auto" w:fill="E2EFD9" w:themeFill="accent6" w:themeFillTint="33"/>
            <w:vAlign w:val="center"/>
          </w:tcPr>
          <w:p w14:paraId="277E78B0" w14:textId="797E8210" w:rsidR="00FF04B9" w:rsidRPr="00912847" w:rsidRDefault="00FF04B9" w:rsidP="00FF04B9">
            <w:pPr>
              <w:pStyle w:val="Heading4"/>
              <w:rPr>
                <w:bCs/>
              </w:rPr>
            </w:pPr>
            <w:bookmarkStart w:id="371" w:name="_Signature_Manager"/>
            <w:bookmarkEnd w:id="371"/>
            <w:r>
              <w:t>Signature Manager</w:t>
            </w:r>
            <w:r w:rsidR="00BB2D77">
              <w:tab/>
            </w:r>
            <w:hyperlink w:anchor="_Daily_Checklist" w:history="1">
              <w:r w:rsidR="00FF74B1" w:rsidRPr="00FF74B1">
                <w:rPr>
                  <w:rStyle w:val="Hyperlink"/>
                  <w:b w:val="0"/>
                  <w:bCs/>
                  <w:sz w:val="16"/>
                  <w:szCs w:val="18"/>
                </w:rPr>
                <w:t>Return to Daily Checklist</w:t>
              </w:r>
            </w:hyperlink>
          </w:p>
        </w:tc>
      </w:tr>
      <w:tr w:rsidR="00264CB6" w:rsidRPr="00EE4BD6" w14:paraId="6DA6EEF3" w14:textId="77777777" w:rsidTr="00264CB6">
        <w:trPr>
          <w:cantSplit/>
          <w:trHeight w:val="428"/>
        </w:trPr>
        <w:tc>
          <w:tcPr>
            <w:tcW w:w="1700" w:type="dxa"/>
            <w:vAlign w:val="center"/>
          </w:tcPr>
          <w:p w14:paraId="240E6B07" w14:textId="717A0FA8" w:rsidR="0013175D" w:rsidRPr="00D160F4" w:rsidRDefault="0013175D" w:rsidP="003C0777">
            <w:pPr>
              <w:pStyle w:val="TableText"/>
              <w:keepNext/>
              <w:keepLines/>
              <w:ind w:left="46"/>
              <w:jc w:val="center"/>
            </w:pPr>
            <w:r w:rsidRPr="00912847">
              <w:rPr>
                <w:b/>
                <w:bCs/>
              </w:rPr>
              <w:t>Suggested Report Filters</w:t>
            </w:r>
          </w:p>
        </w:tc>
        <w:tc>
          <w:tcPr>
            <w:tcW w:w="1353" w:type="dxa"/>
            <w:vAlign w:val="center"/>
          </w:tcPr>
          <w:p w14:paraId="582CB9FE" w14:textId="72B79451" w:rsidR="0013175D" w:rsidRDefault="0013175D" w:rsidP="003C0777">
            <w:pPr>
              <w:pStyle w:val="TableText"/>
              <w:jc w:val="center"/>
            </w:pPr>
            <w:r w:rsidRPr="00912847">
              <w:rPr>
                <w:b/>
                <w:bCs/>
              </w:rPr>
              <w:t>Intent / Responsibility</w:t>
            </w:r>
          </w:p>
        </w:tc>
        <w:tc>
          <w:tcPr>
            <w:tcW w:w="2519" w:type="dxa"/>
            <w:vAlign w:val="center"/>
          </w:tcPr>
          <w:p w14:paraId="46E825EE" w14:textId="07C1E409" w:rsidR="0013175D" w:rsidRPr="00837A86" w:rsidRDefault="0013175D" w:rsidP="003C0777">
            <w:pPr>
              <w:pStyle w:val="TableText"/>
              <w:jc w:val="center"/>
            </w:pPr>
            <w:r w:rsidRPr="00912847">
              <w:rPr>
                <w:b/>
                <w:bCs/>
              </w:rPr>
              <w:t>Objective</w:t>
            </w:r>
          </w:p>
        </w:tc>
        <w:tc>
          <w:tcPr>
            <w:tcW w:w="3330" w:type="dxa"/>
            <w:vAlign w:val="center"/>
          </w:tcPr>
          <w:p w14:paraId="53040170" w14:textId="3455E372" w:rsidR="0013175D" w:rsidRPr="00837A86" w:rsidRDefault="0013175D" w:rsidP="003C0777">
            <w:pPr>
              <w:pStyle w:val="TableText"/>
              <w:keepNext/>
              <w:keepLines/>
              <w:jc w:val="center"/>
            </w:pPr>
            <w:r w:rsidRPr="00912847">
              <w:rPr>
                <w:b/>
                <w:bCs/>
              </w:rPr>
              <w:t>Dependencies and Possible Actions or Corrections Needed to Meet Objective</w:t>
            </w:r>
          </w:p>
        </w:tc>
        <w:tc>
          <w:tcPr>
            <w:tcW w:w="2430" w:type="dxa"/>
            <w:vAlign w:val="center"/>
          </w:tcPr>
          <w:p w14:paraId="5E034C67" w14:textId="77777777" w:rsidR="0013175D" w:rsidRPr="009A1DE7" w:rsidRDefault="0013175D" w:rsidP="003C0777">
            <w:pPr>
              <w:pStyle w:val="TableText"/>
              <w:jc w:val="center"/>
            </w:pPr>
            <w:r w:rsidRPr="00912847">
              <w:rPr>
                <w:b/>
                <w:bCs/>
              </w:rPr>
              <w:t>Warning</w:t>
            </w:r>
          </w:p>
          <w:p w14:paraId="5BB807B1" w14:textId="3F96E9E7" w:rsidR="0013175D" w:rsidRPr="00837A86" w:rsidRDefault="0013175D" w:rsidP="003C0777">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1B981EA2" w14:textId="77777777" w:rsidR="0013175D" w:rsidRPr="009A1DE7" w:rsidRDefault="0013175D" w:rsidP="003C0777">
            <w:pPr>
              <w:pStyle w:val="TableText"/>
              <w:jc w:val="center"/>
            </w:pPr>
            <w:r w:rsidRPr="00912847">
              <w:rPr>
                <w:b/>
                <w:bCs/>
              </w:rPr>
              <w:t>References</w:t>
            </w:r>
          </w:p>
          <w:p w14:paraId="3E0C019E" w14:textId="35DBECEB" w:rsidR="0013175D" w:rsidRDefault="0013175D" w:rsidP="00270797">
            <w:pPr>
              <w:pStyle w:val="TableText"/>
              <w:spacing w:after="0"/>
              <w:jc w:val="center"/>
            </w:pPr>
            <w:r w:rsidRPr="009A1DE7">
              <w:rPr>
                <w:i/>
                <w:iCs/>
              </w:rPr>
              <w:t>An asterisk (*) denotes an external resource.</w:t>
            </w:r>
          </w:p>
        </w:tc>
      </w:tr>
      <w:tr w:rsidR="008B2AE9" w:rsidRPr="00EE4BD6" w14:paraId="60859C39" w14:textId="77777777" w:rsidTr="00264CB6">
        <w:trPr>
          <w:cantSplit/>
          <w:trHeight w:val="428"/>
        </w:trPr>
        <w:tc>
          <w:tcPr>
            <w:tcW w:w="1700" w:type="dxa"/>
          </w:tcPr>
          <w:p w14:paraId="2BB41430" w14:textId="77777777" w:rsidR="0013175D" w:rsidRDefault="0013175D" w:rsidP="009F357F">
            <w:pPr>
              <w:pStyle w:val="TableText"/>
              <w:keepNext/>
              <w:keepLines/>
              <w:numPr>
                <w:ilvl w:val="0"/>
                <w:numId w:val="3"/>
              </w:numPr>
              <w:ind w:left="226" w:hanging="180"/>
            </w:pPr>
            <w:r w:rsidRPr="00D160F4">
              <w:t xml:space="preserve">Date Range: </w:t>
            </w:r>
            <w:r>
              <w:t>T</w:t>
            </w:r>
            <w:r w:rsidRPr="00D160F4">
              <w:t>oday's date</w:t>
            </w:r>
          </w:p>
          <w:p w14:paraId="367747B6" w14:textId="77777777" w:rsidR="0013175D" w:rsidRDefault="0013175D" w:rsidP="009F357F">
            <w:pPr>
              <w:pStyle w:val="TableText"/>
              <w:keepNext/>
              <w:keepLines/>
              <w:numPr>
                <w:ilvl w:val="0"/>
                <w:numId w:val="3"/>
              </w:numPr>
              <w:ind w:left="226" w:hanging="180"/>
            </w:pPr>
            <w:r w:rsidRPr="00D160F4">
              <w:t>Select Clinic and Provider</w:t>
            </w:r>
          </w:p>
          <w:p w14:paraId="1906D588" w14:textId="77777777" w:rsidR="0013175D" w:rsidRPr="009A1DE7" w:rsidRDefault="0013175D" w:rsidP="009F357F">
            <w:pPr>
              <w:pStyle w:val="TableText"/>
              <w:numPr>
                <w:ilvl w:val="0"/>
                <w:numId w:val="3"/>
              </w:numPr>
              <w:ind w:left="226" w:hanging="180"/>
            </w:pPr>
            <w:r w:rsidRPr="00D160F4">
              <w:t>Status: Unsigned</w:t>
            </w:r>
          </w:p>
        </w:tc>
        <w:tc>
          <w:tcPr>
            <w:tcW w:w="1353" w:type="dxa"/>
          </w:tcPr>
          <w:p w14:paraId="363A6FAA" w14:textId="77777777" w:rsidR="0013175D" w:rsidRPr="009A1DE7" w:rsidRDefault="0013175D" w:rsidP="009F357F">
            <w:pPr>
              <w:pStyle w:val="TableText"/>
            </w:pPr>
            <w:r>
              <w:t>Dental Chief and Individual Provider</w:t>
            </w:r>
          </w:p>
        </w:tc>
        <w:tc>
          <w:tcPr>
            <w:tcW w:w="2519" w:type="dxa"/>
          </w:tcPr>
          <w:p w14:paraId="7ADA9B81" w14:textId="77777777" w:rsidR="0013175D" w:rsidRPr="009A1DE7" w:rsidRDefault="0013175D" w:rsidP="009F357F">
            <w:pPr>
              <w:pStyle w:val="TableText"/>
            </w:pPr>
            <w:r w:rsidRPr="00837A86">
              <w:t xml:space="preserve">Review and approve (sign) all open </w:t>
            </w:r>
            <w:r>
              <w:t>c</w:t>
            </w:r>
            <w:r w:rsidRPr="00837A86">
              <w:t xml:space="preserve">linical </w:t>
            </w:r>
            <w:r>
              <w:t>n</w:t>
            </w:r>
            <w:r w:rsidRPr="00837A86">
              <w:t>otes</w:t>
            </w:r>
            <w:r w:rsidRPr="00D160F4">
              <w:t>.</w:t>
            </w:r>
          </w:p>
        </w:tc>
        <w:tc>
          <w:tcPr>
            <w:tcW w:w="3330" w:type="dxa"/>
          </w:tcPr>
          <w:p w14:paraId="2F8CA065" w14:textId="77777777" w:rsidR="0013175D" w:rsidRDefault="0013175D" w:rsidP="009F357F">
            <w:pPr>
              <w:pStyle w:val="TableText"/>
              <w:keepNext/>
              <w:keepLines/>
            </w:pPr>
            <w:r w:rsidRPr="00837A86">
              <w:t xml:space="preserve">Clinical </w:t>
            </w:r>
            <w:r>
              <w:t>n</w:t>
            </w:r>
            <w:r w:rsidRPr="00837A86">
              <w:t>otes and electronic signatures (approvals) are being used in the EDR</w:t>
            </w:r>
            <w:r w:rsidRPr="00D160F4">
              <w:t>.</w:t>
            </w:r>
          </w:p>
          <w:p w14:paraId="40F21856" w14:textId="77777777" w:rsidR="0013175D" w:rsidRPr="009A1DE7" w:rsidRDefault="0013175D" w:rsidP="009F357F">
            <w:pPr>
              <w:pStyle w:val="TableText"/>
              <w:numPr>
                <w:ilvl w:val="0"/>
                <w:numId w:val="2"/>
              </w:numPr>
              <w:ind w:left="232" w:hanging="180"/>
            </w:pPr>
            <w:r>
              <w:rPr>
                <w:u w:val="single"/>
              </w:rPr>
              <w:t>Clinical Notes</w:t>
            </w:r>
            <w:r>
              <w:t xml:space="preserve">: </w:t>
            </w:r>
            <w:r w:rsidRPr="00837A86">
              <w:t>Review note for completion</w:t>
            </w:r>
            <w:r>
              <w:t xml:space="preserve">. </w:t>
            </w:r>
            <w:r w:rsidRPr="00837A86">
              <w:t>Add</w:t>
            </w:r>
            <w:r>
              <w:t xml:space="preserve"> or </w:t>
            </w:r>
            <w:r w:rsidRPr="00837A86">
              <w:t xml:space="preserve">modify </w:t>
            </w:r>
            <w:r>
              <w:t>c</w:t>
            </w:r>
            <w:r w:rsidRPr="00837A86">
              <w:t xml:space="preserve">linical </w:t>
            </w:r>
            <w:r>
              <w:t>n</w:t>
            </w:r>
            <w:r w:rsidRPr="00837A86">
              <w:t>ote as needed</w:t>
            </w:r>
            <w:r>
              <w:t xml:space="preserve">. </w:t>
            </w:r>
            <w:r w:rsidRPr="00837A86">
              <w:t xml:space="preserve">Sign </w:t>
            </w:r>
            <w:r>
              <w:t>c</w:t>
            </w:r>
            <w:r w:rsidRPr="00837A86">
              <w:t xml:space="preserve">linical </w:t>
            </w:r>
            <w:r>
              <w:t>n</w:t>
            </w:r>
            <w:r w:rsidRPr="00837A86">
              <w:t>ote</w:t>
            </w:r>
            <w:r>
              <w:t>.</w:t>
            </w:r>
          </w:p>
        </w:tc>
        <w:tc>
          <w:tcPr>
            <w:tcW w:w="2430" w:type="dxa"/>
          </w:tcPr>
          <w:p w14:paraId="229C6653" w14:textId="77777777" w:rsidR="0013175D" w:rsidRPr="00EF587A" w:rsidRDefault="0013175D" w:rsidP="009F357F">
            <w:pPr>
              <w:pStyle w:val="TableText"/>
            </w:pPr>
            <w:r w:rsidRPr="00837A86">
              <w:t xml:space="preserve">Not using this fail-safe report leaves unsigned </w:t>
            </w:r>
            <w:r>
              <w:t>c</w:t>
            </w:r>
            <w:r w:rsidRPr="00837A86">
              <w:t xml:space="preserve">linical </w:t>
            </w:r>
            <w:r>
              <w:t>n</w:t>
            </w:r>
            <w:r w:rsidRPr="00837A86">
              <w:t xml:space="preserve">otes open for editing. Identifying those unsigned </w:t>
            </w:r>
            <w:r>
              <w:t>c</w:t>
            </w:r>
            <w:r w:rsidRPr="00837A86">
              <w:t xml:space="preserve">linical </w:t>
            </w:r>
            <w:r>
              <w:t>n</w:t>
            </w:r>
            <w:r w:rsidRPr="00837A86">
              <w:t xml:space="preserve">otes </w:t>
            </w:r>
            <w:r>
              <w:t>with</w:t>
            </w:r>
            <w:r w:rsidRPr="00837A86">
              <w:t xml:space="preserve"> this report </w:t>
            </w:r>
            <w:r>
              <w:t xml:space="preserve">is </w:t>
            </w:r>
            <w:r w:rsidRPr="00837A86">
              <w:t xml:space="preserve">a quick and easy way for Providers to find </w:t>
            </w:r>
            <w:r>
              <w:t>any</w:t>
            </w:r>
            <w:r w:rsidRPr="00837A86">
              <w:t xml:space="preserve"> </w:t>
            </w:r>
            <w:r>
              <w:t>c</w:t>
            </w:r>
            <w:r w:rsidRPr="00837A86">
              <w:t xml:space="preserve">linical </w:t>
            </w:r>
            <w:r>
              <w:t>n</w:t>
            </w:r>
            <w:r w:rsidRPr="00837A86">
              <w:t>otes that need attention and completion.</w:t>
            </w:r>
          </w:p>
        </w:tc>
        <w:tc>
          <w:tcPr>
            <w:tcW w:w="1630" w:type="dxa"/>
          </w:tcPr>
          <w:p w14:paraId="650E31C7" w14:textId="77777777" w:rsidR="0013175D" w:rsidRPr="00EF587A" w:rsidRDefault="0013175D" w:rsidP="009F357F">
            <w:pPr>
              <w:pStyle w:val="TableText"/>
              <w:numPr>
                <w:ilvl w:val="0"/>
                <w:numId w:val="1"/>
              </w:numPr>
              <w:spacing w:after="0"/>
              <w:ind w:left="187" w:hanging="187"/>
            </w:pPr>
            <w:r>
              <w:t>Clinical Records</w:t>
            </w:r>
          </w:p>
        </w:tc>
      </w:tr>
    </w:tbl>
    <w:p w14:paraId="768CF148" w14:textId="77777777" w:rsidR="00264CB6" w:rsidRDefault="00264CB6">
      <w:r>
        <w:rPr>
          <w:b/>
          <w:iCs/>
        </w:rPr>
        <w:br w:type="page"/>
      </w:r>
    </w:p>
    <w:tbl>
      <w:tblPr>
        <w:tblStyle w:val="TableGrid"/>
        <w:tblW w:w="12962"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00"/>
        <w:gridCol w:w="1353"/>
        <w:gridCol w:w="2518"/>
        <w:gridCol w:w="3330"/>
        <w:gridCol w:w="2431"/>
        <w:gridCol w:w="1630"/>
      </w:tblGrid>
      <w:tr w:rsidR="004C319F" w14:paraId="4A6A5877" w14:textId="77777777" w:rsidTr="00264CB6">
        <w:trPr>
          <w:cantSplit/>
          <w:trHeight w:val="428"/>
        </w:trPr>
        <w:tc>
          <w:tcPr>
            <w:tcW w:w="12962" w:type="dxa"/>
            <w:gridSpan w:val="6"/>
            <w:shd w:val="clear" w:color="auto" w:fill="E2EFD9" w:themeFill="accent6" w:themeFillTint="33"/>
            <w:vAlign w:val="center"/>
          </w:tcPr>
          <w:p w14:paraId="28D9E671" w14:textId="520228D6" w:rsidR="004C319F" w:rsidRPr="00912847" w:rsidRDefault="004C319F" w:rsidP="004C319F">
            <w:pPr>
              <w:pStyle w:val="Heading4"/>
              <w:rPr>
                <w:bCs/>
              </w:rPr>
            </w:pPr>
            <w:bookmarkStart w:id="372" w:name="_Day_Sheet_–"/>
            <w:bookmarkEnd w:id="372"/>
            <w:r w:rsidRPr="004D5241">
              <w:lastRenderedPageBreak/>
              <w:t>Day Sheet – Deposit Sli</w:t>
            </w:r>
            <w:r w:rsidR="00FF74B1">
              <w:t>p</w:t>
            </w:r>
            <w:r w:rsidR="00BB2D77">
              <w:tab/>
            </w:r>
            <w:hyperlink w:anchor="_Daily_Checklist" w:history="1">
              <w:r w:rsidR="00FF74B1" w:rsidRPr="00FF74B1">
                <w:rPr>
                  <w:rStyle w:val="Hyperlink"/>
                  <w:b w:val="0"/>
                  <w:bCs/>
                  <w:sz w:val="16"/>
                  <w:szCs w:val="18"/>
                </w:rPr>
                <w:t>Return to Daily Checklist</w:t>
              </w:r>
            </w:hyperlink>
          </w:p>
        </w:tc>
      </w:tr>
      <w:tr w:rsidR="00270797" w14:paraId="0616186B" w14:textId="77777777" w:rsidTr="00264CB6">
        <w:trPr>
          <w:cantSplit/>
          <w:trHeight w:val="428"/>
        </w:trPr>
        <w:tc>
          <w:tcPr>
            <w:tcW w:w="1700" w:type="dxa"/>
            <w:vAlign w:val="center"/>
          </w:tcPr>
          <w:p w14:paraId="00DA14F5" w14:textId="77777777" w:rsidR="00676B1C" w:rsidRPr="00D160F4" w:rsidRDefault="00676B1C" w:rsidP="009F357F">
            <w:pPr>
              <w:pStyle w:val="TableText"/>
              <w:keepNext/>
              <w:keepLines/>
              <w:ind w:left="46"/>
              <w:jc w:val="center"/>
            </w:pPr>
            <w:r w:rsidRPr="00912847">
              <w:rPr>
                <w:b/>
                <w:bCs/>
              </w:rPr>
              <w:t>Suggested Report Filters</w:t>
            </w:r>
          </w:p>
        </w:tc>
        <w:tc>
          <w:tcPr>
            <w:tcW w:w="1353" w:type="dxa"/>
            <w:vAlign w:val="center"/>
          </w:tcPr>
          <w:p w14:paraId="4962B419" w14:textId="77777777" w:rsidR="00676B1C" w:rsidRDefault="00676B1C" w:rsidP="009F357F">
            <w:pPr>
              <w:pStyle w:val="TableText"/>
              <w:jc w:val="center"/>
            </w:pPr>
            <w:r w:rsidRPr="00912847">
              <w:rPr>
                <w:b/>
                <w:bCs/>
              </w:rPr>
              <w:t>Intent / Responsibility</w:t>
            </w:r>
          </w:p>
        </w:tc>
        <w:tc>
          <w:tcPr>
            <w:tcW w:w="2518" w:type="dxa"/>
            <w:vAlign w:val="center"/>
          </w:tcPr>
          <w:p w14:paraId="6AA40CA8" w14:textId="77777777" w:rsidR="00676B1C" w:rsidRPr="00837A86" w:rsidRDefault="00676B1C" w:rsidP="009F357F">
            <w:pPr>
              <w:pStyle w:val="TableText"/>
              <w:jc w:val="center"/>
            </w:pPr>
            <w:r w:rsidRPr="00912847">
              <w:rPr>
                <w:b/>
                <w:bCs/>
              </w:rPr>
              <w:t>Objective</w:t>
            </w:r>
          </w:p>
        </w:tc>
        <w:tc>
          <w:tcPr>
            <w:tcW w:w="3330" w:type="dxa"/>
            <w:vAlign w:val="center"/>
          </w:tcPr>
          <w:p w14:paraId="32866BB7" w14:textId="77777777" w:rsidR="00676B1C" w:rsidRPr="00837A86" w:rsidRDefault="00676B1C" w:rsidP="009F357F">
            <w:pPr>
              <w:pStyle w:val="TableText"/>
              <w:keepNext/>
              <w:keepLines/>
              <w:jc w:val="center"/>
            </w:pPr>
            <w:r w:rsidRPr="00912847">
              <w:rPr>
                <w:b/>
                <w:bCs/>
              </w:rPr>
              <w:t>Dependencies and Possible Actions or Corrections Needed to Meet Objective</w:t>
            </w:r>
          </w:p>
        </w:tc>
        <w:tc>
          <w:tcPr>
            <w:tcW w:w="2431" w:type="dxa"/>
            <w:vAlign w:val="center"/>
          </w:tcPr>
          <w:p w14:paraId="69DF076C" w14:textId="77777777" w:rsidR="00676B1C" w:rsidRPr="009A1DE7" w:rsidRDefault="00676B1C" w:rsidP="009F357F">
            <w:pPr>
              <w:pStyle w:val="TableText"/>
              <w:jc w:val="center"/>
            </w:pPr>
            <w:r w:rsidRPr="00912847">
              <w:rPr>
                <w:b/>
                <w:bCs/>
              </w:rPr>
              <w:t>Warning</w:t>
            </w:r>
          </w:p>
          <w:p w14:paraId="2C2CA010" w14:textId="77777777" w:rsidR="00676B1C" w:rsidRPr="00837A86" w:rsidRDefault="00676B1C"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470559E2" w14:textId="77777777" w:rsidR="00676B1C" w:rsidRPr="009A1DE7" w:rsidRDefault="00676B1C" w:rsidP="009F357F">
            <w:pPr>
              <w:pStyle w:val="TableText"/>
              <w:jc w:val="center"/>
            </w:pPr>
            <w:r w:rsidRPr="00912847">
              <w:rPr>
                <w:b/>
                <w:bCs/>
              </w:rPr>
              <w:t>References</w:t>
            </w:r>
          </w:p>
          <w:p w14:paraId="3356054D" w14:textId="77777777" w:rsidR="00676B1C" w:rsidRDefault="00676B1C" w:rsidP="00270797">
            <w:pPr>
              <w:pStyle w:val="TableText"/>
              <w:spacing w:after="0"/>
              <w:jc w:val="center"/>
            </w:pPr>
            <w:r w:rsidRPr="009A1DE7">
              <w:rPr>
                <w:i/>
                <w:iCs/>
              </w:rPr>
              <w:t>An asterisk (*) denotes an external resource.</w:t>
            </w:r>
          </w:p>
        </w:tc>
      </w:tr>
      <w:tr w:rsidR="00270797" w:rsidRPr="00EE4BD6" w14:paraId="7CCB24EA" w14:textId="77777777" w:rsidTr="00264CB6">
        <w:trPr>
          <w:cantSplit/>
          <w:trHeight w:val="481"/>
        </w:trPr>
        <w:tc>
          <w:tcPr>
            <w:tcW w:w="1700" w:type="dxa"/>
          </w:tcPr>
          <w:p w14:paraId="2A145A59" w14:textId="77777777" w:rsidR="004D5241" w:rsidRDefault="004D5241" w:rsidP="009F357F">
            <w:pPr>
              <w:pStyle w:val="TableText"/>
              <w:keepNext/>
              <w:keepLines/>
              <w:numPr>
                <w:ilvl w:val="0"/>
                <w:numId w:val="3"/>
              </w:numPr>
              <w:ind w:left="226" w:hanging="180"/>
            </w:pPr>
            <w:r>
              <w:t>Date Range: T</w:t>
            </w:r>
            <w:r w:rsidRPr="00837A86">
              <w:t>oday, by entry date</w:t>
            </w:r>
          </w:p>
          <w:p w14:paraId="69DADC06" w14:textId="77777777" w:rsidR="004D5241" w:rsidRPr="009A1DE7" w:rsidRDefault="004D5241" w:rsidP="009F357F">
            <w:pPr>
              <w:pStyle w:val="TableText"/>
              <w:numPr>
                <w:ilvl w:val="0"/>
                <w:numId w:val="3"/>
              </w:numPr>
              <w:ind w:left="226" w:hanging="180"/>
            </w:pPr>
            <w:r w:rsidRPr="009A1DE7">
              <w:t xml:space="preserve">All parameters for </w:t>
            </w:r>
            <w:r w:rsidRPr="00837A86">
              <w:t xml:space="preserve">Clinic, Operator, Billing Type, </w:t>
            </w:r>
            <w:r>
              <w:t xml:space="preserve">and </w:t>
            </w:r>
            <w:r w:rsidRPr="00837A86">
              <w:t>Patient Tag</w:t>
            </w:r>
          </w:p>
        </w:tc>
        <w:tc>
          <w:tcPr>
            <w:tcW w:w="1353" w:type="dxa"/>
          </w:tcPr>
          <w:p w14:paraId="0C37CE44" w14:textId="77777777" w:rsidR="004D5241" w:rsidRPr="009A1DE7" w:rsidRDefault="004D5241" w:rsidP="009F357F">
            <w:pPr>
              <w:pStyle w:val="TableText"/>
            </w:pPr>
            <w:r>
              <w:t>Billing or Front Desk Staff</w:t>
            </w:r>
          </w:p>
        </w:tc>
        <w:tc>
          <w:tcPr>
            <w:tcW w:w="2518" w:type="dxa"/>
          </w:tcPr>
          <w:p w14:paraId="53F0B263" w14:textId="77777777" w:rsidR="004D5241" w:rsidRPr="009A1DE7" w:rsidRDefault="004D5241" w:rsidP="009F357F">
            <w:pPr>
              <w:pStyle w:val="TableText"/>
            </w:pPr>
            <w:r w:rsidRPr="00837A86">
              <w:t>Review all payment transaction activity to reconcile receipts for the day.</w:t>
            </w:r>
          </w:p>
        </w:tc>
        <w:tc>
          <w:tcPr>
            <w:tcW w:w="3330" w:type="dxa"/>
          </w:tcPr>
          <w:p w14:paraId="53F855D5" w14:textId="77777777" w:rsidR="004D5241" w:rsidRDefault="004D5241" w:rsidP="009F357F">
            <w:pPr>
              <w:pStyle w:val="TableText"/>
            </w:pPr>
            <w:r w:rsidRPr="00837A86">
              <w:t>Prior to running the Day Sheet - Deposit Slip, all payments must be entered into Dentrix Enterprise.</w:t>
            </w:r>
            <w:r>
              <w:t xml:space="preserve"> </w:t>
            </w:r>
          </w:p>
          <w:p w14:paraId="7901AC5C" w14:textId="77777777" w:rsidR="004D5241" w:rsidRPr="009A1DE7" w:rsidRDefault="004D5241" w:rsidP="009F357F">
            <w:pPr>
              <w:pStyle w:val="TableText"/>
              <w:numPr>
                <w:ilvl w:val="0"/>
                <w:numId w:val="2"/>
              </w:numPr>
              <w:ind w:left="232" w:hanging="180"/>
            </w:pPr>
            <w:r>
              <w:rPr>
                <w:u w:val="single"/>
              </w:rPr>
              <w:t>Ledger</w:t>
            </w:r>
            <w:r w:rsidRPr="009A1DE7">
              <w:t xml:space="preserve">: </w:t>
            </w:r>
            <w:r w:rsidRPr="00837A86">
              <w:t>Correct posting errors for payments</w:t>
            </w:r>
            <w:r>
              <w:t xml:space="preserve"> and </w:t>
            </w:r>
            <w:r w:rsidRPr="00837A86">
              <w:t>adjustments</w:t>
            </w:r>
            <w:r>
              <w:t>.</w:t>
            </w:r>
          </w:p>
        </w:tc>
        <w:tc>
          <w:tcPr>
            <w:tcW w:w="2431" w:type="dxa"/>
          </w:tcPr>
          <w:p w14:paraId="503E3969" w14:textId="77777777" w:rsidR="004D5241" w:rsidRPr="00EF587A" w:rsidRDefault="004D5241" w:rsidP="009F357F">
            <w:pPr>
              <w:pStyle w:val="TableText"/>
            </w:pPr>
            <w:r w:rsidRPr="00481A41">
              <w:t>The Dental Chief (or Management Lead) will not be able to observe the amount and type of payments received by the clinic.</w:t>
            </w:r>
          </w:p>
        </w:tc>
        <w:tc>
          <w:tcPr>
            <w:tcW w:w="1630" w:type="dxa"/>
          </w:tcPr>
          <w:p w14:paraId="7E2D51E0" w14:textId="77777777" w:rsidR="004D5241" w:rsidRPr="00EF587A" w:rsidRDefault="004D5241" w:rsidP="009F357F">
            <w:pPr>
              <w:pStyle w:val="TableText"/>
              <w:numPr>
                <w:ilvl w:val="0"/>
                <w:numId w:val="1"/>
              </w:numPr>
              <w:spacing w:after="0"/>
              <w:ind w:left="187" w:hanging="187"/>
            </w:pPr>
            <w:r w:rsidRPr="00481A41">
              <w:t>Revenue Cycle</w:t>
            </w:r>
          </w:p>
        </w:tc>
      </w:tr>
      <w:tr w:rsidR="001C3DA4" w14:paraId="4375ED8E" w14:textId="77777777" w:rsidTr="00264CB6">
        <w:trPr>
          <w:cantSplit/>
          <w:trHeight w:val="428"/>
        </w:trPr>
        <w:tc>
          <w:tcPr>
            <w:tcW w:w="12962" w:type="dxa"/>
            <w:gridSpan w:val="6"/>
            <w:shd w:val="clear" w:color="auto" w:fill="E2EFD9" w:themeFill="accent6" w:themeFillTint="33"/>
            <w:vAlign w:val="center"/>
          </w:tcPr>
          <w:p w14:paraId="1C3BF6C0" w14:textId="7ADF0331" w:rsidR="001C3DA4" w:rsidRPr="00912847" w:rsidRDefault="001C3DA4" w:rsidP="001C3DA4">
            <w:pPr>
              <w:pStyle w:val="Heading4"/>
              <w:rPr>
                <w:bCs/>
              </w:rPr>
            </w:pPr>
            <w:bookmarkStart w:id="373" w:name="_Procedures_Not_Attached"/>
            <w:bookmarkEnd w:id="373"/>
            <w:r w:rsidRPr="00676B1C">
              <w:t>Procedures Not Attached to Insurance Report</w:t>
            </w:r>
            <w:r w:rsidR="00BB2D77">
              <w:tab/>
            </w:r>
            <w:hyperlink w:anchor="_Daily_Checklist" w:history="1">
              <w:r w:rsidR="00FF74B1" w:rsidRPr="00FF74B1">
                <w:rPr>
                  <w:rStyle w:val="Hyperlink"/>
                  <w:b w:val="0"/>
                  <w:bCs/>
                  <w:sz w:val="16"/>
                  <w:szCs w:val="18"/>
                </w:rPr>
                <w:t>Return to Daily Checklist</w:t>
              </w:r>
            </w:hyperlink>
          </w:p>
        </w:tc>
      </w:tr>
      <w:tr w:rsidR="0058569D" w14:paraId="004BE465" w14:textId="77777777" w:rsidTr="00264CB6">
        <w:trPr>
          <w:cantSplit/>
          <w:trHeight w:val="428"/>
        </w:trPr>
        <w:tc>
          <w:tcPr>
            <w:tcW w:w="1700" w:type="dxa"/>
            <w:vAlign w:val="center"/>
          </w:tcPr>
          <w:p w14:paraId="3E6045D8" w14:textId="77777777" w:rsidR="00676B1C" w:rsidRPr="00D160F4" w:rsidRDefault="00676B1C" w:rsidP="009F357F">
            <w:pPr>
              <w:pStyle w:val="TableText"/>
              <w:keepNext/>
              <w:keepLines/>
              <w:ind w:left="46"/>
              <w:jc w:val="center"/>
            </w:pPr>
            <w:r w:rsidRPr="00912847">
              <w:rPr>
                <w:b/>
                <w:bCs/>
              </w:rPr>
              <w:t>Suggested Report Filters</w:t>
            </w:r>
          </w:p>
        </w:tc>
        <w:tc>
          <w:tcPr>
            <w:tcW w:w="1353" w:type="dxa"/>
            <w:vAlign w:val="center"/>
          </w:tcPr>
          <w:p w14:paraId="0E6442DE" w14:textId="77777777" w:rsidR="00676B1C" w:rsidRDefault="00676B1C" w:rsidP="009F357F">
            <w:pPr>
              <w:pStyle w:val="TableText"/>
              <w:jc w:val="center"/>
            </w:pPr>
            <w:r w:rsidRPr="00912847">
              <w:rPr>
                <w:b/>
                <w:bCs/>
              </w:rPr>
              <w:t>Intent / Responsibility</w:t>
            </w:r>
          </w:p>
        </w:tc>
        <w:tc>
          <w:tcPr>
            <w:tcW w:w="2518" w:type="dxa"/>
            <w:vAlign w:val="center"/>
          </w:tcPr>
          <w:p w14:paraId="3765F87E" w14:textId="77777777" w:rsidR="00676B1C" w:rsidRPr="00837A86" w:rsidRDefault="00676B1C" w:rsidP="009F357F">
            <w:pPr>
              <w:pStyle w:val="TableText"/>
              <w:jc w:val="center"/>
            </w:pPr>
            <w:r w:rsidRPr="00912847">
              <w:rPr>
                <w:b/>
                <w:bCs/>
              </w:rPr>
              <w:t>Objective</w:t>
            </w:r>
          </w:p>
        </w:tc>
        <w:tc>
          <w:tcPr>
            <w:tcW w:w="3330" w:type="dxa"/>
            <w:vAlign w:val="center"/>
          </w:tcPr>
          <w:p w14:paraId="5DFADC4D" w14:textId="77777777" w:rsidR="00676B1C" w:rsidRPr="00837A86" w:rsidRDefault="00676B1C" w:rsidP="009F357F">
            <w:pPr>
              <w:pStyle w:val="TableText"/>
              <w:keepNext/>
              <w:keepLines/>
              <w:jc w:val="center"/>
            </w:pPr>
            <w:r w:rsidRPr="00912847">
              <w:rPr>
                <w:b/>
                <w:bCs/>
              </w:rPr>
              <w:t>Dependencies and Possible Actions or Corrections Needed to Meet Objective</w:t>
            </w:r>
          </w:p>
        </w:tc>
        <w:tc>
          <w:tcPr>
            <w:tcW w:w="2431" w:type="dxa"/>
            <w:vAlign w:val="center"/>
          </w:tcPr>
          <w:p w14:paraId="7BE270B4" w14:textId="77777777" w:rsidR="00676B1C" w:rsidRPr="009A1DE7" w:rsidRDefault="00676B1C" w:rsidP="009F357F">
            <w:pPr>
              <w:pStyle w:val="TableText"/>
              <w:jc w:val="center"/>
            </w:pPr>
            <w:r w:rsidRPr="00912847">
              <w:rPr>
                <w:b/>
                <w:bCs/>
              </w:rPr>
              <w:t>Warning</w:t>
            </w:r>
          </w:p>
          <w:p w14:paraId="390A9776" w14:textId="77777777" w:rsidR="00676B1C" w:rsidRPr="00837A86" w:rsidRDefault="00676B1C"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66615D43" w14:textId="77777777" w:rsidR="00676B1C" w:rsidRPr="009A1DE7" w:rsidRDefault="00676B1C" w:rsidP="009F357F">
            <w:pPr>
              <w:pStyle w:val="TableText"/>
              <w:jc w:val="center"/>
            </w:pPr>
            <w:r w:rsidRPr="00912847">
              <w:rPr>
                <w:b/>
                <w:bCs/>
              </w:rPr>
              <w:t>References</w:t>
            </w:r>
          </w:p>
          <w:p w14:paraId="4043B38C" w14:textId="77777777" w:rsidR="00676B1C" w:rsidRDefault="00676B1C" w:rsidP="002471F1">
            <w:pPr>
              <w:pStyle w:val="TableText"/>
              <w:spacing w:after="0"/>
              <w:jc w:val="center"/>
            </w:pPr>
            <w:r w:rsidRPr="009A1DE7">
              <w:rPr>
                <w:i/>
                <w:iCs/>
              </w:rPr>
              <w:t>An asterisk (*) denotes an external resource.</w:t>
            </w:r>
          </w:p>
        </w:tc>
      </w:tr>
      <w:tr w:rsidR="0058569D" w:rsidRPr="00EE4BD6" w14:paraId="57D54DEA" w14:textId="77777777" w:rsidTr="00264CB6">
        <w:trPr>
          <w:cantSplit/>
          <w:trHeight w:val="428"/>
        </w:trPr>
        <w:tc>
          <w:tcPr>
            <w:tcW w:w="1700" w:type="dxa"/>
          </w:tcPr>
          <w:p w14:paraId="162306D0" w14:textId="77777777" w:rsidR="00676B1C" w:rsidRDefault="00676B1C" w:rsidP="009F357F">
            <w:pPr>
              <w:pStyle w:val="TableText"/>
              <w:keepNext/>
              <w:keepLines/>
              <w:numPr>
                <w:ilvl w:val="0"/>
                <w:numId w:val="3"/>
              </w:numPr>
              <w:ind w:left="226" w:hanging="180"/>
            </w:pPr>
            <w:r>
              <w:t>Date Range: T</w:t>
            </w:r>
            <w:r w:rsidRPr="00837A86">
              <w:t>oday</w:t>
            </w:r>
          </w:p>
          <w:p w14:paraId="58C91667" w14:textId="77777777" w:rsidR="00676B1C" w:rsidRPr="009A1DE7" w:rsidRDefault="00676B1C" w:rsidP="009F357F">
            <w:pPr>
              <w:pStyle w:val="TableText"/>
              <w:keepNext/>
              <w:keepLines/>
              <w:numPr>
                <w:ilvl w:val="0"/>
                <w:numId w:val="3"/>
              </w:numPr>
              <w:ind w:left="226" w:hanging="180"/>
            </w:pPr>
            <w:r w:rsidRPr="009A1DE7">
              <w:t xml:space="preserve">All parameters for </w:t>
            </w:r>
            <w:r w:rsidRPr="00837A86">
              <w:t xml:space="preserve">Patient, Clinic, Provider, Billing Type, </w:t>
            </w:r>
            <w:r>
              <w:t xml:space="preserve">and </w:t>
            </w:r>
            <w:r w:rsidRPr="00837A86">
              <w:t>Patient Tag</w:t>
            </w:r>
          </w:p>
        </w:tc>
        <w:tc>
          <w:tcPr>
            <w:tcW w:w="1353" w:type="dxa"/>
          </w:tcPr>
          <w:p w14:paraId="356D5A24" w14:textId="77777777" w:rsidR="00676B1C" w:rsidRPr="009A1DE7" w:rsidRDefault="00676B1C" w:rsidP="009F357F">
            <w:pPr>
              <w:pStyle w:val="TableText"/>
              <w:keepNext/>
              <w:keepLines/>
            </w:pPr>
            <w:r>
              <w:t>Billing or Front Desk Staff</w:t>
            </w:r>
          </w:p>
        </w:tc>
        <w:tc>
          <w:tcPr>
            <w:tcW w:w="2518" w:type="dxa"/>
          </w:tcPr>
          <w:p w14:paraId="3F27E00F" w14:textId="77777777" w:rsidR="00676B1C" w:rsidRPr="009A1DE7" w:rsidRDefault="00676B1C" w:rsidP="009F357F">
            <w:pPr>
              <w:pStyle w:val="TableText"/>
              <w:keepNext/>
              <w:keepLines/>
            </w:pPr>
            <w:r w:rsidRPr="00837A86">
              <w:t>Ensure that all applicable completed procedures have been attached to insurance claim</w:t>
            </w:r>
            <w:r>
              <w:t>s</w:t>
            </w:r>
            <w:r w:rsidRPr="00837A86">
              <w:t>.</w:t>
            </w:r>
          </w:p>
        </w:tc>
        <w:tc>
          <w:tcPr>
            <w:tcW w:w="3330" w:type="dxa"/>
          </w:tcPr>
          <w:p w14:paraId="77CB7623" w14:textId="77777777" w:rsidR="00676B1C" w:rsidRDefault="00676B1C" w:rsidP="009F357F">
            <w:pPr>
              <w:pStyle w:val="TableText"/>
              <w:keepNext/>
              <w:keepLines/>
            </w:pPr>
            <w:r w:rsidRPr="00837A86">
              <w:t>Day Sheets have been reviewed and verified for accuracy. Insurance claims are created for today's completed procedures.</w:t>
            </w:r>
            <w:r>
              <w:t xml:space="preserve"> </w:t>
            </w:r>
          </w:p>
          <w:p w14:paraId="538022FC" w14:textId="77777777" w:rsidR="00676B1C" w:rsidRPr="009A1DE7" w:rsidRDefault="00676B1C" w:rsidP="009F357F">
            <w:pPr>
              <w:pStyle w:val="TableText"/>
              <w:keepNext/>
              <w:keepLines/>
              <w:numPr>
                <w:ilvl w:val="0"/>
                <w:numId w:val="2"/>
              </w:numPr>
              <w:ind w:left="232" w:hanging="180"/>
            </w:pPr>
            <w:r>
              <w:rPr>
                <w:u w:val="single"/>
              </w:rPr>
              <w:t>Ledger</w:t>
            </w:r>
            <w:r w:rsidRPr="009A1DE7">
              <w:t xml:space="preserve">: </w:t>
            </w:r>
            <w:r w:rsidRPr="00837A86">
              <w:t>Generate and submit a claim for all billable procedures</w:t>
            </w:r>
            <w:r>
              <w:t>.</w:t>
            </w:r>
            <w:r w:rsidRPr="00837A86">
              <w:t xml:space="preserve"> Mark procedures as "</w:t>
            </w:r>
            <w:r>
              <w:t>D</w:t>
            </w:r>
            <w:r w:rsidRPr="00837A86">
              <w:t xml:space="preserve">o not bill to insurance" as </w:t>
            </w:r>
            <w:r>
              <w:t>needed.</w:t>
            </w:r>
          </w:p>
        </w:tc>
        <w:tc>
          <w:tcPr>
            <w:tcW w:w="2431" w:type="dxa"/>
          </w:tcPr>
          <w:p w14:paraId="75CB0A91" w14:textId="77777777" w:rsidR="00676B1C" w:rsidRPr="00EF587A" w:rsidRDefault="00676B1C" w:rsidP="009F357F">
            <w:pPr>
              <w:pStyle w:val="TableText"/>
              <w:keepNext/>
              <w:keepLines/>
            </w:pPr>
            <w:r w:rsidRPr="00481A41">
              <w:t>If procedures are completed but not attached to a patient's claim for processing, this is revenue that may be lost or delayed. This report identifies procedures that are missing from claims so that you can quickly and easily add those procedures to claims prior to processing them.</w:t>
            </w:r>
          </w:p>
        </w:tc>
        <w:tc>
          <w:tcPr>
            <w:tcW w:w="1630" w:type="dxa"/>
          </w:tcPr>
          <w:p w14:paraId="09614188" w14:textId="77777777" w:rsidR="00676B1C" w:rsidRPr="00EF587A" w:rsidRDefault="00676B1C" w:rsidP="009F357F">
            <w:pPr>
              <w:pStyle w:val="TableText"/>
              <w:keepNext/>
              <w:keepLines/>
              <w:numPr>
                <w:ilvl w:val="0"/>
                <w:numId w:val="1"/>
              </w:numPr>
              <w:spacing w:after="0"/>
              <w:ind w:left="187" w:hanging="187"/>
            </w:pPr>
            <w:r>
              <w:t>Revenue Cycle</w:t>
            </w:r>
          </w:p>
        </w:tc>
      </w:tr>
    </w:tbl>
    <w:p w14:paraId="6586C15F" w14:textId="77777777" w:rsidR="00264CB6" w:rsidRDefault="00264CB6">
      <w:r>
        <w:rPr>
          <w:b/>
          <w:iCs/>
        </w:rPr>
        <w:br w:type="page"/>
      </w:r>
    </w:p>
    <w:tbl>
      <w:tblPr>
        <w:tblStyle w:val="TableGrid"/>
        <w:tblW w:w="12962"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699"/>
        <w:gridCol w:w="1353"/>
        <w:gridCol w:w="2519"/>
        <w:gridCol w:w="3330"/>
        <w:gridCol w:w="2431"/>
        <w:gridCol w:w="1630"/>
      </w:tblGrid>
      <w:tr w:rsidR="002509BE" w14:paraId="39BFEA13" w14:textId="77777777" w:rsidTr="00264CB6">
        <w:trPr>
          <w:cantSplit/>
          <w:trHeight w:val="428"/>
        </w:trPr>
        <w:tc>
          <w:tcPr>
            <w:tcW w:w="12962" w:type="dxa"/>
            <w:gridSpan w:val="6"/>
            <w:shd w:val="clear" w:color="auto" w:fill="E2EFD9" w:themeFill="accent6" w:themeFillTint="33"/>
            <w:vAlign w:val="center"/>
          </w:tcPr>
          <w:p w14:paraId="176FDEB8" w14:textId="4C3C9032" w:rsidR="002509BE" w:rsidRPr="00912847" w:rsidRDefault="002509BE" w:rsidP="002509BE">
            <w:pPr>
              <w:pStyle w:val="Heading4"/>
              <w:rPr>
                <w:bCs/>
              </w:rPr>
            </w:pPr>
            <w:bookmarkStart w:id="374" w:name="_Secondary_Insurance_Claims"/>
            <w:bookmarkEnd w:id="374"/>
            <w:r w:rsidRPr="00304C5D">
              <w:lastRenderedPageBreak/>
              <w:t>Secondary Insurance Claims Not Created Repor</w:t>
            </w:r>
            <w:r w:rsidR="00FF74B1">
              <w:t>t</w:t>
            </w:r>
            <w:r w:rsidR="00BB2D77">
              <w:tab/>
            </w:r>
            <w:hyperlink w:anchor="_Daily_Checklist" w:history="1">
              <w:r w:rsidR="00FF74B1" w:rsidRPr="00FF74B1">
                <w:rPr>
                  <w:rStyle w:val="Hyperlink"/>
                  <w:b w:val="0"/>
                  <w:bCs/>
                  <w:sz w:val="16"/>
                  <w:szCs w:val="18"/>
                </w:rPr>
                <w:t>Return to Daily Checklist</w:t>
              </w:r>
            </w:hyperlink>
          </w:p>
        </w:tc>
      </w:tr>
      <w:tr w:rsidR="002471F1" w14:paraId="19C92958" w14:textId="77777777" w:rsidTr="00264CB6">
        <w:trPr>
          <w:cantSplit/>
          <w:trHeight w:val="428"/>
        </w:trPr>
        <w:tc>
          <w:tcPr>
            <w:tcW w:w="1699" w:type="dxa"/>
            <w:vAlign w:val="center"/>
          </w:tcPr>
          <w:p w14:paraId="6972FB35" w14:textId="77777777" w:rsidR="00603DDD" w:rsidRPr="00D160F4" w:rsidRDefault="00603DDD" w:rsidP="009F357F">
            <w:pPr>
              <w:pStyle w:val="TableText"/>
              <w:keepNext/>
              <w:keepLines/>
              <w:ind w:left="46"/>
              <w:jc w:val="center"/>
            </w:pPr>
            <w:r w:rsidRPr="00912847">
              <w:rPr>
                <w:b/>
                <w:bCs/>
              </w:rPr>
              <w:t>Suggested Report Filters</w:t>
            </w:r>
          </w:p>
        </w:tc>
        <w:tc>
          <w:tcPr>
            <w:tcW w:w="1353" w:type="dxa"/>
            <w:vAlign w:val="center"/>
          </w:tcPr>
          <w:p w14:paraId="7B1BFF69" w14:textId="77777777" w:rsidR="00603DDD" w:rsidRDefault="00603DDD" w:rsidP="009F357F">
            <w:pPr>
              <w:pStyle w:val="TableText"/>
              <w:jc w:val="center"/>
            </w:pPr>
            <w:r w:rsidRPr="00912847">
              <w:rPr>
                <w:b/>
                <w:bCs/>
              </w:rPr>
              <w:t>Intent / Responsibility</w:t>
            </w:r>
          </w:p>
        </w:tc>
        <w:tc>
          <w:tcPr>
            <w:tcW w:w="2519" w:type="dxa"/>
            <w:vAlign w:val="center"/>
          </w:tcPr>
          <w:p w14:paraId="7C225335" w14:textId="77777777" w:rsidR="00603DDD" w:rsidRPr="00837A86" w:rsidRDefault="00603DDD" w:rsidP="009F357F">
            <w:pPr>
              <w:pStyle w:val="TableText"/>
              <w:jc w:val="center"/>
            </w:pPr>
            <w:r w:rsidRPr="00912847">
              <w:rPr>
                <w:b/>
                <w:bCs/>
              </w:rPr>
              <w:t>Objective</w:t>
            </w:r>
          </w:p>
        </w:tc>
        <w:tc>
          <w:tcPr>
            <w:tcW w:w="3330" w:type="dxa"/>
            <w:vAlign w:val="center"/>
          </w:tcPr>
          <w:p w14:paraId="4BDF0007" w14:textId="77777777" w:rsidR="00603DDD" w:rsidRPr="00837A86" w:rsidRDefault="00603DDD" w:rsidP="009F357F">
            <w:pPr>
              <w:pStyle w:val="TableText"/>
              <w:keepNext/>
              <w:keepLines/>
              <w:jc w:val="center"/>
            </w:pPr>
            <w:r w:rsidRPr="00912847">
              <w:rPr>
                <w:b/>
                <w:bCs/>
              </w:rPr>
              <w:t>Dependencies and Possible Actions or Corrections Needed to Meet Objective</w:t>
            </w:r>
          </w:p>
        </w:tc>
        <w:tc>
          <w:tcPr>
            <w:tcW w:w="2431" w:type="dxa"/>
            <w:vAlign w:val="center"/>
          </w:tcPr>
          <w:p w14:paraId="4510FC69" w14:textId="77777777" w:rsidR="00603DDD" w:rsidRPr="009A1DE7" w:rsidRDefault="00603DDD" w:rsidP="009F357F">
            <w:pPr>
              <w:pStyle w:val="TableText"/>
              <w:jc w:val="center"/>
            </w:pPr>
            <w:r w:rsidRPr="00912847">
              <w:rPr>
                <w:b/>
                <w:bCs/>
              </w:rPr>
              <w:t>Warning</w:t>
            </w:r>
          </w:p>
          <w:p w14:paraId="37B02941" w14:textId="77777777" w:rsidR="00603DDD" w:rsidRPr="00837A86" w:rsidRDefault="00603DD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7C2B65AC" w14:textId="77777777" w:rsidR="00603DDD" w:rsidRPr="009A1DE7" w:rsidRDefault="00603DDD" w:rsidP="009F357F">
            <w:pPr>
              <w:pStyle w:val="TableText"/>
              <w:jc w:val="center"/>
            </w:pPr>
            <w:r w:rsidRPr="00912847">
              <w:rPr>
                <w:b/>
                <w:bCs/>
              </w:rPr>
              <w:t>References</w:t>
            </w:r>
          </w:p>
          <w:p w14:paraId="27E86721" w14:textId="77777777" w:rsidR="00603DDD" w:rsidRDefault="00603DDD" w:rsidP="002471F1">
            <w:pPr>
              <w:pStyle w:val="TableText"/>
              <w:spacing w:after="0"/>
              <w:jc w:val="center"/>
            </w:pPr>
            <w:r w:rsidRPr="009A1DE7">
              <w:rPr>
                <w:i/>
                <w:iCs/>
              </w:rPr>
              <w:t>An asterisk (*) denotes an external resource.</w:t>
            </w:r>
          </w:p>
        </w:tc>
      </w:tr>
      <w:tr w:rsidR="002471F1" w:rsidRPr="00EE4BD6" w14:paraId="025CB153" w14:textId="77777777" w:rsidTr="00264CB6">
        <w:trPr>
          <w:cantSplit/>
          <w:trHeight w:val="428"/>
        </w:trPr>
        <w:tc>
          <w:tcPr>
            <w:tcW w:w="1699" w:type="dxa"/>
          </w:tcPr>
          <w:p w14:paraId="6FC8E0BA" w14:textId="77777777" w:rsidR="00603DDD" w:rsidRDefault="00603DDD" w:rsidP="009F357F">
            <w:pPr>
              <w:pStyle w:val="TableText"/>
              <w:keepNext/>
              <w:keepLines/>
              <w:numPr>
                <w:ilvl w:val="0"/>
                <w:numId w:val="3"/>
              </w:numPr>
              <w:ind w:left="226" w:hanging="180"/>
            </w:pPr>
            <w:r>
              <w:t>Date Range: T</w:t>
            </w:r>
            <w:r w:rsidRPr="00837A86">
              <w:t>oday</w:t>
            </w:r>
          </w:p>
          <w:p w14:paraId="0862216E" w14:textId="77777777" w:rsidR="00603DDD" w:rsidRPr="009A1DE7" w:rsidRDefault="00603DDD" w:rsidP="009F357F">
            <w:pPr>
              <w:pStyle w:val="TableText"/>
              <w:numPr>
                <w:ilvl w:val="0"/>
                <w:numId w:val="3"/>
              </w:numPr>
              <w:ind w:left="226" w:hanging="180"/>
            </w:pPr>
            <w:r w:rsidRPr="009A1DE7">
              <w:t xml:space="preserve">All parameters for </w:t>
            </w:r>
            <w:r w:rsidRPr="00837A86">
              <w:t xml:space="preserve">Patient, Insurance Carrier, Clinic, Provider, Billing Type, </w:t>
            </w:r>
            <w:r>
              <w:t xml:space="preserve">and </w:t>
            </w:r>
            <w:r w:rsidRPr="00837A86">
              <w:t>Patient Tag</w:t>
            </w:r>
          </w:p>
        </w:tc>
        <w:tc>
          <w:tcPr>
            <w:tcW w:w="1353" w:type="dxa"/>
          </w:tcPr>
          <w:p w14:paraId="37A93521" w14:textId="77777777" w:rsidR="00603DDD" w:rsidRPr="009A1DE7" w:rsidRDefault="00603DDD" w:rsidP="009F357F">
            <w:pPr>
              <w:pStyle w:val="TableText"/>
            </w:pPr>
            <w:r>
              <w:t>Billing or Front Desk Staff</w:t>
            </w:r>
          </w:p>
        </w:tc>
        <w:tc>
          <w:tcPr>
            <w:tcW w:w="2519" w:type="dxa"/>
          </w:tcPr>
          <w:p w14:paraId="7168075B" w14:textId="77777777" w:rsidR="00603DDD" w:rsidRPr="009A1DE7" w:rsidRDefault="00603DDD" w:rsidP="009F357F">
            <w:pPr>
              <w:pStyle w:val="TableText"/>
            </w:pPr>
            <w:r>
              <w:t>I</w:t>
            </w:r>
            <w:r w:rsidRPr="00837A86">
              <w:t>dentify and process secondary insurance claims that have not yet been created.</w:t>
            </w:r>
          </w:p>
        </w:tc>
        <w:tc>
          <w:tcPr>
            <w:tcW w:w="3330" w:type="dxa"/>
          </w:tcPr>
          <w:p w14:paraId="3EEF1C21" w14:textId="77777777" w:rsidR="00603DDD" w:rsidRDefault="00603DDD" w:rsidP="009F357F">
            <w:pPr>
              <w:pStyle w:val="TableText"/>
              <w:keepNext/>
              <w:keepLines/>
            </w:pPr>
            <w:r w:rsidRPr="00837A86">
              <w:t xml:space="preserve">Both </w:t>
            </w:r>
            <w:r>
              <w:t>p</w:t>
            </w:r>
            <w:r w:rsidRPr="00837A86">
              <w:t xml:space="preserve">rimary and </w:t>
            </w:r>
            <w:r>
              <w:t>s</w:t>
            </w:r>
            <w:r w:rsidRPr="00837A86">
              <w:t xml:space="preserve">econdary </w:t>
            </w:r>
            <w:r>
              <w:t>i</w:t>
            </w:r>
            <w:r w:rsidRPr="00837A86">
              <w:t xml:space="preserve">nsurance plans have been attached to </w:t>
            </w:r>
            <w:r>
              <w:t xml:space="preserve">a </w:t>
            </w:r>
            <w:r w:rsidRPr="00837A86">
              <w:t>patient in Family File. Primary insurance claims have had posting completed.</w:t>
            </w:r>
            <w:r>
              <w:t xml:space="preserve"> </w:t>
            </w:r>
          </w:p>
          <w:p w14:paraId="7616F161" w14:textId="77777777" w:rsidR="00603DDD" w:rsidRPr="009A1DE7" w:rsidRDefault="00603DDD" w:rsidP="009F357F">
            <w:pPr>
              <w:pStyle w:val="TableText"/>
              <w:numPr>
                <w:ilvl w:val="0"/>
                <w:numId w:val="2"/>
              </w:numPr>
              <w:ind w:left="232" w:hanging="180"/>
            </w:pPr>
            <w:r>
              <w:rPr>
                <w:u w:val="single"/>
              </w:rPr>
              <w:t>Ledger</w:t>
            </w:r>
            <w:r w:rsidRPr="009A1DE7">
              <w:t xml:space="preserve">: </w:t>
            </w:r>
            <w:r w:rsidRPr="00837A86">
              <w:t xml:space="preserve">Confirm the services are ready to be sent to secondary insurance. Update secondary insurance within primary claim. Print </w:t>
            </w:r>
            <w:r>
              <w:t xml:space="preserve">claim, </w:t>
            </w:r>
            <w:r w:rsidRPr="00837A86">
              <w:t>or send claim electronically</w:t>
            </w:r>
            <w:r>
              <w:t>.</w:t>
            </w:r>
          </w:p>
        </w:tc>
        <w:tc>
          <w:tcPr>
            <w:tcW w:w="2431" w:type="dxa"/>
          </w:tcPr>
          <w:p w14:paraId="69371CCF" w14:textId="77777777" w:rsidR="00603DDD" w:rsidRPr="00EF587A" w:rsidRDefault="00603DDD" w:rsidP="009F357F">
            <w:pPr>
              <w:pStyle w:val="TableText"/>
            </w:pPr>
            <w:r>
              <w:t>This report reveals w</w:t>
            </w:r>
            <w:r w:rsidRPr="006C402E">
              <w:t xml:space="preserve">hen </w:t>
            </w:r>
            <w:r>
              <w:t>a</w:t>
            </w:r>
            <w:r w:rsidRPr="006C402E">
              <w:t xml:space="preserve"> patient's secondary insurance claim has not been created following the posting of </w:t>
            </w:r>
            <w:r>
              <w:t xml:space="preserve">a </w:t>
            </w:r>
            <w:r w:rsidRPr="006C402E">
              <w:t xml:space="preserve">payment or denial from </w:t>
            </w:r>
            <w:r>
              <w:t>their</w:t>
            </w:r>
            <w:r w:rsidRPr="006C402E">
              <w:t xml:space="preserve"> primary insurance. If the clinic does not routinely run this report, secondary insurance claims are not filed, </w:t>
            </w:r>
            <w:r>
              <w:t xml:space="preserve">which </w:t>
            </w:r>
            <w:r w:rsidRPr="006C402E">
              <w:t>effectively lower</w:t>
            </w:r>
            <w:r>
              <w:t>s</w:t>
            </w:r>
            <w:r w:rsidRPr="006C402E">
              <w:t xml:space="preserve"> revenue.</w:t>
            </w:r>
          </w:p>
        </w:tc>
        <w:tc>
          <w:tcPr>
            <w:tcW w:w="1630" w:type="dxa"/>
          </w:tcPr>
          <w:p w14:paraId="025913BC" w14:textId="77777777" w:rsidR="00603DDD" w:rsidRPr="00EF587A" w:rsidRDefault="00603DDD" w:rsidP="009F357F">
            <w:pPr>
              <w:pStyle w:val="TableText"/>
              <w:numPr>
                <w:ilvl w:val="0"/>
                <w:numId w:val="1"/>
              </w:numPr>
              <w:spacing w:after="0"/>
              <w:ind w:left="187" w:hanging="187"/>
            </w:pPr>
            <w:r>
              <w:t>Revenue Cycle</w:t>
            </w:r>
          </w:p>
        </w:tc>
      </w:tr>
      <w:tr w:rsidR="002509BE" w14:paraId="10D8C1D4" w14:textId="77777777" w:rsidTr="00264CB6">
        <w:trPr>
          <w:cantSplit/>
          <w:trHeight w:val="428"/>
        </w:trPr>
        <w:tc>
          <w:tcPr>
            <w:tcW w:w="12962" w:type="dxa"/>
            <w:gridSpan w:val="6"/>
            <w:shd w:val="clear" w:color="auto" w:fill="E2EFD9" w:themeFill="accent6" w:themeFillTint="33"/>
            <w:vAlign w:val="center"/>
          </w:tcPr>
          <w:p w14:paraId="7267BD5E" w14:textId="718C0A56" w:rsidR="002509BE" w:rsidRPr="00912847" w:rsidRDefault="002509BE" w:rsidP="002509BE">
            <w:pPr>
              <w:pStyle w:val="Heading4"/>
              <w:rPr>
                <w:bCs/>
              </w:rPr>
            </w:pPr>
            <w:bookmarkStart w:id="375" w:name="_Pre-Estimates_Not_Sent"/>
            <w:bookmarkEnd w:id="375"/>
            <w:r w:rsidRPr="008061B2">
              <w:t>Pre-Estimates Not Sent Repor</w:t>
            </w:r>
            <w:r w:rsidR="00FF74B1">
              <w:t>t</w:t>
            </w:r>
            <w:r w:rsidR="00BB2D77">
              <w:tab/>
            </w:r>
            <w:hyperlink w:anchor="_Daily_Checklist" w:history="1">
              <w:r w:rsidR="00FF74B1" w:rsidRPr="00FF74B1">
                <w:rPr>
                  <w:rStyle w:val="Hyperlink"/>
                  <w:b w:val="0"/>
                  <w:bCs/>
                  <w:sz w:val="16"/>
                  <w:szCs w:val="18"/>
                </w:rPr>
                <w:t>Return to Daily Checklist</w:t>
              </w:r>
            </w:hyperlink>
          </w:p>
        </w:tc>
      </w:tr>
      <w:tr w:rsidR="00357440" w14:paraId="11BE60E3" w14:textId="77777777" w:rsidTr="00264CB6">
        <w:trPr>
          <w:cantSplit/>
          <w:trHeight w:val="428"/>
        </w:trPr>
        <w:tc>
          <w:tcPr>
            <w:tcW w:w="1699" w:type="dxa"/>
            <w:vAlign w:val="center"/>
          </w:tcPr>
          <w:p w14:paraId="7E1C5E2E" w14:textId="77777777" w:rsidR="00603DDD" w:rsidRPr="00D160F4" w:rsidRDefault="00603DDD" w:rsidP="009F357F">
            <w:pPr>
              <w:pStyle w:val="TableText"/>
              <w:keepNext/>
              <w:keepLines/>
              <w:ind w:left="46"/>
              <w:jc w:val="center"/>
            </w:pPr>
            <w:r w:rsidRPr="00912847">
              <w:rPr>
                <w:b/>
                <w:bCs/>
              </w:rPr>
              <w:t>Suggested Report Filters</w:t>
            </w:r>
          </w:p>
        </w:tc>
        <w:tc>
          <w:tcPr>
            <w:tcW w:w="1353" w:type="dxa"/>
            <w:vAlign w:val="center"/>
          </w:tcPr>
          <w:p w14:paraId="21561854" w14:textId="77777777" w:rsidR="00603DDD" w:rsidRDefault="00603DDD" w:rsidP="009F357F">
            <w:pPr>
              <w:pStyle w:val="TableText"/>
              <w:jc w:val="center"/>
            </w:pPr>
            <w:r w:rsidRPr="00912847">
              <w:rPr>
                <w:b/>
                <w:bCs/>
              </w:rPr>
              <w:t>Intent / Responsibility</w:t>
            </w:r>
          </w:p>
        </w:tc>
        <w:tc>
          <w:tcPr>
            <w:tcW w:w="2519" w:type="dxa"/>
            <w:vAlign w:val="center"/>
          </w:tcPr>
          <w:p w14:paraId="7EF00DAD" w14:textId="77777777" w:rsidR="00603DDD" w:rsidRPr="00837A86" w:rsidRDefault="00603DDD" w:rsidP="009F357F">
            <w:pPr>
              <w:pStyle w:val="TableText"/>
              <w:jc w:val="center"/>
            </w:pPr>
            <w:r w:rsidRPr="00912847">
              <w:rPr>
                <w:b/>
                <w:bCs/>
              </w:rPr>
              <w:t>Objective</w:t>
            </w:r>
          </w:p>
        </w:tc>
        <w:tc>
          <w:tcPr>
            <w:tcW w:w="3330" w:type="dxa"/>
            <w:vAlign w:val="center"/>
          </w:tcPr>
          <w:p w14:paraId="5A49AAC5" w14:textId="77777777" w:rsidR="00603DDD" w:rsidRPr="00837A86" w:rsidRDefault="00603DDD" w:rsidP="009F357F">
            <w:pPr>
              <w:pStyle w:val="TableText"/>
              <w:keepNext/>
              <w:keepLines/>
              <w:jc w:val="center"/>
            </w:pPr>
            <w:r w:rsidRPr="00912847">
              <w:rPr>
                <w:b/>
                <w:bCs/>
              </w:rPr>
              <w:t>Dependencies and Possible Actions or Corrections Needed to Meet Objective</w:t>
            </w:r>
          </w:p>
        </w:tc>
        <w:tc>
          <w:tcPr>
            <w:tcW w:w="2431" w:type="dxa"/>
            <w:vAlign w:val="center"/>
          </w:tcPr>
          <w:p w14:paraId="57292A65" w14:textId="77777777" w:rsidR="00603DDD" w:rsidRPr="009A1DE7" w:rsidRDefault="00603DDD" w:rsidP="009F357F">
            <w:pPr>
              <w:pStyle w:val="TableText"/>
              <w:jc w:val="center"/>
            </w:pPr>
            <w:r w:rsidRPr="00912847">
              <w:rPr>
                <w:b/>
                <w:bCs/>
              </w:rPr>
              <w:t>Warning</w:t>
            </w:r>
          </w:p>
          <w:p w14:paraId="614C54EF" w14:textId="77777777" w:rsidR="00603DDD" w:rsidRPr="00837A86" w:rsidRDefault="00603DD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48633269" w14:textId="77777777" w:rsidR="00603DDD" w:rsidRPr="009A1DE7" w:rsidRDefault="00603DDD" w:rsidP="009F357F">
            <w:pPr>
              <w:pStyle w:val="TableText"/>
              <w:jc w:val="center"/>
            </w:pPr>
            <w:r w:rsidRPr="00912847">
              <w:rPr>
                <w:b/>
                <w:bCs/>
              </w:rPr>
              <w:t>References</w:t>
            </w:r>
          </w:p>
          <w:p w14:paraId="2091BAF7" w14:textId="77777777" w:rsidR="00603DDD" w:rsidRDefault="00603DDD" w:rsidP="00BB76D7">
            <w:pPr>
              <w:pStyle w:val="TableText"/>
              <w:spacing w:after="0"/>
              <w:jc w:val="center"/>
            </w:pPr>
            <w:r w:rsidRPr="009A1DE7">
              <w:rPr>
                <w:i/>
                <w:iCs/>
              </w:rPr>
              <w:t>An asterisk (*) denotes an external resource.</w:t>
            </w:r>
          </w:p>
        </w:tc>
      </w:tr>
      <w:tr w:rsidR="00357440" w:rsidRPr="00EE4BD6" w14:paraId="6AE8648D" w14:textId="77777777" w:rsidTr="00264CB6">
        <w:trPr>
          <w:cantSplit/>
          <w:trHeight w:val="428"/>
        </w:trPr>
        <w:tc>
          <w:tcPr>
            <w:tcW w:w="1699" w:type="dxa"/>
          </w:tcPr>
          <w:p w14:paraId="75A94B4D" w14:textId="77777777" w:rsidR="00676B1C" w:rsidRDefault="00676B1C" w:rsidP="009F357F">
            <w:pPr>
              <w:pStyle w:val="TableText"/>
              <w:keepNext/>
              <w:keepLines/>
              <w:numPr>
                <w:ilvl w:val="0"/>
                <w:numId w:val="3"/>
              </w:numPr>
              <w:ind w:left="226" w:hanging="180"/>
            </w:pPr>
            <w:r>
              <w:t>Date Range: T</w:t>
            </w:r>
            <w:r w:rsidRPr="00837A86">
              <w:t>oday</w:t>
            </w:r>
          </w:p>
          <w:p w14:paraId="7ABAC6B3" w14:textId="77777777" w:rsidR="00676B1C" w:rsidRPr="009A1DE7" w:rsidRDefault="00676B1C" w:rsidP="009F357F">
            <w:pPr>
              <w:pStyle w:val="TableText"/>
              <w:keepNext/>
              <w:keepLines/>
              <w:numPr>
                <w:ilvl w:val="0"/>
                <w:numId w:val="3"/>
              </w:numPr>
              <w:ind w:left="226" w:hanging="180"/>
            </w:pPr>
            <w:r w:rsidRPr="009A1DE7">
              <w:t xml:space="preserve">All parameters for </w:t>
            </w:r>
            <w:r w:rsidRPr="00837A86">
              <w:t xml:space="preserve">Patient, Insurance Carrier, Clinic, Provider, Billing Type, </w:t>
            </w:r>
            <w:r>
              <w:t xml:space="preserve">and </w:t>
            </w:r>
            <w:r w:rsidRPr="00837A86">
              <w:t>Patient Tag</w:t>
            </w:r>
          </w:p>
        </w:tc>
        <w:tc>
          <w:tcPr>
            <w:tcW w:w="1353" w:type="dxa"/>
          </w:tcPr>
          <w:p w14:paraId="6A65B96F" w14:textId="77777777" w:rsidR="00676B1C" w:rsidRPr="009A1DE7" w:rsidRDefault="00676B1C" w:rsidP="009F357F">
            <w:pPr>
              <w:pStyle w:val="TableText"/>
              <w:keepNext/>
              <w:keepLines/>
            </w:pPr>
            <w:r>
              <w:t>Billing or Front Desk Staff</w:t>
            </w:r>
          </w:p>
        </w:tc>
        <w:tc>
          <w:tcPr>
            <w:tcW w:w="2519" w:type="dxa"/>
          </w:tcPr>
          <w:p w14:paraId="5B87D3A1" w14:textId="77777777" w:rsidR="00676B1C" w:rsidRPr="009A1DE7" w:rsidRDefault="00676B1C" w:rsidP="009F357F">
            <w:pPr>
              <w:pStyle w:val="TableText"/>
              <w:keepNext/>
              <w:keepLines/>
            </w:pPr>
            <w:r>
              <w:t>I</w:t>
            </w:r>
            <w:r w:rsidRPr="000F3D09">
              <w:t xml:space="preserve">dentify and process </w:t>
            </w:r>
            <w:r>
              <w:t>p</w:t>
            </w:r>
            <w:r w:rsidRPr="000F3D09">
              <w:t>re-</w:t>
            </w:r>
            <w:r>
              <w:t>t</w:t>
            </w:r>
            <w:r w:rsidRPr="000F3D09">
              <w:t xml:space="preserve">reatment </w:t>
            </w:r>
            <w:r>
              <w:t>i</w:t>
            </w:r>
            <w:r w:rsidRPr="000F3D09">
              <w:t xml:space="preserve">nsurance </w:t>
            </w:r>
            <w:r>
              <w:t>e</w:t>
            </w:r>
            <w:r w:rsidRPr="000F3D09">
              <w:t>stimates that have not been sent.</w:t>
            </w:r>
          </w:p>
        </w:tc>
        <w:tc>
          <w:tcPr>
            <w:tcW w:w="3330" w:type="dxa"/>
          </w:tcPr>
          <w:p w14:paraId="04CEAE72" w14:textId="77777777" w:rsidR="00676B1C" w:rsidRDefault="00676B1C" w:rsidP="009F357F">
            <w:pPr>
              <w:pStyle w:val="TableText"/>
              <w:keepNext/>
              <w:keepLines/>
            </w:pPr>
            <w:r w:rsidRPr="000F3D09">
              <w:t>Clinical staff created treatment plan in Chart. F</w:t>
            </w:r>
            <w:r>
              <w:t xml:space="preserve">ront Desk or </w:t>
            </w:r>
            <w:r w:rsidRPr="000F3D09">
              <w:t xml:space="preserve">Billing Staff created a </w:t>
            </w:r>
            <w:r>
              <w:t>p</w:t>
            </w:r>
            <w:r w:rsidRPr="000F3D09">
              <w:t>re-</w:t>
            </w:r>
            <w:r>
              <w:t>t</w:t>
            </w:r>
            <w:r w:rsidRPr="000F3D09">
              <w:t xml:space="preserve">reatment </w:t>
            </w:r>
            <w:r>
              <w:t>e</w:t>
            </w:r>
            <w:r w:rsidRPr="000F3D09">
              <w:t xml:space="preserve">stimate </w:t>
            </w:r>
            <w:r>
              <w:t>in</w:t>
            </w:r>
            <w:r w:rsidRPr="000F3D09">
              <w:t xml:space="preserve"> Ledger.</w:t>
            </w:r>
            <w:r>
              <w:t xml:space="preserve"> </w:t>
            </w:r>
          </w:p>
          <w:p w14:paraId="0806EE8F" w14:textId="77777777" w:rsidR="00676B1C" w:rsidRPr="009A1DE7" w:rsidRDefault="00676B1C" w:rsidP="009F357F">
            <w:pPr>
              <w:pStyle w:val="TableText"/>
              <w:keepNext/>
              <w:keepLines/>
              <w:numPr>
                <w:ilvl w:val="0"/>
                <w:numId w:val="2"/>
              </w:numPr>
              <w:ind w:left="232" w:hanging="180"/>
            </w:pPr>
            <w:r>
              <w:rPr>
                <w:u w:val="single"/>
              </w:rPr>
              <w:t>Chart</w:t>
            </w:r>
            <w:r>
              <w:t xml:space="preserve">: </w:t>
            </w:r>
            <w:r w:rsidRPr="000F3D09">
              <w:t xml:space="preserve">Confirm the </w:t>
            </w:r>
            <w:r>
              <w:t>t</w:t>
            </w:r>
            <w:r w:rsidRPr="000F3D09">
              <w:t>reatment</w:t>
            </w:r>
            <w:r>
              <w:t>-p</w:t>
            </w:r>
            <w:r w:rsidRPr="000F3D09">
              <w:t xml:space="preserve">lanned procedures on the claim are ready to be sent to insurance. Print </w:t>
            </w:r>
            <w:r>
              <w:t xml:space="preserve">claim, </w:t>
            </w:r>
            <w:r w:rsidRPr="000F3D09">
              <w:t>or send claim electronically</w:t>
            </w:r>
            <w:r>
              <w:t>.</w:t>
            </w:r>
          </w:p>
        </w:tc>
        <w:tc>
          <w:tcPr>
            <w:tcW w:w="2431" w:type="dxa"/>
          </w:tcPr>
          <w:p w14:paraId="0CFA9EB2" w14:textId="77777777" w:rsidR="00676B1C" w:rsidRPr="00EF587A" w:rsidRDefault="00676B1C" w:rsidP="009F357F">
            <w:pPr>
              <w:pStyle w:val="TableText"/>
              <w:keepNext/>
              <w:keepLines/>
            </w:pPr>
            <w:r w:rsidRPr="000F3D09">
              <w:t>If the patient (or the clinic) needs a pre-treatment estimate prior to proceeding with</w:t>
            </w:r>
            <w:r>
              <w:t xml:space="preserve"> recommended</w:t>
            </w:r>
            <w:r w:rsidRPr="000F3D09">
              <w:t xml:space="preserve"> treatment, this report will reveal those insurance estimates that have not yet been sent. If </w:t>
            </w:r>
            <w:r>
              <w:t xml:space="preserve">the report is </w:t>
            </w:r>
            <w:r w:rsidRPr="000F3D09">
              <w:t xml:space="preserve">not generated, all will be awaiting information that has not even left the office </w:t>
            </w:r>
            <w:r>
              <w:t>to be processed by insurance</w:t>
            </w:r>
            <w:r w:rsidRPr="000F3D09">
              <w:t>.</w:t>
            </w:r>
          </w:p>
        </w:tc>
        <w:tc>
          <w:tcPr>
            <w:tcW w:w="1630" w:type="dxa"/>
          </w:tcPr>
          <w:p w14:paraId="05A6D5BB" w14:textId="77777777" w:rsidR="00676B1C" w:rsidRPr="00EF587A" w:rsidRDefault="00676B1C" w:rsidP="009F357F">
            <w:pPr>
              <w:pStyle w:val="TableText"/>
              <w:keepNext/>
              <w:keepLines/>
              <w:numPr>
                <w:ilvl w:val="0"/>
                <w:numId w:val="1"/>
              </w:numPr>
              <w:spacing w:after="0"/>
              <w:ind w:left="187" w:hanging="187"/>
            </w:pPr>
            <w:r>
              <w:t>Revenue Cycle</w:t>
            </w:r>
          </w:p>
        </w:tc>
      </w:tr>
    </w:tbl>
    <w:p w14:paraId="4CA092D2" w14:textId="77777777" w:rsidR="00264CB6" w:rsidRDefault="00264CB6">
      <w:r>
        <w:rPr>
          <w:b/>
          <w:iCs/>
        </w:rPr>
        <w:br w:type="page"/>
      </w:r>
    </w:p>
    <w:tbl>
      <w:tblPr>
        <w:tblStyle w:val="TableGrid"/>
        <w:tblW w:w="12962"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699"/>
        <w:gridCol w:w="1353"/>
        <w:gridCol w:w="2519"/>
        <w:gridCol w:w="3330"/>
        <w:gridCol w:w="2431"/>
        <w:gridCol w:w="1630"/>
      </w:tblGrid>
      <w:tr w:rsidR="00E65AD6" w14:paraId="03640FB8" w14:textId="77777777" w:rsidTr="00264CB6">
        <w:trPr>
          <w:cantSplit/>
          <w:trHeight w:val="428"/>
        </w:trPr>
        <w:tc>
          <w:tcPr>
            <w:tcW w:w="12962" w:type="dxa"/>
            <w:gridSpan w:val="6"/>
            <w:shd w:val="clear" w:color="auto" w:fill="E2EFD9" w:themeFill="accent6" w:themeFillTint="33"/>
            <w:vAlign w:val="center"/>
          </w:tcPr>
          <w:p w14:paraId="2B980E29" w14:textId="714F6C12" w:rsidR="00E65AD6" w:rsidRPr="00E92EA5" w:rsidRDefault="00BE05A9" w:rsidP="00E92EA5">
            <w:pPr>
              <w:pStyle w:val="Heading4"/>
            </w:pPr>
            <w:bookmarkStart w:id="376" w:name="_Suspended_Credits_Report"/>
            <w:bookmarkEnd w:id="376"/>
            <w:r w:rsidRPr="005A2540">
              <w:lastRenderedPageBreak/>
              <w:t>Suspended Credits Report</w:t>
            </w:r>
            <w:r w:rsidR="00BB2D77">
              <w:tab/>
            </w:r>
            <w:hyperlink w:anchor="_Daily_Checklist" w:history="1">
              <w:r w:rsidR="00FF74B1" w:rsidRPr="00FF74B1">
                <w:rPr>
                  <w:rStyle w:val="Hyperlink"/>
                  <w:b w:val="0"/>
                  <w:bCs/>
                  <w:sz w:val="16"/>
                  <w:szCs w:val="18"/>
                </w:rPr>
                <w:t>Return to Daily Checklist</w:t>
              </w:r>
            </w:hyperlink>
          </w:p>
        </w:tc>
      </w:tr>
      <w:tr w:rsidR="00BB76D7" w14:paraId="3577C423" w14:textId="77777777" w:rsidTr="00264CB6">
        <w:trPr>
          <w:cantSplit/>
          <w:trHeight w:val="428"/>
        </w:trPr>
        <w:tc>
          <w:tcPr>
            <w:tcW w:w="1699" w:type="dxa"/>
            <w:vAlign w:val="center"/>
          </w:tcPr>
          <w:p w14:paraId="1A1A767A" w14:textId="77777777" w:rsidR="00603DDD" w:rsidRPr="00D160F4" w:rsidRDefault="00603DDD" w:rsidP="009F357F">
            <w:pPr>
              <w:pStyle w:val="TableText"/>
              <w:keepNext/>
              <w:keepLines/>
              <w:ind w:left="46"/>
              <w:jc w:val="center"/>
            </w:pPr>
            <w:r w:rsidRPr="00912847">
              <w:rPr>
                <w:b/>
                <w:bCs/>
              </w:rPr>
              <w:t>Suggested Report Filters</w:t>
            </w:r>
          </w:p>
        </w:tc>
        <w:tc>
          <w:tcPr>
            <w:tcW w:w="1353" w:type="dxa"/>
            <w:vAlign w:val="center"/>
          </w:tcPr>
          <w:p w14:paraId="043FD501" w14:textId="77777777" w:rsidR="00603DDD" w:rsidRDefault="00603DDD" w:rsidP="009F357F">
            <w:pPr>
              <w:pStyle w:val="TableText"/>
              <w:jc w:val="center"/>
            </w:pPr>
            <w:r w:rsidRPr="00912847">
              <w:rPr>
                <w:b/>
                <w:bCs/>
              </w:rPr>
              <w:t>Intent / Responsibility</w:t>
            </w:r>
          </w:p>
        </w:tc>
        <w:tc>
          <w:tcPr>
            <w:tcW w:w="2519" w:type="dxa"/>
            <w:vAlign w:val="center"/>
          </w:tcPr>
          <w:p w14:paraId="1FDB410F" w14:textId="77777777" w:rsidR="00603DDD" w:rsidRPr="00837A86" w:rsidRDefault="00603DDD" w:rsidP="009F357F">
            <w:pPr>
              <w:pStyle w:val="TableText"/>
              <w:jc w:val="center"/>
            </w:pPr>
            <w:r w:rsidRPr="00912847">
              <w:rPr>
                <w:b/>
                <w:bCs/>
              </w:rPr>
              <w:t>Objective</w:t>
            </w:r>
          </w:p>
        </w:tc>
        <w:tc>
          <w:tcPr>
            <w:tcW w:w="3330" w:type="dxa"/>
            <w:vAlign w:val="center"/>
          </w:tcPr>
          <w:p w14:paraId="395BB10B" w14:textId="77777777" w:rsidR="00603DDD" w:rsidRPr="00837A86" w:rsidRDefault="00603DDD" w:rsidP="009F357F">
            <w:pPr>
              <w:pStyle w:val="TableText"/>
              <w:keepNext/>
              <w:keepLines/>
              <w:jc w:val="center"/>
            </w:pPr>
            <w:r w:rsidRPr="00912847">
              <w:rPr>
                <w:b/>
                <w:bCs/>
              </w:rPr>
              <w:t>Dependencies and Possible Actions or Corrections Needed to Meet Objective</w:t>
            </w:r>
          </w:p>
        </w:tc>
        <w:tc>
          <w:tcPr>
            <w:tcW w:w="2431" w:type="dxa"/>
            <w:vAlign w:val="center"/>
          </w:tcPr>
          <w:p w14:paraId="0DA3CF9C" w14:textId="77777777" w:rsidR="00603DDD" w:rsidRPr="009A1DE7" w:rsidRDefault="00603DDD" w:rsidP="009F357F">
            <w:pPr>
              <w:pStyle w:val="TableText"/>
              <w:jc w:val="center"/>
            </w:pPr>
            <w:r w:rsidRPr="00912847">
              <w:rPr>
                <w:b/>
                <w:bCs/>
              </w:rPr>
              <w:t>Warning</w:t>
            </w:r>
          </w:p>
          <w:p w14:paraId="60605AA1" w14:textId="77777777" w:rsidR="00603DDD" w:rsidRPr="00837A86" w:rsidRDefault="00603DD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6B81ACD9" w14:textId="77777777" w:rsidR="00603DDD" w:rsidRPr="009A1DE7" w:rsidRDefault="00603DDD" w:rsidP="009F357F">
            <w:pPr>
              <w:pStyle w:val="TableText"/>
              <w:jc w:val="center"/>
            </w:pPr>
            <w:r w:rsidRPr="00912847">
              <w:rPr>
                <w:b/>
                <w:bCs/>
              </w:rPr>
              <w:t>References</w:t>
            </w:r>
          </w:p>
          <w:p w14:paraId="68D10348" w14:textId="77777777" w:rsidR="00603DDD" w:rsidRDefault="00603DDD" w:rsidP="00BB76D7">
            <w:pPr>
              <w:pStyle w:val="TableText"/>
              <w:spacing w:after="0"/>
              <w:jc w:val="center"/>
            </w:pPr>
            <w:r w:rsidRPr="009A1DE7">
              <w:rPr>
                <w:i/>
                <w:iCs/>
              </w:rPr>
              <w:t>An asterisk (*) denotes an external resource.</w:t>
            </w:r>
          </w:p>
        </w:tc>
      </w:tr>
      <w:tr w:rsidR="00BB76D7" w:rsidRPr="00EE4BD6" w14:paraId="2DF9AE19" w14:textId="77777777" w:rsidTr="00264CB6">
        <w:trPr>
          <w:cantSplit/>
          <w:trHeight w:val="428"/>
        </w:trPr>
        <w:tc>
          <w:tcPr>
            <w:tcW w:w="1699" w:type="dxa"/>
          </w:tcPr>
          <w:p w14:paraId="6766F5B1" w14:textId="77777777" w:rsidR="00676B1C" w:rsidRDefault="00676B1C" w:rsidP="009F357F">
            <w:pPr>
              <w:pStyle w:val="TableText"/>
              <w:keepNext/>
              <w:keepLines/>
              <w:numPr>
                <w:ilvl w:val="0"/>
                <w:numId w:val="3"/>
              </w:numPr>
              <w:ind w:left="226" w:hanging="180"/>
            </w:pPr>
            <w:r>
              <w:t>Date Range: T</w:t>
            </w:r>
            <w:r w:rsidRPr="00837A86">
              <w:t>oday</w:t>
            </w:r>
            <w:r>
              <w:t>, by Entry Date</w:t>
            </w:r>
          </w:p>
          <w:p w14:paraId="73EC6901" w14:textId="77777777" w:rsidR="00676B1C" w:rsidRPr="009A1DE7" w:rsidRDefault="00676B1C" w:rsidP="009F357F">
            <w:pPr>
              <w:pStyle w:val="TableText"/>
              <w:numPr>
                <w:ilvl w:val="0"/>
                <w:numId w:val="3"/>
              </w:numPr>
              <w:ind w:left="226" w:hanging="180"/>
            </w:pPr>
            <w:r w:rsidRPr="009A1DE7">
              <w:t xml:space="preserve">All parameters for </w:t>
            </w:r>
            <w:r>
              <w:t>Guarantor</w:t>
            </w:r>
            <w:r w:rsidRPr="00837A86">
              <w:t xml:space="preserve">, Clinic, Provider, Billing Type, </w:t>
            </w:r>
            <w:r>
              <w:t xml:space="preserve">and </w:t>
            </w:r>
            <w:r w:rsidRPr="00837A86">
              <w:t>Patient Tag</w:t>
            </w:r>
          </w:p>
        </w:tc>
        <w:tc>
          <w:tcPr>
            <w:tcW w:w="1353" w:type="dxa"/>
          </w:tcPr>
          <w:p w14:paraId="4F85462C" w14:textId="77777777" w:rsidR="00676B1C" w:rsidRPr="009A1DE7" w:rsidRDefault="00676B1C" w:rsidP="009F357F">
            <w:pPr>
              <w:pStyle w:val="TableText"/>
            </w:pPr>
            <w:r>
              <w:t>Billing or Front Desk Staff</w:t>
            </w:r>
          </w:p>
        </w:tc>
        <w:tc>
          <w:tcPr>
            <w:tcW w:w="2519" w:type="dxa"/>
          </w:tcPr>
          <w:p w14:paraId="46E1D4BC" w14:textId="77777777" w:rsidR="00676B1C" w:rsidRPr="009A1DE7" w:rsidRDefault="00676B1C" w:rsidP="009F357F">
            <w:pPr>
              <w:pStyle w:val="TableText"/>
            </w:pPr>
            <w:r>
              <w:t>R</w:t>
            </w:r>
            <w:r w:rsidRPr="000F3D09">
              <w:t>eview and allocate where possible any credits/payments entered today.</w:t>
            </w:r>
          </w:p>
        </w:tc>
        <w:tc>
          <w:tcPr>
            <w:tcW w:w="3330" w:type="dxa"/>
          </w:tcPr>
          <w:p w14:paraId="60AB0676" w14:textId="77777777" w:rsidR="00676B1C" w:rsidRDefault="00676B1C" w:rsidP="009F357F">
            <w:pPr>
              <w:pStyle w:val="TableText"/>
              <w:keepNext/>
              <w:keepLines/>
            </w:pPr>
            <w:r w:rsidRPr="000F3D09">
              <w:t>Payments and adjustments must be entered and accurate for the day.</w:t>
            </w:r>
            <w:r>
              <w:t xml:space="preserve"> </w:t>
            </w:r>
          </w:p>
          <w:p w14:paraId="1C23D8BA" w14:textId="77777777" w:rsidR="00676B1C" w:rsidRPr="009A1DE7" w:rsidRDefault="00676B1C" w:rsidP="009F357F">
            <w:pPr>
              <w:pStyle w:val="TableText"/>
              <w:numPr>
                <w:ilvl w:val="0"/>
                <w:numId w:val="2"/>
              </w:numPr>
              <w:ind w:left="232" w:hanging="180"/>
            </w:pPr>
            <w:r>
              <w:rPr>
                <w:u w:val="single"/>
              </w:rPr>
              <w:t>Ledger</w:t>
            </w:r>
            <w:r w:rsidRPr="009A1DE7">
              <w:t xml:space="preserve">: </w:t>
            </w:r>
            <w:r w:rsidRPr="000F3D09">
              <w:t>Apply suspended credits</w:t>
            </w:r>
            <w:r>
              <w:t>.</w:t>
            </w:r>
          </w:p>
        </w:tc>
        <w:tc>
          <w:tcPr>
            <w:tcW w:w="2431" w:type="dxa"/>
          </w:tcPr>
          <w:p w14:paraId="263E14B7" w14:textId="77777777" w:rsidR="00676B1C" w:rsidRPr="00EF587A" w:rsidRDefault="00676B1C" w:rsidP="009F357F">
            <w:pPr>
              <w:pStyle w:val="TableText"/>
            </w:pPr>
            <w:r w:rsidRPr="000F3D09">
              <w:t xml:space="preserve">Leaving credits </w:t>
            </w:r>
            <w:r>
              <w:t>suspended</w:t>
            </w:r>
            <w:r w:rsidRPr="000F3D09">
              <w:t xml:space="preserve"> will have a direct impact on revenue totals </w:t>
            </w:r>
            <w:r>
              <w:t>for p</w:t>
            </w:r>
            <w:r w:rsidRPr="000F3D09">
              <w:t xml:space="preserve">rovider A/R, </w:t>
            </w:r>
            <w:r>
              <w:t>p</w:t>
            </w:r>
            <w:r w:rsidRPr="000F3D09">
              <w:t xml:space="preserve">rovider </w:t>
            </w:r>
            <w:r>
              <w:t>r</w:t>
            </w:r>
            <w:r w:rsidRPr="000F3D09">
              <w:t>evenue, and collections totals for reports filtered by provider.</w:t>
            </w:r>
          </w:p>
        </w:tc>
        <w:tc>
          <w:tcPr>
            <w:tcW w:w="1630" w:type="dxa"/>
          </w:tcPr>
          <w:p w14:paraId="36AD6C59" w14:textId="77777777" w:rsidR="00676B1C" w:rsidRPr="00EF587A" w:rsidRDefault="00676B1C" w:rsidP="009F357F">
            <w:pPr>
              <w:pStyle w:val="TableText"/>
              <w:numPr>
                <w:ilvl w:val="0"/>
                <w:numId w:val="1"/>
              </w:numPr>
              <w:spacing w:after="0"/>
              <w:ind w:left="187" w:hanging="187"/>
            </w:pPr>
            <w:r>
              <w:t>Revenue Cycle</w:t>
            </w:r>
          </w:p>
        </w:tc>
      </w:tr>
      <w:tr w:rsidR="00FA5088" w14:paraId="625F9315" w14:textId="77777777" w:rsidTr="00B47A80">
        <w:trPr>
          <w:cantSplit/>
          <w:trHeight w:val="428"/>
        </w:trPr>
        <w:tc>
          <w:tcPr>
            <w:tcW w:w="12962" w:type="dxa"/>
            <w:gridSpan w:val="6"/>
            <w:shd w:val="clear" w:color="auto" w:fill="E2EFD9" w:themeFill="accent6" w:themeFillTint="33"/>
            <w:vAlign w:val="center"/>
          </w:tcPr>
          <w:p w14:paraId="71DDBB19" w14:textId="3E8A5AF6" w:rsidR="00FA5088" w:rsidRPr="00E92EA5" w:rsidRDefault="00FA5088" w:rsidP="00B47A80">
            <w:pPr>
              <w:pStyle w:val="Heading4"/>
            </w:pPr>
            <w:bookmarkStart w:id="377" w:name="_*NEW*_NIPRS_Validation"/>
            <w:bookmarkEnd w:id="377"/>
            <w:r w:rsidRPr="00DD1E1E">
              <w:rPr>
                <w:color w:val="auto"/>
              </w:rPr>
              <w:t>N</w:t>
            </w:r>
            <w:r w:rsidR="00E568E7">
              <w:rPr>
                <w:color w:val="auto"/>
              </w:rPr>
              <w:t>PI</w:t>
            </w:r>
            <w:r w:rsidRPr="00DD1E1E">
              <w:rPr>
                <w:color w:val="auto"/>
              </w:rPr>
              <w:t>RS Validation (non-RPMS; v. 11.0.44 and later)</w:t>
            </w:r>
            <w:r w:rsidR="00BB2D77">
              <w:tab/>
            </w:r>
            <w:hyperlink w:anchor="_Daily_Checklist" w:history="1">
              <w:r w:rsidRPr="00FF74B1">
                <w:rPr>
                  <w:rStyle w:val="Hyperlink"/>
                  <w:b w:val="0"/>
                  <w:bCs/>
                  <w:sz w:val="16"/>
                  <w:szCs w:val="18"/>
                </w:rPr>
                <w:t>Return to Daily Checklist</w:t>
              </w:r>
            </w:hyperlink>
          </w:p>
        </w:tc>
      </w:tr>
      <w:tr w:rsidR="00FA5088" w14:paraId="2289D5C0" w14:textId="77777777" w:rsidTr="00B47A80">
        <w:trPr>
          <w:cantSplit/>
          <w:trHeight w:val="428"/>
        </w:trPr>
        <w:tc>
          <w:tcPr>
            <w:tcW w:w="1699" w:type="dxa"/>
            <w:vAlign w:val="center"/>
          </w:tcPr>
          <w:p w14:paraId="079A8724" w14:textId="77777777" w:rsidR="00FA5088" w:rsidRPr="00D160F4" w:rsidRDefault="00FA5088" w:rsidP="00B47A80">
            <w:pPr>
              <w:pStyle w:val="TableText"/>
              <w:keepNext/>
              <w:keepLines/>
              <w:ind w:left="46"/>
              <w:jc w:val="center"/>
            </w:pPr>
            <w:r w:rsidRPr="00912847">
              <w:rPr>
                <w:b/>
                <w:bCs/>
              </w:rPr>
              <w:t>Suggested Report Filters</w:t>
            </w:r>
          </w:p>
        </w:tc>
        <w:tc>
          <w:tcPr>
            <w:tcW w:w="1353" w:type="dxa"/>
            <w:vAlign w:val="center"/>
          </w:tcPr>
          <w:p w14:paraId="4E3F22E1" w14:textId="77777777" w:rsidR="00FA5088" w:rsidRDefault="00FA5088" w:rsidP="00B47A80">
            <w:pPr>
              <w:pStyle w:val="TableText"/>
              <w:jc w:val="center"/>
            </w:pPr>
            <w:r w:rsidRPr="00912847">
              <w:rPr>
                <w:b/>
                <w:bCs/>
              </w:rPr>
              <w:t>Intent / Responsibility</w:t>
            </w:r>
          </w:p>
        </w:tc>
        <w:tc>
          <w:tcPr>
            <w:tcW w:w="2519" w:type="dxa"/>
            <w:vAlign w:val="center"/>
          </w:tcPr>
          <w:p w14:paraId="6729F16B" w14:textId="77777777" w:rsidR="00FA5088" w:rsidRPr="00837A86" w:rsidRDefault="00FA5088" w:rsidP="00B47A80">
            <w:pPr>
              <w:pStyle w:val="TableText"/>
              <w:jc w:val="center"/>
            </w:pPr>
            <w:r w:rsidRPr="00912847">
              <w:rPr>
                <w:b/>
                <w:bCs/>
              </w:rPr>
              <w:t>Objective</w:t>
            </w:r>
          </w:p>
        </w:tc>
        <w:tc>
          <w:tcPr>
            <w:tcW w:w="3330" w:type="dxa"/>
            <w:vAlign w:val="center"/>
          </w:tcPr>
          <w:p w14:paraId="4F1F9459" w14:textId="77777777" w:rsidR="00FA5088" w:rsidRPr="00837A86" w:rsidRDefault="00FA5088" w:rsidP="00B47A80">
            <w:pPr>
              <w:pStyle w:val="TableText"/>
              <w:keepNext/>
              <w:keepLines/>
              <w:jc w:val="center"/>
            </w:pPr>
            <w:r w:rsidRPr="00912847">
              <w:rPr>
                <w:b/>
                <w:bCs/>
              </w:rPr>
              <w:t>Dependencies and Possible Actions or Corrections Needed to Meet Objective</w:t>
            </w:r>
          </w:p>
        </w:tc>
        <w:tc>
          <w:tcPr>
            <w:tcW w:w="2431" w:type="dxa"/>
            <w:vAlign w:val="center"/>
          </w:tcPr>
          <w:p w14:paraId="098B0B8D" w14:textId="77777777" w:rsidR="00FA5088" w:rsidRPr="009A1DE7" w:rsidRDefault="00FA5088" w:rsidP="00B47A80">
            <w:pPr>
              <w:pStyle w:val="TableText"/>
              <w:jc w:val="center"/>
            </w:pPr>
            <w:r w:rsidRPr="00912847">
              <w:rPr>
                <w:b/>
                <w:bCs/>
              </w:rPr>
              <w:t>Warning</w:t>
            </w:r>
          </w:p>
          <w:p w14:paraId="3646E54F" w14:textId="77777777" w:rsidR="00FA5088" w:rsidRPr="00837A86" w:rsidRDefault="00FA5088" w:rsidP="00B47A80">
            <w:pPr>
              <w:pStyle w:val="TableText"/>
              <w:jc w:val="center"/>
            </w:pPr>
            <w:r w:rsidRPr="009A1DE7">
              <w:rPr>
                <w:i/>
                <w:iCs/>
              </w:rPr>
              <w:t>Not following the recommendations may yield the</w:t>
            </w:r>
            <w:r>
              <w:rPr>
                <w:i/>
                <w:iCs/>
              </w:rPr>
              <w:t>se</w:t>
            </w:r>
            <w:r w:rsidRPr="009A1DE7">
              <w:rPr>
                <w:i/>
                <w:iCs/>
              </w:rPr>
              <w:t xml:space="preserve"> unintended results.</w:t>
            </w:r>
          </w:p>
        </w:tc>
        <w:tc>
          <w:tcPr>
            <w:tcW w:w="1630" w:type="dxa"/>
            <w:vAlign w:val="center"/>
          </w:tcPr>
          <w:p w14:paraId="58D7CD4E" w14:textId="77777777" w:rsidR="00FA5088" w:rsidRPr="009A1DE7" w:rsidRDefault="00FA5088" w:rsidP="00B47A80">
            <w:pPr>
              <w:pStyle w:val="TableText"/>
              <w:jc w:val="center"/>
            </w:pPr>
            <w:r w:rsidRPr="00912847">
              <w:rPr>
                <w:b/>
                <w:bCs/>
              </w:rPr>
              <w:t>References</w:t>
            </w:r>
          </w:p>
          <w:p w14:paraId="69EC1FB8" w14:textId="77777777" w:rsidR="00FA5088" w:rsidRDefault="00FA5088" w:rsidP="00B47A80">
            <w:pPr>
              <w:pStyle w:val="TableText"/>
              <w:spacing w:after="0"/>
              <w:jc w:val="center"/>
            </w:pPr>
            <w:r w:rsidRPr="009A1DE7">
              <w:rPr>
                <w:i/>
                <w:iCs/>
              </w:rPr>
              <w:t>An asterisk (*) denotes an external resource.</w:t>
            </w:r>
          </w:p>
        </w:tc>
      </w:tr>
      <w:tr w:rsidR="00FA5088" w:rsidRPr="00EE4BD6" w14:paraId="28DE3087" w14:textId="77777777" w:rsidTr="00B47A80">
        <w:trPr>
          <w:cantSplit/>
          <w:trHeight w:val="428"/>
        </w:trPr>
        <w:tc>
          <w:tcPr>
            <w:tcW w:w="1699" w:type="dxa"/>
          </w:tcPr>
          <w:p w14:paraId="1CD9DC8D" w14:textId="7572FD02" w:rsidR="00FA5088" w:rsidRDefault="00FA5088" w:rsidP="00B47A80">
            <w:pPr>
              <w:pStyle w:val="TableText"/>
              <w:keepNext/>
              <w:keepLines/>
              <w:numPr>
                <w:ilvl w:val="0"/>
                <w:numId w:val="3"/>
              </w:numPr>
              <w:ind w:left="226" w:hanging="180"/>
            </w:pPr>
            <w:r>
              <w:t>Date Range: T</w:t>
            </w:r>
            <w:r w:rsidRPr="00837A86">
              <w:t>oday</w:t>
            </w:r>
          </w:p>
          <w:p w14:paraId="6CEED0BB" w14:textId="2C059277" w:rsidR="004769B7" w:rsidRPr="009A1DE7" w:rsidRDefault="00FA5088" w:rsidP="004769B7">
            <w:pPr>
              <w:pStyle w:val="TableText"/>
              <w:numPr>
                <w:ilvl w:val="0"/>
                <w:numId w:val="3"/>
              </w:numPr>
              <w:ind w:left="226" w:hanging="180"/>
            </w:pPr>
            <w:r w:rsidRPr="009A1DE7">
              <w:t xml:space="preserve">All </w:t>
            </w:r>
            <w:r w:rsidRPr="00837A86">
              <w:t>Clinic</w:t>
            </w:r>
            <w:r w:rsidR="004769B7">
              <w:t>s</w:t>
            </w:r>
          </w:p>
        </w:tc>
        <w:tc>
          <w:tcPr>
            <w:tcW w:w="1353" w:type="dxa"/>
          </w:tcPr>
          <w:p w14:paraId="20CA8907" w14:textId="14A768FA" w:rsidR="00FA5088" w:rsidRPr="009A1DE7" w:rsidRDefault="00FA5088" w:rsidP="00B47A80">
            <w:pPr>
              <w:pStyle w:val="TableText"/>
            </w:pPr>
            <w:r>
              <w:t>Front Desk Staff</w:t>
            </w:r>
          </w:p>
        </w:tc>
        <w:tc>
          <w:tcPr>
            <w:tcW w:w="2519" w:type="dxa"/>
          </w:tcPr>
          <w:p w14:paraId="14F78506" w14:textId="2F45143F" w:rsidR="00FA5088" w:rsidRPr="009A1DE7" w:rsidRDefault="004769B7" w:rsidP="00B47A80">
            <w:pPr>
              <w:pStyle w:val="TableText"/>
            </w:pPr>
            <w:r>
              <w:t>G</w:t>
            </w:r>
            <w:r w:rsidRPr="004769B7">
              <w:t>enerate encounter and registration files to store in the National Data Warehouse (NDW)</w:t>
            </w:r>
            <w:r w:rsidR="00FA5088" w:rsidRPr="000F3D09">
              <w:t>.</w:t>
            </w:r>
          </w:p>
        </w:tc>
        <w:tc>
          <w:tcPr>
            <w:tcW w:w="3330" w:type="dxa"/>
          </w:tcPr>
          <w:p w14:paraId="76B6E27C" w14:textId="47162590" w:rsidR="00FA5088" w:rsidRDefault="009F1CBF" w:rsidP="00B47A80">
            <w:pPr>
              <w:pStyle w:val="TableText"/>
              <w:keepNext/>
              <w:keepLines/>
            </w:pPr>
            <w:r>
              <w:t>Patient information, provider</w:t>
            </w:r>
            <w:r w:rsidR="00FA5088" w:rsidRPr="000F3D09">
              <w:t xml:space="preserve"> </w:t>
            </w:r>
            <w:r>
              <w:t xml:space="preserve">information, procedures, and IHS standard codes </w:t>
            </w:r>
            <w:r w:rsidR="00FA5088" w:rsidRPr="000F3D09">
              <w:t>must be entered.</w:t>
            </w:r>
            <w:r w:rsidR="00FA5088">
              <w:t xml:space="preserve"> </w:t>
            </w:r>
          </w:p>
          <w:p w14:paraId="70CC7771" w14:textId="77777777" w:rsidR="00FA5088" w:rsidRDefault="004769B7" w:rsidP="00B47A80">
            <w:pPr>
              <w:pStyle w:val="TableText"/>
              <w:numPr>
                <w:ilvl w:val="0"/>
                <w:numId w:val="2"/>
              </w:numPr>
              <w:ind w:left="232" w:hanging="180"/>
            </w:pPr>
            <w:r>
              <w:rPr>
                <w:u w:val="single"/>
              </w:rPr>
              <w:t>Family File</w:t>
            </w:r>
            <w:r w:rsidR="00FA5088" w:rsidRPr="009A1DE7">
              <w:t xml:space="preserve">: </w:t>
            </w:r>
            <w:r>
              <w:t>Enter personal, demographic, office</w:t>
            </w:r>
            <w:r w:rsidR="009F1CBF">
              <w:t>, and insurance</w:t>
            </w:r>
            <w:r>
              <w:t xml:space="preserve"> information.</w:t>
            </w:r>
          </w:p>
          <w:p w14:paraId="67974A72" w14:textId="77777777" w:rsidR="009F1CBF" w:rsidRDefault="009F1CBF" w:rsidP="00B47A80">
            <w:pPr>
              <w:pStyle w:val="TableText"/>
              <w:numPr>
                <w:ilvl w:val="0"/>
                <w:numId w:val="2"/>
              </w:numPr>
              <w:ind w:left="232" w:hanging="180"/>
            </w:pPr>
            <w:r>
              <w:rPr>
                <w:u w:val="single"/>
              </w:rPr>
              <w:t>Ledger</w:t>
            </w:r>
            <w:r>
              <w:t>: Enter procedures.</w:t>
            </w:r>
          </w:p>
          <w:p w14:paraId="611BAECC" w14:textId="399E7613" w:rsidR="009F1CBF" w:rsidRPr="009A1DE7" w:rsidRDefault="009F1CBF" w:rsidP="00B47A80">
            <w:pPr>
              <w:pStyle w:val="TableText"/>
              <w:numPr>
                <w:ilvl w:val="0"/>
                <w:numId w:val="2"/>
              </w:numPr>
              <w:ind w:left="232" w:hanging="180"/>
            </w:pPr>
            <w:r>
              <w:rPr>
                <w:u w:val="single"/>
              </w:rPr>
              <w:t>Office Manager</w:t>
            </w:r>
            <w:r>
              <w:t>: Enter provider information, and customize IHS standard codes.</w:t>
            </w:r>
          </w:p>
        </w:tc>
        <w:tc>
          <w:tcPr>
            <w:tcW w:w="2431" w:type="dxa"/>
          </w:tcPr>
          <w:p w14:paraId="7E0DBCC5" w14:textId="0B19D93E" w:rsidR="00FA5088" w:rsidRPr="00EF587A" w:rsidRDefault="009F1CBF" w:rsidP="00B47A80">
            <w:pPr>
              <w:pStyle w:val="TableText"/>
            </w:pPr>
            <w:r>
              <w:t xml:space="preserve">If the clinic does not routinely </w:t>
            </w:r>
            <w:r w:rsidR="00C01F1E">
              <w:t xml:space="preserve">extract data from Dentrix Enterprise to create </w:t>
            </w:r>
            <w:r>
              <w:t xml:space="preserve">files for the NPIRS, </w:t>
            </w:r>
            <w:r w:rsidR="00C01F1E">
              <w:t>up-to-date information is not available for reporting, data mining, and analysis to support patient care and management.</w:t>
            </w:r>
          </w:p>
        </w:tc>
        <w:tc>
          <w:tcPr>
            <w:tcW w:w="1630" w:type="dxa"/>
          </w:tcPr>
          <w:p w14:paraId="6C043C77" w14:textId="77777777" w:rsidR="00C01F1E" w:rsidRPr="009A1DE7" w:rsidRDefault="00C01F1E" w:rsidP="00C01F1E">
            <w:pPr>
              <w:pStyle w:val="TableText"/>
              <w:numPr>
                <w:ilvl w:val="0"/>
                <w:numId w:val="1"/>
              </w:numPr>
              <w:spacing w:after="0"/>
              <w:ind w:left="187" w:hanging="187"/>
            </w:pPr>
            <w:r w:rsidRPr="009A1DE7">
              <w:t>Patient Records</w:t>
            </w:r>
          </w:p>
          <w:p w14:paraId="700FCAA6" w14:textId="06204905" w:rsidR="00C01F1E" w:rsidRPr="00EF587A" w:rsidRDefault="00C01F1E" w:rsidP="00C01F1E">
            <w:pPr>
              <w:pStyle w:val="TableText"/>
              <w:numPr>
                <w:ilvl w:val="0"/>
                <w:numId w:val="1"/>
              </w:numPr>
              <w:spacing w:after="0"/>
              <w:ind w:left="187" w:hanging="187"/>
            </w:pPr>
            <w:r w:rsidRPr="009A1DE7">
              <w:t>Clinical Records</w:t>
            </w:r>
          </w:p>
        </w:tc>
      </w:tr>
    </w:tbl>
    <w:p w14:paraId="707D2816" w14:textId="77777777" w:rsidR="001A5C6B" w:rsidRDefault="001A5C6B">
      <w:pPr>
        <w:spacing w:after="0"/>
        <w:rPr>
          <w:rFonts w:eastAsiaTheme="majorEastAsia"/>
          <w:b/>
          <w:color w:val="000000" w:themeColor="text1"/>
          <w:sz w:val="36"/>
          <w:szCs w:val="36"/>
        </w:rPr>
      </w:pPr>
      <w:r>
        <w:br w:type="page"/>
      </w:r>
    </w:p>
    <w:p w14:paraId="5056D761" w14:textId="43FA32D7" w:rsidR="00E2543C" w:rsidRPr="00684112" w:rsidRDefault="00E2543C" w:rsidP="00E2543C">
      <w:pPr>
        <w:pStyle w:val="Heading2"/>
      </w:pPr>
      <w:bookmarkStart w:id="378" w:name="_Toc166834440"/>
      <w:r>
        <w:lastRenderedPageBreak/>
        <w:t>Weekly Clinic Closeout Dutie</w:t>
      </w:r>
      <w:r w:rsidRPr="00684112">
        <w:t>s</w:t>
      </w:r>
      <w:bookmarkEnd w:id="378"/>
    </w:p>
    <w:p w14:paraId="6FBA1224" w14:textId="02749F94" w:rsidR="00E2543C" w:rsidRDefault="00E2543C" w:rsidP="00E2543C">
      <w:r w:rsidRPr="000F3D09">
        <w:t xml:space="preserve">The Weekly </w:t>
      </w:r>
      <w:r w:rsidRPr="00912847">
        <w:t xml:space="preserve">Clinic Closeout Duties </w:t>
      </w:r>
      <w:r>
        <w:t>checklist</w:t>
      </w:r>
      <w:r w:rsidRPr="00912847">
        <w:t xml:space="preserve"> </w:t>
      </w:r>
      <w:r>
        <w:t xml:space="preserve">is </w:t>
      </w:r>
      <w:r w:rsidRPr="00912847">
        <w:t>a comprehensive list of</w:t>
      </w:r>
      <w:r w:rsidRPr="000F3D09">
        <w:t xml:space="preserve"> checks and balances to ensure the accuracy of this week's entries recorded within Dentrix Enterprise, allow </w:t>
      </w:r>
      <w:r>
        <w:t xml:space="preserve">the </w:t>
      </w:r>
      <w:r w:rsidRPr="000F3D09">
        <w:t>tracking and review</w:t>
      </w:r>
      <w:r>
        <w:t>ing</w:t>
      </w:r>
      <w:r w:rsidRPr="000F3D09">
        <w:t xml:space="preserve"> of internal key performance indicators and verify the completion of this week's insurance revenue processes, where applicable. </w:t>
      </w:r>
      <w:r>
        <w:t>Each table of the checklist provides details for performing a task. To complete the task’s objective, use the</w:t>
      </w:r>
      <w:r w:rsidRPr="00912847">
        <w:t xml:space="preserve"> suggested report filters</w:t>
      </w:r>
      <w:r>
        <w:t xml:space="preserve">, </w:t>
      </w:r>
      <w:r w:rsidRPr="00912847">
        <w:t>review</w:t>
      </w:r>
      <w:r>
        <w:t xml:space="preserve"> the report</w:t>
      </w:r>
      <w:r w:rsidRPr="00912847">
        <w:t xml:space="preserve">, </w:t>
      </w:r>
      <w:r>
        <w:t>be aware of any</w:t>
      </w:r>
      <w:r w:rsidRPr="00912847">
        <w:t xml:space="preserve"> dependencies</w:t>
      </w:r>
      <w:r>
        <w:t>, and take actions or make</w:t>
      </w:r>
      <w:r w:rsidRPr="00912847">
        <w:t xml:space="preserve"> corrections if</w:t>
      </w:r>
      <w:r>
        <w:t xml:space="preserve"> </w:t>
      </w:r>
      <w:r w:rsidRPr="00912847">
        <w:t>the report does not yield the expected result.</w:t>
      </w:r>
    </w:p>
    <w:tbl>
      <w:tblPr>
        <w:tblStyle w:val="TableGrid"/>
        <w:tblW w:w="13014" w:type="dxa"/>
        <w:tblInd w:w="-5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48"/>
        <w:gridCol w:w="65"/>
        <w:gridCol w:w="1286"/>
        <w:gridCol w:w="8"/>
        <w:gridCol w:w="2520"/>
        <w:gridCol w:w="3329"/>
        <w:gridCol w:w="8"/>
        <w:gridCol w:w="2431"/>
        <w:gridCol w:w="1619"/>
      </w:tblGrid>
      <w:tr w:rsidR="00C43224" w:rsidRPr="00EE4BD6" w14:paraId="3FFE5473" w14:textId="77777777" w:rsidTr="00DD1E1E">
        <w:trPr>
          <w:cantSplit/>
          <w:tblHeader/>
        </w:trPr>
        <w:tc>
          <w:tcPr>
            <w:tcW w:w="5000" w:type="pct"/>
            <w:gridSpan w:val="9"/>
            <w:shd w:val="clear" w:color="auto" w:fill="FBE4D5" w:themeFill="accent2" w:themeFillTint="33"/>
            <w:vAlign w:val="center"/>
          </w:tcPr>
          <w:p w14:paraId="0A61ED76" w14:textId="3834377A" w:rsidR="00C43224" w:rsidRPr="00912847" w:rsidRDefault="00C43224" w:rsidP="00C43224">
            <w:pPr>
              <w:pStyle w:val="Heading4"/>
            </w:pPr>
            <w:bookmarkStart w:id="379" w:name="_Oral_Health_Status"/>
            <w:bookmarkEnd w:id="379"/>
            <w:r w:rsidRPr="006E5910">
              <w:t>Oral Health Status Report</w:t>
            </w:r>
            <w:r w:rsidR="00BB2D77">
              <w:tab/>
            </w:r>
            <w:hyperlink w:anchor="_Weekly_Checklist" w:history="1">
              <w:r w:rsidR="00FF74B1" w:rsidRPr="00FF74B1">
                <w:rPr>
                  <w:rStyle w:val="Hyperlink"/>
                  <w:b w:val="0"/>
                  <w:bCs/>
                  <w:sz w:val="16"/>
                  <w:szCs w:val="18"/>
                </w:rPr>
                <w:t>Return to Weekly Checklist</w:t>
              </w:r>
            </w:hyperlink>
          </w:p>
        </w:tc>
      </w:tr>
      <w:tr w:rsidR="009C0DFB" w:rsidRPr="00EE4BD6" w14:paraId="07A2EA57" w14:textId="77777777" w:rsidTr="00DD1E1E">
        <w:trPr>
          <w:cantSplit/>
          <w:tblHeader/>
        </w:trPr>
        <w:tc>
          <w:tcPr>
            <w:tcW w:w="697" w:type="pct"/>
            <w:gridSpan w:val="2"/>
            <w:vAlign w:val="center"/>
          </w:tcPr>
          <w:p w14:paraId="22312F20" w14:textId="77777777" w:rsidR="00C43224" w:rsidRPr="00912847" w:rsidRDefault="00C43224" w:rsidP="009F357F">
            <w:pPr>
              <w:pStyle w:val="TableText"/>
              <w:jc w:val="center"/>
              <w:rPr>
                <w:b/>
                <w:bCs/>
              </w:rPr>
            </w:pPr>
            <w:r w:rsidRPr="00912847">
              <w:rPr>
                <w:b/>
                <w:bCs/>
              </w:rPr>
              <w:t>Suggested Report Filters</w:t>
            </w:r>
          </w:p>
        </w:tc>
        <w:tc>
          <w:tcPr>
            <w:tcW w:w="497" w:type="pct"/>
            <w:gridSpan w:val="2"/>
            <w:vAlign w:val="center"/>
          </w:tcPr>
          <w:p w14:paraId="53E9AAC0" w14:textId="77777777" w:rsidR="00C43224" w:rsidRPr="00912847" w:rsidRDefault="00C43224" w:rsidP="009F357F">
            <w:pPr>
              <w:pStyle w:val="TableText"/>
              <w:jc w:val="center"/>
              <w:rPr>
                <w:b/>
                <w:bCs/>
              </w:rPr>
            </w:pPr>
            <w:r w:rsidRPr="00912847">
              <w:rPr>
                <w:b/>
                <w:bCs/>
              </w:rPr>
              <w:t>Intent / Responsibility</w:t>
            </w:r>
          </w:p>
        </w:tc>
        <w:tc>
          <w:tcPr>
            <w:tcW w:w="968" w:type="pct"/>
            <w:vAlign w:val="center"/>
          </w:tcPr>
          <w:p w14:paraId="46487692" w14:textId="77777777" w:rsidR="00C43224" w:rsidRPr="00912847" w:rsidRDefault="00C43224" w:rsidP="009F357F">
            <w:pPr>
              <w:pStyle w:val="TableText"/>
              <w:jc w:val="center"/>
              <w:rPr>
                <w:b/>
                <w:bCs/>
              </w:rPr>
            </w:pPr>
            <w:r w:rsidRPr="00912847">
              <w:rPr>
                <w:b/>
                <w:bCs/>
              </w:rPr>
              <w:t>Objective</w:t>
            </w:r>
          </w:p>
        </w:tc>
        <w:tc>
          <w:tcPr>
            <w:tcW w:w="1282" w:type="pct"/>
            <w:gridSpan w:val="2"/>
            <w:vAlign w:val="center"/>
          </w:tcPr>
          <w:p w14:paraId="64F98B50" w14:textId="77777777" w:rsidR="00C43224" w:rsidRPr="00912847" w:rsidRDefault="00C43224" w:rsidP="009F357F">
            <w:pPr>
              <w:pStyle w:val="TableText"/>
              <w:jc w:val="center"/>
              <w:rPr>
                <w:b/>
                <w:bCs/>
              </w:rPr>
            </w:pPr>
            <w:r w:rsidRPr="00912847">
              <w:rPr>
                <w:b/>
                <w:bCs/>
              </w:rPr>
              <w:t>Dependencies and Possible Actions or Corrections Needed to Meet Objective</w:t>
            </w:r>
          </w:p>
        </w:tc>
        <w:tc>
          <w:tcPr>
            <w:tcW w:w="934" w:type="pct"/>
            <w:vAlign w:val="center"/>
          </w:tcPr>
          <w:p w14:paraId="546278D1" w14:textId="77777777" w:rsidR="00C43224" w:rsidRPr="009A1DE7" w:rsidRDefault="00C43224" w:rsidP="009F357F">
            <w:pPr>
              <w:pStyle w:val="TableText"/>
              <w:jc w:val="center"/>
            </w:pPr>
            <w:r w:rsidRPr="00912847">
              <w:rPr>
                <w:b/>
                <w:bCs/>
              </w:rPr>
              <w:t>Warning</w:t>
            </w:r>
          </w:p>
          <w:p w14:paraId="60C1D453" w14:textId="77777777" w:rsidR="00C43224" w:rsidRPr="009A1DE7" w:rsidRDefault="00C43224"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2" w:type="pct"/>
            <w:vAlign w:val="center"/>
          </w:tcPr>
          <w:p w14:paraId="06FB4B4C" w14:textId="77777777" w:rsidR="00C43224" w:rsidRPr="009A1DE7" w:rsidRDefault="00C43224" w:rsidP="009F357F">
            <w:pPr>
              <w:pStyle w:val="TableText"/>
              <w:jc w:val="center"/>
            </w:pPr>
            <w:r w:rsidRPr="00912847">
              <w:rPr>
                <w:b/>
                <w:bCs/>
              </w:rPr>
              <w:t>References</w:t>
            </w:r>
          </w:p>
          <w:p w14:paraId="71845F99" w14:textId="77777777" w:rsidR="00C43224" w:rsidRPr="009A1DE7" w:rsidRDefault="00C43224" w:rsidP="009F357F">
            <w:pPr>
              <w:pStyle w:val="TableText"/>
              <w:jc w:val="center"/>
            </w:pPr>
            <w:r w:rsidRPr="009A1DE7">
              <w:rPr>
                <w:i/>
                <w:iCs/>
              </w:rPr>
              <w:t>An asterisk (*) denotes an external resource.</w:t>
            </w:r>
          </w:p>
        </w:tc>
      </w:tr>
      <w:tr w:rsidR="009C0DFB" w:rsidRPr="00EE4BD6" w14:paraId="384513AA" w14:textId="77777777" w:rsidTr="00DD1E1E">
        <w:trPr>
          <w:cantSplit/>
          <w:trHeight w:val="428"/>
        </w:trPr>
        <w:tc>
          <w:tcPr>
            <w:tcW w:w="697" w:type="pct"/>
            <w:gridSpan w:val="2"/>
          </w:tcPr>
          <w:p w14:paraId="21D59249" w14:textId="77777777" w:rsidR="00C43224" w:rsidRPr="009A1DE7" w:rsidRDefault="00C43224" w:rsidP="009F357F">
            <w:pPr>
              <w:pStyle w:val="TableText"/>
              <w:numPr>
                <w:ilvl w:val="0"/>
                <w:numId w:val="3"/>
              </w:numPr>
              <w:ind w:left="226" w:hanging="180"/>
            </w:pPr>
            <w:r>
              <w:t>Date Range: Last week’s range</w:t>
            </w:r>
          </w:p>
        </w:tc>
        <w:tc>
          <w:tcPr>
            <w:tcW w:w="497" w:type="pct"/>
            <w:gridSpan w:val="2"/>
          </w:tcPr>
          <w:p w14:paraId="1959BA96" w14:textId="77777777" w:rsidR="00C43224" w:rsidRPr="009A1DE7" w:rsidRDefault="00C43224" w:rsidP="009F357F">
            <w:pPr>
              <w:pStyle w:val="TableText"/>
            </w:pPr>
            <w:r>
              <w:t>Dental Chief / CAC</w:t>
            </w:r>
          </w:p>
        </w:tc>
        <w:tc>
          <w:tcPr>
            <w:tcW w:w="968" w:type="pct"/>
          </w:tcPr>
          <w:p w14:paraId="2257CB95" w14:textId="77777777" w:rsidR="00C43224" w:rsidRPr="009A1DE7" w:rsidRDefault="00C43224" w:rsidP="009F357F">
            <w:pPr>
              <w:pStyle w:val="TableText"/>
            </w:pPr>
            <w:r>
              <w:t>Identify high-risk dental patients for contact and follow up.</w:t>
            </w:r>
          </w:p>
        </w:tc>
        <w:tc>
          <w:tcPr>
            <w:tcW w:w="1282" w:type="pct"/>
            <w:gridSpan w:val="2"/>
          </w:tcPr>
          <w:p w14:paraId="1D29EAB9" w14:textId="77777777" w:rsidR="00C43224" w:rsidRDefault="00C43224" w:rsidP="009F357F">
            <w:pPr>
              <w:pStyle w:val="TableText"/>
              <w:keepNext/>
              <w:keepLines/>
              <w:numPr>
                <w:ilvl w:val="0"/>
                <w:numId w:val="2"/>
              </w:numPr>
              <w:ind w:left="232" w:hanging="180"/>
            </w:pPr>
            <w:r>
              <w:t>OHS tool is routinely used in order to populate OHS Report data.</w:t>
            </w:r>
          </w:p>
          <w:p w14:paraId="6C1E7BA5" w14:textId="77777777" w:rsidR="00C43224" w:rsidRDefault="00C43224" w:rsidP="009F357F">
            <w:pPr>
              <w:pStyle w:val="TableText"/>
              <w:keepNext/>
              <w:keepLines/>
              <w:numPr>
                <w:ilvl w:val="0"/>
                <w:numId w:val="2"/>
              </w:numPr>
              <w:ind w:left="232" w:hanging="180"/>
            </w:pPr>
            <w:r>
              <w:t>Conduct chart audits for non-compliance.</w:t>
            </w:r>
          </w:p>
          <w:p w14:paraId="687A4ADF" w14:textId="77777777" w:rsidR="00C43224" w:rsidRPr="009A1DE7" w:rsidRDefault="00C43224" w:rsidP="009F357F">
            <w:pPr>
              <w:pStyle w:val="TableText"/>
              <w:numPr>
                <w:ilvl w:val="0"/>
                <w:numId w:val="2"/>
              </w:numPr>
              <w:ind w:left="232" w:hanging="180"/>
            </w:pPr>
            <w:r>
              <w:t>Re-educate on process for completion of OHS metrics.</w:t>
            </w:r>
          </w:p>
        </w:tc>
        <w:tc>
          <w:tcPr>
            <w:tcW w:w="934" w:type="pct"/>
          </w:tcPr>
          <w:p w14:paraId="36973670" w14:textId="77777777" w:rsidR="00C43224" w:rsidRPr="00EF587A" w:rsidRDefault="00C43224" w:rsidP="009F357F">
            <w:pPr>
              <w:pStyle w:val="TableText"/>
            </w:pPr>
            <w:r>
              <w:t>If</w:t>
            </w:r>
            <w:r w:rsidRPr="003F4C43">
              <w:t xml:space="preserve"> the OHS </w:t>
            </w:r>
            <w:r>
              <w:t>metrics</w:t>
            </w:r>
            <w:r w:rsidRPr="003F4C43">
              <w:t xml:space="preserve"> </w:t>
            </w:r>
            <w:r>
              <w:t xml:space="preserve">are not completed </w:t>
            </w:r>
            <w:r w:rsidRPr="003F4C43">
              <w:t>at patient visits</w:t>
            </w:r>
            <w:r>
              <w:t xml:space="preserve">, and </w:t>
            </w:r>
            <w:r w:rsidRPr="003F4C43">
              <w:t>subsequent reports</w:t>
            </w:r>
            <w:r>
              <w:t xml:space="preserve"> are not run</w:t>
            </w:r>
            <w:r w:rsidRPr="003F4C43">
              <w:t>,</w:t>
            </w:r>
            <w:r>
              <w:t xml:space="preserve"> you cannot effectively identify and follow up</w:t>
            </w:r>
            <w:r w:rsidRPr="003F4C43">
              <w:t xml:space="preserve"> </w:t>
            </w:r>
            <w:r>
              <w:t>with</w:t>
            </w:r>
            <w:r w:rsidRPr="003F4C43">
              <w:t xml:space="preserve"> high</w:t>
            </w:r>
            <w:r>
              <w:t>-</w:t>
            </w:r>
            <w:r w:rsidRPr="003F4C43">
              <w:t>risk patients.</w:t>
            </w:r>
          </w:p>
        </w:tc>
        <w:tc>
          <w:tcPr>
            <w:tcW w:w="622" w:type="pct"/>
          </w:tcPr>
          <w:p w14:paraId="62102FF7" w14:textId="77777777" w:rsidR="00C43224" w:rsidRPr="009A1DE7" w:rsidRDefault="00C43224" w:rsidP="009F357F">
            <w:pPr>
              <w:pStyle w:val="TableText"/>
              <w:numPr>
                <w:ilvl w:val="0"/>
                <w:numId w:val="1"/>
              </w:numPr>
              <w:spacing w:after="0"/>
              <w:ind w:left="187" w:hanging="187"/>
            </w:pPr>
            <w:r w:rsidRPr="009A1DE7">
              <w:t>Clinical Records</w:t>
            </w:r>
          </w:p>
          <w:p w14:paraId="220D094C" w14:textId="77777777" w:rsidR="00C43224" w:rsidRPr="009A1DE7" w:rsidRDefault="00C43224" w:rsidP="009F357F">
            <w:pPr>
              <w:pStyle w:val="TableText"/>
              <w:numPr>
                <w:ilvl w:val="0"/>
                <w:numId w:val="1"/>
              </w:numPr>
              <w:spacing w:after="0"/>
              <w:ind w:left="187" w:hanging="187"/>
            </w:pPr>
            <w:r w:rsidRPr="009A1DE7">
              <w:t>Patient Records</w:t>
            </w:r>
          </w:p>
          <w:p w14:paraId="692A7808" w14:textId="77777777" w:rsidR="00C43224" w:rsidRPr="00EF587A" w:rsidRDefault="00C43224" w:rsidP="009F357F">
            <w:pPr>
              <w:pStyle w:val="TableText"/>
              <w:numPr>
                <w:ilvl w:val="0"/>
                <w:numId w:val="1"/>
              </w:numPr>
              <w:spacing w:after="0"/>
              <w:ind w:left="187" w:hanging="187"/>
            </w:pPr>
            <w:r w:rsidRPr="009A1DE7">
              <w:t>Reports Reference*</w:t>
            </w:r>
          </w:p>
        </w:tc>
      </w:tr>
      <w:tr w:rsidR="00DD1E1E" w:rsidRPr="00E92EA5" w14:paraId="343AFAE4" w14:textId="77777777" w:rsidTr="00DD1E1E">
        <w:trPr>
          <w:cantSplit/>
          <w:trHeight w:val="428"/>
        </w:trPr>
        <w:tc>
          <w:tcPr>
            <w:tcW w:w="5000" w:type="pct"/>
            <w:gridSpan w:val="9"/>
            <w:shd w:val="clear" w:color="auto" w:fill="FBE4D5" w:themeFill="accent2" w:themeFillTint="33"/>
            <w:vAlign w:val="center"/>
          </w:tcPr>
          <w:p w14:paraId="1E7972EF" w14:textId="5DE55B56" w:rsidR="00DD1E1E" w:rsidRPr="00E92EA5" w:rsidRDefault="00DD1E1E" w:rsidP="00B47A80">
            <w:pPr>
              <w:pStyle w:val="Heading4"/>
            </w:pPr>
            <w:bookmarkStart w:id="380" w:name="_NIPRS_Validation_(non-RPMS;"/>
            <w:bookmarkEnd w:id="380"/>
            <w:r w:rsidRPr="00DD1E1E">
              <w:rPr>
                <w:color w:val="auto"/>
              </w:rPr>
              <w:t>N</w:t>
            </w:r>
            <w:r w:rsidR="0082353A">
              <w:rPr>
                <w:color w:val="auto"/>
              </w:rPr>
              <w:t>PI</w:t>
            </w:r>
            <w:r w:rsidRPr="00DD1E1E">
              <w:rPr>
                <w:color w:val="auto"/>
              </w:rPr>
              <w:t>RS Validation (non-RPMS; v. 11.0.44 and later)</w:t>
            </w:r>
            <w:r w:rsidR="00BB2D77">
              <w:rPr>
                <w:color w:val="auto"/>
              </w:rPr>
              <w:tab/>
            </w:r>
            <w:hyperlink w:anchor="_Weekly_Checklist" w:history="1">
              <w:r w:rsidRPr="00FF74B1">
                <w:rPr>
                  <w:rStyle w:val="Hyperlink"/>
                  <w:b w:val="0"/>
                  <w:bCs/>
                  <w:sz w:val="16"/>
                  <w:szCs w:val="18"/>
                </w:rPr>
                <w:t>Return to Weekly Checklist</w:t>
              </w:r>
            </w:hyperlink>
          </w:p>
        </w:tc>
      </w:tr>
      <w:tr w:rsidR="00DD1E1E" w14:paraId="5748388C" w14:textId="77777777" w:rsidTr="00DD1E1E">
        <w:trPr>
          <w:cantSplit/>
          <w:trHeight w:val="428"/>
        </w:trPr>
        <w:tc>
          <w:tcPr>
            <w:tcW w:w="672" w:type="pct"/>
            <w:vAlign w:val="center"/>
          </w:tcPr>
          <w:p w14:paraId="55B7BBEB" w14:textId="77777777" w:rsidR="00DD1E1E" w:rsidRPr="00D160F4" w:rsidRDefault="00DD1E1E" w:rsidP="00B47A80">
            <w:pPr>
              <w:pStyle w:val="TableText"/>
              <w:keepNext/>
              <w:keepLines/>
              <w:ind w:left="46"/>
              <w:jc w:val="center"/>
            </w:pPr>
            <w:r w:rsidRPr="00912847">
              <w:rPr>
                <w:b/>
                <w:bCs/>
              </w:rPr>
              <w:t>Suggested Report Filters</w:t>
            </w:r>
          </w:p>
        </w:tc>
        <w:tc>
          <w:tcPr>
            <w:tcW w:w="519" w:type="pct"/>
            <w:gridSpan w:val="2"/>
            <w:vAlign w:val="center"/>
          </w:tcPr>
          <w:p w14:paraId="04B0FDF7" w14:textId="77777777" w:rsidR="00DD1E1E" w:rsidRDefault="00DD1E1E" w:rsidP="00B47A80">
            <w:pPr>
              <w:pStyle w:val="TableText"/>
              <w:jc w:val="center"/>
            </w:pPr>
            <w:r w:rsidRPr="00912847">
              <w:rPr>
                <w:b/>
                <w:bCs/>
              </w:rPr>
              <w:t>Intent / Responsibility</w:t>
            </w:r>
          </w:p>
        </w:tc>
        <w:tc>
          <w:tcPr>
            <w:tcW w:w="971" w:type="pct"/>
            <w:gridSpan w:val="2"/>
            <w:vAlign w:val="center"/>
          </w:tcPr>
          <w:p w14:paraId="150BAD2C" w14:textId="77777777" w:rsidR="00DD1E1E" w:rsidRPr="00837A86" w:rsidRDefault="00DD1E1E" w:rsidP="00B47A80">
            <w:pPr>
              <w:pStyle w:val="TableText"/>
              <w:jc w:val="center"/>
            </w:pPr>
            <w:r w:rsidRPr="00912847">
              <w:rPr>
                <w:b/>
                <w:bCs/>
              </w:rPr>
              <w:t>Objective</w:t>
            </w:r>
          </w:p>
        </w:tc>
        <w:tc>
          <w:tcPr>
            <w:tcW w:w="1279" w:type="pct"/>
            <w:vAlign w:val="center"/>
          </w:tcPr>
          <w:p w14:paraId="7BFF2C8D" w14:textId="77777777" w:rsidR="00DD1E1E" w:rsidRPr="00837A86" w:rsidRDefault="00DD1E1E" w:rsidP="00B47A80">
            <w:pPr>
              <w:pStyle w:val="TableText"/>
              <w:keepNext/>
              <w:keepLines/>
              <w:jc w:val="center"/>
            </w:pPr>
            <w:r w:rsidRPr="00912847">
              <w:rPr>
                <w:b/>
                <w:bCs/>
              </w:rPr>
              <w:t>Dependencies and Possible Actions or Corrections Needed to Meet Objective</w:t>
            </w:r>
          </w:p>
        </w:tc>
        <w:tc>
          <w:tcPr>
            <w:tcW w:w="937" w:type="pct"/>
            <w:gridSpan w:val="2"/>
            <w:vAlign w:val="center"/>
          </w:tcPr>
          <w:p w14:paraId="075D0693" w14:textId="77777777" w:rsidR="00DD1E1E" w:rsidRPr="009A1DE7" w:rsidRDefault="00DD1E1E" w:rsidP="00B47A80">
            <w:pPr>
              <w:pStyle w:val="TableText"/>
              <w:jc w:val="center"/>
            </w:pPr>
            <w:r w:rsidRPr="00912847">
              <w:rPr>
                <w:b/>
                <w:bCs/>
              </w:rPr>
              <w:t>Warning</w:t>
            </w:r>
          </w:p>
          <w:p w14:paraId="16D1F7DE" w14:textId="77777777" w:rsidR="00DD1E1E" w:rsidRPr="00837A86" w:rsidRDefault="00DD1E1E" w:rsidP="00B47A80">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2" w:type="pct"/>
            <w:vAlign w:val="center"/>
          </w:tcPr>
          <w:p w14:paraId="101EB78C" w14:textId="77777777" w:rsidR="00DD1E1E" w:rsidRPr="009A1DE7" w:rsidRDefault="00DD1E1E" w:rsidP="00B47A80">
            <w:pPr>
              <w:pStyle w:val="TableText"/>
              <w:jc w:val="center"/>
            </w:pPr>
            <w:r w:rsidRPr="00912847">
              <w:rPr>
                <w:b/>
                <w:bCs/>
              </w:rPr>
              <w:t>References</w:t>
            </w:r>
          </w:p>
          <w:p w14:paraId="05743CAC" w14:textId="77777777" w:rsidR="00DD1E1E" w:rsidRDefault="00DD1E1E" w:rsidP="00B47A80">
            <w:pPr>
              <w:pStyle w:val="TableText"/>
              <w:spacing w:after="0"/>
              <w:jc w:val="center"/>
            </w:pPr>
            <w:r w:rsidRPr="009A1DE7">
              <w:rPr>
                <w:i/>
                <w:iCs/>
              </w:rPr>
              <w:t>An asterisk (*) denotes an external resource.</w:t>
            </w:r>
          </w:p>
        </w:tc>
      </w:tr>
      <w:tr w:rsidR="00DD1E1E" w:rsidRPr="00EF587A" w14:paraId="7ACEDAA3" w14:textId="77777777" w:rsidTr="00DD1E1E">
        <w:trPr>
          <w:cantSplit/>
          <w:trHeight w:val="428"/>
        </w:trPr>
        <w:tc>
          <w:tcPr>
            <w:tcW w:w="672" w:type="pct"/>
          </w:tcPr>
          <w:p w14:paraId="08AE3731" w14:textId="2257E2F0" w:rsidR="00DD1E1E" w:rsidRDefault="00DD1E1E" w:rsidP="00B47A80">
            <w:pPr>
              <w:pStyle w:val="TableText"/>
              <w:keepNext/>
              <w:keepLines/>
              <w:numPr>
                <w:ilvl w:val="0"/>
                <w:numId w:val="3"/>
              </w:numPr>
              <w:ind w:left="226" w:hanging="180"/>
            </w:pPr>
            <w:r>
              <w:t xml:space="preserve">Date Range: </w:t>
            </w:r>
            <w:r w:rsidR="00BB2D77">
              <w:t>Last week’s range</w:t>
            </w:r>
          </w:p>
          <w:p w14:paraId="1E880E99" w14:textId="77777777" w:rsidR="00DD1E1E" w:rsidRPr="009A1DE7" w:rsidRDefault="00DD1E1E" w:rsidP="00B47A80">
            <w:pPr>
              <w:pStyle w:val="TableText"/>
              <w:numPr>
                <w:ilvl w:val="0"/>
                <w:numId w:val="3"/>
              </w:numPr>
              <w:ind w:left="226" w:hanging="180"/>
            </w:pPr>
            <w:r w:rsidRPr="009A1DE7">
              <w:t xml:space="preserve">All </w:t>
            </w:r>
            <w:r w:rsidRPr="00837A86">
              <w:t>Clinic</w:t>
            </w:r>
            <w:r>
              <w:t>s</w:t>
            </w:r>
          </w:p>
        </w:tc>
        <w:tc>
          <w:tcPr>
            <w:tcW w:w="519" w:type="pct"/>
            <w:gridSpan w:val="2"/>
          </w:tcPr>
          <w:p w14:paraId="64A4B51C" w14:textId="77777777" w:rsidR="00DD1E1E" w:rsidRPr="009A1DE7" w:rsidRDefault="00DD1E1E" w:rsidP="00B47A80">
            <w:pPr>
              <w:pStyle w:val="TableText"/>
            </w:pPr>
            <w:r>
              <w:t>Front Desk Staff</w:t>
            </w:r>
          </w:p>
        </w:tc>
        <w:tc>
          <w:tcPr>
            <w:tcW w:w="971" w:type="pct"/>
            <w:gridSpan w:val="2"/>
          </w:tcPr>
          <w:p w14:paraId="1DC4CF7C" w14:textId="77777777" w:rsidR="00DD1E1E" w:rsidRPr="009A1DE7" w:rsidRDefault="00DD1E1E" w:rsidP="00B47A80">
            <w:pPr>
              <w:pStyle w:val="TableText"/>
            </w:pPr>
            <w:r>
              <w:t>G</w:t>
            </w:r>
            <w:r w:rsidRPr="004769B7">
              <w:t>enerate encounter and registration files to store in the National Data Warehouse (NDW)</w:t>
            </w:r>
            <w:r w:rsidRPr="000F3D09">
              <w:t>.</w:t>
            </w:r>
          </w:p>
        </w:tc>
        <w:tc>
          <w:tcPr>
            <w:tcW w:w="1279" w:type="pct"/>
          </w:tcPr>
          <w:p w14:paraId="2258997F" w14:textId="77777777" w:rsidR="00DD1E1E" w:rsidRDefault="00DD1E1E" w:rsidP="00B47A80">
            <w:pPr>
              <w:pStyle w:val="TableText"/>
              <w:keepNext/>
              <w:keepLines/>
            </w:pPr>
            <w:r>
              <w:t>Patient information, provider</w:t>
            </w:r>
            <w:r w:rsidRPr="000F3D09">
              <w:t xml:space="preserve"> </w:t>
            </w:r>
            <w:r>
              <w:t xml:space="preserve">information, procedures, and IHS standard codes </w:t>
            </w:r>
            <w:r w:rsidRPr="000F3D09">
              <w:t>must be entered.</w:t>
            </w:r>
            <w:r>
              <w:t xml:space="preserve"> </w:t>
            </w:r>
          </w:p>
          <w:p w14:paraId="3C05619F" w14:textId="77777777" w:rsidR="00DD1E1E" w:rsidRDefault="00DD1E1E" w:rsidP="00B47A80">
            <w:pPr>
              <w:pStyle w:val="TableText"/>
              <w:numPr>
                <w:ilvl w:val="0"/>
                <w:numId w:val="2"/>
              </w:numPr>
              <w:ind w:left="232" w:hanging="180"/>
            </w:pPr>
            <w:r>
              <w:rPr>
                <w:u w:val="single"/>
              </w:rPr>
              <w:t>Family File</w:t>
            </w:r>
            <w:r w:rsidRPr="009A1DE7">
              <w:t xml:space="preserve">: </w:t>
            </w:r>
            <w:r>
              <w:t>Enter personal, demographic, office, and insurance information.</w:t>
            </w:r>
          </w:p>
          <w:p w14:paraId="357EEB5A" w14:textId="77777777" w:rsidR="00DD1E1E" w:rsidRDefault="00DD1E1E" w:rsidP="00B47A80">
            <w:pPr>
              <w:pStyle w:val="TableText"/>
              <w:numPr>
                <w:ilvl w:val="0"/>
                <w:numId w:val="2"/>
              </w:numPr>
              <w:ind w:left="232" w:hanging="180"/>
            </w:pPr>
            <w:r>
              <w:rPr>
                <w:u w:val="single"/>
              </w:rPr>
              <w:t>Ledger</w:t>
            </w:r>
            <w:r>
              <w:t>: Enter procedures.</w:t>
            </w:r>
          </w:p>
          <w:p w14:paraId="6117A652" w14:textId="77777777" w:rsidR="00DD1E1E" w:rsidRPr="009A1DE7" w:rsidRDefault="00DD1E1E" w:rsidP="00B47A80">
            <w:pPr>
              <w:pStyle w:val="TableText"/>
              <w:numPr>
                <w:ilvl w:val="0"/>
                <w:numId w:val="2"/>
              </w:numPr>
              <w:ind w:left="232" w:hanging="180"/>
            </w:pPr>
            <w:r>
              <w:rPr>
                <w:u w:val="single"/>
              </w:rPr>
              <w:t>Office Manager</w:t>
            </w:r>
            <w:r>
              <w:t>: Enter provider information, and customize IHS standard codes.</w:t>
            </w:r>
          </w:p>
        </w:tc>
        <w:tc>
          <w:tcPr>
            <w:tcW w:w="937" w:type="pct"/>
            <w:gridSpan w:val="2"/>
          </w:tcPr>
          <w:p w14:paraId="635494B1" w14:textId="77777777" w:rsidR="00DD1E1E" w:rsidRPr="00EF587A" w:rsidRDefault="00DD1E1E" w:rsidP="00B47A80">
            <w:pPr>
              <w:pStyle w:val="TableText"/>
            </w:pPr>
            <w:r>
              <w:t>If the clinic does not routinely extract data from Dentrix Enterprise to create files for the NPIRS, up-to-date information is not available for reporting, data mining, and analysis to support patient care and management.</w:t>
            </w:r>
          </w:p>
        </w:tc>
        <w:tc>
          <w:tcPr>
            <w:tcW w:w="622" w:type="pct"/>
          </w:tcPr>
          <w:p w14:paraId="3ED942A3" w14:textId="77777777" w:rsidR="00DD1E1E" w:rsidRPr="009A1DE7" w:rsidRDefault="00DD1E1E" w:rsidP="00B47A80">
            <w:pPr>
              <w:pStyle w:val="TableText"/>
              <w:numPr>
                <w:ilvl w:val="0"/>
                <w:numId w:val="1"/>
              </w:numPr>
              <w:spacing w:after="0"/>
              <w:ind w:left="187" w:hanging="187"/>
            </w:pPr>
            <w:r w:rsidRPr="009A1DE7">
              <w:t>Patient Records</w:t>
            </w:r>
          </w:p>
          <w:p w14:paraId="2FDE361E" w14:textId="77777777" w:rsidR="00DD1E1E" w:rsidRPr="00EF587A" w:rsidRDefault="00DD1E1E" w:rsidP="00B47A80">
            <w:pPr>
              <w:pStyle w:val="TableText"/>
              <w:numPr>
                <w:ilvl w:val="0"/>
                <w:numId w:val="1"/>
              </w:numPr>
              <w:spacing w:after="0"/>
              <w:ind w:left="187" w:hanging="187"/>
            </w:pPr>
            <w:r w:rsidRPr="009A1DE7">
              <w:t>Clinical Records</w:t>
            </w:r>
          </w:p>
        </w:tc>
      </w:tr>
    </w:tbl>
    <w:p w14:paraId="2D6887AE" w14:textId="77777777" w:rsidR="009C0DFB" w:rsidRDefault="009C0DFB">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63"/>
        <w:gridCol w:w="1296"/>
        <w:gridCol w:w="2520"/>
        <w:gridCol w:w="3336"/>
        <w:gridCol w:w="2431"/>
        <w:gridCol w:w="1615"/>
      </w:tblGrid>
      <w:tr w:rsidR="005E3840" w:rsidRPr="00EE4BD6" w14:paraId="3FC564DF" w14:textId="77777777" w:rsidTr="009C0DFB">
        <w:trPr>
          <w:cantSplit/>
          <w:trHeight w:val="428"/>
        </w:trPr>
        <w:tc>
          <w:tcPr>
            <w:tcW w:w="5000" w:type="pct"/>
            <w:gridSpan w:val="6"/>
            <w:shd w:val="clear" w:color="auto" w:fill="FBE4D5" w:themeFill="accent2" w:themeFillTint="33"/>
            <w:vAlign w:val="center"/>
          </w:tcPr>
          <w:p w14:paraId="6531D002" w14:textId="559DEBA1" w:rsidR="005E3840" w:rsidRPr="009A1DE7" w:rsidRDefault="005E3840" w:rsidP="00FC1244">
            <w:pPr>
              <w:pStyle w:val="Heading4"/>
            </w:pPr>
            <w:bookmarkStart w:id="381" w:name="_Signature_Manager_1"/>
            <w:bookmarkEnd w:id="381"/>
            <w:r w:rsidRPr="00D86EA6">
              <w:lastRenderedPageBreak/>
              <w:t>Signature Manager</w:t>
            </w:r>
            <w:r w:rsidR="00BB2D77">
              <w:tab/>
            </w:r>
            <w:hyperlink w:anchor="_Weekly_Checklist" w:history="1">
              <w:r w:rsidR="00FF74B1" w:rsidRPr="00FF74B1">
                <w:rPr>
                  <w:rStyle w:val="Hyperlink"/>
                  <w:b w:val="0"/>
                  <w:bCs/>
                  <w:sz w:val="16"/>
                  <w:szCs w:val="18"/>
                </w:rPr>
                <w:t>Return to Weekly Checklist</w:t>
              </w:r>
            </w:hyperlink>
          </w:p>
        </w:tc>
      </w:tr>
      <w:tr w:rsidR="009C0DFB" w:rsidRPr="009A1DE7" w14:paraId="181F850E" w14:textId="77777777" w:rsidTr="009C0DFB">
        <w:trPr>
          <w:cantSplit/>
          <w:tblHeader/>
        </w:trPr>
        <w:tc>
          <w:tcPr>
            <w:tcW w:w="680" w:type="pct"/>
            <w:vAlign w:val="center"/>
          </w:tcPr>
          <w:p w14:paraId="460709E8" w14:textId="77777777" w:rsidR="005E3840" w:rsidRPr="00912847" w:rsidRDefault="005E3840" w:rsidP="009F357F">
            <w:pPr>
              <w:pStyle w:val="TableText"/>
              <w:jc w:val="center"/>
              <w:rPr>
                <w:b/>
                <w:bCs/>
              </w:rPr>
            </w:pPr>
            <w:r w:rsidRPr="00912847">
              <w:rPr>
                <w:b/>
                <w:bCs/>
              </w:rPr>
              <w:t>Suggested Report Filters</w:t>
            </w:r>
          </w:p>
        </w:tc>
        <w:tc>
          <w:tcPr>
            <w:tcW w:w="500" w:type="pct"/>
            <w:vAlign w:val="center"/>
          </w:tcPr>
          <w:p w14:paraId="1713D20A" w14:textId="77777777" w:rsidR="005E3840" w:rsidRPr="00912847" w:rsidRDefault="005E3840" w:rsidP="009F357F">
            <w:pPr>
              <w:pStyle w:val="TableText"/>
              <w:jc w:val="center"/>
              <w:rPr>
                <w:b/>
                <w:bCs/>
              </w:rPr>
            </w:pPr>
            <w:r w:rsidRPr="00912847">
              <w:rPr>
                <w:b/>
                <w:bCs/>
              </w:rPr>
              <w:t>Intent / Responsibility</w:t>
            </w:r>
          </w:p>
        </w:tc>
        <w:tc>
          <w:tcPr>
            <w:tcW w:w="972" w:type="pct"/>
            <w:vAlign w:val="center"/>
          </w:tcPr>
          <w:p w14:paraId="6E6D8B6B" w14:textId="77777777" w:rsidR="005E3840" w:rsidRPr="00912847" w:rsidRDefault="005E3840" w:rsidP="009F357F">
            <w:pPr>
              <w:pStyle w:val="TableText"/>
              <w:jc w:val="center"/>
              <w:rPr>
                <w:b/>
                <w:bCs/>
              </w:rPr>
            </w:pPr>
            <w:r w:rsidRPr="00912847">
              <w:rPr>
                <w:b/>
                <w:bCs/>
              </w:rPr>
              <w:t>Objective</w:t>
            </w:r>
          </w:p>
        </w:tc>
        <w:tc>
          <w:tcPr>
            <w:tcW w:w="1287" w:type="pct"/>
            <w:vAlign w:val="center"/>
          </w:tcPr>
          <w:p w14:paraId="7B8A7424" w14:textId="77777777" w:rsidR="005E3840" w:rsidRPr="00912847" w:rsidRDefault="005E3840" w:rsidP="009F357F">
            <w:pPr>
              <w:pStyle w:val="TableText"/>
              <w:jc w:val="center"/>
              <w:rPr>
                <w:b/>
                <w:bCs/>
              </w:rPr>
            </w:pPr>
            <w:r w:rsidRPr="00912847">
              <w:rPr>
                <w:b/>
                <w:bCs/>
              </w:rPr>
              <w:t>Dependencies and Possible Actions or Corrections Needed to Meet Objective</w:t>
            </w:r>
          </w:p>
        </w:tc>
        <w:tc>
          <w:tcPr>
            <w:tcW w:w="938" w:type="pct"/>
            <w:vAlign w:val="center"/>
          </w:tcPr>
          <w:p w14:paraId="0996750E" w14:textId="77777777" w:rsidR="005E3840" w:rsidRPr="009A1DE7" w:rsidRDefault="005E3840" w:rsidP="009F357F">
            <w:pPr>
              <w:pStyle w:val="TableText"/>
              <w:jc w:val="center"/>
            </w:pPr>
            <w:r w:rsidRPr="00912847">
              <w:rPr>
                <w:b/>
                <w:bCs/>
              </w:rPr>
              <w:t>Warning</w:t>
            </w:r>
          </w:p>
          <w:p w14:paraId="6C1543D2" w14:textId="77777777" w:rsidR="005E3840" w:rsidRPr="009A1DE7" w:rsidRDefault="005E3840"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4" w:type="pct"/>
            <w:vAlign w:val="center"/>
          </w:tcPr>
          <w:p w14:paraId="06D7AFCD" w14:textId="77777777" w:rsidR="005E3840" w:rsidRPr="009A1DE7" w:rsidRDefault="005E3840" w:rsidP="009F357F">
            <w:pPr>
              <w:pStyle w:val="TableText"/>
              <w:jc w:val="center"/>
            </w:pPr>
            <w:r w:rsidRPr="00912847">
              <w:rPr>
                <w:b/>
                <w:bCs/>
              </w:rPr>
              <w:t>References</w:t>
            </w:r>
          </w:p>
          <w:p w14:paraId="1B7FFD27" w14:textId="77777777" w:rsidR="005E3840" w:rsidRPr="009A1DE7" w:rsidRDefault="005E3840" w:rsidP="009F357F">
            <w:pPr>
              <w:pStyle w:val="TableText"/>
              <w:jc w:val="center"/>
            </w:pPr>
            <w:r w:rsidRPr="009A1DE7">
              <w:rPr>
                <w:i/>
                <w:iCs/>
              </w:rPr>
              <w:t>An asterisk (*) denotes an external resource.</w:t>
            </w:r>
          </w:p>
        </w:tc>
      </w:tr>
      <w:tr w:rsidR="005E3840" w:rsidRPr="00EE4BD6" w14:paraId="39D5DB7D" w14:textId="77777777" w:rsidTr="009C0DFB">
        <w:trPr>
          <w:cantSplit/>
          <w:trHeight w:val="428"/>
        </w:trPr>
        <w:tc>
          <w:tcPr>
            <w:tcW w:w="680" w:type="pct"/>
          </w:tcPr>
          <w:p w14:paraId="0A7C05A4" w14:textId="77777777" w:rsidR="00A93E2E" w:rsidRDefault="00A93E2E" w:rsidP="00A93E2E">
            <w:pPr>
              <w:pStyle w:val="TableText"/>
              <w:keepNext/>
              <w:keepLines/>
              <w:numPr>
                <w:ilvl w:val="0"/>
                <w:numId w:val="3"/>
              </w:numPr>
              <w:ind w:left="226" w:hanging="180"/>
            </w:pPr>
            <w:r>
              <w:t>Date Range: Last week’s date to current</w:t>
            </w:r>
          </w:p>
          <w:p w14:paraId="44AD99C1" w14:textId="52F1094B" w:rsidR="005E3840" w:rsidRPr="009A1DE7" w:rsidRDefault="00A93E2E" w:rsidP="00A93E2E">
            <w:pPr>
              <w:pStyle w:val="TableText"/>
              <w:numPr>
                <w:ilvl w:val="0"/>
                <w:numId w:val="3"/>
              </w:numPr>
              <w:ind w:left="226" w:hanging="180"/>
            </w:pPr>
            <w:r>
              <w:t>Providers and Clinics as needed</w:t>
            </w:r>
          </w:p>
        </w:tc>
        <w:tc>
          <w:tcPr>
            <w:tcW w:w="500" w:type="pct"/>
          </w:tcPr>
          <w:p w14:paraId="52F04CB7" w14:textId="77777777" w:rsidR="005E3840" w:rsidRPr="009A1DE7" w:rsidRDefault="005E3840" w:rsidP="009F357F">
            <w:pPr>
              <w:pStyle w:val="TableText"/>
            </w:pPr>
            <w:r w:rsidRPr="00445990">
              <w:t>Dental Chief</w:t>
            </w:r>
            <w:r>
              <w:t xml:space="preserve"> </w:t>
            </w:r>
            <w:r w:rsidRPr="00445990">
              <w:t>/</w:t>
            </w:r>
            <w:r>
              <w:t xml:space="preserve"> </w:t>
            </w:r>
            <w:r w:rsidRPr="00445990">
              <w:t>Individual Provider</w:t>
            </w:r>
          </w:p>
        </w:tc>
        <w:tc>
          <w:tcPr>
            <w:tcW w:w="972" w:type="pct"/>
          </w:tcPr>
          <w:p w14:paraId="67BBECE2" w14:textId="77777777" w:rsidR="005E3840" w:rsidRPr="009A1DE7" w:rsidRDefault="005E3840" w:rsidP="009F357F">
            <w:pPr>
              <w:pStyle w:val="TableText"/>
            </w:pPr>
            <w:r w:rsidRPr="00837A86">
              <w:t xml:space="preserve">Review and approve (sign) all open </w:t>
            </w:r>
            <w:r>
              <w:t>c</w:t>
            </w:r>
            <w:r w:rsidRPr="00837A86">
              <w:t xml:space="preserve">linical </w:t>
            </w:r>
            <w:r>
              <w:t>n</w:t>
            </w:r>
            <w:r w:rsidRPr="00837A86">
              <w:t>otes</w:t>
            </w:r>
            <w:r w:rsidRPr="00D160F4">
              <w:t>.</w:t>
            </w:r>
          </w:p>
        </w:tc>
        <w:tc>
          <w:tcPr>
            <w:tcW w:w="1287" w:type="pct"/>
          </w:tcPr>
          <w:p w14:paraId="2F7B833A" w14:textId="77777777" w:rsidR="005E3840" w:rsidRDefault="005E3840" w:rsidP="009F357F">
            <w:pPr>
              <w:pStyle w:val="TableText"/>
            </w:pPr>
            <w:r w:rsidRPr="00445990">
              <w:t xml:space="preserve">Clinical </w:t>
            </w:r>
            <w:r>
              <w:t>n</w:t>
            </w:r>
            <w:r w:rsidRPr="00445990">
              <w:t>otes and electronic signatures (approvals) are being used in the EDR.</w:t>
            </w:r>
          </w:p>
          <w:p w14:paraId="30661BD7" w14:textId="77777777" w:rsidR="005E3840" w:rsidRPr="009A1DE7" w:rsidRDefault="005E3840" w:rsidP="009F357F">
            <w:pPr>
              <w:pStyle w:val="TableText"/>
              <w:numPr>
                <w:ilvl w:val="0"/>
                <w:numId w:val="2"/>
              </w:numPr>
              <w:ind w:left="232" w:hanging="180"/>
            </w:pPr>
            <w:r w:rsidRPr="002D6363">
              <w:rPr>
                <w:u w:val="single"/>
              </w:rPr>
              <w:t>Clinical Notes</w:t>
            </w:r>
            <w:r>
              <w:t>:</w:t>
            </w:r>
            <w:r w:rsidRPr="002D6363">
              <w:t xml:space="preserve"> </w:t>
            </w:r>
            <w:r w:rsidRPr="00445990">
              <w:t xml:space="preserve">Review </w:t>
            </w:r>
            <w:r>
              <w:t>c</w:t>
            </w:r>
            <w:r w:rsidRPr="00445990">
              <w:t xml:space="preserve">linical </w:t>
            </w:r>
            <w:r>
              <w:t>n</w:t>
            </w:r>
            <w:r w:rsidRPr="00445990">
              <w:t>ote for completion</w:t>
            </w:r>
            <w:r>
              <w:t xml:space="preserve">. </w:t>
            </w:r>
            <w:r w:rsidRPr="00445990">
              <w:t>Add</w:t>
            </w:r>
            <w:r>
              <w:t xml:space="preserve"> or </w:t>
            </w:r>
            <w:r w:rsidRPr="00445990">
              <w:t xml:space="preserve">modify </w:t>
            </w:r>
            <w:r>
              <w:t>c</w:t>
            </w:r>
            <w:r w:rsidRPr="00445990">
              <w:t xml:space="preserve">linical </w:t>
            </w:r>
            <w:r>
              <w:t>n</w:t>
            </w:r>
            <w:r w:rsidRPr="00445990">
              <w:t>ote as needed</w:t>
            </w:r>
            <w:r>
              <w:t xml:space="preserve">. </w:t>
            </w:r>
            <w:r w:rsidRPr="00445990">
              <w:t xml:space="preserve">Sign </w:t>
            </w:r>
            <w:r>
              <w:t>c</w:t>
            </w:r>
            <w:r w:rsidRPr="00445990">
              <w:t xml:space="preserve">linical </w:t>
            </w:r>
            <w:r>
              <w:t>n</w:t>
            </w:r>
            <w:r w:rsidRPr="00445990">
              <w:t>ote</w:t>
            </w:r>
            <w:r>
              <w:t>.</w:t>
            </w:r>
          </w:p>
        </w:tc>
        <w:tc>
          <w:tcPr>
            <w:tcW w:w="938" w:type="pct"/>
          </w:tcPr>
          <w:p w14:paraId="5846E3CA" w14:textId="77777777" w:rsidR="005E3840" w:rsidRDefault="005E3840" w:rsidP="009F357F">
            <w:pPr>
              <w:pStyle w:val="TableText"/>
            </w:pPr>
            <w:r w:rsidRPr="00837A86">
              <w:t xml:space="preserve">Not using this fail-safe report leaves unsigned </w:t>
            </w:r>
            <w:r>
              <w:t>c</w:t>
            </w:r>
            <w:r w:rsidRPr="00837A86">
              <w:t xml:space="preserve">linical </w:t>
            </w:r>
            <w:r>
              <w:t>n</w:t>
            </w:r>
            <w:r w:rsidRPr="00837A86">
              <w:t xml:space="preserve">otes open for editing. Identifying those unsigned </w:t>
            </w:r>
            <w:r>
              <w:t>c</w:t>
            </w:r>
            <w:r w:rsidRPr="00837A86">
              <w:t xml:space="preserve">linical </w:t>
            </w:r>
            <w:r>
              <w:t>n</w:t>
            </w:r>
            <w:r w:rsidRPr="00837A86">
              <w:t xml:space="preserve">otes </w:t>
            </w:r>
            <w:r>
              <w:t>with</w:t>
            </w:r>
            <w:r w:rsidRPr="00837A86">
              <w:t xml:space="preserve"> this report </w:t>
            </w:r>
            <w:r>
              <w:t xml:space="preserve">is </w:t>
            </w:r>
            <w:r w:rsidRPr="00837A86">
              <w:t xml:space="preserve">a quick and easy way for Providers to find </w:t>
            </w:r>
            <w:r>
              <w:t>any</w:t>
            </w:r>
            <w:r w:rsidRPr="00837A86">
              <w:t xml:space="preserve"> </w:t>
            </w:r>
            <w:r>
              <w:t>c</w:t>
            </w:r>
            <w:r w:rsidRPr="00837A86">
              <w:t xml:space="preserve">linical </w:t>
            </w:r>
            <w:r>
              <w:t>n</w:t>
            </w:r>
            <w:r w:rsidRPr="00837A86">
              <w:t>otes that need attention and completion.</w:t>
            </w:r>
          </w:p>
          <w:p w14:paraId="329DB0AC" w14:textId="77777777" w:rsidR="005E3840" w:rsidRPr="00EF587A" w:rsidRDefault="005E3840" w:rsidP="009F357F">
            <w:pPr>
              <w:pStyle w:val="TableText"/>
            </w:pPr>
            <w:r>
              <w:t>Note: You cannot launch the OHS tool from this module.</w:t>
            </w:r>
          </w:p>
        </w:tc>
        <w:tc>
          <w:tcPr>
            <w:tcW w:w="624" w:type="pct"/>
          </w:tcPr>
          <w:p w14:paraId="668F8CBA" w14:textId="77777777" w:rsidR="005E3840" w:rsidRPr="00EF587A" w:rsidRDefault="005E3840" w:rsidP="009F357F">
            <w:pPr>
              <w:pStyle w:val="TableText"/>
              <w:numPr>
                <w:ilvl w:val="0"/>
                <w:numId w:val="1"/>
              </w:numPr>
              <w:spacing w:after="0"/>
              <w:ind w:left="187" w:hanging="187"/>
            </w:pPr>
            <w:r w:rsidRPr="009A1DE7">
              <w:t>Clinical Records</w:t>
            </w:r>
          </w:p>
        </w:tc>
      </w:tr>
      <w:tr w:rsidR="0015436E" w:rsidRPr="00EE4BD6" w14:paraId="3E07E992" w14:textId="77777777" w:rsidTr="009C0DFB">
        <w:trPr>
          <w:cantSplit/>
          <w:trHeight w:val="428"/>
        </w:trPr>
        <w:tc>
          <w:tcPr>
            <w:tcW w:w="5000" w:type="pct"/>
            <w:gridSpan w:val="6"/>
            <w:shd w:val="clear" w:color="auto" w:fill="FBE4D5" w:themeFill="accent2" w:themeFillTint="33"/>
            <w:vAlign w:val="center"/>
          </w:tcPr>
          <w:p w14:paraId="622B9BE1" w14:textId="39D93D4B" w:rsidR="0015436E" w:rsidRPr="0015436E" w:rsidRDefault="0015436E" w:rsidP="00FC1244">
            <w:pPr>
              <w:pStyle w:val="Heading4"/>
            </w:pPr>
            <w:bookmarkStart w:id="382" w:name="_Referral_Recap_Report"/>
            <w:bookmarkEnd w:id="382"/>
            <w:r w:rsidRPr="00D86EA6">
              <w:t>Referral Recap Report</w:t>
            </w:r>
            <w:r w:rsidR="00BB2D77">
              <w:tab/>
            </w:r>
            <w:hyperlink w:anchor="_Weekly_Checklist" w:history="1">
              <w:r w:rsidR="00FF74B1" w:rsidRPr="00FF74B1">
                <w:rPr>
                  <w:rStyle w:val="Hyperlink"/>
                  <w:b w:val="0"/>
                  <w:bCs/>
                  <w:sz w:val="16"/>
                  <w:szCs w:val="18"/>
                </w:rPr>
                <w:t>Return to Weekly Checklist</w:t>
              </w:r>
            </w:hyperlink>
          </w:p>
        </w:tc>
      </w:tr>
      <w:tr w:rsidR="009C0DFB" w:rsidRPr="009A1DE7" w14:paraId="0FD45A4C" w14:textId="77777777" w:rsidTr="009C0DFB">
        <w:trPr>
          <w:cantSplit/>
          <w:tblHeader/>
        </w:trPr>
        <w:tc>
          <w:tcPr>
            <w:tcW w:w="680" w:type="pct"/>
            <w:vAlign w:val="center"/>
          </w:tcPr>
          <w:p w14:paraId="20739654" w14:textId="77777777" w:rsidR="0015436E" w:rsidRPr="00912847" w:rsidRDefault="0015436E" w:rsidP="009F357F">
            <w:pPr>
              <w:pStyle w:val="TableText"/>
              <w:jc w:val="center"/>
              <w:rPr>
                <w:b/>
                <w:bCs/>
              </w:rPr>
            </w:pPr>
            <w:r w:rsidRPr="00912847">
              <w:rPr>
                <w:b/>
                <w:bCs/>
              </w:rPr>
              <w:t>Suggested Report Filters</w:t>
            </w:r>
          </w:p>
        </w:tc>
        <w:tc>
          <w:tcPr>
            <w:tcW w:w="500" w:type="pct"/>
            <w:vAlign w:val="center"/>
          </w:tcPr>
          <w:p w14:paraId="0D5ADC27" w14:textId="77777777" w:rsidR="0015436E" w:rsidRPr="00912847" w:rsidRDefault="0015436E" w:rsidP="009F357F">
            <w:pPr>
              <w:pStyle w:val="TableText"/>
              <w:jc w:val="center"/>
              <w:rPr>
                <w:b/>
                <w:bCs/>
              </w:rPr>
            </w:pPr>
            <w:r w:rsidRPr="00912847">
              <w:rPr>
                <w:b/>
                <w:bCs/>
              </w:rPr>
              <w:t>Intent / Responsibility</w:t>
            </w:r>
          </w:p>
        </w:tc>
        <w:tc>
          <w:tcPr>
            <w:tcW w:w="972" w:type="pct"/>
            <w:vAlign w:val="center"/>
          </w:tcPr>
          <w:p w14:paraId="71BC6A27" w14:textId="77777777" w:rsidR="0015436E" w:rsidRPr="00912847" w:rsidRDefault="0015436E" w:rsidP="009F357F">
            <w:pPr>
              <w:pStyle w:val="TableText"/>
              <w:jc w:val="center"/>
              <w:rPr>
                <w:b/>
                <w:bCs/>
              </w:rPr>
            </w:pPr>
            <w:r w:rsidRPr="00912847">
              <w:rPr>
                <w:b/>
                <w:bCs/>
              </w:rPr>
              <w:t>Objective</w:t>
            </w:r>
          </w:p>
        </w:tc>
        <w:tc>
          <w:tcPr>
            <w:tcW w:w="1287" w:type="pct"/>
            <w:vAlign w:val="center"/>
          </w:tcPr>
          <w:p w14:paraId="64415DE4" w14:textId="77777777" w:rsidR="0015436E" w:rsidRPr="00912847" w:rsidRDefault="0015436E" w:rsidP="009F357F">
            <w:pPr>
              <w:pStyle w:val="TableText"/>
              <w:jc w:val="center"/>
              <w:rPr>
                <w:b/>
                <w:bCs/>
              </w:rPr>
            </w:pPr>
            <w:r w:rsidRPr="00912847">
              <w:rPr>
                <w:b/>
                <w:bCs/>
              </w:rPr>
              <w:t>Dependencies and Possible Actions or Corrections Needed to Meet Objective</w:t>
            </w:r>
          </w:p>
        </w:tc>
        <w:tc>
          <w:tcPr>
            <w:tcW w:w="938" w:type="pct"/>
            <w:vAlign w:val="center"/>
          </w:tcPr>
          <w:p w14:paraId="3ABBDA41" w14:textId="77777777" w:rsidR="0015436E" w:rsidRPr="009A1DE7" w:rsidRDefault="0015436E" w:rsidP="009F357F">
            <w:pPr>
              <w:pStyle w:val="TableText"/>
              <w:jc w:val="center"/>
            </w:pPr>
            <w:r w:rsidRPr="00912847">
              <w:rPr>
                <w:b/>
                <w:bCs/>
              </w:rPr>
              <w:t>Warning</w:t>
            </w:r>
          </w:p>
          <w:p w14:paraId="53B0D511" w14:textId="77777777" w:rsidR="0015436E" w:rsidRPr="009A1DE7" w:rsidRDefault="0015436E"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4" w:type="pct"/>
            <w:vAlign w:val="center"/>
          </w:tcPr>
          <w:p w14:paraId="41EAC4C4" w14:textId="77777777" w:rsidR="0015436E" w:rsidRPr="009A1DE7" w:rsidRDefault="0015436E" w:rsidP="009F357F">
            <w:pPr>
              <w:pStyle w:val="TableText"/>
              <w:jc w:val="center"/>
            </w:pPr>
            <w:r w:rsidRPr="00912847">
              <w:rPr>
                <w:b/>
                <w:bCs/>
              </w:rPr>
              <w:t>References</w:t>
            </w:r>
          </w:p>
          <w:p w14:paraId="668B7A01" w14:textId="77777777" w:rsidR="0015436E" w:rsidRPr="009A1DE7" w:rsidRDefault="0015436E" w:rsidP="009F357F">
            <w:pPr>
              <w:pStyle w:val="TableText"/>
              <w:jc w:val="center"/>
            </w:pPr>
            <w:r w:rsidRPr="009A1DE7">
              <w:rPr>
                <w:i/>
                <w:iCs/>
              </w:rPr>
              <w:t>An asterisk (*) denotes an external resource.</w:t>
            </w:r>
          </w:p>
        </w:tc>
      </w:tr>
      <w:tr w:rsidR="0015436E" w:rsidRPr="00EE4BD6" w14:paraId="777B9B37" w14:textId="77777777" w:rsidTr="009C0DFB">
        <w:trPr>
          <w:cantSplit/>
          <w:trHeight w:val="428"/>
        </w:trPr>
        <w:tc>
          <w:tcPr>
            <w:tcW w:w="680" w:type="pct"/>
          </w:tcPr>
          <w:p w14:paraId="73EB922A" w14:textId="77777777" w:rsidR="0015436E" w:rsidRPr="009A1DE7" w:rsidRDefault="0015436E" w:rsidP="009F357F">
            <w:pPr>
              <w:pStyle w:val="TableText"/>
              <w:numPr>
                <w:ilvl w:val="0"/>
                <w:numId w:val="3"/>
              </w:numPr>
              <w:ind w:left="226" w:hanging="180"/>
            </w:pPr>
            <w:r>
              <w:t xml:space="preserve">Date Range: </w:t>
            </w:r>
            <w:r w:rsidRPr="00E714AF">
              <w:t>Last week’s range</w:t>
            </w:r>
          </w:p>
        </w:tc>
        <w:tc>
          <w:tcPr>
            <w:tcW w:w="500" w:type="pct"/>
          </w:tcPr>
          <w:p w14:paraId="2F533E4F" w14:textId="77777777" w:rsidR="0015436E" w:rsidRDefault="0015436E" w:rsidP="009F357F">
            <w:pPr>
              <w:pStyle w:val="TableText"/>
              <w:keepNext/>
              <w:keepLines/>
            </w:pPr>
            <w:r>
              <w:t>Dental Chief</w:t>
            </w:r>
          </w:p>
          <w:p w14:paraId="278A29A7" w14:textId="77777777" w:rsidR="0015436E" w:rsidRPr="009A1DE7" w:rsidRDefault="0015436E" w:rsidP="009F357F">
            <w:pPr>
              <w:pStyle w:val="TableText"/>
            </w:pPr>
            <w:r>
              <w:t>Front Desk / Scheduler</w:t>
            </w:r>
          </w:p>
        </w:tc>
        <w:tc>
          <w:tcPr>
            <w:tcW w:w="972" w:type="pct"/>
          </w:tcPr>
          <w:p w14:paraId="7A6CB40C" w14:textId="77777777" w:rsidR="0015436E" w:rsidRPr="009A1DE7" w:rsidRDefault="0015436E" w:rsidP="009F357F">
            <w:pPr>
              <w:pStyle w:val="TableText"/>
            </w:pPr>
            <w:r>
              <w:t>C</w:t>
            </w:r>
            <w:r w:rsidRPr="00E714AF">
              <w:t>ommunicate the status of a patients care with referring doctor. Lists both completed and outstanding treatment plan that was referred into the practice for a given patient.</w:t>
            </w:r>
          </w:p>
        </w:tc>
        <w:tc>
          <w:tcPr>
            <w:tcW w:w="1287" w:type="pct"/>
          </w:tcPr>
          <w:p w14:paraId="37441C08" w14:textId="77777777" w:rsidR="0015436E" w:rsidRDefault="0015436E" w:rsidP="009F357F">
            <w:pPr>
              <w:pStyle w:val="TableText"/>
            </w:pPr>
            <w:r>
              <w:t>T</w:t>
            </w:r>
            <w:r w:rsidRPr="00E714AF">
              <w:t>reatment</w:t>
            </w:r>
            <w:r>
              <w:t xml:space="preserve"> referred</w:t>
            </w:r>
            <w:r w:rsidRPr="00E714AF">
              <w:t xml:space="preserve"> by a doctor into the clinic must be recorded as such in Chart.</w:t>
            </w:r>
          </w:p>
          <w:p w14:paraId="4AF4397F" w14:textId="77777777" w:rsidR="0015436E" w:rsidRPr="009A1DE7" w:rsidRDefault="0015436E" w:rsidP="009F357F">
            <w:pPr>
              <w:pStyle w:val="TableText"/>
              <w:numPr>
                <w:ilvl w:val="0"/>
                <w:numId w:val="2"/>
              </w:numPr>
              <w:ind w:left="232" w:hanging="180"/>
            </w:pPr>
            <w:r w:rsidRPr="002D6363">
              <w:rPr>
                <w:u w:val="single"/>
              </w:rPr>
              <w:t>Chart</w:t>
            </w:r>
            <w:r w:rsidRPr="00E714AF">
              <w:t>:  Document the patient</w:t>
            </w:r>
            <w:r>
              <w:t>’</w:t>
            </w:r>
            <w:r w:rsidRPr="00E714AF">
              <w:t xml:space="preserve">s Referred By </w:t>
            </w:r>
            <w:r>
              <w:t xml:space="preserve">referral </w:t>
            </w:r>
            <w:r w:rsidRPr="00E714AF">
              <w:t>per treatment</w:t>
            </w:r>
            <w:r>
              <w:t>-</w:t>
            </w:r>
            <w:r w:rsidRPr="00E714AF">
              <w:t>planned procedure.</w:t>
            </w:r>
          </w:p>
        </w:tc>
        <w:tc>
          <w:tcPr>
            <w:tcW w:w="938" w:type="pct"/>
          </w:tcPr>
          <w:p w14:paraId="164E87C5" w14:textId="77777777" w:rsidR="0015436E" w:rsidRPr="00EF587A" w:rsidRDefault="0015436E" w:rsidP="009F357F">
            <w:pPr>
              <w:pStyle w:val="TableText"/>
            </w:pPr>
            <w:r w:rsidRPr="002D6363">
              <w:t>Not communicating the patient's treatment status could leave the patient in a compromised status.</w:t>
            </w:r>
          </w:p>
        </w:tc>
        <w:tc>
          <w:tcPr>
            <w:tcW w:w="624" w:type="pct"/>
          </w:tcPr>
          <w:p w14:paraId="5DBB40BE" w14:textId="77777777" w:rsidR="0015436E" w:rsidRDefault="0015436E" w:rsidP="009F357F">
            <w:pPr>
              <w:pStyle w:val="TableText"/>
              <w:numPr>
                <w:ilvl w:val="0"/>
                <w:numId w:val="1"/>
              </w:numPr>
              <w:ind w:left="187" w:hanging="187"/>
            </w:pPr>
            <w:r>
              <w:t>Database Design</w:t>
            </w:r>
          </w:p>
          <w:p w14:paraId="73AFB15B" w14:textId="77777777" w:rsidR="0015436E" w:rsidRDefault="0015436E" w:rsidP="009F357F">
            <w:pPr>
              <w:pStyle w:val="TableText"/>
              <w:numPr>
                <w:ilvl w:val="0"/>
                <w:numId w:val="1"/>
              </w:numPr>
              <w:ind w:left="187" w:hanging="187"/>
            </w:pPr>
            <w:r>
              <w:t xml:space="preserve">Schedule Optimization </w:t>
            </w:r>
          </w:p>
          <w:p w14:paraId="3633E553" w14:textId="77777777" w:rsidR="0015436E" w:rsidRDefault="0015436E" w:rsidP="009F357F">
            <w:pPr>
              <w:pStyle w:val="TableText"/>
              <w:numPr>
                <w:ilvl w:val="0"/>
                <w:numId w:val="1"/>
              </w:numPr>
              <w:ind w:left="187" w:hanging="187"/>
            </w:pPr>
            <w:r>
              <w:t xml:space="preserve">Patient Records </w:t>
            </w:r>
          </w:p>
          <w:p w14:paraId="7FF15EF7" w14:textId="77777777" w:rsidR="0015436E" w:rsidRDefault="0015436E" w:rsidP="009F357F">
            <w:pPr>
              <w:pStyle w:val="TableText"/>
              <w:numPr>
                <w:ilvl w:val="0"/>
                <w:numId w:val="1"/>
              </w:numPr>
              <w:ind w:left="187" w:hanging="187"/>
            </w:pPr>
            <w:r>
              <w:t xml:space="preserve">Clinical Records </w:t>
            </w:r>
          </w:p>
          <w:p w14:paraId="69D52450" w14:textId="77777777" w:rsidR="0015436E" w:rsidRDefault="0015436E" w:rsidP="009F357F">
            <w:pPr>
              <w:pStyle w:val="TableText"/>
              <w:numPr>
                <w:ilvl w:val="0"/>
                <w:numId w:val="1"/>
              </w:numPr>
              <w:ind w:left="187" w:hanging="187"/>
            </w:pPr>
            <w:r>
              <w:t xml:space="preserve">Revenue Cycle </w:t>
            </w:r>
          </w:p>
          <w:p w14:paraId="30DEF132" w14:textId="77777777" w:rsidR="0015436E" w:rsidRPr="00EF587A" w:rsidRDefault="0015436E" w:rsidP="009F357F">
            <w:pPr>
              <w:pStyle w:val="TableText"/>
              <w:numPr>
                <w:ilvl w:val="0"/>
                <w:numId w:val="1"/>
              </w:numPr>
              <w:spacing w:after="0"/>
              <w:ind w:left="187" w:hanging="187"/>
            </w:pPr>
            <w:r>
              <w:t>Reports Reference*</w:t>
            </w:r>
          </w:p>
        </w:tc>
      </w:tr>
    </w:tbl>
    <w:p w14:paraId="6E7FA6C4" w14:textId="77777777" w:rsidR="009C0DFB" w:rsidRDefault="009C0DFB">
      <w:r>
        <w:rPr>
          <w:b/>
          <w:iCs/>
        </w:rPr>
        <w:br w:type="page"/>
      </w:r>
    </w:p>
    <w:tbl>
      <w:tblPr>
        <w:tblStyle w:val="TableGrid"/>
        <w:tblW w:w="12962"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18"/>
        <w:gridCol w:w="39"/>
        <w:gridCol w:w="1291"/>
        <w:gridCol w:w="262"/>
        <w:gridCol w:w="8"/>
        <w:gridCol w:w="2258"/>
        <w:gridCol w:w="3339"/>
        <w:gridCol w:w="2432"/>
        <w:gridCol w:w="1615"/>
      </w:tblGrid>
      <w:tr w:rsidR="00C072E8" w:rsidRPr="00EE4BD6" w14:paraId="08E4408F" w14:textId="77777777" w:rsidTr="009C0DFB">
        <w:trPr>
          <w:cantSplit/>
          <w:trHeight w:val="428"/>
        </w:trPr>
        <w:tc>
          <w:tcPr>
            <w:tcW w:w="5000" w:type="pct"/>
            <w:gridSpan w:val="9"/>
            <w:shd w:val="clear" w:color="auto" w:fill="FBE4D5" w:themeFill="accent2" w:themeFillTint="33"/>
            <w:vAlign w:val="center"/>
          </w:tcPr>
          <w:p w14:paraId="3CAB0B7B" w14:textId="129B71D2" w:rsidR="00C072E8" w:rsidRDefault="00C072E8" w:rsidP="00FC1244">
            <w:pPr>
              <w:pStyle w:val="Heading4"/>
            </w:pPr>
            <w:bookmarkStart w:id="383" w:name="_Treatment_Plan_Approval"/>
            <w:bookmarkEnd w:id="383"/>
            <w:r w:rsidRPr="00D86EA6">
              <w:lastRenderedPageBreak/>
              <w:t>Treatment Plan Approval Report</w:t>
            </w:r>
            <w:r w:rsidR="00BB2D77">
              <w:tab/>
            </w:r>
            <w:hyperlink w:anchor="_Weekly_Checklist" w:history="1">
              <w:r w:rsidR="00FF74B1" w:rsidRPr="00FF74B1">
                <w:rPr>
                  <w:rStyle w:val="Hyperlink"/>
                  <w:b w:val="0"/>
                  <w:bCs/>
                  <w:sz w:val="16"/>
                  <w:szCs w:val="18"/>
                </w:rPr>
                <w:t>Return to Weekly Checklist</w:t>
              </w:r>
            </w:hyperlink>
          </w:p>
        </w:tc>
      </w:tr>
      <w:tr w:rsidR="009C0DFB" w:rsidRPr="00EE4BD6" w14:paraId="7B0A938C" w14:textId="77777777" w:rsidTr="009C0DFB">
        <w:trPr>
          <w:cantSplit/>
          <w:trHeight w:val="428"/>
        </w:trPr>
        <w:tc>
          <w:tcPr>
            <w:tcW w:w="678" w:type="pct"/>
            <w:gridSpan w:val="2"/>
            <w:vAlign w:val="center"/>
          </w:tcPr>
          <w:p w14:paraId="378D5D61" w14:textId="2040BD10" w:rsidR="00C072E8" w:rsidRPr="00C072E8" w:rsidRDefault="00C072E8" w:rsidP="00C072E8">
            <w:pPr>
              <w:pStyle w:val="TableText"/>
              <w:jc w:val="center"/>
            </w:pPr>
            <w:r w:rsidRPr="00912847">
              <w:rPr>
                <w:b/>
                <w:bCs/>
              </w:rPr>
              <w:t>Suggested Report Filters</w:t>
            </w:r>
          </w:p>
        </w:tc>
        <w:tc>
          <w:tcPr>
            <w:tcW w:w="498" w:type="pct"/>
            <w:vAlign w:val="center"/>
          </w:tcPr>
          <w:p w14:paraId="45442B41" w14:textId="6EA1CDD3" w:rsidR="00C072E8" w:rsidRPr="00C072E8" w:rsidRDefault="00C072E8" w:rsidP="00C072E8">
            <w:pPr>
              <w:pStyle w:val="TableText"/>
              <w:jc w:val="center"/>
            </w:pPr>
            <w:r w:rsidRPr="00912847">
              <w:rPr>
                <w:b/>
                <w:bCs/>
              </w:rPr>
              <w:t>Intent / Responsibility</w:t>
            </w:r>
          </w:p>
        </w:tc>
        <w:tc>
          <w:tcPr>
            <w:tcW w:w="975" w:type="pct"/>
            <w:gridSpan w:val="3"/>
            <w:vAlign w:val="center"/>
          </w:tcPr>
          <w:p w14:paraId="633C2E5C" w14:textId="50620EA3" w:rsidR="00C072E8" w:rsidRPr="00C072E8" w:rsidRDefault="00C072E8" w:rsidP="00C072E8">
            <w:pPr>
              <w:pStyle w:val="TableText"/>
              <w:jc w:val="center"/>
            </w:pPr>
            <w:r w:rsidRPr="00912847">
              <w:rPr>
                <w:b/>
                <w:bCs/>
              </w:rPr>
              <w:t>Objective</w:t>
            </w:r>
          </w:p>
        </w:tc>
        <w:tc>
          <w:tcPr>
            <w:tcW w:w="1288" w:type="pct"/>
            <w:vAlign w:val="center"/>
          </w:tcPr>
          <w:p w14:paraId="16CB5FC8" w14:textId="5CD86E23" w:rsidR="00C072E8" w:rsidRPr="00C072E8" w:rsidRDefault="00C072E8" w:rsidP="00C072E8">
            <w:pPr>
              <w:pStyle w:val="TableText"/>
              <w:jc w:val="center"/>
            </w:pPr>
            <w:r w:rsidRPr="00912847">
              <w:rPr>
                <w:b/>
                <w:bCs/>
              </w:rPr>
              <w:t>Dependencies and Possible Actions or Corrections Needed to Meet Objective</w:t>
            </w:r>
          </w:p>
        </w:tc>
        <w:tc>
          <w:tcPr>
            <w:tcW w:w="938" w:type="pct"/>
            <w:vAlign w:val="center"/>
          </w:tcPr>
          <w:p w14:paraId="76061645" w14:textId="77777777" w:rsidR="00C072E8" w:rsidRPr="009A1DE7" w:rsidRDefault="00C072E8" w:rsidP="00C072E8">
            <w:pPr>
              <w:pStyle w:val="TableText"/>
              <w:jc w:val="center"/>
            </w:pPr>
            <w:r w:rsidRPr="00912847">
              <w:rPr>
                <w:b/>
                <w:bCs/>
              </w:rPr>
              <w:t>Warning</w:t>
            </w:r>
          </w:p>
          <w:p w14:paraId="132645C3" w14:textId="629141EF" w:rsidR="00C072E8" w:rsidRPr="00C072E8" w:rsidRDefault="00C072E8" w:rsidP="00C072E8">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3" w:type="pct"/>
            <w:vAlign w:val="center"/>
          </w:tcPr>
          <w:p w14:paraId="799B6B2D" w14:textId="77777777" w:rsidR="00C072E8" w:rsidRPr="009A1DE7" w:rsidRDefault="00C072E8" w:rsidP="00C072E8">
            <w:pPr>
              <w:pStyle w:val="TableText"/>
              <w:jc w:val="center"/>
            </w:pPr>
            <w:r w:rsidRPr="00912847">
              <w:rPr>
                <w:b/>
                <w:bCs/>
              </w:rPr>
              <w:t>References</w:t>
            </w:r>
          </w:p>
          <w:p w14:paraId="3E4F15F8" w14:textId="5A6B9921" w:rsidR="00C072E8" w:rsidRPr="00C072E8" w:rsidRDefault="00C072E8" w:rsidP="00C072E8">
            <w:pPr>
              <w:pStyle w:val="TableText"/>
              <w:jc w:val="center"/>
            </w:pPr>
            <w:r w:rsidRPr="009A1DE7">
              <w:rPr>
                <w:i/>
                <w:iCs/>
              </w:rPr>
              <w:t>An asterisk (*) denotes an external resource.</w:t>
            </w:r>
          </w:p>
        </w:tc>
      </w:tr>
      <w:tr w:rsidR="009C0DFB" w:rsidRPr="00EE4BD6" w14:paraId="6D04AE06" w14:textId="77777777" w:rsidTr="009C0DFB">
        <w:trPr>
          <w:cantSplit/>
          <w:trHeight w:val="428"/>
        </w:trPr>
        <w:tc>
          <w:tcPr>
            <w:tcW w:w="678" w:type="pct"/>
            <w:gridSpan w:val="2"/>
          </w:tcPr>
          <w:p w14:paraId="7D83A160" w14:textId="77777777" w:rsidR="00960E65" w:rsidRPr="009A1DE7" w:rsidRDefault="00960E65" w:rsidP="009F357F">
            <w:pPr>
              <w:pStyle w:val="TableText"/>
              <w:numPr>
                <w:ilvl w:val="0"/>
                <w:numId w:val="3"/>
              </w:numPr>
              <w:ind w:left="226" w:hanging="180"/>
            </w:pPr>
            <w:r>
              <w:t xml:space="preserve">Date Range: </w:t>
            </w:r>
            <w:r w:rsidRPr="00335DF1">
              <w:t>Last week’s range</w:t>
            </w:r>
          </w:p>
        </w:tc>
        <w:tc>
          <w:tcPr>
            <w:tcW w:w="498" w:type="pct"/>
          </w:tcPr>
          <w:p w14:paraId="3DD2D570" w14:textId="77777777" w:rsidR="00960E65" w:rsidRPr="009A1DE7" w:rsidRDefault="00960E65" w:rsidP="009F357F">
            <w:pPr>
              <w:pStyle w:val="TableText"/>
            </w:pPr>
            <w:r>
              <w:t>Front Desk / Scheduler, Clinical Manager, CAC, or Dental Chief</w:t>
            </w:r>
          </w:p>
        </w:tc>
        <w:tc>
          <w:tcPr>
            <w:tcW w:w="975" w:type="pct"/>
            <w:gridSpan w:val="3"/>
          </w:tcPr>
          <w:p w14:paraId="5C530360" w14:textId="77777777" w:rsidR="00960E65" w:rsidRPr="009A1DE7" w:rsidRDefault="00960E65" w:rsidP="009F357F">
            <w:pPr>
              <w:pStyle w:val="TableText"/>
            </w:pPr>
            <w:r w:rsidRPr="00335DF1">
              <w:t xml:space="preserve">Since the Treatment Plan Approval Report lists Pre-Treatment Estimates for both </w:t>
            </w:r>
            <w:r>
              <w:t>p</w:t>
            </w:r>
            <w:r w:rsidRPr="00335DF1">
              <w:t xml:space="preserve">rimary and </w:t>
            </w:r>
            <w:r>
              <w:t>s</w:t>
            </w:r>
            <w:r w:rsidRPr="00335DF1">
              <w:t xml:space="preserve">econdary insurance, along with </w:t>
            </w:r>
            <w:r>
              <w:t>e</w:t>
            </w:r>
            <w:r w:rsidRPr="00335DF1">
              <w:t xml:space="preserve">ligibility </w:t>
            </w:r>
            <w:r>
              <w:t>d</w:t>
            </w:r>
            <w:r w:rsidRPr="00335DF1">
              <w:t xml:space="preserve">ates and </w:t>
            </w:r>
            <w:r>
              <w:t>b</w:t>
            </w:r>
            <w:r w:rsidRPr="00335DF1">
              <w:t xml:space="preserve">enefits </w:t>
            </w:r>
            <w:r>
              <w:t>r</w:t>
            </w:r>
            <w:r w:rsidRPr="00335DF1">
              <w:t xml:space="preserve">emaining, this report is another tool </w:t>
            </w:r>
            <w:r>
              <w:t xml:space="preserve">to use when contacting </w:t>
            </w:r>
            <w:r w:rsidRPr="00335DF1">
              <w:t>patients with unscheduled treatment</w:t>
            </w:r>
            <w:r>
              <w:t>-</w:t>
            </w:r>
            <w:r w:rsidRPr="00335DF1">
              <w:t>plan</w:t>
            </w:r>
            <w:r>
              <w:t xml:space="preserve">ned </w:t>
            </w:r>
            <w:r w:rsidRPr="00335DF1">
              <w:t>procedures.</w:t>
            </w:r>
          </w:p>
        </w:tc>
        <w:tc>
          <w:tcPr>
            <w:tcW w:w="1288" w:type="pct"/>
          </w:tcPr>
          <w:p w14:paraId="77B563F8" w14:textId="77777777" w:rsidR="00960E65" w:rsidRDefault="00960E65" w:rsidP="009F357F">
            <w:pPr>
              <w:pStyle w:val="TableText"/>
            </w:pPr>
            <w:r>
              <w:t>Primary and secondary (if applicable) i</w:t>
            </w:r>
            <w:r w:rsidRPr="00335DF1">
              <w:t xml:space="preserve">nsurance </w:t>
            </w:r>
            <w:r>
              <w:t>p</w:t>
            </w:r>
            <w:r w:rsidRPr="00335DF1">
              <w:t>re-</w:t>
            </w:r>
            <w:r>
              <w:t>t</w:t>
            </w:r>
            <w:r w:rsidRPr="00335DF1">
              <w:t xml:space="preserve">reatment </w:t>
            </w:r>
            <w:r>
              <w:t>estimates</w:t>
            </w:r>
            <w:r w:rsidRPr="00335DF1">
              <w:t xml:space="preserve"> w</w:t>
            </w:r>
            <w:r>
              <w:t>ere</w:t>
            </w:r>
            <w:r w:rsidRPr="00335DF1">
              <w:t xml:space="preserve"> submitted and received. In Treatment Planner, the case for the submitted treatment has been marked </w:t>
            </w:r>
            <w:r>
              <w:t>as</w:t>
            </w:r>
            <w:r w:rsidRPr="00335DF1">
              <w:t xml:space="preserve"> either Accepted or Rejected.</w:t>
            </w:r>
          </w:p>
          <w:p w14:paraId="04C92918" w14:textId="77777777" w:rsidR="00960E65" w:rsidRPr="009A1DE7" w:rsidRDefault="00960E65" w:rsidP="009F357F">
            <w:pPr>
              <w:pStyle w:val="TableText"/>
              <w:numPr>
                <w:ilvl w:val="0"/>
                <w:numId w:val="2"/>
              </w:numPr>
              <w:ind w:left="232" w:hanging="180"/>
            </w:pPr>
            <w:r w:rsidRPr="00335DF1">
              <w:rPr>
                <w:u w:val="single"/>
              </w:rPr>
              <w:t>Ledger</w:t>
            </w:r>
            <w:r w:rsidRPr="00335DF1">
              <w:t>: Treatment</w:t>
            </w:r>
            <w:r>
              <w:t>-p</w:t>
            </w:r>
            <w:r w:rsidRPr="00335DF1">
              <w:t xml:space="preserve">lanned </w:t>
            </w:r>
            <w:r>
              <w:t>p</w:t>
            </w:r>
            <w:r w:rsidRPr="00335DF1">
              <w:t xml:space="preserve">rocedures sent to </w:t>
            </w:r>
            <w:r>
              <w:t>i</w:t>
            </w:r>
            <w:r w:rsidRPr="00335DF1">
              <w:t>nsurance for pre-approval. Document the notification from insurance as accepted or rejected.</w:t>
            </w:r>
          </w:p>
        </w:tc>
        <w:tc>
          <w:tcPr>
            <w:tcW w:w="938" w:type="pct"/>
          </w:tcPr>
          <w:p w14:paraId="343A24E8" w14:textId="77777777" w:rsidR="00960E65" w:rsidRPr="00EF587A" w:rsidRDefault="00960E65" w:rsidP="009F357F">
            <w:pPr>
              <w:pStyle w:val="TableText"/>
            </w:pPr>
            <w:r w:rsidRPr="00335DF1">
              <w:t xml:space="preserve">If this report is not used, </w:t>
            </w:r>
            <w:r>
              <w:t>insurance-</w:t>
            </w:r>
            <w:r w:rsidRPr="00335DF1">
              <w:t>approved</w:t>
            </w:r>
            <w:r>
              <w:t xml:space="preserve"> estimates for</w:t>
            </w:r>
            <w:r w:rsidRPr="00335DF1">
              <w:t xml:space="preserve"> accepted treatment may remain unscheduled</w:t>
            </w:r>
            <w:r>
              <w:t>,</w:t>
            </w:r>
            <w:r w:rsidRPr="00335DF1">
              <w:t xml:space="preserve"> the time invested in recording the </w:t>
            </w:r>
            <w:r>
              <w:t>information</w:t>
            </w:r>
            <w:r w:rsidRPr="00335DF1">
              <w:t xml:space="preserve"> in EDR</w:t>
            </w:r>
            <w:r>
              <w:t xml:space="preserve"> will have been wasted, and a p</w:t>
            </w:r>
            <w:r w:rsidRPr="00335DF1">
              <w:t>atient's oral care may be compromised.</w:t>
            </w:r>
          </w:p>
        </w:tc>
        <w:tc>
          <w:tcPr>
            <w:tcW w:w="623" w:type="pct"/>
          </w:tcPr>
          <w:p w14:paraId="35A6B20C" w14:textId="77777777" w:rsidR="00960E65" w:rsidRDefault="00960E65" w:rsidP="009F357F">
            <w:pPr>
              <w:pStyle w:val="TableText"/>
              <w:numPr>
                <w:ilvl w:val="0"/>
                <w:numId w:val="1"/>
              </w:numPr>
              <w:ind w:left="187" w:hanging="187"/>
            </w:pPr>
            <w:r>
              <w:t>Schedule Optimization</w:t>
            </w:r>
          </w:p>
          <w:p w14:paraId="57094110" w14:textId="77777777" w:rsidR="00960E65" w:rsidRDefault="00960E65" w:rsidP="009F357F">
            <w:pPr>
              <w:pStyle w:val="TableText"/>
              <w:numPr>
                <w:ilvl w:val="0"/>
                <w:numId w:val="1"/>
              </w:numPr>
              <w:ind w:left="187" w:hanging="187"/>
            </w:pPr>
            <w:r>
              <w:t>Patient Records</w:t>
            </w:r>
          </w:p>
          <w:p w14:paraId="1911E053" w14:textId="77777777" w:rsidR="00960E65" w:rsidRDefault="00960E65" w:rsidP="009F357F">
            <w:pPr>
              <w:pStyle w:val="TableText"/>
              <w:numPr>
                <w:ilvl w:val="0"/>
                <w:numId w:val="1"/>
              </w:numPr>
              <w:ind w:left="187" w:hanging="187"/>
            </w:pPr>
            <w:r>
              <w:t>Clinical Records</w:t>
            </w:r>
          </w:p>
          <w:p w14:paraId="5DD79E00" w14:textId="77777777" w:rsidR="00960E65" w:rsidRDefault="00960E65" w:rsidP="009F357F">
            <w:pPr>
              <w:pStyle w:val="TableText"/>
              <w:numPr>
                <w:ilvl w:val="0"/>
                <w:numId w:val="1"/>
              </w:numPr>
              <w:ind w:left="187" w:hanging="187"/>
            </w:pPr>
            <w:r>
              <w:t>Revenue Cycle</w:t>
            </w:r>
          </w:p>
          <w:p w14:paraId="33D55BA3" w14:textId="77777777" w:rsidR="00960E65" w:rsidRPr="00EF587A" w:rsidRDefault="00960E65" w:rsidP="009F357F">
            <w:pPr>
              <w:pStyle w:val="TableText"/>
              <w:numPr>
                <w:ilvl w:val="0"/>
                <w:numId w:val="1"/>
              </w:numPr>
              <w:spacing w:after="0"/>
              <w:ind w:left="187" w:hanging="187"/>
            </w:pPr>
            <w:r>
              <w:t>Reports Reference*</w:t>
            </w:r>
          </w:p>
        </w:tc>
      </w:tr>
      <w:tr w:rsidR="00D13DB6" w:rsidRPr="00EE4BD6" w14:paraId="1A6276E5" w14:textId="77777777" w:rsidTr="009C0DFB">
        <w:trPr>
          <w:cantSplit/>
          <w:trHeight w:val="297"/>
        </w:trPr>
        <w:tc>
          <w:tcPr>
            <w:tcW w:w="5000" w:type="pct"/>
            <w:gridSpan w:val="9"/>
            <w:shd w:val="clear" w:color="auto" w:fill="FBE4D5" w:themeFill="accent2" w:themeFillTint="33"/>
            <w:vAlign w:val="center"/>
          </w:tcPr>
          <w:p w14:paraId="08EA2A39" w14:textId="0BDE4126" w:rsidR="00D13DB6" w:rsidRDefault="00635816" w:rsidP="00FC1244">
            <w:pPr>
              <w:pStyle w:val="Heading4"/>
            </w:pPr>
            <w:bookmarkStart w:id="384" w:name="_Treatment_Plan_Approval_1"/>
            <w:bookmarkEnd w:id="384"/>
            <w:r w:rsidRPr="00D86EA6">
              <w:t>Treatment Plan Approval Status Report</w:t>
            </w:r>
            <w:r w:rsidR="00BB2D77">
              <w:tab/>
            </w:r>
            <w:hyperlink w:anchor="_Weekly_Checklist" w:history="1">
              <w:r w:rsidR="00FF74B1" w:rsidRPr="00FF74B1">
                <w:rPr>
                  <w:rStyle w:val="Hyperlink"/>
                  <w:b w:val="0"/>
                  <w:bCs/>
                  <w:sz w:val="16"/>
                  <w:szCs w:val="18"/>
                </w:rPr>
                <w:t>Return to Weekly Checklist</w:t>
              </w:r>
            </w:hyperlink>
          </w:p>
        </w:tc>
      </w:tr>
      <w:tr w:rsidR="009C0DFB" w:rsidRPr="00EE4BD6" w14:paraId="61E5E3D6" w14:textId="77777777" w:rsidTr="009C0DFB">
        <w:trPr>
          <w:cantSplit/>
          <w:trHeight w:val="584"/>
        </w:trPr>
        <w:tc>
          <w:tcPr>
            <w:tcW w:w="678" w:type="pct"/>
            <w:gridSpan w:val="2"/>
            <w:vAlign w:val="center"/>
          </w:tcPr>
          <w:p w14:paraId="47536C21" w14:textId="4EE0781D" w:rsidR="00635816" w:rsidRDefault="00635816" w:rsidP="00DB649D">
            <w:pPr>
              <w:pStyle w:val="TableText"/>
              <w:ind w:left="46"/>
              <w:jc w:val="center"/>
            </w:pPr>
            <w:r w:rsidRPr="00912847">
              <w:rPr>
                <w:b/>
                <w:bCs/>
              </w:rPr>
              <w:t>Suggested Report Filters</w:t>
            </w:r>
          </w:p>
        </w:tc>
        <w:tc>
          <w:tcPr>
            <w:tcW w:w="599" w:type="pct"/>
            <w:gridSpan w:val="2"/>
            <w:vAlign w:val="center"/>
          </w:tcPr>
          <w:p w14:paraId="66680CC5" w14:textId="146CC9DA" w:rsidR="00635816" w:rsidRPr="00C524C8" w:rsidRDefault="00635816" w:rsidP="00DB649D">
            <w:pPr>
              <w:pStyle w:val="TableText"/>
              <w:jc w:val="center"/>
            </w:pPr>
            <w:r w:rsidRPr="00912847">
              <w:rPr>
                <w:b/>
                <w:bCs/>
              </w:rPr>
              <w:t>Intent / Responsibility</w:t>
            </w:r>
          </w:p>
        </w:tc>
        <w:tc>
          <w:tcPr>
            <w:tcW w:w="874" w:type="pct"/>
            <w:gridSpan w:val="2"/>
            <w:vAlign w:val="center"/>
          </w:tcPr>
          <w:p w14:paraId="40BED927" w14:textId="2C887774" w:rsidR="00635816" w:rsidRDefault="00635816" w:rsidP="00DB649D">
            <w:pPr>
              <w:pStyle w:val="TableText"/>
              <w:keepNext/>
              <w:keepLines/>
              <w:jc w:val="center"/>
            </w:pPr>
            <w:r w:rsidRPr="00912847">
              <w:rPr>
                <w:b/>
                <w:bCs/>
              </w:rPr>
              <w:t>Objective</w:t>
            </w:r>
          </w:p>
        </w:tc>
        <w:tc>
          <w:tcPr>
            <w:tcW w:w="1288" w:type="pct"/>
            <w:vAlign w:val="center"/>
          </w:tcPr>
          <w:p w14:paraId="749D831C" w14:textId="0A5B6D05" w:rsidR="00635816" w:rsidRPr="00C524C8" w:rsidRDefault="00635816" w:rsidP="00DB649D">
            <w:pPr>
              <w:pStyle w:val="TableText"/>
              <w:jc w:val="center"/>
            </w:pPr>
            <w:r w:rsidRPr="00912847">
              <w:rPr>
                <w:b/>
                <w:bCs/>
              </w:rPr>
              <w:t>Dependencies and Possible Actions or Corrections Needed to Meet Objective</w:t>
            </w:r>
          </w:p>
        </w:tc>
        <w:tc>
          <w:tcPr>
            <w:tcW w:w="938" w:type="pct"/>
            <w:vAlign w:val="center"/>
          </w:tcPr>
          <w:p w14:paraId="7071FE0E" w14:textId="77777777" w:rsidR="00635816" w:rsidRPr="009A1DE7" w:rsidRDefault="00635816" w:rsidP="00DB649D">
            <w:pPr>
              <w:pStyle w:val="TableText"/>
              <w:jc w:val="center"/>
            </w:pPr>
            <w:r w:rsidRPr="00912847">
              <w:rPr>
                <w:b/>
                <w:bCs/>
              </w:rPr>
              <w:t>Warning</w:t>
            </w:r>
          </w:p>
          <w:p w14:paraId="59BBB01F" w14:textId="602C437D" w:rsidR="00635816" w:rsidRDefault="00635816" w:rsidP="00DB649D">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3" w:type="pct"/>
            <w:vAlign w:val="center"/>
          </w:tcPr>
          <w:p w14:paraId="1D25FB89" w14:textId="77777777" w:rsidR="00635816" w:rsidRPr="009A1DE7" w:rsidRDefault="00635816" w:rsidP="00DB649D">
            <w:pPr>
              <w:pStyle w:val="TableText"/>
              <w:jc w:val="center"/>
            </w:pPr>
            <w:r w:rsidRPr="00912847">
              <w:rPr>
                <w:b/>
                <w:bCs/>
              </w:rPr>
              <w:t>References</w:t>
            </w:r>
          </w:p>
          <w:p w14:paraId="10608548" w14:textId="552F8A8A" w:rsidR="00635816" w:rsidRDefault="00635816" w:rsidP="00DB649D">
            <w:pPr>
              <w:pStyle w:val="TableText"/>
              <w:jc w:val="center"/>
            </w:pPr>
            <w:r w:rsidRPr="009A1DE7">
              <w:rPr>
                <w:i/>
                <w:iCs/>
              </w:rPr>
              <w:t>An asterisk (*) denotes an external resource.</w:t>
            </w:r>
          </w:p>
        </w:tc>
      </w:tr>
      <w:tr w:rsidR="008B2AE9" w:rsidRPr="00EE4BD6" w14:paraId="3483F713" w14:textId="77777777" w:rsidTr="009C0DFB">
        <w:trPr>
          <w:cantSplit/>
          <w:trHeight w:val="584"/>
        </w:trPr>
        <w:tc>
          <w:tcPr>
            <w:tcW w:w="678" w:type="pct"/>
            <w:gridSpan w:val="2"/>
          </w:tcPr>
          <w:p w14:paraId="59FA3571" w14:textId="77777777" w:rsidR="0089327E" w:rsidRPr="009A1DE7" w:rsidRDefault="0089327E" w:rsidP="009F357F">
            <w:pPr>
              <w:pStyle w:val="TableText"/>
              <w:numPr>
                <w:ilvl w:val="0"/>
                <w:numId w:val="3"/>
              </w:numPr>
              <w:ind w:left="226" w:hanging="180"/>
            </w:pPr>
            <w:r>
              <w:t xml:space="preserve">Date Range: </w:t>
            </w:r>
            <w:r w:rsidRPr="00C524C8">
              <w:t>Last week’s range</w:t>
            </w:r>
          </w:p>
        </w:tc>
        <w:tc>
          <w:tcPr>
            <w:tcW w:w="599" w:type="pct"/>
            <w:gridSpan w:val="2"/>
          </w:tcPr>
          <w:p w14:paraId="6EE11D5E" w14:textId="77777777" w:rsidR="0089327E" w:rsidRPr="009A1DE7" w:rsidRDefault="0089327E" w:rsidP="009F357F">
            <w:pPr>
              <w:pStyle w:val="TableText"/>
            </w:pPr>
            <w:r w:rsidRPr="00C524C8">
              <w:t>Front Desk</w:t>
            </w:r>
            <w:r>
              <w:t xml:space="preserve"> </w:t>
            </w:r>
            <w:r w:rsidRPr="00C524C8">
              <w:t>/</w:t>
            </w:r>
            <w:r>
              <w:t xml:space="preserve"> </w:t>
            </w:r>
            <w:r w:rsidRPr="00C524C8">
              <w:t>Scheduler, Clinical Manager, CAC, or Dental Chief</w:t>
            </w:r>
          </w:p>
        </w:tc>
        <w:tc>
          <w:tcPr>
            <w:tcW w:w="874" w:type="pct"/>
            <w:gridSpan w:val="2"/>
          </w:tcPr>
          <w:p w14:paraId="4D309FE0" w14:textId="77777777" w:rsidR="0089327E" w:rsidRDefault="0089327E" w:rsidP="009F357F">
            <w:pPr>
              <w:pStyle w:val="TableText"/>
              <w:keepNext/>
              <w:keepLines/>
            </w:pPr>
            <w:r>
              <w:t>These customizable internal statuses are used to identify a group of patients.</w:t>
            </w:r>
          </w:p>
          <w:p w14:paraId="5D72309C" w14:textId="77777777" w:rsidR="0089327E" w:rsidRDefault="0089327E" w:rsidP="009F357F">
            <w:pPr>
              <w:pStyle w:val="TableText"/>
              <w:keepNext/>
              <w:keepLines/>
            </w:pPr>
            <w:r>
              <w:t>Information in this report reflects treatment-planned procedures for selected Approval Statuses.  Patient and procedure information may also be included to aid with efforts to contact patients and schedule appointments.</w:t>
            </w:r>
          </w:p>
          <w:p w14:paraId="00BFC185" w14:textId="77777777" w:rsidR="0089327E" w:rsidRPr="009A1DE7" w:rsidRDefault="0089327E" w:rsidP="000624DD">
            <w:pPr>
              <w:pStyle w:val="TableText"/>
            </w:pPr>
            <w:r>
              <w:t>Additionally, pre-treatment insurance information may be used as a filter in this report.</w:t>
            </w:r>
          </w:p>
        </w:tc>
        <w:tc>
          <w:tcPr>
            <w:tcW w:w="1288" w:type="pct"/>
          </w:tcPr>
          <w:p w14:paraId="576FAD8F" w14:textId="77777777" w:rsidR="0089327E" w:rsidRDefault="0089327E" w:rsidP="009F357F">
            <w:pPr>
              <w:pStyle w:val="TableText"/>
            </w:pPr>
            <w:r w:rsidRPr="00C524C8">
              <w:t xml:space="preserve">Meaningful </w:t>
            </w:r>
            <w:r>
              <w:t>a</w:t>
            </w:r>
            <w:r w:rsidRPr="00C524C8">
              <w:t xml:space="preserve">pproval </w:t>
            </w:r>
            <w:r>
              <w:t>s</w:t>
            </w:r>
            <w:r w:rsidRPr="00C524C8">
              <w:t>tatuses must be added to Definitions in the Practice Setup</w:t>
            </w:r>
            <w:r>
              <w:t xml:space="preserve"> from </w:t>
            </w:r>
            <w:r w:rsidRPr="00C524C8">
              <w:t>Office Manager. When</w:t>
            </w:r>
            <w:r>
              <w:t xml:space="preserve"> adding</w:t>
            </w:r>
            <w:r w:rsidRPr="00C524C8">
              <w:t xml:space="preserve"> treatment</w:t>
            </w:r>
            <w:r>
              <w:t>-</w:t>
            </w:r>
            <w:r w:rsidRPr="00C524C8">
              <w:t xml:space="preserve">planned procedures in Chart, </w:t>
            </w:r>
            <w:r>
              <w:t xml:space="preserve">select the applicable </w:t>
            </w:r>
            <w:r w:rsidRPr="00C524C8">
              <w:t xml:space="preserve">Approval Status. When the </w:t>
            </w:r>
            <w:r>
              <w:t>a</w:t>
            </w:r>
            <w:r w:rsidRPr="00C524C8">
              <w:t xml:space="preserve">pproval </w:t>
            </w:r>
            <w:r>
              <w:t>s</w:t>
            </w:r>
            <w:r w:rsidRPr="00C524C8">
              <w:t xml:space="preserve">tatus </w:t>
            </w:r>
            <w:r>
              <w:t xml:space="preserve">of a </w:t>
            </w:r>
            <w:r w:rsidRPr="00C524C8">
              <w:t>treatment</w:t>
            </w:r>
            <w:r>
              <w:t>-</w:t>
            </w:r>
            <w:r w:rsidRPr="00C524C8">
              <w:t xml:space="preserve">planned procedure changes, </w:t>
            </w:r>
            <w:r>
              <w:t>update the procedure accordingly</w:t>
            </w:r>
            <w:r w:rsidRPr="00C524C8">
              <w:t>.</w:t>
            </w:r>
          </w:p>
          <w:p w14:paraId="72622129" w14:textId="77777777" w:rsidR="0089327E" w:rsidRPr="009A1DE7" w:rsidRDefault="0089327E" w:rsidP="009F357F">
            <w:pPr>
              <w:pStyle w:val="TableText"/>
              <w:numPr>
                <w:ilvl w:val="0"/>
                <w:numId w:val="2"/>
              </w:numPr>
              <w:ind w:left="232" w:hanging="180"/>
            </w:pPr>
            <w:r w:rsidRPr="00C524C8">
              <w:rPr>
                <w:u w:val="single"/>
              </w:rPr>
              <w:t>Chart</w:t>
            </w:r>
            <w:r w:rsidRPr="00C524C8">
              <w:t>:  Mark ap</w:t>
            </w:r>
            <w:r>
              <w:t>plicable</w:t>
            </w:r>
            <w:r w:rsidRPr="00C524C8">
              <w:t xml:space="preserve"> status for treatment</w:t>
            </w:r>
            <w:r>
              <w:t>-</w:t>
            </w:r>
            <w:r w:rsidRPr="00C524C8">
              <w:t>planned procedures.</w:t>
            </w:r>
          </w:p>
        </w:tc>
        <w:tc>
          <w:tcPr>
            <w:tcW w:w="938" w:type="pct"/>
          </w:tcPr>
          <w:p w14:paraId="399F21DF" w14:textId="77777777" w:rsidR="0089327E" w:rsidRDefault="0089327E" w:rsidP="009F357F">
            <w:pPr>
              <w:pStyle w:val="TableText"/>
            </w:pPr>
            <w:r>
              <w:t>Improper set up and use of statuses will render this report useless. Not viewing the information on this report will leave patients who are in need of oral health care without a scheduled appointment.</w:t>
            </w:r>
          </w:p>
          <w:p w14:paraId="28E34B25" w14:textId="77777777" w:rsidR="0089327E" w:rsidRPr="00EF587A" w:rsidRDefault="0089327E" w:rsidP="009F357F">
            <w:pPr>
              <w:pStyle w:val="TableText"/>
            </w:pPr>
            <w:r>
              <w:t>A patient's oral care may be compromised, and a team member’s time invested in this process will have been wasted.</w:t>
            </w:r>
          </w:p>
        </w:tc>
        <w:tc>
          <w:tcPr>
            <w:tcW w:w="623" w:type="pct"/>
          </w:tcPr>
          <w:p w14:paraId="32C689D5" w14:textId="77777777" w:rsidR="0089327E" w:rsidRDefault="0089327E" w:rsidP="009F357F">
            <w:pPr>
              <w:pStyle w:val="TableText"/>
              <w:numPr>
                <w:ilvl w:val="0"/>
                <w:numId w:val="1"/>
              </w:numPr>
              <w:ind w:left="187" w:hanging="187"/>
            </w:pPr>
            <w:r>
              <w:t>Database Design</w:t>
            </w:r>
          </w:p>
          <w:p w14:paraId="05A27D7C" w14:textId="77777777" w:rsidR="0089327E" w:rsidRDefault="0089327E" w:rsidP="009F357F">
            <w:pPr>
              <w:pStyle w:val="TableText"/>
              <w:numPr>
                <w:ilvl w:val="0"/>
                <w:numId w:val="1"/>
              </w:numPr>
              <w:ind w:left="187" w:hanging="187"/>
            </w:pPr>
            <w:r>
              <w:t xml:space="preserve">Schedule Optimization </w:t>
            </w:r>
          </w:p>
          <w:p w14:paraId="45B4AE00" w14:textId="77777777" w:rsidR="0089327E" w:rsidRDefault="0089327E" w:rsidP="009F357F">
            <w:pPr>
              <w:pStyle w:val="TableText"/>
              <w:numPr>
                <w:ilvl w:val="0"/>
                <w:numId w:val="1"/>
              </w:numPr>
              <w:ind w:left="187" w:hanging="187"/>
            </w:pPr>
            <w:r>
              <w:t xml:space="preserve">Patient Records </w:t>
            </w:r>
          </w:p>
          <w:p w14:paraId="3F84196E" w14:textId="77777777" w:rsidR="0089327E" w:rsidRDefault="0089327E" w:rsidP="009F357F">
            <w:pPr>
              <w:pStyle w:val="TableText"/>
              <w:numPr>
                <w:ilvl w:val="0"/>
                <w:numId w:val="1"/>
              </w:numPr>
              <w:ind w:left="187" w:hanging="187"/>
            </w:pPr>
            <w:r>
              <w:t xml:space="preserve">Clinical Records </w:t>
            </w:r>
          </w:p>
          <w:p w14:paraId="49D06C39" w14:textId="77777777" w:rsidR="0089327E" w:rsidRDefault="0089327E" w:rsidP="009F357F">
            <w:pPr>
              <w:pStyle w:val="TableText"/>
              <w:numPr>
                <w:ilvl w:val="0"/>
                <w:numId w:val="1"/>
              </w:numPr>
              <w:ind w:left="187" w:hanging="187"/>
            </w:pPr>
            <w:r>
              <w:t xml:space="preserve">Revenue Cycle </w:t>
            </w:r>
          </w:p>
          <w:p w14:paraId="5BD4A9B0" w14:textId="77777777" w:rsidR="0089327E" w:rsidRPr="00EF587A" w:rsidRDefault="0089327E" w:rsidP="009F357F">
            <w:pPr>
              <w:pStyle w:val="TableText"/>
              <w:numPr>
                <w:ilvl w:val="0"/>
                <w:numId w:val="1"/>
              </w:numPr>
              <w:spacing w:after="0"/>
              <w:ind w:left="187" w:hanging="187"/>
            </w:pPr>
            <w:r>
              <w:t>Reports Reference*</w:t>
            </w:r>
          </w:p>
        </w:tc>
      </w:tr>
      <w:tr w:rsidR="00BA64B4" w:rsidRPr="00EE4BD6" w14:paraId="53AEA892" w14:textId="77777777" w:rsidTr="009C0DFB">
        <w:trPr>
          <w:cantSplit/>
          <w:trHeight w:val="252"/>
        </w:trPr>
        <w:tc>
          <w:tcPr>
            <w:tcW w:w="5000" w:type="pct"/>
            <w:gridSpan w:val="9"/>
            <w:shd w:val="clear" w:color="auto" w:fill="FBE4D5" w:themeFill="accent2" w:themeFillTint="33"/>
            <w:vAlign w:val="center"/>
          </w:tcPr>
          <w:p w14:paraId="6C8C0BD4" w14:textId="271C9885" w:rsidR="00BA64B4" w:rsidRDefault="00BA64B4" w:rsidP="00FC1244">
            <w:pPr>
              <w:pStyle w:val="Heading4"/>
            </w:pPr>
            <w:bookmarkStart w:id="385" w:name="_Scheduling_Assistant"/>
            <w:bookmarkEnd w:id="385"/>
            <w:r w:rsidRPr="00580E0B">
              <w:lastRenderedPageBreak/>
              <w:t>Scheduling Assistant</w:t>
            </w:r>
            <w:r w:rsidR="00BB2D77">
              <w:tab/>
            </w:r>
            <w:hyperlink w:anchor="_Weekly_Checklist" w:history="1">
              <w:r w:rsidR="00FF74B1" w:rsidRPr="00FF74B1">
                <w:rPr>
                  <w:rStyle w:val="Hyperlink"/>
                  <w:b w:val="0"/>
                  <w:bCs/>
                  <w:sz w:val="16"/>
                  <w:szCs w:val="18"/>
                </w:rPr>
                <w:t>Return to Weekly Checklist</w:t>
              </w:r>
            </w:hyperlink>
          </w:p>
        </w:tc>
      </w:tr>
      <w:tr w:rsidR="009C0DFB" w:rsidRPr="00EE4BD6" w14:paraId="13A234C3" w14:textId="77777777" w:rsidTr="009C0DFB">
        <w:trPr>
          <w:cantSplit/>
          <w:trHeight w:val="691"/>
        </w:trPr>
        <w:tc>
          <w:tcPr>
            <w:tcW w:w="678" w:type="pct"/>
            <w:gridSpan w:val="2"/>
            <w:vAlign w:val="center"/>
          </w:tcPr>
          <w:p w14:paraId="73E9E5D8" w14:textId="3CD2E418" w:rsidR="002166AA" w:rsidRPr="00D160F4" w:rsidRDefault="002166AA" w:rsidP="002166AA">
            <w:pPr>
              <w:pStyle w:val="TableText"/>
              <w:keepNext/>
              <w:keepLines/>
              <w:ind w:left="46"/>
              <w:jc w:val="center"/>
            </w:pPr>
            <w:r w:rsidRPr="00912847">
              <w:rPr>
                <w:b/>
                <w:bCs/>
              </w:rPr>
              <w:t>Suggested Report Filters</w:t>
            </w:r>
          </w:p>
        </w:tc>
        <w:tc>
          <w:tcPr>
            <w:tcW w:w="599" w:type="pct"/>
            <w:gridSpan w:val="2"/>
            <w:vAlign w:val="center"/>
          </w:tcPr>
          <w:p w14:paraId="6F238E2C" w14:textId="018548F6" w:rsidR="002166AA" w:rsidRPr="00C524C8" w:rsidRDefault="002166AA" w:rsidP="002166AA">
            <w:pPr>
              <w:pStyle w:val="TableText"/>
              <w:jc w:val="center"/>
            </w:pPr>
            <w:r w:rsidRPr="00912847">
              <w:rPr>
                <w:b/>
                <w:bCs/>
              </w:rPr>
              <w:t>Intent / Responsibility</w:t>
            </w:r>
          </w:p>
        </w:tc>
        <w:tc>
          <w:tcPr>
            <w:tcW w:w="874" w:type="pct"/>
            <w:gridSpan w:val="2"/>
            <w:vAlign w:val="center"/>
          </w:tcPr>
          <w:p w14:paraId="42120DD1" w14:textId="714CA97B" w:rsidR="002166AA" w:rsidRPr="00D160F4" w:rsidRDefault="002166AA" w:rsidP="002166AA">
            <w:pPr>
              <w:pStyle w:val="TableText"/>
              <w:jc w:val="center"/>
            </w:pPr>
            <w:r w:rsidRPr="00912847">
              <w:rPr>
                <w:b/>
                <w:bCs/>
              </w:rPr>
              <w:t>Objective</w:t>
            </w:r>
          </w:p>
        </w:tc>
        <w:tc>
          <w:tcPr>
            <w:tcW w:w="1288" w:type="pct"/>
            <w:vAlign w:val="center"/>
          </w:tcPr>
          <w:p w14:paraId="49A8F10E" w14:textId="250EC2A8" w:rsidR="002166AA" w:rsidRPr="00D160F4" w:rsidRDefault="002166AA" w:rsidP="002166AA">
            <w:pPr>
              <w:pStyle w:val="TableText"/>
              <w:jc w:val="center"/>
            </w:pPr>
            <w:r w:rsidRPr="00912847">
              <w:rPr>
                <w:b/>
                <w:bCs/>
              </w:rPr>
              <w:t>Dependencies and Possible Actions or Corrections Needed to Meet Objective</w:t>
            </w:r>
          </w:p>
        </w:tc>
        <w:tc>
          <w:tcPr>
            <w:tcW w:w="938" w:type="pct"/>
            <w:vAlign w:val="center"/>
          </w:tcPr>
          <w:p w14:paraId="424E667F" w14:textId="77777777" w:rsidR="002166AA" w:rsidRPr="009A1DE7" w:rsidRDefault="002166AA" w:rsidP="002166AA">
            <w:pPr>
              <w:pStyle w:val="TableText"/>
              <w:jc w:val="center"/>
            </w:pPr>
            <w:r w:rsidRPr="00912847">
              <w:rPr>
                <w:b/>
                <w:bCs/>
              </w:rPr>
              <w:t>Warning</w:t>
            </w:r>
          </w:p>
          <w:p w14:paraId="71346FAA" w14:textId="54BEEA35" w:rsidR="002166AA" w:rsidRPr="00D160F4" w:rsidRDefault="002166AA" w:rsidP="002166AA">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3" w:type="pct"/>
            <w:vAlign w:val="center"/>
          </w:tcPr>
          <w:p w14:paraId="3B2BC573" w14:textId="77777777" w:rsidR="002166AA" w:rsidRPr="009A1DE7" w:rsidRDefault="002166AA" w:rsidP="002166AA">
            <w:pPr>
              <w:pStyle w:val="TableText"/>
              <w:jc w:val="center"/>
            </w:pPr>
            <w:r w:rsidRPr="00912847">
              <w:rPr>
                <w:b/>
                <w:bCs/>
              </w:rPr>
              <w:t>References</w:t>
            </w:r>
          </w:p>
          <w:p w14:paraId="03ACB4D6" w14:textId="1942B096" w:rsidR="002166AA" w:rsidRDefault="002166AA" w:rsidP="002166AA">
            <w:pPr>
              <w:pStyle w:val="TableText"/>
              <w:jc w:val="center"/>
            </w:pPr>
            <w:r w:rsidRPr="009A1DE7">
              <w:rPr>
                <w:i/>
                <w:iCs/>
              </w:rPr>
              <w:t>An asterisk (*) denotes an external resource.</w:t>
            </w:r>
          </w:p>
        </w:tc>
      </w:tr>
      <w:tr w:rsidR="009C0DFB" w:rsidRPr="00EE4BD6" w14:paraId="0C2D71DF" w14:textId="77777777" w:rsidTr="009C0DFB">
        <w:trPr>
          <w:cantSplit/>
          <w:trHeight w:val="691"/>
        </w:trPr>
        <w:tc>
          <w:tcPr>
            <w:tcW w:w="678" w:type="pct"/>
            <w:gridSpan w:val="2"/>
          </w:tcPr>
          <w:p w14:paraId="657FDEDA" w14:textId="77777777" w:rsidR="00BA64B4" w:rsidRDefault="00BA64B4" w:rsidP="009F357F">
            <w:pPr>
              <w:pStyle w:val="TableText"/>
              <w:keepNext/>
              <w:keepLines/>
              <w:numPr>
                <w:ilvl w:val="0"/>
                <w:numId w:val="3"/>
              </w:numPr>
              <w:ind w:left="226" w:hanging="180"/>
            </w:pPr>
            <w:r w:rsidRPr="00D160F4">
              <w:t>Select Appointment List: Continuing Care, Unscheduled Appointments, ASAP, Unscheduled Treatment</w:t>
            </w:r>
            <w:r>
              <w:t>,</w:t>
            </w:r>
            <w:r w:rsidRPr="00D160F4">
              <w:t xml:space="preserve"> or Unscheduled Treatment</w:t>
            </w:r>
            <w:r>
              <w:t xml:space="preserve"> </w:t>
            </w:r>
            <w:r w:rsidRPr="00D160F4">
              <w:t>Requests</w:t>
            </w:r>
          </w:p>
          <w:p w14:paraId="75953D2A" w14:textId="77777777" w:rsidR="00BA64B4" w:rsidRDefault="00BA64B4" w:rsidP="009F357F">
            <w:pPr>
              <w:pStyle w:val="TableText"/>
              <w:keepNext/>
              <w:keepLines/>
              <w:numPr>
                <w:ilvl w:val="0"/>
                <w:numId w:val="3"/>
              </w:numPr>
              <w:ind w:left="226" w:hanging="180"/>
            </w:pPr>
            <w:r w:rsidRPr="00D160F4">
              <w:t>Select list filters</w:t>
            </w:r>
          </w:p>
          <w:p w14:paraId="79586AA4" w14:textId="77777777" w:rsidR="00BA64B4" w:rsidRPr="009A1DE7" w:rsidRDefault="00BA64B4" w:rsidP="009F357F">
            <w:pPr>
              <w:pStyle w:val="TableText"/>
              <w:numPr>
                <w:ilvl w:val="0"/>
                <w:numId w:val="3"/>
              </w:numPr>
              <w:ind w:left="226" w:hanging="180"/>
            </w:pPr>
            <w:r w:rsidRPr="00D160F4">
              <w:t>Clinic and Provider (as needed)</w:t>
            </w:r>
          </w:p>
        </w:tc>
        <w:tc>
          <w:tcPr>
            <w:tcW w:w="599" w:type="pct"/>
            <w:gridSpan w:val="2"/>
          </w:tcPr>
          <w:p w14:paraId="5000157B" w14:textId="77777777" w:rsidR="00BA64B4" w:rsidRPr="009A1DE7" w:rsidRDefault="00BA64B4" w:rsidP="009F357F">
            <w:pPr>
              <w:pStyle w:val="TableText"/>
            </w:pPr>
            <w:r w:rsidRPr="00C524C8">
              <w:t>Front Desk Staff</w:t>
            </w:r>
          </w:p>
        </w:tc>
        <w:tc>
          <w:tcPr>
            <w:tcW w:w="874" w:type="pct"/>
            <w:gridSpan w:val="2"/>
          </w:tcPr>
          <w:p w14:paraId="2E44EBEC" w14:textId="77777777" w:rsidR="00BA64B4" w:rsidRPr="009A1DE7" w:rsidRDefault="00BA64B4" w:rsidP="009F357F">
            <w:pPr>
              <w:pStyle w:val="TableText"/>
            </w:pPr>
            <w:r w:rsidRPr="00D160F4">
              <w:t>Compare scheduling lists with appointment opportunities to ensure timely patient care.</w:t>
            </w:r>
          </w:p>
        </w:tc>
        <w:tc>
          <w:tcPr>
            <w:tcW w:w="1288" w:type="pct"/>
          </w:tcPr>
          <w:p w14:paraId="251B8737" w14:textId="77777777" w:rsidR="00BA64B4" w:rsidRDefault="00BA64B4" w:rsidP="009F357F">
            <w:pPr>
              <w:pStyle w:val="TableText"/>
            </w:pPr>
            <w:r w:rsidRPr="00D160F4">
              <w:t xml:space="preserve">Continuing </w:t>
            </w:r>
            <w:r>
              <w:t>c</w:t>
            </w:r>
            <w:r w:rsidRPr="00D160F4">
              <w:t xml:space="preserve">are </w:t>
            </w:r>
            <w:r>
              <w:t xml:space="preserve">is </w:t>
            </w:r>
            <w:r w:rsidRPr="00D160F4">
              <w:t xml:space="preserve">attached to </w:t>
            </w:r>
            <w:r>
              <w:t xml:space="preserve">a </w:t>
            </w:r>
            <w:r w:rsidRPr="00D160F4">
              <w:t>patient</w:t>
            </w:r>
            <w:r>
              <w:t xml:space="preserve"> record</w:t>
            </w:r>
            <w:r w:rsidRPr="00D160F4">
              <w:t xml:space="preserve">. Proper appointment break/wait/will call workflow. ASAP appointment status assigned to appointment. Treatment </w:t>
            </w:r>
            <w:r>
              <w:t>p</w:t>
            </w:r>
            <w:r w:rsidRPr="00D160F4">
              <w:t xml:space="preserve">lans and </w:t>
            </w:r>
            <w:r>
              <w:t>t</w:t>
            </w:r>
            <w:r w:rsidRPr="00D160F4">
              <w:t xml:space="preserve">reatment </w:t>
            </w:r>
            <w:r>
              <w:t>r</w:t>
            </w:r>
            <w:r w:rsidRPr="00D160F4">
              <w:t>equests attached to patient record.</w:t>
            </w:r>
          </w:p>
          <w:p w14:paraId="2C1F1196" w14:textId="77777777" w:rsidR="00BA64B4" w:rsidRDefault="00BA64B4" w:rsidP="009F357F">
            <w:pPr>
              <w:pStyle w:val="TableText"/>
              <w:keepNext/>
              <w:keepLines/>
              <w:numPr>
                <w:ilvl w:val="0"/>
                <w:numId w:val="2"/>
              </w:numPr>
              <w:ind w:left="245" w:hanging="187"/>
            </w:pPr>
            <w:r w:rsidRPr="00C524C8">
              <w:rPr>
                <w:u w:val="single"/>
              </w:rPr>
              <w:t>Appointment Book</w:t>
            </w:r>
            <w:r>
              <w:t xml:space="preserve">: </w:t>
            </w:r>
            <w:r w:rsidRPr="00D160F4">
              <w:t>Create appointment and assign ASAP</w:t>
            </w:r>
            <w:r>
              <w:t xml:space="preserve"> status. A</w:t>
            </w:r>
            <w:r w:rsidRPr="00D160F4">
              <w:t xml:space="preserve">ttach </w:t>
            </w:r>
            <w:r>
              <w:t>c</w:t>
            </w:r>
            <w:r w:rsidRPr="00D160F4">
              <w:t xml:space="preserve">ontinuing </w:t>
            </w:r>
            <w:r>
              <w:t>c</w:t>
            </w:r>
            <w:r w:rsidRPr="00D160F4">
              <w:t>are to appointments</w:t>
            </w:r>
            <w:r>
              <w:t>. For cancellations, b</w:t>
            </w:r>
            <w:r w:rsidRPr="00D160F4">
              <w:t xml:space="preserve">reak </w:t>
            </w:r>
            <w:r>
              <w:t xml:space="preserve">the appointments, </w:t>
            </w:r>
            <w:r w:rsidRPr="00D160F4">
              <w:t xml:space="preserve">and </w:t>
            </w:r>
            <w:r>
              <w:t xml:space="preserve">mark them as </w:t>
            </w:r>
            <w:r w:rsidRPr="00D160F4">
              <w:t>Wait/Will Call</w:t>
            </w:r>
            <w:r>
              <w:t>.</w:t>
            </w:r>
          </w:p>
          <w:p w14:paraId="3EF281B5" w14:textId="77777777" w:rsidR="00BA64B4" w:rsidRDefault="00BA64B4" w:rsidP="009F357F">
            <w:pPr>
              <w:pStyle w:val="TableText"/>
              <w:keepNext/>
              <w:keepLines/>
              <w:numPr>
                <w:ilvl w:val="0"/>
                <w:numId w:val="2"/>
              </w:numPr>
              <w:ind w:left="245" w:hanging="187"/>
            </w:pPr>
            <w:r w:rsidRPr="00C524C8">
              <w:rPr>
                <w:u w:val="single"/>
              </w:rPr>
              <w:t>Family File</w:t>
            </w:r>
            <w:r>
              <w:t xml:space="preserve">: </w:t>
            </w:r>
            <w:r w:rsidRPr="00D160F4">
              <w:t>Assign app</w:t>
            </w:r>
            <w:r>
              <w:t>licable</w:t>
            </w:r>
            <w:r w:rsidRPr="00D160F4">
              <w:t xml:space="preserve"> </w:t>
            </w:r>
            <w:r>
              <w:t>c</w:t>
            </w:r>
            <w:r w:rsidRPr="00D160F4">
              <w:t xml:space="preserve">ontinuing </w:t>
            </w:r>
            <w:r>
              <w:t>c</w:t>
            </w:r>
            <w:r w:rsidRPr="00D160F4">
              <w:t>are types and intervals</w:t>
            </w:r>
            <w:r>
              <w:t>.</w:t>
            </w:r>
          </w:p>
          <w:p w14:paraId="7866CAE7" w14:textId="77777777" w:rsidR="00BA64B4" w:rsidRDefault="00BA64B4" w:rsidP="009F357F">
            <w:pPr>
              <w:pStyle w:val="TableText"/>
              <w:keepNext/>
              <w:keepLines/>
              <w:numPr>
                <w:ilvl w:val="0"/>
                <w:numId w:val="2"/>
              </w:numPr>
              <w:ind w:left="245" w:hanging="187"/>
            </w:pPr>
            <w:r w:rsidRPr="009A1DE7">
              <w:rPr>
                <w:u w:val="single"/>
              </w:rPr>
              <w:t>Chart</w:t>
            </w:r>
            <w:r w:rsidRPr="009A1DE7">
              <w:t xml:space="preserve">: </w:t>
            </w:r>
            <w:r w:rsidRPr="00D160F4">
              <w:t>Enter treatment plan</w:t>
            </w:r>
            <w:r>
              <w:t>.</w:t>
            </w:r>
          </w:p>
          <w:p w14:paraId="1A82EB11" w14:textId="77777777" w:rsidR="00BA64B4" w:rsidRPr="009A1DE7" w:rsidRDefault="00BA64B4" w:rsidP="009F357F">
            <w:pPr>
              <w:pStyle w:val="TableText"/>
              <w:numPr>
                <w:ilvl w:val="0"/>
                <w:numId w:val="2"/>
              </w:numPr>
              <w:ind w:left="232" w:hanging="180"/>
            </w:pPr>
            <w:r w:rsidRPr="00C524C8">
              <w:rPr>
                <w:u w:val="single"/>
              </w:rPr>
              <w:t>More Information</w:t>
            </w:r>
            <w:r>
              <w:t xml:space="preserve">: </w:t>
            </w:r>
            <w:r w:rsidRPr="00D160F4">
              <w:t>Enter treatment request</w:t>
            </w:r>
            <w:r>
              <w:t>.</w:t>
            </w:r>
          </w:p>
        </w:tc>
        <w:tc>
          <w:tcPr>
            <w:tcW w:w="938" w:type="pct"/>
          </w:tcPr>
          <w:p w14:paraId="2B80BB6D" w14:textId="77777777" w:rsidR="00BA64B4" w:rsidRPr="00EF587A" w:rsidRDefault="00BA64B4" w:rsidP="009F357F">
            <w:pPr>
              <w:pStyle w:val="TableText"/>
            </w:pPr>
            <w:r w:rsidRPr="00D160F4">
              <w:t xml:space="preserve">Patient care opportunities are not optimized if those in need of appointments before provider availability occurs are not monitored. </w:t>
            </w:r>
            <w:r>
              <w:t>Open times</w:t>
            </w:r>
            <w:r w:rsidRPr="00D160F4">
              <w:t xml:space="preserve"> in the clinic's schedule</w:t>
            </w:r>
            <w:r>
              <w:t xml:space="preserve"> due to c</w:t>
            </w:r>
            <w:r w:rsidRPr="00D160F4">
              <w:t>ancellations will not be as easily filled if the scheduling lists are not used.</w:t>
            </w:r>
          </w:p>
        </w:tc>
        <w:tc>
          <w:tcPr>
            <w:tcW w:w="623" w:type="pct"/>
          </w:tcPr>
          <w:p w14:paraId="04A30CAF" w14:textId="77777777" w:rsidR="00BA64B4" w:rsidRDefault="00BA64B4" w:rsidP="009F357F">
            <w:pPr>
              <w:pStyle w:val="TableText"/>
              <w:numPr>
                <w:ilvl w:val="0"/>
                <w:numId w:val="1"/>
              </w:numPr>
              <w:ind w:left="187" w:hanging="187"/>
            </w:pPr>
            <w:r>
              <w:t>Schedule Optimization</w:t>
            </w:r>
          </w:p>
          <w:p w14:paraId="7E2A3F02" w14:textId="77777777" w:rsidR="00BA64B4" w:rsidRDefault="00BA64B4" w:rsidP="009F357F">
            <w:pPr>
              <w:pStyle w:val="TableText"/>
              <w:numPr>
                <w:ilvl w:val="0"/>
                <w:numId w:val="1"/>
              </w:numPr>
              <w:ind w:left="187" w:hanging="187"/>
            </w:pPr>
            <w:r>
              <w:t>Patient Records</w:t>
            </w:r>
          </w:p>
          <w:p w14:paraId="35C01ABA" w14:textId="77777777" w:rsidR="00BA64B4" w:rsidRPr="00EF587A" w:rsidRDefault="00BA64B4" w:rsidP="009F357F">
            <w:pPr>
              <w:pStyle w:val="TableText"/>
              <w:numPr>
                <w:ilvl w:val="0"/>
                <w:numId w:val="1"/>
              </w:numPr>
              <w:spacing w:after="0"/>
              <w:ind w:left="187" w:hanging="187"/>
            </w:pPr>
            <w:r>
              <w:t>Clinical Records</w:t>
            </w:r>
          </w:p>
        </w:tc>
      </w:tr>
      <w:tr w:rsidR="00FB675F" w:rsidRPr="00EE4BD6" w14:paraId="2BAEB05F" w14:textId="77777777" w:rsidTr="009C0DFB">
        <w:trPr>
          <w:cantSplit/>
          <w:trHeight w:val="428"/>
        </w:trPr>
        <w:tc>
          <w:tcPr>
            <w:tcW w:w="5000" w:type="pct"/>
            <w:gridSpan w:val="9"/>
            <w:shd w:val="clear" w:color="auto" w:fill="FBE4D5" w:themeFill="accent2" w:themeFillTint="33"/>
            <w:vAlign w:val="center"/>
          </w:tcPr>
          <w:p w14:paraId="35FC50A6" w14:textId="10E0E013" w:rsidR="00FB675F" w:rsidRPr="00C524C8" w:rsidRDefault="00FB675F" w:rsidP="00FB675F">
            <w:pPr>
              <w:pStyle w:val="Heading4"/>
            </w:pPr>
            <w:bookmarkStart w:id="386" w:name="_Referred_By/To"/>
            <w:bookmarkEnd w:id="386"/>
            <w:r w:rsidRPr="00580E0B">
              <w:t>Referred By/To</w:t>
            </w:r>
            <w:r w:rsidR="00FF74B1" w:rsidRPr="006E5910">
              <w:t xml:space="preserve"> Report</w:t>
            </w:r>
            <w:r w:rsidR="00BB2D77">
              <w:tab/>
            </w:r>
            <w:hyperlink w:anchor="_Weekly_Checklist" w:history="1">
              <w:r w:rsidR="00FF74B1" w:rsidRPr="00FF74B1">
                <w:rPr>
                  <w:rStyle w:val="Hyperlink"/>
                  <w:b w:val="0"/>
                  <w:bCs/>
                  <w:sz w:val="16"/>
                  <w:szCs w:val="18"/>
                </w:rPr>
                <w:t>Return to Weekly Checklist</w:t>
              </w:r>
            </w:hyperlink>
          </w:p>
        </w:tc>
      </w:tr>
      <w:tr w:rsidR="008A4FCB" w14:paraId="23096EC0" w14:textId="77777777" w:rsidTr="009C0DFB">
        <w:trPr>
          <w:cantSplit/>
          <w:trHeight w:val="691"/>
        </w:trPr>
        <w:tc>
          <w:tcPr>
            <w:tcW w:w="663" w:type="pct"/>
            <w:vAlign w:val="center"/>
          </w:tcPr>
          <w:p w14:paraId="4B0F4106" w14:textId="77777777" w:rsidR="00FB675F" w:rsidRPr="00D160F4" w:rsidRDefault="00FB675F" w:rsidP="009F357F">
            <w:pPr>
              <w:pStyle w:val="TableText"/>
              <w:keepNext/>
              <w:keepLines/>
              <w:ind w:left="46"/>
              <w:jc w:val="center"/>
            </w:pPr>
            <w:r w:rsidRPr="00912847">
              <w:rPr>
                <w:b/>
                <w:bCs/>
              </w:rPr>
              <w:t>Suggested Report Filters</w:t>
            </w:r>
          </w:p>
        </w:tc>
        <w:tc>
          <w:tcPr>
            <w:tcW w:w="617" w:type="pct"/>
            <w:gridSpan w:val="4"/>
            <w:vAlign w:val="center"/>
          </w:tcPr>
          <w:p w14:paraId="233E718D" w14:textId="77777777" w:rsidR="00FB675F" w:rsidRPr="00C524C8" w:rsidRDefault="00FB675F" w:rsidP="009F357F">
            <w:pPr>
              <w:pStyle w:val="TableText"/>
              <w:jc w:val="center"/>
            </w:pPr>
            <w:r w:rsidRPr="00912847">
              <w:rPr>
                <w:b/>
                <w:bCs/>
              </w:rPr>
              <w:t>Intent / Responsibility</w:t>
            </w:r>
          </w:p>
        </w:tc>
        <w:tc>
          <w:tcPr>
            <w:tcW w:w="871" w:type="pct"/>
            <w:vAlign w:val="center"/>
          </w:tcPr>
          <w:p w14:paraId="2D96F70E" w14:textId="77777777" w:rsidR="00FB675F" w:rsidRPr="00D160F4" w:rsidRDefault="00FB675F" w:rsidP="009F357F">
            <w:pPr>
              <w:pStyle w:val="TableText"/>
              <w:jc w:val="center"/>
            </w:pPr>
            <w:r w:rsidRPr="00912847">
              <w:rPr>
                <w:b/>
                <w:bCs/>
              </w:rPr>
              <w:t>Objective</w:t>
            </w:r>
          </w:p>
        </w:tc>
        <w:tc>
          <w:tcPr>
            <w:tcW w:w="1288" w:type="pct"/>
            <w:vAlign w:val="center"/>
          </w:tcPr>
          <w:p w14:paraId="13909CD8" w14:textId="77777777" w:rsidR="00FB675F" w:rsidRPr="00D160F4" w:rsidRDefault="00FB675F" w:rsidP="009F357F">
            <w:pPr>
              <w:pStyle w:val="TableText"/>
              <w:jc w:val="center"/>
            </w:pPr>
            <w:r w:rsidRPr="00912847">
              <w:rPr>
                <w:b/>
                <w:bCs/>
              </w:rPr>
              <w:t>Dependencies and Possible Actions or Corrections Needed to Meet Objective</w:t>
            </w:r>
          </w:p>
        </w:tc>
        <w:tc>
          <w:tcPr>
            <w:tcW w:w="938" w:type="pct"/>
            <w:vAlign w:val="center"/>
          </w:tcPr>
          <w:p w14:paraId="2DDDCC42" w14:textId="77777777" w:rsidR="00FB675F" w:rsidRPr="009A1DE7" w:rsidRDefault="00FB675F" w:rsidP="009F357F">
            <w:pPr>
              <w:pStyle w:val="TableText"/>
              <w:jc w:val="center"/>
            </w:pPr>
            <w:r w:rsidRPr="00912847">
              <w:rPr>
                <w:b/>
                <w:bCs/>
              </w:rPr>
              <w:t>Warning</w:t>
            </w:r>
          </w:p>
          <w:p w14:paraId="30F1C5E3" w14:textId="77777777" w:rsidR="00FB675F" w:rsidRPr="00D160F4" w:rsidRDefault="00FB675F"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3" w:type="pct"/>
            <w:vAlign w:val="center"/>
          </w:tcPr>
          <w:p w14:paraId="46415B00" w14:textId="77777777" w:rsidR="00FB675F" w:rsidRPr="009A1DE7" w:rsidRDefault="00FB675F" w:rsidP="009F357F">
            <w:pPr>
              <w:pStyle w:val="TableText"/>
              <w:jc w:val="center"/>
            </w:pPr>
            <w:r w:rsidRPr="00912847">
              <w:rPr>
                <w:b/>
                <w:bCs/>
              </w:rPr>
              <w:t>References</w:t>
            </w:r>
          </w:p>
          <w:p w14:paraId="544CD80E" w14:textId="77777777" w:rsidR="00FB675F" w:rsidRDefault="00FB675F" w:rsidP="009F357F">
            <w:pPr>
              <w:pStyle w:val="TableText"/>
              <w:jc w:val="center"/>
            </w:pPr>
            <w:r w:rsidRPr="009A1DE7">
              <w:rPr>
                <w:i/>
                <w:iCs/>
              </w:rPr>
              <w:t>An asterisk (*) denotes an external resource.</w:t>
            </w:r>
          </w:p>
        </w:tc>
      </w:tr>
      <w:tr w:rsidR="008A4FCB" w:rsidRPr="00EE4BD6" w14:paraId="61C8FDAE" w14:textId="77777777" w:rsidTr="009C0DFB">
        <w:trPr>
          <w:cantSplit/>
          <w:trHeight w:val="428"/>
        </w:trPr>
        <w:tc>
          <w:tcPr>
            <w:tcW w:w="663" w:type="pct"/>
          </w:tcPr>
          <w:p w14:paraId="40EC637C" w14:textId="18D91EB9" w:rsidR="00FB675F" w:rsidRPr="00F77313" w:rsidRDefault="00FB675F" w:rsidP="004F45B6">
            <w:pPr>
              <w:pStyle w:val="TableText"/>
              <w:numPr>
                <w:ilvl w:val="0"/>
                <w:numId w:val="161"/>
              </w:numPr>
              <w:ind w:left="225" w:hanging="180"/>
              <w:rPr>
                <w:b/>
                <w:bCs/>
              </w:rPr>
            </w:pPr>
            <w:r>
              <w:t xml:space="preserve">Date Range: </w:t>
            </w:r>
            <w:r w:rsidRPr="00C524C8">
              <w:t>Last week’s range</w:t>
            </w:r>
          </w:p>
        </w:tc>
        <w:tc>
          <w:tcPr>
            <w:tcW w:w="617" w:type="pct"/>
            <w:gridSpan w:val="4"/>
          </w:tcPr>
          <w:p w14:paraId="7BB865F8" w14:textId="77777777" w:rsidR="00FB675F" w:rsidRPr="009A1DE7" w:rsidRDefault="00FB675F" w:rsidP="00FB675F">
            <w:pPr>
              <w:pStyle w:val="TableText"/>
            </w:pPr>
            <w:r w:rsidRPr="00C524C8">
              <w:t>Front Desk</w:t>
            </w:r>
            <w:r>
              <w:t xml:space="preserve"> </w:t>
            </w:r>
            <w:r w:rsidRPr="00C524C8">
              <w:t>/</w:t>
            </w:r>
            <w:r>
              <w:t xml:space="preserve"> </w:t>
            </w:r>
            <w:r w:rsidRPr="00C524C8">
              <w:t>Scheduler, Clinical Manager, CAC, or Dental Chief</w:t>
            </w:r>
          </w:p>
        </w:tc>
        <w:tc>
          <w:tcPr>
            <w:tcW w:w="871" w:type="pct"/>
          </w:tcPr>
          <w:p w14:paraId="6C2CDC1E" w14:textId="77777777" w:rsidR="00FB675F" w:rsidRPr="009A1DE7" w:rsidRDefault="00FB675F" w:rsidP="00FB675F">
            <w:pPr>
              <w:pStyle w:val="TableText"/>
            </w:pPr>
            <w:r w:rsidRPr="00C524C8">
              <w:t>Identify how patients are coming to the office and where they are being sent for additional services.  Identify if additional resources are needed</w:t>
            </w:r>
            <w:r>
              <w:t>.</w:t>
            </w:r>
          </w:p>
        </w:tc>
        <w:tc>
          <w:tcPr>
            <w:tcW w:w="1288" w:type="pct"/>
          </w:tcPr>
          <w:p w14:paraId="10056303" w14:textId="77777777" w:rsidR="00FB675F" w:rsidRDefault="00FB675F" w:rsidP="004F45B6">
            <w:pPr>
              <w:pStyle w:val="TableText"/>
              <w:keepNext/>
              <w:keepLines/>
              <w:numPr>
                <w:ilvl w:val="0"/>
                <w:numId w:val="161"/>
              </w:numPr>
              <w:ind w:left="226" w:hanging="180"/>
            </w:pPr>
            <w:r w:rsidRPr="00657DF9">
              <w:rPr>
                <w:u w:val="single"/>
              </w:rPr>
              <w:t>Family File</w:t>
            </w:r>
            <w:r>
              <w:t>: Document referred by/to within designated fields.</w:t>
            </w:r>
          </w:p>
          <w:p w14:paraId="39B42429" w14:textId="77777777" w:rsidR="00FB675F" w:rsidRDefault="00FB675F" w:rsidP="00AF390B">
            <w:pPr>
              <w:pStyle w:val="TableText"/>
              <w:keepNext/>
              <w:keepLines/>
              <w:ind w:left="226"/>
            </w:pPr>
            <w:r>
              <w:t xml:space="preserve">Activate option to require “referred by” during registration (global setting).  </w:t>
            </w:r>
          </w:p>
          <w:p w14:paraId="4EDC09F7" w14:textId="77777777" w:rsidR="00FB675F" w:rsidRPr="009A1DE7" w:rsidRDefault="00FB675F" w:rsidP="00AF390B">
            <w:pPr>
              <w:pStyle w:val="TableText"/>
              <w:ind w:left="226"/>
            </w:pPr>
            <w:r>
              <w:t>Review and follow up on referred treatment.</w:t>
            </w:r>
          </w:p>
        </w:tc>
        <w:tc>
          <w:tcPr>
            <w:tcW w:w="938" w:type="pct"/>
          </w:tcPr>
          <w:p w14:paraId="6A773719" w14:textId="77777777" w:rsidR="00FB675F" w:rsidRPr="00EF587A" w:rsidRDefault="00FB675F" w:rsidP="00AF390B">
            <w:pPr>
              <w:pStyle w:val="TableText"/>
            </w:pPr>
            <w:r w:rsidRPr="00C524C8">
              <w:t>Documentation of referral sources supports internal processes for managing patient care. Without this workflow, there is greater potential for patient care needs to be missed or not met.</w:t>
            </w:r>
          </w:p>
        </w:tc>
        <w:tc>
          <w:tcPr>
            <w:tcW w:w="623" w:type="pct"/>
          </w:tcPr>
          <w:p w14:paraId="48FB389C" w14:textId="18CBD64A" w:rsidR="00AF390B" w:rsidRDefault="00AF390B" w:rsidP="00AF390B">
            <w:pPr>
              <w:pStyle w:val="TableText"/>
              <w:numPr>
                <w:ilvl w:val="0"/>
                <w:numId w:val="1"/>
              </w:numPr>
              <w:ind w:left="187" w:hanging="187"/>
            </w:pPr>
            <w:r w:rsidRPr="00C524C8">
              <w:t>Database Design</w:t>
            </w:r>
          </w:p>
          <w:p w14:paraId="52DBE911" w14:textId="2BDFEFB2" w:rsidR="00AF390B" w:rsidRDefault="00AF390B" w:rsidP="00AF390B">
            <w:pPr>
              <w:pStyle w:val="TableText"/>
              <w:numPr>
                <w:ilvl w:val="0"/>
                <w:numId w:val="1"/>
              </w:numPr>
              <w:ind w:left="187" w:hanging="187"/>
            </w:pPr>
            <w:r>
              <w:t>Schedule Optimization</w:t>
            </w:r>
          </w:p>
          <w:p w14:paraId="5DFFB0AD" w14:textId="77777777" w:rsidR="00AF390B" w:rsidRDefault="00AF390B" w:rsidP="00AF390B">
            <w:pPr>
              <w:pStyle w:val="TableText"/>
              <w:numPr>
                <w:ilvl w:val="0"/>
                <w:numId w:val="1"/>
              </w:numPr>
              <w:ind w:left="187" w:hanging="187"/>
            </w:pPr>
            <w:r>
              <w:t>Patient Records</w:t>
            </w:r>
          </w:p>
          <w:p w14:paraId="5DE9A8DE" w14:textId="468456B8" w:rsidR="00FB675F" w:rsidRPr="00EF587A" w:rsidRDefault="00AF390B" w:rsidP="00AF390B">
            <w:pPr>
              <w:pStyle w:val="TableText"/>
              <w:numPr>
                <w:ilvl w:val="0"/>
                <w:numId w:val="1"/>
              </w:numPr>
              <w:ind w:left="187" w:hanging="187"/>
            </w:pPr>
            <w:r>
              <w:t>Clinical Records</w:t>
            </w:r>
          </w:p>
        </w:tc>
      </w:tr>
      <w:tr w:rsidR="00544116" w:rsidRPr="00EE4BD6" w14:paraId="3700885C" w14:textId="77777777" w:rsidTr="009C0DFB">
        <w:trPr>
          <w:cantSplit/>
          <w:trHeight w:val="428"/>
        </w:trPr>
        <w:tc>
          <w:tcPr>
            <w:tcW w:w="5000" w:type="pct"/>
            <w:gridSpan w:val="9"/>
            <w:shd w:val="clear" w:color="auto" w:fill="FBE4D5" w:themeFill="accent2" w:themeFillTint="33"/>
            <w:vAlign w:val="center"/>
          </w:tcPr>
          <w:p w14:paraId="6206B953" w14:textId="77EF0AE3" w:rsidR="00544116" w:rsidRDefault="00544116" w:rsidP="00FC1244">
            <w:pPr>
              <w:pStyle w:val="Heading4"/>
            </w:pPr>
            <w:bookmarkStart w:id="387" w:name="_Provider_A/R_Totals"/>
            <w:bookmarkEnd w:id="387"/>
            <w:r w:rsidRPr="00580E0B">
              <w:rPr>
                <w:bCs/>
              </w:rPr>
              <w:lastRenderedPageBreak/>
              <w:t>Provider A/R Totals - By Summary of all Providers or By Specific Provider</w:t>
            </w:r>
            <w:r w:rsidR="00BB2D77">
              <w:tab/>
            </w:r>
            <w:hyperlink w:anchor="_Weekly_Checklist" w:history="1">
              <w:r w:rsidR="00FF74B1" w:rsidRPr="00FF74B1">
                <w:rPr>
                  <w:rStyle w:val="Hyperlink"/>
                  <w:b w:val="0"/>
                  <w:bCs/>
                  <w:sz w:val="16"/>
                  <w:szCs w:val="18"/>
                </w:rPr>
                <w:t>Return to Weekly Checklist</w:t>
              </w:r>
            </w:hyperlink>
          </w:p>
        </w:tc>
      </w:tr>
      <w:tr w:rsidR="00544116" w14:paraId="30C17410" w14:textId="77777777" w:rsidTr="009C0DFB">
        <w:trPr>
          <w:cantSplit/>
          <w:trHeight w:val="691"/>
        </w:trPr>
        <w:tc>
          <w:tcPr>
            <w:tcW w:w="678" w:type="pct"/>
            <w:gridSpan w:val="2"/>
            <w:vAlign w:val="center"/>
          </w:tcPr>
          <w:p w14:paraId="64F2D0AA" w14:textId="77777777" w:rsidR="00544116" w:rsidRPr="00D160F4" w:rsidRDefault="00544116" w:rsidP="009F357F">
            <w:pPr>
              <w:pStyle w:val="TableText"/>
              <w:keepNext/>
              <w:keepLines/>
              <w:ind w:left="46"/>
              <w:jc w:val="center"/>
            </w:pPr>
            <w:r w:rsidRPr="00912847">
              <w:rPr>
                <w:b/>
                <w:bCs/>
              </w:rPr>
              <w:t>Suggested Report Filters</w:t>
            </w:r>
          </w:p>
        </w:tc>
        <w:tc>
          <w:tcPr>
            <w:tcW w:w="598" w:type="pct"/>
            <w:gridSpan w:val="2"/>
            <w:vAlign w:val="center"/>
          </w:tcPr>
          <w:p w14:paraId="523BF56E" w14:textId="77777777" w:rsidR="00544116" w:rsidRPr="00C524C8" w:rsidRDefault="00544116" w:rsidP="009F357F">
            <w:pPr>
              <w:pStyle w:val="TableText"/>
              <w:jc w:val="center"/>
            </w:pPr>
            <w:r w:rsidRPr="00912847">
              <w:rPr>
                <w:b/>
                <w:bCs/>
              </w:rPr>
              <w:t>Intent / Responsibility</w:t>
            </w:r>
          </w:p>
        </w:tc>
        <w:tc>
          <w:tcPr>
            <w:tcW w:w="874" w:type="pct"/>
            <w:gridSpan w:val="2"/>
            <w:vAlign w:val="center"/>
          </w:tcPr>
          <w:p w14:paraId="61435779" w14:textId="77777777" w:rsidR="00544116" w:rsidRPr="00D160F4" w:rsidRDefault="00544116" w:rsidP="009F357F">
            <w:pPr>
              <w:pStyle w:val="TableText"/>
              <w:jc w:val="center"/>
            </w:pPr>
            <w:r w:rsidRPr="00912847">
              <w:rPr>
                <w:b/>
                <w:bCs/>
              </w:rPr>
              <w:t>Objective</w:t>
            </w:r>
          </w:p>
        </w:tc>
        <w:tc>
          <w:tcPr>
            <w:tcW w:w="1286" w:type="pct"/>
            <w:vAlign w:val="center"/>
          </w:tcPr>
          <w:p w14:paraId="6F7FA6FA" w14:textId="77777777" w:rsidR="00544116" w:rsidRPr="00D160F4" w:rsidRDefault="00544116" w:rsidP="009F357F">
            <w:pPr>
              <w:pStyle w:val="TableText"/>
              <w:jc w:val="center"/>
            </w:pPr>
            <w:r w:rsidRPr="00912847">
              <w:rPr>
                <w:b/>
                <w:bCs/>
              </w:rPr>
              <w:t>Dependencies and Possible Actions or Corrections Needed to Meet Objective</w:t>
            </w:r>
          </w:p>
        </w:tc>
        <w:tc>
          <w:tcPr>
            <w:tcW w:w="938" w:type="pct"/>
            <w:vAlign w:val="center"/>
          </w:tcPr>
          <w:p w14:paraId="0F35C5DA" w14:textId="77777777" w:rsidR="00544116" w:rsidRPr="009A1DE7" w:rsidRDefault="00544116" w:rsidP="009F357F">
            <w:pPr>
              <w:pStyle w:val="TableText"/>
              <w:jc w:val="center"/>
            </w:pPr>
            <w:r w:rsidRPr="00912847">
              <w:rPr>
                <w:b/>
                <w:bCs/>
              </w:rPr>
              <w:t>Warning</w:t>
            </w:r>
          </w:p>
          <w:p w14:paraId="1CF3E795" w14:textId="77777777" w:rsidR="00544116" w:rsidRPr="00D160F4" w:rsidRDefault="00544116"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5" w:type="pct"/>
            <w:vAlign w:val="center"/>
          </w:tcPr>
          <w:p w14:paraId="5407F91F" w14:textId="77777777" w:rsidR="00544116" w:rsidRPr="009A1DE7" w:rsidRDefault="00544116" w:rsidP="009F357F">
            <w:pPr>
              <w:pStyle w:val="TableText"/>
              <w:jc w:val="center"/>
            </w:pPr>
            <w:r w:rsidRPr="00912847">
              <w:rPr>
                <w:b/>
                <w:bCs/>
              </w:rPr>
              <w:t>References</w:t>
            </w:r>
          </w:p>
          <w:p w14:paraId="50ED0ABA" w14:textId="77777777" w:rsidR="00544116" w:rsidRDefault="00544116" w:rsidP="009F357F">
            <w:pPr>
              <w:pStyle w:val="TableText"/>
              <w:jc w:val="center"/>
            </w:pPr>
            <w:r w:rsidRPr="009A1DE7">
              <w:rPr>
                <w:i/>
                <w:iCs/>
              </w:rPr>
              <w:t>An asterisk (*) denotes an external resource.</w:t>
            </w:r>
          </w:p>
        </w:tc>
      </w:tr>
      <w:tr w:rsidR="00544116" w:rsidRPr="00EE4BD6" w14:paraId="351FD239" w14:textId="77777777" w:rsidTr="009C0DFB">
        <w:trPr>
          <w:cantSplit/>
          <w:trHeight w:val="428"/>
        </w:trPr>
        <w:tc>
          <w:tcPr>
            <w:tcW w:w="678" w:type="pct"/>
            <w:gridSpan w:val="2"/>
          </w:tcPr>
          <w:p w14:paraId="3A219576" w14:textId="77777777" w:rsidR="00544116" w:rsidRPr="009A1DE7" w:rsidRDefault="00544116" w:rsidP="009F357F">
            <w:pPr>
              <w:pStyle w:val="TableText"/>
              <w:numPr>
                <w:ilvl w:val="0"/>
                <w:numId w:val="3"/>
              </w:numPr>
              <w:ind w:left="226" w:hanging="180"/>
            </w:pPr>
            <w:r>
              <w:t xml:space="preserve">Date Range: </w:t>
            </w:r>
            <w:r w:rsidRPr="00657DF9">
              <w:t>Last week’s range</w:t>
            </w:r>
          </w:p>
        </w:tc>
        <w:tc>
          <w:tcPr>
            <w:tcW w:w="598" w:type="pct"/>
            <w:gridSpan w:val="2"/>
          </w:tcPr>
          <w:p w14:paraId="356FAC41" w14:textId="77777777" w:rsidR="00544116" w:rsidRPr="009A1DE7" w:rsidRDefault="00544116" w:rsidP="009F357F">
            <w:pPr>
              <w:pStyle w:val="TableText"/>
            </w:pPr>
            <w:r w:rsidRPr="00657DF9">
              <w:t>Dental Chief</w:t>
            </w:r>
            <w:r>
              <w:t xml:space="preserve"> </w:t>
            </w:r>
            <w:r w:rsidRPr="00657DF9">
              <w:t>/</w:t>
            </w:r>
            <w:r>
              <w:t xml:space="preserve"> </w:t>
            </w:r>
            <w:r w:rsidRPr="00657DF9">
              <w:t>Each Provider</w:t>
            </w:r>
          </w:p>
        </w:tc>
        <w:tc>
          <w:tcPr>
            <w:tcW w:w="874" w:type="pct"/>
            <w:gridSpan w:val="2"/>
          </w:tcPr>
          <w:p w14:paraId="18301208" w14:textId="77777777" w:rsidR="00544116" w:rsidRPr="009A1DE7" w:rsidRDefault="00544116" w:rsidP="009F357F">
            <w:pPr>
              <w:pStyle w:val="TableText"/>
            </w:pPr>
            <w:r w:rsidRPr="00657DF9">
              <w:t>This report reflects both production and collection net totals because it takes into account adjustments to production (</w:t>
            </w:r>
            <w:r>
              <w:t xml:space="preserve">such as </w:t>
            </w:r>
            <w:r w:rsidRPr="00657DF9">
              <w:t>patient discounts) and adjustments to collections (</w:t>
            </w:r>
            <w:r>
              <w:t xml:space="preserve">such as </w:t>
            </w:r>
            <w:r w:rsidRPr="00657DF9">
              <w:t xml:space="preserve">refunds to patients or insurance company, </w:t>
            </w:r>
            <w:r>
              <w:t xml:space="preserve">and </w:t>
            </w:r>
            <w:r w:rsidRPr="00657DF9">
              <w:t xml:space="preserve">NSF </w:t>
            </w:r>
            <w:r>
              <w:t>c</w:t>
            </w:r>
            <w:r w:rsidRPr="00657DF9">
              <w:t>hecks). The results found in the report reflect actual collectible monies.</w:t>
            </w:r>
          </w:p>
        </w:tc>
        <w:tc>
          <w:tcPr>
            <w:tcW w:w="1286" w:type="pct"/>
          </w:tcPr>
          <w:p w14:paraId="07307D46" w14:textId="77777777" w:rsidR="00544116" w:rsidRDefault="00544116" w:rsidP="009F357F">
            <w:pPr>
              <w:pStyle w:val="TableText"/>
            </w:pPr>
            <w:r>
              <w:t>Charges, payments, adjustments and allocations must be complete and accurate prior to running the report. If a month has ended during this week's date range, a month-end close out must have occurred.</w:t>
            </w:r>
          </w:p>
          <w:p w14:paraId="6A429B07" w14:textId="77777777" w:rsidR="00544116" w:rsidRPr="009A1DE7" w:rsidRDefault="00544116" w:rsidP="009F357F">
            <w:pPr>
              <w:pStyle w:val="TableText"/>
              <w:numPr>
                <w:ilvl w:val="0"/>
                <w:numId w:val="2"/>
              </w:numPr>
              <w:ind w:left="232" w:hanging="180"/>
            </w:pPr>
            <w:r w:rsidRPr="00657DF9">
              <w:rPr>
                <w:u w:val="single"/>
              </w:rPr>
              <w:t>Ledger</w:t>
            </w:r>
            <w:r>
              <w:t>:  Ensure procedures, payments, and adjustment are properly posted to the providers of the rendered service.</w:t>
            </w:r>
          </w:p>
        </w:tc>
        <w:tc>
          <w:tcPr>
            <w:tcW w:w="938" w:type="pct"/>
          </w:tcPr>
          <w:p w14:paraId="18424904" w14:textId="77777777" w:rsidR="00544116" w:rsidRPr="00EF587A" w:rsidRDefault="00544116" w:rsidP="009F357F">
            <w:pPr>
              <w:pStyle w:val="TableText"/>
            </w:pPr>
            <w:r w:rsidRPr="00657DF9">
              <w:t xml:space="preserve">Since this report is the only one in the EDR that contains all adjustment types and their relationship to </w:t>
            </w:r>
            <w:r>
              <w:t>p</w:t>
            </w:r>
            <w:r w:rsidRPr="00657DF9">
              <w:t xml:space="preserve">roductions or </w:t>
            </w:r>
            <w:r>
              <w:t>c</w:t>
            </w:r>
            <w:r w:rsidRPr="00657DF9">
              <w:t xml:space="preserve">ollections, not reviewing this report will leave the Dental Chief and Providers </w:t>
            </w:r>
            <w:r>
              <w:t>with incomplete</w:t>
            </w:r>
            <w:r w:rsidRPr="00657DF9">
              <w:t xml:space="preserve"> information on the status of the clinic's </w:t>
            </w:r>
            <w:r>
              <w:t>a</w:t>
            </w:r>
            <w:r w:rsidRPr="00657DF9">
              <w:t xml:space="preserve">ccounts </w:t>
            </w:r>
            <w:r>
              <w:t>r</w:t>
            </w:r>
            <w:r w:rsidRPr="00657DF9">
              <w:t>eceivable totals.</w:t>
            </w:r>
          </w:p>
        </w:tc>
        <w:tc>
          <w:tcPr>
            <w:tcW w:w="625" w:type="pct"/>
          </w:tcPr>
          <w:p w14:paraId="41F7E064" w14:textId="77777777" w:rsidR="00544116" w:rsidRDefault="00544116" w:rsidP="009F357F">
            <w:pPr>
              <w:pStyle w:val="TableText"/>
              <w:numPr>
                <w:ilvl w:val="0"/>
                <w:numId w:val="1"/>
              </w:numPr>
              <w:ind w:left="187" w:hanging="187"/>
            </w:pPr>
            <w:r>
              <w:t>Revenue Cycle</w:t>
            </w:r>
          </w:p>
          <w:p w14:paraId="5D68302C" w14:textId="77777777" w:rsidR="00544116" w:rsidRPr="00EF587A" w:rsidRDefault="00544116" w:rsidP="009F357F">
            <w:pPr>
              <w:pStyle w:val="TableText"/>
              <w:numPr>
                <w:ilvl w:val="0"/>
                <w:numId w:val="1"/>
              </w:numPr>
              <w:spacing w:after="0"/>
              <w:ind w:left="187" w:hanging="187"/>
            </w:pPr>
            <w:r>
              <w:t>Reports Reference*</w:t>
            </w:r>
          </w:p>
        </w:tc>
      </w:tr>
      <w:tr w:rsidR="00557FD8" w:rsidRPr="00EE4BD6" w14:paraId="144DC36D" w14:textId="77777777" w:rsidTr="009C0DFB">
        <w:trPr>
          <w:cantSplit/>
          <w:trHeight w:val="234"/>
        </w:trPr>
        <w:tc>
          <w:tcPr>
            <w:tcW w:w="5000" w:type="pct"/>
            <w:gridSpan w:val="9"/>
            <w:shd w:val="clear" w:color="auto" w:fill="FBE4D5" w:themeFill="accent2" w:themeFillTint="33"/>
            <w:vAlign w:val="center"/>
          </w:tcPr>
          <w:p w14:paraId="72E347FE" w14:textId="1EFC5905" w:rsidR="00557FD8" w:rsidRDefault="00557FD8" w:rsidP="00FC1244">
            <w:pPr>
              <w:pStyle w:val="Heading4"/>
            </w:pPr>
            <w:bookmarkStart w:id="388" w:name="_Analysis_Summary"/>
            <w:bookmarkEnd w:id="388"/>
            <w:r w:rsidRPr="00580E0B">
              <w:t>Analysis Summary</w:t>
            </w:r>
            <w:r w:rsidR="00BB2D77">
              <w:tab/>
            </w:r>
            <w:hyperlink w:anchor="_Weekly_Checklist" w:history="1">
              <w:r w:rsidR="00FF74B1" w:rsidRPr="00FF74B1">
                <w:rPr>
                  <w:rStyle w:val="Hyperlink"/>
                  <w:b w:val="0"/>
                  <w:bCs/>
                  <w:sz w:val="16"/>
                  <w:szCs w:val="18"/>
                </w:rPr>
                <w:t>Return to Weekly Checklist</w:t>
              </w:r>
            </w:hyperlink>
          </w:p>
        </w:tc>
      </w:tr>
      <w:tr w:rsidR="009C0DFB" w14:paraId="6B7E87E5" w14:textId="77777777" w:rsidTr="009C0DFB">
        <w:trPr>
          <w:cantSplit/>
          <w:trHeight w:val="691"/>
        </w:trPr>
        <w:tc>
          <w:tcPr>
            <w:tcW w:w="678" w:type="pct"/>
            <w:gridSpan w:val="2"/>
            <w:vAlign w:val="center"/>
          </w:tcPr>
          <w:p w14:paraId="764216D1" w14:textId="77777777" w:rsidR="00557FD8" w:rsidRPr="00D160F4" w:rsidRDefault="00557FD8" w:rsidP="009F357F">
            <w:pPr>
              <w:pStyle w:val="TableText"/>
              <w:keepNext/>
              <w:keepLines/>
              <w:ind w:left="46"/>
              <w:jc w:val="center"/>
            </w:pPr>
            <w:r w:rsidRPr="00912847">
              <w:rPr>
                <w:b/>
                <w:bCs/>
              </w:rPr>
              <w:t>Suggested Report Filters</w:t>
            </w:r>
          </w:p>
        </w:tc>
        <w:tc>
          <w:tcPr>
            <w:tcW w:w="598" w:type="pct"/>
            <w:gridSpan w:val="2"/>
            <w:vAlign w:val="center"/>
          </w:tcPr>
          <w:p w14:paraId="607245C9" w14:textId="77777777" w:rsidR="00557FD8" w:rsidRPr="00C524C8" w:rsidRDefault="00557FD8" w:rsidP="009F357F">
            <w:pPr>
              <w:pStyle w:val="TableText"/>
              <w:jc w:val="center"/>
            </w:pPr>
            <w:r w:rsidRPr="00912847">
              <w:rPr>
                <w:b/>
                <w:bCs/>
              </w:rPr>
              <w:t>Intent / Responsibility</w:t>
            </w:r>
          </w:p>
        </w:tc>
        <w:tc>
          <w:tcPr>
            <w:tcW w:w="874" w:type="pct"/>
            <w:gridSpan w:val="2"/>
            <w:vAlign w:val="center"/>
          </w:tcPr>
          <w:p w14:paraId="1AEC2596" w14:textId="77777777" w:rsidR="00557FD8" w:rsidRPr="00D160F4" w:rsidRDefault="00557FD8" w:rsidP="009F357F">
            <w:pPr>
              <w:pStyle w:val="TableText"/>
              <w:jc w:val="center"/>
            </w:pPr>
            <w:r w:rsidRPr="00912847">
              <w:rPr>
                <w:b/>
                <w:bCs/>
              </w:rPr>
              <w:t>Objective</w:t>
            </w:r>
          </w:p>
        </w:tc>
        <w:tc>
          <w:tcPr>
            <w:tcW w:w="1286" w:type="pct"/>
            <w:vAlign w:val="center"/>
          </w:tcPr>
          <w:p w14:paraId="706A9EBE" w14:textId="77777777" w:rsidR="00557FD8" w:rsidRPr="00D160F4" w:rsidRDefault="00557FD8" w:rsidP="009F357F">
            <w:pPr>
              <w:pStyle w:val="TableText"/>
              <w:jc w:val="center"/>
            </w:pPr>
            <w:r w:rsidRPr="00912847">
              <w:rPr>
                <w:b/>
                <w:bCs/>
              </w:rPr>
              <w:t>Dependencies and Possible Actions or Corrections Needed to Meet Objective</w:t>
            </w:r>
          </w:p>
        </w:tc>
        <w:tc>
          <w:tcPr>
            <w:tcW w:w="938" w:type="pct"/>
            <w:vAlign w:val="center"/>
          </w:tcPr>
          <w:p w14:paraId="4558C227" w14:textId="77777777" w:rsidR="00557FD8" w:rsidRPr="009A1DE7" w:rsidRDefault="00557FD8" w:rsidP="009F357F">
            <w:pPr>
              <w:pStyle w:val="TableText"/>
              <w:jc w:val="center"/>
            </w:pPr>
            <w:r w:rsidRPr="00912847">
              <w:rPr>
                <w:b/>
                <w:bCs/>
              </w:rPr>
              <w:t>Warning</w:t>
            </w:r>
          </w:p>
          <w:p w14:paraId="791D37FE" w14:textId="77777777" w:rsidR="00557FD8" w:rsidRPr="00D160F4" w:rsidRDefault="00557FD8"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5" w:type="pct"/>
            <w:vAlign w:val="center"/>
          </w:tcPr>
          <w:p w14:paraId="70FA05B4" w14:textId="77777777" w:rsidR="00557FD8" w:rsidRPr="009A1DE7" w:rsidRDefault="00557FD8" w:rsidP="009F357F">
            <w:pPr>
              <w:pStyle w:val="TableText"/>
              <w:jc w:val="center"/>
            </w:pPr>
            <w:r w:rsidRPr="00912847">
              <w:rPr>
                <w:b/>
                <w:bCs/>
              </w:rPr>
              <w:t>References</w:t>
            </w:r>
          </w:p>
          <w:p w14:paraId="42B9C31A" w14:textId="77777777" w:rsidR="00557FD8" w:rsidRDefault="00557FD8" w:rsidP="009F357F">
            <w:pPr>
              <w:pStyle w:val="TableText"/>
              <w:jc w:val="center"/>
            </w:pPr>
            <w:r w:rsidRPr="009A1DE7">
              <w:rPr>
                <w:i/>
                <w:iCs/>
              </w:rPr>
              <w:t>An asterisk (*) denotes an external resource.</w:t>
            </w:r>
          </w:p>
        </w:tc>
      </w:tr>
      <w:tr w:rsidR="008B2AE9" w:rsidRPr="00EE4BD6" w14:paraId="28BA02CB" w14:textId="77777777" w:rsidTr="009C0DFB">
        <w:trPr>
          <w:cantSplit/>
          <w:trHeight w:val="428"/>
        </w:trPr>
        <w:tc>
          <w:tcPr>
            <w:tcW w:w="678" w:type="pct"/>
            <w:gridSpan w:val="2"/>
          </w:tcPr>
          <w:p w14:paraId="02CE5BA4" w14:textId="77777777" w:rsidR="00557FD8" w:rsidRPr="009A1DE7" w:rsidRDefault="00557FD8" w:rsidP="009F357F">
            <w:pPr>
              <w:pStyle w:val="TableText"/>
              <w:keepNext/>
              <w:keepLines/>
              <w:numPr>
                <w:ilvl w:val="0"/>
                <w:numId w:val="3"/>
              </w:numPr>
              <w:ind w:left="226" w:hanging="180"/>
            </w:pPr>
            <w:r>
              <w:t>Date Range:</w:t>
            </w:r>
            <w:r w:rsidRPr="00657DF9">
              <w:t xml:space="preserve"> Last week’s range</w:t>
            </w:r>
          </w:p>
        </w:tc>
        <w:tc>
          <w:tcPr>
            <w:tcW w:w="598" w:type="pct"/>
            <w:gridSpan w:val="2"/>
          </w:tcPr>
          <w:p w14:paraId="419E583A" w14:textId="77777777" w:rsidR="00557FD8" w:rsidRPr="009A1DE7" w:rsidRDefault="00557FD8" w:rsidP="009F357F">
            <w:pPr>
              <w:pStyle w:val="TableText"/>
              <w:keepNext/>
              <w:keepLines/>
            </w:pPr>
            <w:r w:rsidRPr="00657DF9">
              <w:t>Dental Chief</w:t>
            </w:r>
            <w:r>
              <w:t xml:space="preserve"> </w:t>
            </w:r>
            <w:r w:rsidRPr="00657DF9">
              <w:t>/</w:t>
            </w:r>
            <w:r>
              <w:t xml:space="preserve"> </w:t>
            </w:r>
            <w:r w:rsidRPr="00657DF9">
              <w:t>Each Provider</w:t>
            </w:r>
          </w:p>
        </w:tc>
        <w:tc>
          <w:tcPr>
            <w:tcW w:w="874" w:type="pct"/>
            <w:gridSpan w:val="2"/>
          </w:tcPr>
          <w:p w14:paraId="72AB8502" w14:textId="77777777" w:rsidR="00557FD8" w:rsidRPr="009A1DE7" w:rsidRDefault="00557FD8" w:rsidP="009F357F">
            <w:pPr>
              <w:pStyle w:val="TableText"/>
              <w:keepNext/>
              <w:keepLines/>
            </w:pPr>
            <w:r w:rsidRPr="00657DF9">
              <w:t>Th</w:t>
            </w:r>
            <w:r>
              <w:t>is report</w:t>
            </w:r>
            <w:r w:rsidRPr="00657DF9">
              <w:t xml:space="preserve"> provides at-a-glance totals, similar to day sheet "totals</w:t>
            </w:r>
            <w:r>
              <w:t>,</w:t>
            </w:r>
            <w:r w:rsidRPr="00657DF9">
              <w:t>"</w:t>
            </w:r>
            <w:r>
              <w:t xml:space="preserve"> that are</w:t>
            </w:r>
            <w:r w:rsidRPr="00657DF9">
              <w:t xml:space="preserve"> used to oversee dental site patient, production, </w:t>
            </w:r>
            <w:r>
              <w:t xml:space="preserve">and </w:t>
            </w:r>
            <w:r w:rsidRPr="00657DF9">
              <w:t>collection totals at a high level.</w:t>
            </w:r>
          </w:p>
        </w:tc>
        <w:tc>
          <w:tcPr>
            <w:tcW w:w="1286" w:type="pct"/>
          </w:tcPr>
          <w:p w14:paraId="391A89B3" w14:textId="77777777" w:rsidR="00557FD8" w:rsidRPr="00657DF9" w:rsidRDefault="00557FD8" w:rsidP="009F357F">
            <w:pPr>
              <w:pStyle w:val="TableText"/>
              <w:keepNext/>
              <w:keepLines/>
              <w:numPr>
                <w:ilvl w:val="0"/>
                <w:numId w:val="2"/>
              </w:numPr>
              <w:ind w:left="232" w:hanging="180"/>
            </w:pPr>
            <w:r w:rsidRPr="00F54117">
              <w:rPr>
                <w:rFonts w:eastAsia="Times New Roman" w:cstheme="minorHAnsi"/>
                <w:color w:val="000000"/>
              </w:rPr>
              <w:t>Regular review of Day Sheet Report for accuracy of posted transactions.</w:t>
            </w:r>
          </w:p>
          <w:p w14:paraId="4A216820" w14:textId="77777777" w:rsidR="00557FD8" w:rsidRPr="009A1DE7" w:rsidRDefault="00557FD8" w:rsidP="009F357F">
            <w:pPr>
              <w:pStyle w:val="TableText"/>
              <w:keepNext/>
              <w:keepLines/>
              <w:numPr>
                <w:ilvl w:val="0"/>
                <w:numId w:val="2"/>
              </w:numPr>
              <w:ind w:left="232" w:hanging="180"/>
            </w:pPr>
            <w:r w:rsidRPr="00657DF9">
              <w:rPr>
                <w:u w:val="single"/>
              </w:rPr>
              <w:t>Ledger</w:t>
            </w:r>
            <w:r w:rsidRPr="00657DF9">
              <w:t>:  Charges, payments, adjustments</w:t>
            </w:r>
            <w:r>
              <w:t>,</w:t>
            </w:r>
            <w:r w:rsidRPr="00657DF9">
              <w:t xml:space="preserve"> and allocations must be complete and accurate prior to running the report. Ensure procedures, payments</w:t>
            </w:r>
            <w:r>
              <w:t>,</w:t>
            </w:r>
            <w:r w:rsidRPr="00657DF9">
              <w:t xml:space="preserve"> and adjustments are properly posted to </w:t>
            </w:r>
            <w:r>
              <w:t xml:space="preserve">the </w:t>
            </w:r>
            <w:r w:rsidRPr="00657DF9">
              <w:t>providers of the rendered service.</w:t>
            </w:r>
          </w:p>
        </w:tc>
        <w:tc>
          <w:tcPr>
            <w:tcW w:w="938" w:type="pct"/>
          </w:tcPr>
          <w:p w14:paraId="7EA47421" w14:textId="77777777" w:rsidR="00557FD8" w:rsidRPr="00EF587A" w:rsidRDefault="00557FD8" w:rsidP="009F357F">
            <w:pPr>
              <w:pStyle w:val="TableText"/>
              <w:keepNext/>
              <w:keepLines/>
            </w:pPr>
            <w:r w:rsidRPr="00657DF9">
              <w:t xml:space="preserve">When </w:t>
            </w:r>
            <w:r>
              <w:t>this report</w:t>
            </w:r>
            <w:r w:rsidRPr="00657DF9">
              <w:t xml:space="preserve"> is not reviewed on a regular basis, the </w:t>
            </w:r>
            <w:r>
              <w:t>D</w:t>
            </w:r>
            <w:r w:rsidRPr="00657DF9">
              <w:t xml:space="preserve">ental </w:t>
            </w:r>
            <w:r>
              <w:t>C</w:t>
            </w:r>
            <w:r w:rsidRPr="00657DF9">
              <w:t xml:space="preserve">hief and </w:t>
            </w:r>
            <w:r>
              <w:t>P</w:t>
            </w:r>
            <w:r w:rsidRPr="00657DF9">
              <w:t xml:space="preserve">roviders have a reduced awareness </w:t>
            </w:r>
            <w:r>
              <w:t>of</w:t>
            </w:r>
            <w:r w:rsidRPr="00657DF9">
              <w:t xml:space="preserve"> productivity within the dental clinic.</w:t>
            </w:r>
          </w:p>
        </w:tc>
        <w:tc>
          <w:tcPr>
            <w:tcW w:w="625" w:type="pct"/>
          </w:tcPr>
          <w:p w14:paraId="06081465" w14:textId="77777777" w:rsidR="00557FD8" w:rsidRDefault="00557FD8" w:rsidP="009F357F">
            <w:pPr>
              <w:pStyle w:val="TableText"/>
              <w:keepNext/>
              <w:keepLines/>
              <w:numPr>
                <w:ilvl w:val="0"/>
                <w:numId w:val="1"/>
              </w:numPr>
              <w:ind w:left="187" w:hanging="187"/>
            </w:pPr>
            <w:r>
              <w:t>Revenue Cycle</w:t>
            </w:r>
          </w:p>
          <w:p w14:paraId="7F032AA6" w14:textId="77777777" w:rsidR="00557FD8" w:rsidRPr="00EF587A" w:rsidRDefault="00557FD8" w:rsidP="009F357F">
            <w:pPr>
              <w:pStyle w:val="TableText"/>
              <w:keepNext/>
              <w:keepLines/>
              <w:numPr>
                <w:ilvl w:val="0"/>
                <w:numId w:val="1"/>
              </w:numPr>
              <w:spacing w:after="0"/>
              <w:ind w:left="187" w:hanging="187"/>
            </w:pPr>
            <w:r>
              <w:t>Reports Reference*</w:t>
            </w:r>
          </w:p>
        </w:tc>
      </w:tr>
    </w:tbl>
    <w:p w14:paraId="6012B5FE" w14:textId="77777777" w:rsidR="009C0DFB" w:rsidRDefault="009C0DFB">
      <w:r>
        <w:rPr>
          <w:b/>
          <w:iCs/>
        </w:rPr>
        <w:br w:type="page"/>
      </w:r>
    </w:p>
    <w:tbl>
      <w:tblPr>
        <w:tblStyle w:val="TableGrid"/>
        <w:tblW w:w="12962"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57"/>
        <w:gridCol w:w="1553"/>
        <w:gridCol w:w="2266"/>
        <w:gridCol w:w="3334"/>
        <w:gridCol w:w="2434"/>
        <w:gridCol w:w="1618"/>
      </w:tblGrid>
      <w:tr w:rsidR="000F4A95" w:rsidRPr="00EE4BD6" w14:paraId="688180FF" w14:textId="77777777" w:rsidTr="00F15115">
        <w:trPr>
          <w:cantSplit/>
          <w:trHeight w:val="297"/>
        </w:trPr>
        <w:tc>
          <w:tcPr>
            <w:tcW w:w="5000" w:type="pct"/>
            <w:gridSpan w:val="6"/>
            <w:shd w:val="clear" w:color="auto" w:fill="FBE4D5" w:themeFill="accent2" w:themeFillTint="33"/>
            <w:vAlign w:val="center"/>
          </w:tcPr>
          <w:p w14:paraId="057805C1" w14:textId="78EFC69F" w:rsidR="000F4A95" w:rsidRDefault="000F4A95" w:rsidP="00FC1244">
            <w:pPr>
              <w:pStyle w:val="Heading4"/>
            </w:pPr>
            <w:bookmarkStart w:id="389" w:name="_Suspended_Credits"/>
            <w:bookmarkEnd w:id="389"/>
            <w:r w:rsidRPr="00580E0B">
              <w:lastRenderedPageBreak/>
              <w:t>Suspended Credits</w:t>
            </w:r>
            <w:r w:rsidR="00BB2D77">
              <w:tab/>
            </w:r>
            <w:hyperlink w:anchor="_Weekly_Checklist" w:history="1">
              <w:r w:rsidR="00FF74B1" w:rsidRPr="00FF74B1">
                <w:rPr>
                  <w:rStyle w:val="Hyperlink"/>
                  <w:b w:val="0"/>
                  <w:bCs/>
                  <w:sz w:val="16"/>
                  <w:szCs w:val="18"/>
                </w:rPr>
                <w:t>Return to Weekly Checklist</w:t>
              </w:r>
            </w:hyperlink>
          </w:p>
        </w:tc>
      </w:tr>
      <w:tr w:rsidR="00F15115" w14:paraId="14107320" w14:textId="77777777" w:rsidTr="00F15115">
        <w:trPr>
          <w:cantSplit/>
          <w:trHeight w:val="691"/>
        </w:trPr>
        <w:tc>
          <w:tcPr>
            <w:tcW w:w="678" w:type="pct"/>
            <w:vAlign w:val="center"/>
          </w:tcPr>
          <w:p w14:paraId="3F8F163B" w14:textId="77777777" w:rsidR="000F4A95" w:rsidRPr="00D160F4" w:rsidRDefault="000F4A95" w:rsidP="009F357F">
            <w:pPr>
              <w:pStyle w:val="TableText"/>
              <w:keepNext/>
              <w:keepLines/>
              <w:ind w:left="46"/>
              <w:jc w:val="center"/>
            </w:pPr>
            <w:r w:rsidRPr="00912847">
              <w:rPr>
                <w:b/>
                <w:bCs/>
              </w:rPr>
              <w:t>Suggested Report Filters</w:t>
            </w:r>
          </w:p>
        </w:tc>
        <w:tc>
          <w:tcPr>
            <w:tcW w:w="599" w:type="pct"/>
            <w:vAlign w:val="center"/>
          </w:tcPr>
          <w:p w14:paraId="6F5498DE" w14:textId="77777777" w:rsidR="000F4A95" w:rsidRPr="00C524C8" w:rsidRDefault="000F4A95" w:rsidP="009F357F">
            <w:pPr>
              <w:pStyle w:val="TableText"/>
              <w:jc w:val="center"/>
            </w:pPr>
            <w:r w:rsidRPr="00912847">
              <w:rPr>
                <w:b/>
                <w:bCs/>
              </w:rPr>
              <w:t>Intent / Responsibility</w:t>
            </w:r>
          </w:p>
        </w:tc>
        <w:tc>
          <w:tcPr>
            <w:tcW w:w="874" w:type="pct"/>
            <w:vAlign w:val="center"/>
          </w:tcPr>
          <w:p w14:paraId="1B7968C6" w14:textId="77777777" w:rsidR="000F4A95" w:rsidRPr="00D160F4" w:rsidRDefault="000F4A95" w:rsidP="009F357F">
            <w:pPr>
              <w:pStyle w:val="TableText"/>
              <w:jc w:val="center"/>
            </w:pPr>
            <w:r w:rsidRPr="00912847">
              <w:rPr>
                <w:b/>
                <w:bCs/>
              </w:rPr>
              <w:t>Objective</w:t>
            </w:r>
          </w:p>
        </w:tc>
        <w:tc>
          <w:tcPr>
            <w:tcW w:w="1286" w:type="pct"/>
            <w:vAlign w:val="center"/>
          </w:tcPr>
          <w:p w14:paraId="1BB52B9B" w14:textId="77777777" w:rsidR="000F4A95" w:rsidRPr="00D160F4" w:rsidRDefault="000F4A95" w:rsidP="009F357F">
            <w:pPr>
              <w:pStyle w:val="TableText"/>
              <w:jc w:val="center"/>
            </w:pPr>
            <w:r w:rsidRPr="00912847">
              <w:rPr>
                <w:b/>
                <w:bCs/>
              </w:rPr>
              <w:t>Dependencies and Possible Actions or Corrections Needed to Meet Objective</w:t>
            </w:r>
          </w:p>
        </w:tc>
        <w:tc>
          <w:tcPr>
            <w:tcW w:w="939" w:type="pct"/>
            <w:vAlign w:val="center"/>
          </w:tcPr>
          <w:p w14:paraId="10568B37" w14:textId="77777777" w:rsidR="000F4A95" w:rsidRPr="009A1DE7" w:rsidRDefault="000F4A95" w:rsidP="009F357F">
            <w:pPr>
              <w:pStyle w:val="TableText"/>
              <w:jc w:val="center"/>
            </w:pPr>
            <w:r w:rsidRPr="00912847">
              <w:rPr>
                <w:b/>
                <w:bCs/>
              </w:rPr>
              <w:t>Warning</w:t>
            </w:r>
          </w:p>
          <w:p w14:paraId="63276F68" w14:textId="77777777" w:rsidR="000F4A95" w:rsidRPr="00D160F4" w:rsidRDefault="000F4A95"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5" w:type="pct"/>
            <w:vAlign w:val="center"/>
          </w:tcPr>
          <w:p w14:paraId="7AE9CBFC" w14:textId="77777777" w:rsidR="000F4A95" w:rsidRPr="009A1DE7" w:rsidRDefault="000F4A95" w:rsidP="009F357F">
            <w:pPr>
              <w:pStyle w:val="TableText"/>
              <w:jc w:val="center"/>
            </w:pPr>
            <w:r w:rsidRPr="00912847">
              <w:rPr>
                <w:b/>
                <w:bCs/>
              </w:rPr>
              <w:t>References</w:t>
            </w:r>
          </w:p>
          <w:p w14:paraId="76436F44" w14:textId="77777777" w:rsidR="000F4A95" w:rsidRDefault="000F4A95" w:rsidP="009F357F">
            <w:pPr>
              <w:pStyle w:val="TableText"/>
              <w:jc w:val="center"/>
            </w:pPr>
            <w:r w:rsidRPr="009A1DE7">
              <w:rPr>
                <w:i/>
                <w:iCs/>
              </w:rPr>
              <w:t>An asterisk (*) denotes an external resource.</w:t>
            </w:r>
          </w:p>
        </w:tc>
      </w:tr>
      <w:tr w:rsidR="009C0DFB" w:rsidRPr="00EE4BD6" w14:paraId="1F9567A7" w14:textId="77777777" w:rsidTr="00F15115">
        <w:trPr>
          <w:cantSplit/>
          <w:trHeight w:val="428"/>
        </w:trPr>
        <w:tc>
          <w:tcPr>
            <w:tcW w:w="678" w:type="pct"/>
          </w:tcPr>
          <w:p w14:paraId="6ECE52BE" w14:textId="77777777" w:rsidR="00557FD8" w:rsidRPr="009A1DE7" w:rsidRDefault="00557FD8" w:rsidP="009F357F">
            <w:pPr>
              <w:pStyle w:val="TableText"/>
              <w:numPr>
                <w:ilvl w:val="0"/>
                <w:numId w:val="3"/>
              </w:numPr>
              <w:ind w:left="226" w:hanging="180"/>
            </w:pPr>
            <w:r>
              <w:t>Date Range: Last week’s date to current</w:t>
            </w:r>
          </w:p>
        </w:tc>
        <w:tc>
          <w:tcPr>
            <w:tcW w:w="599" w:type="pct"/>
          </w:tcPr>
          <w:p w14:paraId="7C4947DE" w14:textId="77777777" w:rsidR="00557FD8" w:rsidRPr="009A1DE7" w:rsidRDefault="00557FD8" w:rsidP="009F357F">
            <w:pPr>
              <w:pStyle w:val="TableText"/>
            </w:pPr>
            <w:r w:rsidRPr="00657DF9">
              <w:t>Front Desk</w:t>
            </w:r>
            <w:r>
              <w:t xml:space="preserve"> </w:t>
            </w:r>
            <w:r w:rsidRPr="00657DF9">
              <w:t>/</w:t>
            </w:r>
            <w:r>
              <w:t xml:space="preserve"> </w:t>
            </w:r>
            <w:r w:rsidRPr="00657DF9">
              <w:t>Billing Staff Review</w:t>
            </w:r>
          </w:p>
        </w:tc>
        <w:tc>
          <w:tcPr>
            <w:tcW w:w="874" w:type="pct"/>
          </w:tcPr>
          <w:p w14:paraId="225711CD" w14:textId="77777777" w:rsidR="00557FD8" w:rsidRPr="009A1DE7" w:rsidRDefault="00557FD8" w:rsidP="009F357F">
            <w:pPr>
              <w:pStyle w:val="TableText"/>
            </w:pPr>
            <w:r w:rsidRPr="00657DF9">
              <w:t xml:space="preserve">Identify payments that have been made but not assigned </w:t>
            </w:r>
            <w:r>
              <w:t>(</w:t>
            </w:r>
            <w:r w:rsidRPr="00657DF9">
              <w:t>allocated</w:t>
            </w:r>
            <w:r>
              <w:t>)</w:t>
            </w:r>
            <w:r w:rsidRPr="00657DF9">
              <w:t xml:space="preserve"> to a date of dental service.</w:t>
            </w:r>
          </w:p>
        </w:tc>
        <w:tc>
          <w:tcPr>
            <w:tcW w:w="1286" w:type="pct"/>
          </w:tcPr>
          <w:p w14:paraId="0152AC95" w14:textId="77777777" w:rsidR="00557FD8" w:rsidRDefault="00557FD8" w:rsidP="009F357F">
            <w:pPr>
              <w:pStyle w:val="TableText"/>
              <w:keepNext/>
              <w:keepLines/>
              <w:numPr>
                <w:ilvl w:val="0"/>
                <w:numId w:val="2"/>
              </w:numPr>
              <w:ind w:left="232" w:hanging="180"/>
            </w:pPr>
            <w:r w:rsidRPr="00657DF9">
              <w:t xml:space="preserve">Management and posting of payments to the patient account in Dentrix Enterprise. Once posted, </w:t>
            </w:r>
            <w:r>
              <w:t xml:space="preserve">the </w:t>
            </w:r>
            <w:r w:rsidRPr="00657DF9">
              <w:t>paymen</w:t>
            </w:r>
            <w:r>
              <w:t xml:space="preserve">t or </w:t>
            </w:r>
            <w:r w:rsidRPr="00657DF9">
              <w:t>credit must be allocated to a procedure</w:t>
            </w:r>
            <w:r>
              <w:t xml:space="preserve"> or c</w:t>
            </w:r>
            <w:r w:rsidRPr="00657DF9">
              <w:t>harge.</w:t>
            </w:r>
          </w:p>
          <w:p w14:paraId="5BB39210" w14:textId="77777777" w:rsidR="00557FD8" w:rsidRPr="009A1DE7" w:rsidRDefault="00557FD8" w:rsidP="009F357F">
            <w:pPr>
              <w:pStyle w:val="TableText"/>
              <w:numPr>
                <w:ilvl w:val="0"/>
                <w:numId w:val="2"/>
              </w:numPr>
              <w:ind w:left="232" w:hanging="180"/>
            </w:pPr>
            <w:r w:rsidRPr="00657DF9">
              <w:rPr>
                <w:u w:val="single"/>
              </w:rPr>
              <w:t>Ledger</w:t>
            </w:r>
            <w:r w:rsidRPr="00657DF9">
              <w:t xml:space="preserve">:  Allocate payments as they come in utilizing the FIFO method unless </w:t>
            </w:r>
            <w:r>
              <w:t xml:space="preserve">there is </w:t>
            </w:r>
            <w:r w:rsidRPr="00657DF9">
              <w:t>clear documentation of how and when the payments should be applied.</w:t>
            </w:r>
          </w:p>
        </w:tc>
        <w:tc>
          <w:tcPr>
            <w:tcW w:w="939" w:type="pct"/>
          </w:tcPr>
          <w:p w14:paraId="12F76A06" w14:textId="77777777" w:rsidR="00557FD8" w:rsidRPr="00EF587A" w:rsidRDefault="00557FD8" w:rsidP="009F357F">
            <w:pPr>
              <w:pStyle w:val="TableText"/>
            </w:pPr>
            <w:r w:rsidRPr="00657DF9">
              <w:t>Suspended credits are an interim state for credits in Dentrix Enterprise. Without proper and timely allocation of suspended credit, the itemized balance and provider collection number will be inaccurate.</w:t>
            </w:r>
          </w:p>
        </w:tc>
        <w:tc>
          <w:tcPr>
            <w:tcW w:w="625" w:type="pct"/>
          </w:tcPr>
          <w:p w14:paraId="38AB30F0" w14:textId="77777777" w:rsidR="00557FD8" w:rsidRDefault="00557FD8" w:rsidP="009F357F">
            <w:pPr>
              <w:pStyle w:val="TableText"/>
              <w:numPr>
                <w:ilvl w:val="0"/>
                <w:numId w:val="1"/>
              </w:numPr>
              <w:ind w:left="187" w:hanging="187"/>
            </w:pPr>
            <w:r>
              <w:t>Revenue Cycle</w:t>
            </w:r>
          </w:p>
          <w:p w14:paraId="1A8128FA" w14:textId="77777777" w:rsidR="00557FD8" w:rsidRPr="00EF587A" w:rsidRDefault="00557FD8" w:rsidP="009F357F">
            <w:pPr>
              <w:pStyle w:val="TableText"/>
              <w:numPr>
                <w:ilvl w:val="0"/>
                <w:numId w:val="1"/>
              </w:numPr>
              <w:spacing w:after="0"/>
              <w:ind w:left="187" w:hanging="187"/>
            </w:pPr>
            <w:r>
              <w:t>Reports Reference*</w:t>
            </w:r>
          </w:p>
        </w:tc>
      </w:tr>
      <w:tr w:rsidR="004D7100" w:rsidRPr="00EE4BD6" w14:paraId="2EC5500B" w14:textId="77777777" w:rsidTr="00F15115">
        <w:trPr>
          <w:cantSplit/>
          <w:trHeight w:val="180"/>
        </w:trPr>
        <w:tc>
          <w:tcPr>
            <w:tcW w:w="5000" w:type="pct"/>
            <w:gridSpan w:val="6"/>
            <w:shd w:val="clear" w:color="auto" w:fill="FBE4D5" w:themeFill="accent2" w:themeFillTint="33"/>
            <w:vAlign w:val="center"/>
          </w:tcPr>
          <w:p w14:paraId="50A04008" w14:textId="277B6039" w:rsidR="004D7100" w:rsidRDefault="004D7100" w:rsidP="00FC1244">
            <w:pPr>
              <w:pStyle w:val="Heading4"/>
            </w:pPr>
            <w:bookmarkStart w:id="390" w:name="_Secondary_Insurance_Claims_1"/>
            <w:bookmarkEnd w:id="390"/>
            <w:r w:rsidRPr="00580E0B">
              <w:t>Secondary Insurance Claims Not Created Report</w:t>
            </w:r>
            <w:r w:rsidR="00BB2D77">
              <w:tab/>
            </w:r>
            <w:hyperlink w:anchor="Weekly2ndPg" w:history="1">
              <w:r w:rsidR="00FF74B1" w:rsidRPr="00FF74B1">
                <w:rPr>
                  <w:rStyle w:val="Hyperlink"/>
                  <w:b w:val="0"/>
                  <w:bCs/>
                  <w:sz w:val="16"/>
                  <w:szCs w:val="18"/>
                </w:rPr>
                <w:t>Return to Weekly Checklist</w:t>
              </w:r>
            </w:hyperlink>
          </w:p>
        </w:tc>
      </w:tr>
      <w:tr w:rsidR="004D7100" w14:paraId="515FC062" w14:textId="77777777" w:rsidTr="00F15115">
        <w:trPr>
          <w:cantSplit/>
          <w:trHeight w:val="691"/>
        </w:trPr>
        <w:tc>
          <w:tcPr>
            <w:tcW w:w="678" w:type="pct"/>
            <w:vAlign w:val="center"/>
          </w:tcPr>
          <w:p w14:paraId="0AEA19C9" w14:textId="77777777" w:rsidR="004D7100" w:rsidRPr="00D160F4" w:rsidRDefault="004D7100" w:rsidP="009F357F">
            <w:pPr>
              <w:pStyle w:val="TableText"/>
              <w:keepNext/>
              <w:keepLines/>
              <w:ind w:left="46"/>
              <w:jc w:val="center"/>
            </w:pPr>
            <w:r w:rsidRPr="00912847">
              <w:rPr>
                <w:b/>
                <w:bCs/>
              </w:rPr>
              <w:t>Suggested Report Filters</w:t>
            </w:r>
          </w:p>
        </w:tc>
        <w:tc>
          <w:tcPr>
            <w:tcW w:w="599" w:type="pct"/>
            <w:vAlign w:val="center"/>
          </w:tcPr>
          <w:p w14:paraId="51EBF5A8" w14:textId="77777777" w:rsidR="004D7100" w:rsidRPr="00C524C8" w:rsidRDefault="004D7100" w:rsidP="009F357F">
            <w:pPr>
              <w:pStyle w:val="TableText"/>
              <w:jc w:val="center"/>
            </w:pPr>
            <w:r w:rsidRPr="00912847">
              <w:rPr>
                <w:b/>
                <w:bCs/>
              </w:rPr>
              <w:t>Intent / Responsibility</w:t>
            </w:r>
          </w:p>
        </w:tc>
        <w:tc>
          <w:tcPr>
            <w:tcW w:w="874" w:type="pct"/>
            <w:vAlign w:val="center"/>
          </w:tcPr>
          <w:p w14:paraId="643C0C5D" w14:textId="77777777" w:rsidR="004D7100" w:rsidRPr="00D160F4" w:rsidRDefault="004D7100" w:rsidP="009F357F">
            <w:pPr>
              <w:pStyle w:val="TableText"/>
              <w:jc w:val="center"/>
            </w:pPr>
            <w:r w:rsidRPr="00912847">
              <w:rPr>
                <w:b/>
                <w:bCs/>
              </w:rPr>
              <w:t>Objective</w:t>
            </w:r>
          </w:p>
        </w:tc>
        <w:tc>
          <w:tcPr>
            <w:tcW w:w="1286" w:type="pct"/>
            <w:vAlign w:val="center"/>
          </w:tcPr>
          <w:p w14:paraId="6EB33FEC" w14:textId="77777777" w:rsidR="004D7100" w:rsidRPr="00D160F4" w:rsidRDefault="004D7100" w:rsidP="009F357F">
            <w:pPr>
              <w:pStyle w:val="TableText"/>
              <w:jc w:val="center"/>
            </w:pPr>
            <w:r w:rsidRPr="00912847">
              <w:rPr>
                <w:b/>
                <w:bCs/>
              </w:rPr>
              <w:t>Dependencies and Possible Actions or Corrections Needed to Meet Objective</w:t>
            </w:r>
          </w:p>
        </w:tc>
        <w:tc>
          <w:tcPr>
            <w:tcW w:w="939" w:type="pct"/>
            <w:vAlign w:val="center"/>
          </w:tcPr>
          <w:p w14:paraId="6DA82F67" w14:textId="77777777" w:rsidR="004D7100" w:rsidRPr="009A1DE7" w:rsidRDefault="004D7100" w:rsidP="009F357F">
            <w:pPr>
              <w:pStyle w:val="TableText"/>
              <w:jc w:val="center"/>
            </w:pPr>
            <w:r w:rsidRPr="00912847">
              <w:rPr>
                <w:b/>
                <w:bCs/>
              </w:rPr>
              <w:t>Warning</w:t>
            </w:r>
          </w:p>
          <w:p w14:paraId="682F6732" w14:textId="77777777" w:rsidR="004D7100" w:rsidRPr="00D160F4" w:rsidRDefault="004D7100"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5" w:type="pct"/>
            <w:vAlign w:val="center"/>
          </w:tcPr>
          <w:p w14:paraId="7D96CED7" w14:textId="77777777" w:rsidR="004D7100" w:rsidRPr="009A1DE7" w:rsidRDefault="004D7100" w:rsidP="009F357F">
            <w:pPr>
              <w:pStyle w:val="TableText"/>
              <w:jc w:val="center"/>
            </w:pPr>
            <w:r w:rsidRPr="00912847">
              <w:rPr>
                <w:b/>
                <w:bCs/>
              </w:rPr>
              <w:t>References</w:t>
            </w:r>
          </w:p>
          <w:p w14:paraId="1D89FA9B" w14:textId="77777777" w:rsidR="004D7100" w:rsidRDefault="004D7100" w:rsidP="009F357F">
            <w:pPr>
              <w:pStyle w:val="TableText"/>
              <w:jc w:val="center"/>
            </w:pPr>
            <w:r w:rsidRPr="009A1DE7">
              <w:rPr>
                <w:i/>
                <w:iCs/>
              </w:rPr>
              <w:t>An asterisk (*) denotes an external resource.</w:t>
            </w:r>
          </w:p>
        </w:tc>
      </w:tr>
      <w:tr w:rsidR="00F15115" w:rsidRPr="00EE4BD6" w14:paraId="5601BAF3" w14:textId="77777777" w:rsidTr="00F15115">
        <w:trPr>
          <w:cantSplit/>
          <w:trHeight w:val="428"/>
        </w:trPr>
        <w:tc>
          <w:tcPr>
            <w:tcW w:w="678" w:type="pct"/>
          </w:tcPr>
          <w:p w14:paraId="7873D1AF" w14:textId="77777777" w:rsidR="004D7100" w:rsidRPr="009A1DE7" w:rsidRDefault="004D7100" w:rsidP="009F357F">
            <w:pPr>
              <w:pStyle w:val="TableText"/>
              <w:keepNext/>
              <w:keepLines/>
              <w:numPr>
                <w:ilvl w:val="0"/>
                <w:numId w:val="3"/>
              </w:numPr>
              <w:ind w:left="226" w:hanging="180"/>
            </w:pPr>
            <w:r>
              <w:t>Date Range: Last week’s date to current</w:t>
            </w:r>
          </w:p>
        </w:tc>
        <w:tc>
          <w:tcPr>
            <w:tcW w:w="599" w:type="pct"/>
          </w:tcPr>
          <w:p w14:paraId="0E4027C1" w14:textId="77777777" w:rsidR="004D7100" w:rsidRPr="009A1DE7" w:rsidRDefault="004D7100" w:rsidP="009F357F">
            <w:pPr>
              <w:pStyle w:val="TableText"/>
              <w:keepNext/>
              <w:keepLines/>
            </w:pPr>
            <w:r w:rsidRPr="00EB769D">
              <w:t>Front Desk</w:t>
            </w:r>
            <w:r>
              <w:t xml:space="preserve"> </w:t>
            </w:r>
            <w:r w:rsidRPr="00EB769D">
              <w:t>/</w:t>
            </w:r>
            <w:r>
              <w:t xml:space="preserve"> </w:t>
            </w:r>
            <w:r w:rsidRPr="00EB769D">
              <w:t>Billing Staff Review</w:t>
            </w:r>
          </w:p>
        </w:tc>
        <w:tc>
          <w:tcPr>
            <w:tcW w:w="874" w:type="pct"/>
          </w:tcPr>
          <w:p w14:paraId="4E41D048" w14:textId="77777777" w:rsidR="004D7100" w:rsidRPr="009A1DE7" w:rsidRDefault="004D7100" w:rsidP="009F357F">
            <w:pPr>
              <w:pStyle w:val="TableText"/>
              <w:keepNext/>
              <w:keepLines/>
            </w:pPr>
            <w:r>
              <w:t>I</w:t>
            </w:r>
            <w:r w:rsidRPr="00837A86">
              <w:t>dentify and process secondary insurance claims that have not yet been created.</w:t>
            </w:r>
          </w:p>
        </w:tc>
        <w:tc>
          <w:tcPr>
            <w:tcW w:w="1286" w:type="pct"/>
          </w:tcPr>
          <w:p w14:paraId="4DE04AB3" w14:textId="77777777" w:rsidR="004D7100" w:rsidRDefault="004D7100" w:rsidP="009F357F">
            <w:pPr>
              <w:pStyle w:val="TableText"/>
              <w:keepNext/>
              <w:keepLines/>
            </w:pPr>
            <w:r w:rsidRPr="00837A86">
              <w:t xml:space="preserve">Both </w:t>
            </w:r>
            <w:r>
              <w:t>p</w:t>
            </w:r>
            <w:r w:rsidRPr="00837A86">
              <w:t xml:space="preserve">rimary and </w:t>
            </w:r>
            <w:r>
              <w:t>s</w:t>
            </w:r>
            <w:r w:rsidRPr="00837A86">
              <w:t xml:space="preserve">econdary </w:t>
            </w:r>
            <w:r>
              <w:t>i</w:t>
            </w:r>
            <w:r w:rsidRPr="00837A86">
              <w:t xml:space="preserve">nsurance plans have been attached to </w:t>
            </w:r>
            <w:r>
              <w:t xml:space="preserve">a </w:t>
            </w:r>
            <w:r w:rsidRPr="00837A86">
              <w:t>patient in Family File.</w:t>
            </w:r>
            <w:r>
              <w:t xml:space="preserve"> </w:t>
            </w:r>
            <w:r w:rsidRPr="00EB769D">
              <w:t>Primary insurance claims have been reconciled with either a payment or denial.</w:t>
            </w:r>
          </w:p>
          <w:p w14:paraId="309E8820" w14:textId="77777777" w:rsidR="004D7100" w:rsidRPr="009A1DE7" w:rsidRDefault="004D7100" w:rsidP="009F357F">
            <w:pPr>
              <w:pStyle w:val="TableText"/>
              <w:keepNext/>
              <w:keepLines/>
              <w:numPr>
                <w:ilvl w:val="0"/>
                <w:numId w:val="2"/>
              </w:numPr>
              <w:ind w:left="232" w:hanging="180"/>
            </w:pPr>
            <w:r w:rsidRPr="00EB769D">
              <w:rPr>
                <w:u w:val="single"/>
              </w:rPr>
              <w:t>Ledger</w:t>
            </w:r>
            <w:r>
              <w:t>: Confirm the services are ready to be sent to secondary insurance. Print claims, or send claims electronically.</w:t>
            </w:r>
          </w:p>
        </w:tc>
        <w:tc>
          <w:tcPr>
            <w:tcW w:w="939" w:type="pct"/>
          </w:tcPr>
          <w:p w14:paraId="4CD8F7F6" w14:textId="77777777" w:rsidR="004D7100" w:rsidRPr="00EF587A" w:rsidRDefault="004D7100" w:rsidP="009F357F">
            <w:pPr>
              <w:pStyle w:val="TableText"/>
              <w:keepNext/>
              <w:keepLines/>
            </w:pPr>
            <w:r>
              <w:t>This report reveals w</w:t>
            </w:r>
            <w:r w:rsidRPr="006C402E">
              <w:t xml:space="preserve">hen </w:t>
            </w:r>
            <w:r>
              <w:t>a</w:t>
            </w:r>
            <w:r w:rsidRPr="006C402E">
              <w:t xml:space="preserve"> patient's secondary insurance claim has not been created following the posting of </w:t>
            </w:r>
            <w:r>
              <w:t xml:space="preserve">a </w:t>
            </w:r>
            <w:r w:rsidRPr="006C402E">
              <w:t xml:space="preserve">payment or denial from </w:t>
            </w:r>
            <w:r>
              <w:t>their</w:t>
            </w:r>
            <w:r w:rsidRPr="006C402E">
              <w:t xml:space="preserve"> primary insurance. If the clinic does not routinely run this report, secondary insurance claims are not filed, </w:t>
            </w:r>
            <w:r>
              <w:t xml:space="preserve">which </w:t>
            </w:r>
            <w:r w:rsidRPr="006C402E">
              <w:t>effectively lower</w:t>
            </w:r>
            <w:r>
              <w:t>s</w:t>
            </w:r>
            <w:r w:rsidRPr="006C402E">
              <w:t xml:space="preserve"> revenue.</w:t>
            </w:r>
          </w:p>
        </w:tc>
        <w:tc>
          <w:tcPr>
            <w:tcW w:w="625" w:type="pct"/>
          </w:tcPr>
          <w:p w14:paraId="3AAD6505" w14:textId="77777777" w:rsidR="004D7100" w:rsidRPr="00EF587A" w:rsidRDefault="004D7100" w:rsidP="009F357F">
            <w:pPr>
              <w:pStyle w:val="TableText"/>
              <w:keepNext/>
              <w:keepLines/>
              <w:numPr>
                <w:ilvl w:val="0"/>
                <w:numId w:val="1"/>
              </w:numPr>
              <w:spacing w:after="0"/>
              <w:ind w:left="187" w:hanging="187"/>
            </w:pPr>
            <w:r>
              <w:t>Revenue Cycle</w:t>
            </w:r>
          </w:p>
        </w:tc>
      </w:tr>
    </w:tbl>
    <w:p w14:paraId="3141FB03" w14:textId="77777777" w:rsidR="00F15115" w:rsidRDefault="00F15115">
      <w:r>
        <w:rPr>
          <w:b/>
          <w:iCs/>
        </w:rPr>
        <w:br w:type="page"/>
      </w:r>
    </w:p>
    <w:tbl>
      <w:tblPr>
        <w:tblStyle w:val="TableGrid"/>
        <w:tblW w:w="12963"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53"/>
        <w:gridCol w:w="1550"/>
        <w:gridCol w:w="2271"/>
        <w:gridCol w:w="3334"/>
        <w:gridCol w:w="2432"/>
        <w:gridCol w:w="1623"/>
      </w:tblGrid>
      <w:tr w:rsidR="003F3C47" w:rsidRPr="00EE4BD6" w14:paraId="60DB69A3" w14:textId="77777777" w:rsidTr="00DD1E1E">
        <w:trPr>
          <w:cantSplit/>
          <w:trHeight w:val="207"/>
        </w:trPr>
        <w:tc>
          <w:tcPr>
            <w:tcW w:w="5000" w:type="pct"/>
            <w:gridSpan w:val="6"/>
            <w:shd w:val="clear" w:color="auto" w:fill="FBE4D5" w:themeFill="accent2" w:themeFillTint="33"/>
            <w:vAlign w:val="center"/>
          </w:tcPr>
          <w:p w14:paraId="72C73F7C" w14:textId="05098CE4" w:rsidR="003F3C47" w:rsidRDefault="003F3C47" w:rsidP="00FC1244">
            <w:pPr>
              <w:pStyle w:val="Heading4"/>
            </w:pPr>
            <w:bookmarkStart w:id="391" w:name="_Secondary_Pre-Treatment_Estimates"/>
            <w:bookmarkEnd w:id="391"/>
            <w:r w:rsidRPr="00EB07D3">
              <w:lastRenderedPageBreak/>
              <w:t>Secondary Pre-Treatment Estimates Not Created Report</w:t>
            </w:r>
            <w:r w:rsidR="00BB2D77">
              <w:tab/>
            </w:r>
            <w:hyperlink w:anchor="Weekly2ndPg" w:history="1">
              <w:r w:rsidR="00FF74B1" w:rsidRPr="00FF74B1">
                <w:rPr>
                  <w:rStyle w:val="Hyperlink"/>
                  <w:b w:val="0"/>
                  <w:bCs/>
                  <w:sz w:val="16"/>
                  <w:szCs w:val="18"/>
                </w:rPr>
                <w:t>Return to Weekly Checklist</w:t>
              </w:r>
            </w:hyperlink>
          </w:p>
        </w:tc>
      </w:tr>
      <w:tr w:rsidR="003F3C47" w14:paraId="245A4DC3" w14:textId="77777777" w:rsidTr="00B16C98">
        <w:trPr>
          <w:cantSplit/>
          <w:trHeight w:val="691"/>
        </w:trPr>
        <w:tc>
          <w:tcPr>
            <w:tcW w:w="676" w:type="pct"/>
            <w:vAlign w:val="center"/>
          </w:tcPr>
          <w:p w14:paraId="70A4E088" w14:textId="77777777" w:rsidR="003F3C47" w:rsidRPr="00D160F4" w:rsidRDefault="003F3C47" w:rsidP="009F357F">
            <w:pPr>
              <w:pStyle w:val="TableText"/>
              <w:keepNext/>
              <w:keepLines/>
              <w:ind w:left="46"/>
              <w:jc w:val="center"/>
            </w:pPr>
            <w:r w:rsidRPr="00912847">
              <w:rPr>
                <w:b/>
                <w:bCs/>
              </w:rPr>
              <w:t>Suggested Report Filters</w:t>
            </w:r>
          </w:p>
        </w:tc>
        <w:tc>
          <w:tcPr>
            <w:tcW w:w="598" w:type="pct"/>
            <w:vAlign w:val="center"/>
          </w:tcPr>
          <w:p w14:paraId="0046AA89" w14:textId="77777777" w:rsidR="003F3C47" w:rsidRPr="00C524C8" w:rsidRDefault="003F3C47" w:rsidP="009F357F">
            <w:pPr>
              <w:pStyle w:val="TableText"/>
              <w:jc w:val="center"/>
            </w:pPr>
            <w:r w:rsidRPr="00912847">
              <w:rPr>
                <w:b/>
                <w:bCs/>
              </w:rPr>
              <w:t>Intent / Responsibility</w:t>
            </w:r>
          </w:p>
        </w:tc>
        <w:tc>
          <w:tcPr>
            <w:tcW w:w="876" w:type="pct"/>
            <w:vAlign w:val="center"/>
          </w:tcPr>
          <w:p w14:paraId="3208F741" w14:textId="77777777" w:rsidR="003F3C47" w:rsidRPr="00D160F4" w:rsidRDefault="003F3C47" w:rsidP="009F357F">
            <w:pPr>
              <w:pStyle w:val="TableText"/>
              <w:jc w:val="center"/>
            </w:pPr>
            <w:r w:rsidRPr="00912847">
              <w:rPr>
                <w:b/>
                <w:bCs/>
              </w:rPr>
              <w:t>Objective</w:t>
            </w:r>
          </w:p>
        </w:tc>
        <w:tc>
          <w:tcPr>
            <w:tcW w:w="1286" w:type="pct"/>
            <w:vAlign w:val="center"/>
          </w:tcPr>
          <w:p w14:paraId="1D0235E9" w14:textId="77777777" w:rsidR="003F3C47" w:rsidRPr="00D160F4" w:rsidRDefault="003F3C47" w:rsidP="009F357F">
            <w:pPr>
              <w:pStyle w:val="TableText"/>
              <w:jc w:val="center"/>
            </w:pPr>
            <w:r w:rsidRPr="00912847">
              <w:rPr>
                <w:b/>
                <w:bCs/>
              </w:rPr>
              <w:t>Dependencies and Possible Actions or Corrections Needed to Meet Objective</w:t>
            </w:r>
          </w:p>
        </w:tc>
        <w:tc>
          <w:tcPr>
            <w:tcW w:w="938" w:type="pct"/>
            <w:vAlign w:val="center"/>
          </w:tcPr>
          <w:p w14:paraId="78DADD78" w14:textId="77777777" w:rsidR="003F3C47" w:rsidRPr="009A1DE7" w:rsidRDefault="003F3C47" w:rsidP="009F357F">
            <w:pPr>
              <w:pStyle w:val="TableText"/>
              <w:jc w:val="center"/>
            </w:pPr>
            <w:r w:rsidRPr="00912847">
              <w:rPr>
                <w:b/>
                <w:bCs/>
              </w:rPr>
              <w:t>Warning</w:t>
            </w:r>
          </w:p>
          <w:p w14:paraId="7F6F3CC6" w14:textId="77777777" w:rsidR="003F3C47" w:rsidRPr="00D160F4" w:rsidRDefault="003F3C47"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6" w:type="pct"/>
            <w:vAlign w:val="center"/>
          </w:tcPr>
          <w:p w14:paraId="697B859E" w14:textId="77777777" w:rsidR="003F3C47" w:rsidRPr="009A1DE7" w:rsidRDefault="003F3C47" w:rsidP="009F357F">
            <w:pPr>
              <w:pStyle w:val="TableText"/>
              <w:jc w:val="center"/>
            </w:pPr>
            <w:r w:rsidRPr="00912847">
              <w:rPr>
                <w:b/>
                <w:bCs/>
              </w:rPr>
              <w:t>References</w:t>
            </w:r>
          </w:p>
          <w:p w14:paraId="42C1EAD2" w14:textId="77777777" w:rsidR="003F3C47" w:rsidRDefault="003F3C47" w:rsidP="009F357F">
            <w:pPr>
              <w:pStyle w:val="TableText"/>
              <w:jc w:val="center"/>
            </w:pPr>
            <w:r w:rsidRPr="009A1DE7">
              <w:rPr>
                <w:i/>
                <w:iCs/>
              </w:rPr>
              <w:t>An asterisk (*) denotes an external resource.</w:t>
            </w:r>
          </w:p>
        </w:tc>
      </w:tr>
      <w:tr w:rsidR="00F15115" w:rsidRPr="00EE4BD6" w14:paraId="40F2B79F" w14:textId="77777777" w:rsidTr="00B16C98">
        <w:trPr>
          <w:cantSplit/>
          <w:trHeight w:val="619"/>
        </w:trPr>
        <w:tc>
          <w:tcPr>
            <w:tcW w:w="676" w:type="pct"/>
          </w:tcPr>
          <w:p w14:paraId="3946C61B" w14:textId="77777777" w:rsidR="001A4E13" w:rsidRPr="009A1DE7" w:rsidRDefault="001A4E13" w:rsidP="009F357F">
            <w:pPr>
              <w:pStyle w:val="TableText"/>
              <w:numPr>
                <w:ilvl w:val="0"/>
                <w:numId w:val="3"/>
              </w:numPr>
              <w:ind w:left="226" w:hanging="180"/>
            </w:pPr>
            <w:r>
              <w:t xml:space="preserve">Date Range: </w:t>
            </w:r>
            <w:r w:rsidRPr="00C125CF">
              <w:t>Last week’s date to current</w:t>
            </w:r>
          </w:p>
        </w:tc>
        <w:tc>
          <w:tcPr>
            <w:tcW w:w="598" w:type="pct"/>
          </w:tcPr>
          <w:p w14:paraId="6B2AC3C3" w14:textId="77777777" w:rsidR="001A4E13" w:rsidRPr="009A1DE7" w:rsidRDefault="001A4E13" w:rsidP="009F357F">
            <w:pPr>
              <w:pStyle w:val="TableText"/>
            </w:pPr>
            <w:r w:rsidRPr="00C125CF">
              <w:t>Front Desk</w:t>
            </w:r>
            <w:r>
              <w:t xml:space="preserve"> </w:t>
            </w:r>
            <w:r w:rsidRPr="00C125CF">
              <w:t>/</w:t>
            </w:r>
            <w:r>
              <w:t xml:space="preserve"> </w:t>
            </w:r>
            <w:r w:rsidRPr="00C125CF">
              <w:t>Billing Staff Review</w:t>
            </w:r>
          </w:p>
        </w:tc>
        <w:tc>
          <w:tcPr>
            <w:tcW w:w="876" w:type="pct"/>
          </w:tcPr>
          <w:p w14:paraId="62A4F464" w14:textId="77777777" w:rsidR="001A4E13" w:rsidRPr="009A1DE7" w:rsidRDefault="001A4E13" w:rsidP="009F357F">
            <w:pPr>
              <w:pStyle w:val="TableText"/>
            </w:pPr>
            <w:r>
              <w:t>I</w:t>
            </w:r>
            <w:r w:rsidRPr="00C125CF">
              <w:t xml:space="preserve">dentify and process secondary </w:t>
            </w:r>
            <w:r>
              <w:t>p</w:t>
            </w:r>
            <w:r w:rsidRPr="00C125CF">
              <w:t>re-</w:t>
            </w:r>
            <w:r>
              <w:t>t</w:t>
            </w:r>
            <w:r w:rsidRPr="00C125CF">
              <w:t xml:space="preserve">reatment </w:t>
            </w:r>
            <w:r>
              <w:t>e</w:t>
            </w:r>
            <w:r w:rsidRPr="00C125CF">
              <w:t>stimates that have not yet been created.</w:t>
            </w:r>
          </w:p>
        </w:tc>
        <w:tc>
          <w:tcPr>
            <w:tcW w:w="1286" w:type="pct"/>
          </w:tcPr>
          <w:p w14:paraId="6D409789" w14:textId="77777777" w:rsidR="001A4E13" w:rsidRDefault="001A4E13" w:rsidP="009F357F">
            <w:pPr>
              <w:pStyle w:val="TableText"/>
              <w:keepNext/>
              <w:keepLines/>
              <w:numPr>
                <w:ilvl w:val="0"/>
                <w:numId w:val="2"/>
              </w:numPr>
              <w:ind w:left="232" w:hanging="180"/>
            </w:pPr>
            <w:r w:rsidRPr="006A3309">
              <w:rPr>
                <w:u w:val="single"/>
              </w:rPr>
              <w:t>Family File</w:t>
            </w:r>
            <w:r>
              <w:t xml:space="preserve">: </w:t>
            </w:r>
            <w:r w:rsidRPr="00837A86">
              <w:t xml:space="preserve">Both </w:t>
            </w:r>
            <w:r>
              <w:t>p</w:t>
            </w:r>
            <w:r w:rsidRPr="00837A86">
              <w:t xml:space="preserve">rimary and </w:t>
            </w:r>
            <w:r>
              <w:t>s</w:t>
            </w:r>
            <w:r w:rsidRPr="00837A86">
              <w:t xml:space="preserve">econdary </w:t>
            </w:r>
            <w:r>
              <w:t>i</w:t>
            </w:r>
            <w:r w:rsidRPr="00837A86">
              <w:t xml:space="preserve">nsurance plans have been attached to </w:t>
            </w:r>
            <w:r>
              <w:t xml:space="preserve">a </w:t>
            </w:r>
            <w:r w:rsidRPr="00837A86">
              <w:t>patient in Family File.</w:t>
            </w:r>
          </w:p>
          <w:p w14:paraId="62026298" w14:textId="77777777" w:rsidR="001A4E13" w:rsidRDefault="001A4E13" w:rsidP="009F357F">
            <w:pPr>
              <w:pStyle w:val="TableText"/>
              <w:keepNext/>
              <w:keepLines/>
              <w:numPr>
                <w:ilvl w:val="0"/>
                <w:numId w:val="2"/>
              </w:numPr>
              <w:ind w:left="232" w:hanging="180"/>
            </w:pPr>
            <w:r w:rsidRPr="006A3309">
              <w:rPr>
                <w:u w:val="single"/>
              </w:rPr>
              <w:t>Ledger</w:t>
            </w:r>
            <w:r>
              <w:t>:</w:t>
            </w:r>
          </w:p>
          <w:p w14:paraId="108D5CEE" w14:textId="77777777" w:rsidR="001A4E13" w:rsidRDefault="001A4E13" w:rsidP="004F45B6">
            <w:pPr>
              <w:pStyle w:val="TableText"/>
              <w:keepNext/>
              <w:keepLines/>
              <w:numPr>
                <w:ilvl w:val="1"/>
                <w:numId w:val="133"/>
              </w:numPr>
              <w:ind w:left="546" w:hanging="186"/>
            </w:pPr>
            <w:r w:rsidRPr="00C125CF">
              <w:t xml:space="preserve">Primary insurance </w:t>
            </w:r>
            <w:r>
              <w:t>p</w:t>
            </w:r>
            <w:r w:rsidRPr="00C125CF">
              <w:t>re-</w:t>
            </w:r>
            <w:r>
              <w:t>t</w:t>
            </w:r>
            <w:r w:rsidRPr="00C125CF">
              <w:t xml:space="preserve">reatment </w:t>
            </w:r>
            <w:r>
              <w:t>e</w:t>
            </w:r>
            <w:r w:rsidRPr="00C125CF">
              <w:t>stimates were sent</w:t>
            </w:r>
            <w:r>
              <w:t>,</w:t>
            </w:r>
            <w:r w:rsidRPr="00C125CF">
              <w:t xml:space="preserve"> estimates have been received</w:t>
            </w:r>
            <w:r>
              <w:t>,</w:t>
            </w:r>
            <w:r w:rsidRPr="00C125CF">
              <w:t xml:space="preserve"> and the estimated coverage has been entered in Ledger.</w:t>
            </w:r>
          </w:p>
          <w:p w14:paraId="1A32C5AB" w14:textId="77777777" w:rsidR="001A4E13" w:rsidRDefault="001A4E13" w:rsidP="004F45B6">
            <w:pPr>
              <w:pStyle w:val="TableText"/>
              <w:keepNext/>
              <w:keepLines/>
              <w:numPr>
                <w:ilvl w:val="1"/>
                <w:numId w:val="133"/>
              </w:numPr>
              <w:ind w:left="546" w:hanging="186"/>
            </w:pPr>
            <w:r w:rsidRPr="00C125CF">
              <w:t xml:space="preserve">Confirm the </w:t>
            </w:r>
            <w:r>
              <w:t>t</w:t>
            </w:r>
            <w:r w:rsidRPr="00C125CF">
              <w:t>reatment</w:t>
            </w:r>
            <w:r>
              <w:t>-p</w:t>
            </w:r>
            <w:r w:rsidRPr="00C125CF">
              <w:t>lanned procedures are ready to be sent to secondary insurance.</w:t>
            </w:r>
          </w:p>
          <w:p w14:paraId="28D5F53C" w14:textId="77777777" w:rsidR="001A4E13" w:rsidRPr="009A1DE7" w:rsidRDefault="001A4E13" w:rsidP="009F357F">
            <w:pPr>
              <w:pStyle w:val="TableText"/>
              <w:numPr>
                <w:ilvl w:val="0"/>
                <w:numId w:val="2"/>
              </w:numPr>
              <w:ind w:left="232" w:hanging="180"/>
            </w:pPr>
            <w:r w:rsidRPr="00F54117">
              <w:rPr>
                <w:rFonts w:eastAsia="Times New Roman" w:cstheme="minorHAnsi"/>
                <w:color w:val="000000"/>
              </w:rPr>
              <w:t>Print</w:t>
            </w:r>
            <w:r>
              <w:rPr>
                <w:rFonts w:eastAsia="Times New Roman" w:cstheme="minorHAnsi"/>
                <w:color w:val="000000"/>
              </w:rPr>
              <w:t xml:space="preserve"> claim,</w:t>
            </w:r>
            <w:r w:rsidRPr="00F54117">
              <w:rPr>
                <w:rFonts w:eastAsia="Times New Roman" w:cstheme="minorHAnsi"/>
                <w:color w:val="000000"/>
              </w:rPr>
              <w:t xml:space="preserve"> or send </w:t>
            </w:r>
            <w:r>
              <w:rPr>
                <w:rFonts w:eastAsia="Times New Roman" w:cstheme="minorHAnsi"/>
                <w:color w:val="000000"/>
              </w:rPr>
              <w:t xml:space="preserve">claim </w:t>
            </w:r>
            <w:r w:rsidRPr="00F54117">
              <w:rPr>
                <w:rFonts w:eastAsia="Times New Roman" w:cstheme="minorHAnsi"/>
                <w:color w:val="000000"/>
              </w:rPr>
              <w:t>electronically</w:t>
            </w:r>
          </w:p>
        </w:tc>
        <w:tc>
          <w:tcPr>
            <w:tcW w:w="938" w:type="pct"/>
          </w:tcPr>
          <w:p w14:paraId="332DB68B" w14:textId="77777777" w:rsidR="001A4E13" w:rsidRPr="00EF587A" w:rsidRDefault="001A4E13" w:rsidP="009F357F">
            <w:pPr>
              <w:pStyle w:val="TableText"/>
            </w:pPr>
            <w:r w:rsidRPr="00C125CF">
              <w:t>If the patient</w:t>
            </w:r>
            <w:r>
              <w:t xml:space="preserve"> or clinic </w:t>
            </w:r>
            <w:r w:rsidRPr="00C125CF">
              <w:t xml:space="preserve">needs this information prior to proceeding with treatment, this report will identify patients </w:t>
            </w:r>
            <w:r>
              <w:t xml:space="preserve">with </w:t>
            </w:r>
            <w:r w:rsidRPr="00C125CF">
              <w:t xml:space="preserve">secondary insurance </w:t>
            </w:r>
            <w:r>
              <w:t>that a pre-treatment estimate was not filed for</w:t>
            </w:r>
            <w:r w:rsidRPr="00C125CF">
              <w:t xml:space="preserve"> </w:t>
            </w:r>
            <w:r>
              <w:t>after</w:t>
            </w:r>
            <w:r w:rsidRPr="00C125CF">
              <w:t xml:space="preserve"> </w:t>
            </w:r>
            <w:r>
              <w:t>the estimate information</w:t>
            </w:r>
            <w:r w:rsidRPr="00C125CF">
              <w:t xml:space="preserve"> from the primary carrier</w:t>
            </w:r>
            <w:r>
              <w:t xml:space="preserve"> was received</w:t>
            </w:r>
            <w:r w:rsidRPr="00C125CF">
              <w:t>.</w:t>
            </w:r>
          </w:p>
        </w:tc>
        <w:tc>
          <w:tcPr>
            <w:tcW w:w="626" w:type="pct"/>
          </w:tcPr>
          <w:p w14:paraId="7BC0D1BA" w14:textId="77777777" w:rsidR="001A4E13" w:rsidRPr="00EF587A" w:rsidRDefault="001A4E13" w:rsidP="009F357F">
            <w:pPr>
              <w:pStyle w:val="TableText"/>
              <w:numPr>
                <w:ilvl w:val="0"/>
                <w:numId w:val="1"/>
              </w:numPr>
              <w:spacing w:after="0"/>
              <w:ind w:left="187" w:hanging="187"/>
            </w:pPr>
            <w:r>
              <w:t>Revenue Cycle</w:t>
            </w:r>
          </w:p>
        </w:tc>
      </w:tr>
      <w:tr w:rsidR="00441CA3" w:rsidRPr="00EE4BD6" w14:paraId="3CB8CE81" w14:textId="77777777" w:rsidTr="00DD1E1E">
        <w:trPr>
          <w:cantSplit/>
          <w:trHeight w:val="539"/>
        </w:trPr>
        <w:tc>
          <w:tcPr>
            <w:tcW w:w="5000" w:type="pct"/>
            <w:gridSpan w:val="6"/>
            <w:shd w:val="clear" w:color="auto" w:fill="FBE4D5" w:themeFill="accent2" w:themeFillTint="33"/>
            <w:vAlign w:val="center"/>
          </w:tcPr>
          <w:p w14:paraId="4D512301" w14:textId="671ACAE1" w:rsidR="00441CA3" w:rsidRDefault="00441CA3" w:rsidP="00FC1244">
            <w:pPr>
              <w:pStyle w:val="Heading4"/>
            </w:pPr>
            <w:bookmarkStart w:id="392" w:name="_Audit_Reports"/>
            <w:bookmarkEnd w:id="392"/>
            <w:r w:rsidRPr="00EB07D3">
              <w:t>Audit Reports</w:t>
            </w:r>
            <w:r w:rsidR="00BB2D77">
              <w:tab/>
            </w:r>
            <w:hyperlink w:anchor="Weekly2ndPg" w:history="1">
              <w:r w:rsidR="00FF74B1" w:rsidRPr="00FF74B1">
                <w:rPr>
                  <w:rStyle w:val="Hyperlink"/>
                  <w:b w:val="0"/>
                  <w:bCs/>
                  <w:sz w:val="16"/>
                  <w:szCs w:val="18"/>
                </w:rPr>
                <w:t>Return to Weekly Checklist</w:t>
              </w:r>
            </w:hyperlink>
          </w:p>
        </w:tc>
      </w:tr>
      <w:tr w:rsidR="00441CA3" w14:paraId="34434E3D" w14:textId="77777777" w:rsidTr="00B16C98">
        <w:trPr>
          <w:cantSplit/>
          <w:trHeight w:val="691"/>
        </w:trPr>
        <w:tc>
          <w:tcPr>
            <w:tcW w:w="676" w:type="pct"/>
            <w:vAlign w:val="center"/>
          </w:tcPr>
          <w:p w14:paraId="105106F4" w14:textId="77777777" w:rsidR="00441CA3" w:rsidRPr="00D160F4" w:rsidRDefault="00441CA3" w:rsidP="009F357F">
            <w:pPr>
              <w:pStyle w:val="TableText"/>
              <w:keepNext/>
              <w:keepLines/>
              <w:ind w:left="46"/>
              <w:jc w:val="center"/>
            </w:pPr>
            <w:r w:rsidRPr="00912847">
              <w:rPr>
                <w:b/>
                <w:bCs/>
              </w:rPr>
              <w:t>Suggested Report Filters</w:t>
            </w:r>
          </w:p>
        </w:tc>
        <w:tc>
          <w:tcPr>
            <w:tcW w:w="598" w:type="pct"/>
            <w:vAlign w:val="center"/>
          </w:tcPr>
          <w:p w14:paraId="0F8465D5" w14:textId="77777777" w:rsidR="00441CA3" w:rsidRPr="00C524C8" w:rsidRDefault="00441CA3" w:rsidP="009F357F">
            <w:pPr>
              <w:pStyle w:val="TableText"/>
              <w:jc w:val="center"/>
            </w:pPr>
            <w:r w:rsidRPr="00912847">
              <w:rPr>
                <w:b/>
                <w:bCs/>
              </w:rPr>
              <w:t>Intent / Responsibility</w:t>
            </w:r>
          </w:p>
        </w:tc>
        <w:tc>
          <w:tcPr>
            <w:tcW w:w="876" w:type="pct"/>
            <w:vAlign w:val="center"/>
          </w:tcPr>
          <w:p w14:paraId="65434FC7" w14:textId="77777777" w:rsidR="00441CA3" w:rsidRPr="00D160F4" w:rsidRDefault="00441CA3" w:rsidP="009F357F">
            <w:pPr>
              <w:pStyle w:val="TableText"/>
              <w:jc w:val="center"/>
            </w:pPr>
            <w:r w:rsidRPr="00912847">
              <w:rPr>
                <w:b/>
                <w:bCs/>
              </w:rPr>
              <w:t>Objective</w:t>
            </w:r>
          </w:p>
        </w:tc>
        <w:tc>
          <w:tcPr>
            <w:tcW w:w="1286" w:type="pct"/>
            <w:vAlign w:val="center"/>
          </w:tcPr>
          <w:p w14:paraId="6258765C" w14:textId="77777777" w:rsidR="00441CA3" w:rsidRPr="00D160F4" w:rsidRDefault="00441CA3" w:rsidP="009F357F">
            <w:pPr>
              <w:pStyle w:val="TableText"/>
              <w:jc w:val="center"/>
            </w:pPr>
            <w:r w:rsidRPr="00912847">
              <w:rPr>
                <w:b/>
                <w:bCs/>
              </w:rPr>
              <w:t>Dependencies and Possible Actions or Corrections Needed to Meet Objective</w:t>
            </w:r>
          </w:p>
        </w:tc>
        <w:tc>
          <w:tcPr>
            <w:tcW w:w="938" w:type="pct"/>
            <w:vAlign w:val="center"/>
          </w:tcPr>
          <w:p w14:paraId="76C184EE" w14:textId="77777777" w:rsidR="00441CA3" w:rsidRPr="009A1DE7" w:rsidRDefault="00441CA3" w:rsidP="009F357F">
            <w:pPr>
              <w:pStyle w:val="TableText"/>
              <w:jc w:val="center"/>
            </w:pPr>
            <w:r w:rsidRPr="00912847">
              <w:rPr>
                <w:b/>
                <w:bCs/>
              </w:rPr>
              <w:t>Warning</w:t>
            </w:r>
          </w:p>
          <w:p w14:paraId="791592AC" w14:textId="77777777" w:rsidR="00441CA3" w:rsidRPr="00D160F4" w:rsidRDefault="00441CA3"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6" w:type="pct"/>
            <w:vAlign w:val="center"/>
          </w:tcPr>
          <w:p w14:paraId="4BA8C632" w14:textId="77777777" w:rsidR="00441CA3" w:rsidRPr="009A1DE7" w:rsidRDefault="00441CA3" w:rsidP="009F357F">
            <w:pPr>
              <w:pStyle w:val="TableText"/>
              <w:jc w:val="center"/>
            </w:pPr>
            <w:r w:rsidRPr="00912847">
              <w:rPr>
                <w:b/>
                <w:bCs/>
              </w:rPr>
              <w:t>References</w:t>
            </w:r>
          </w:p>
          <w:p w14:paraId="24C853CB" w14:textId="77777777" w:rsidR="00441CA3" w:rsidRDefault="00441CA3" w:rsidP="009F357F">
            <w:pPr>
              <w:pStyle w:val="TableText"/>
              <w:jc w:val="center"/>
            </w:pPr>
            <w:r w:rsidRPr="009A1DE7">
              <w:rPr>
                <w:i/>
                <w:iCs/>
              </w:rPr>
              <w:t>An asterisk (*) denotes an external resource.</w:t>
            </w:r>
          </w:p>
        </w:tc>
      </w:tr>
      <w:tr w:rsidR="00441CA3" w:rsidRPr="00EE4BD6" w14:paraId="0A4C0E24" w14:textId="77777777" w:rsidTr="00B16C98">
        <w:trPr>
          <w:cantSplit/>
          <w:trHeight w:val="539"/>
        </w:trPr>
        <w:tc>
          <w:tcPr>
            <w:tcW w:w="676" w:type="pct"/>
          </w:tcPr>
          <w:p w14:paraId="3774717F" w14:textId="77777777" w:rsidR="00441CA3" w:rsidRPr="009A1DE7" w:rsidRDefault="00441CA3" w:rsidP="009F357F">
            <w:pPr>
              <w:pStyle w:val="TableText"/>
              <w:numPr>
                <w:ilvl w:val="0"/>
                <w:numId w:val="3"/>
              </w:numPr>
              <w:ind w:left="226" w:hanging="180"/>
            </w:pPr>
            <w:r>
              <w:t xml:space="preserve">Date Range: </w:t>
            </w:r>
            <w:r w:rsidRPr="00C125CF">
              <w:t>Last week’s date to current</w:t>
            </w:r>
          </w:p>
        </w:tc>
        <w:tc>
          <w:tcPr>
            <w:tcW w:w="598" w:type="pct"/>
          </w:tcPr>
          <w:p w14:paraId="0932E0D1" w14:textId="77777777" w:rsidR="00441CA3" w:rsidRPr="009A1DE7" w:rsidRDefault="00441CA3" w:rsidP="009F357F">
            <w:pPr>
              <w:pStyle w:val="TableText"/>
            </w:pPr>
            <w:r>
              <w:t>Clinical Manager, CAC, or Dental Chief</w:t>
            </w:r>
          </w:p>
        </w:tc>
        <w:tc>
          <w:tcPr>
            <w:tcW w:w="876" w:type="pct"/>
          </w:tcPr>
          <w:p w14:paraId="7FE776EE" w14:textId="77777777" w:rsidR="00441CA3" w:rsidRPr="009A1DE7" w:rsidRDefault="00441CA3" w:rsidP="009F357F">
            <w:pPr>
              <w:pStyle w:val="TableText"/>
            </w:pPr>
            <w:r w:rsidRPr="00C125CF">
              <w:t>Identify patterns or discrepancies in transactional and/or data entry by user. These patterns could show invalid or fraudulent activity or the need for reinforcement training.</w:t>
            </w:r>
          </w:p>
        </w:tc>
        <w:tc>
          <w:tcPr>
            <w:tcW w:w="1286" w:type="pct"/>
          </w:tcPr>
          <w:p w14:paraId="6DCA93D3" w14:textId="77777777" w:rsidR="00441CA3" w:rsidRDefault="00441CA3" w:rsidP="009F357F">
            <w:pPr>
              <w:pStyle w:val="TableText"/>
              <w:keepNext/>
              <w:keepLines/>
              <w:numPr>
                <w:ilvl w:val="0"/>
                <w:numId w:val="2"/>
              </w:numPr>
              <w:ind w:left="232" w:hanging="180"/>
            </w:pPr>
            <w:r w:rsidRPr="00C125CF">
              <w:t>Comprehensive data entry and records management within the EDR.</w:t>
            </w:r>
          </w:p>
          <w:p w14:paraId="0F96002A" w14:textId="77777777" w:rsidR="00441CA3" w:rsidRPr="009A1DE7" w:rsidRDefault="00441CA3" w:rsidP="009F357F">
            <w:pPr>
              <w:pStyle w:val="TableText"/>
              <w:numPr>
                <w:ilvl w:val="0"/>
                <w:numId w:val="2"/>
              </w:numPr>
              <w:ind w:left="232" w:hanging="180"/>
            </w:pPr>
            <w:r w:rsidRPr="00C125CF">
              <w:t>Varies depending up on the transaction, entry</w:t>
            </w:r>
            <w:r>
              <w:t>,</w:t>
            </w:r>
            <w:r w:rsidRPr="00C125CF">
              <w:t xml:space="preserve"> or audit discrepancy.</w:t>
            </w:r>
          </w:p>
        </w:tc>
        <w:tc>
          <w:tcPr>
            <w:tcW w:w="938" w:type="pct"/>
          </w:tcPr>
          <w:p w14:paraId="0890FE23" w14:textId="77777777" w:rsidR="00441CA3" w:rsidRPr="00EF587A" w:rsidRDefault="00441CA3" w:rsidP="009F357F">
            <w:pPr>
              <w:pStyle w:val="TableText"/>
            </w:pPr>
            <w:r w:rsidRPr="00C125CF">
              <w:t>If not monitored</w:t>
            </w:r>
            <w:r>
              <w:t>,</w:t>
            </w:r>
            <w:r w:rsidRPr="00C125CF">
              <w:t xml:space="preserve"> problems may be identified late</w:t>
            </w:r>
            <w:r>
              <w:t>,</w:t>
            </w:r>
            <w:r w:rsidRPr="00C125CF">
              <w:t xml:space="preserve"> and correction may be difficult or </w:t>
            </w:r>
            <w:r>
              <w:t>im</w:t>
            </w:r>
            <w:r w:rsidRPr="00C125CF">
              <w:t>possible.</w:t>
            </w:r>
          </w:p>
        </w:tc>
        <w:tc>
          <w:tcPr>
            <w:tcW w:w="626" w:type="pct"/>
          </w:tcPr>
          <w:p w14:paraId="3D724501" w14:textId="77777777" w:rsidR="00441CA3" w:rsidRDefault="00441CA3" w:rsidP="009F357F">
            <w:pPr>
              <w:pStyle w:val="TableText"/>
              <w:numPr>
                <w:ilvl w:val="0"/>
                <w:numId w:val="1"/>
              </w:numPr>
              <w:ind w:left="187" w:hanging="187"/>
            </w:pPr>
            <w:r>
              <w:t>Database Design</w:t>
            </w:r>
          </w:p>
          <w:p w14:paraId="63CE0B5B" w14:textId="77777777" w:rsidR="00441CA3" w:rsidRDefault="00441CA3" w:rsidP="009F357F">
            <w:pPr>
              <w:pStyle w:val="TableText"/>
              <w:numPr>
                <w:ilvl w:val="0"/>
                <w:numId w:val="1"/>
              </w:numPr>
              <w:ind w:left="187" w:hanging="187"/>
            </w:pPr>
            <w:r>
              <w:t>Schedule Optimization</w:t>
            </w:r>
          </w:p>
          <w:p w14:paraId="729693A6" w14:textId="77777777" w:rsidR="00441CA3" w:rsidRDefault="00441CA3" w:rsidP="009F357F">
            <w:pPr>
              <w:pStyle w:val="TableText"/>
              <w:numPr>
                <w:ilvl w:val="0"/>
                <w:numId w:val="1"/>
              </w:numPr>
              <w:ind w:left="187" w:hanging="187"/>
            </w:pPr>
            <w:r>
              <w:t>Patient Records</w:t>
            </w:r>
          </w:p>
          <w:p w14:paraId="15AB2F3C" w14:textId="77777777" w:rsidR="00441CA3" w:rsidRDefault="00441CA3" w:rsidP="009F357F">
            <w:pPr>
              <w:pStyle w:val="TableText"/>
              <w:numPr>
                <w:ilvl w:val="0"/>
                <w:numId w:val="1"/>
              </w:numPr>
              <w:ind w:left="187" w:hanging="187"/>
            </w:pPr>
            <w:r>
              <w:t>Clinical Records</w:t>
            </w:r>
          </w:p>
          <w:p w14:paraId="633FC1E0" w14:textId="77777777" w:rsidR="00441CA3" w:rsidRDefault="00441CA3" w:rsidP="009F357F">
            <w:pPr>
              <w:pStyle w:val="TableText"/>
              <w:numPr>
                <w:ilvl w:val="0"/>
                <w:numId w:val="1"/>
              </w:numPr>
              <w:ind w:left="187" w:hanging="187"/>
            </w:pPr>
            <w:r>
              <w:t>Revenue Cycle</w:t>
            </w:r>
          </w:p>
          <w:p w14:paraId="1FFD873E" w14:textId="77777777" w:rsidR="00441CA3" w:rsidRDefault="00441CA3" w:rsidP="009F357F">
            <w:pPr>
              <w:pStyle w:val="TableText"/>
              <w:numPr>
                <w:ilvl w:val="0"/>
                <w:numId w:val="1"/>
              </w:numPr>
              <w:ind w:left="187" w:hanging="187"/>
            </w:pPr>
            <w:r>
              <w:t>Monthly Checklist: Audit Reports</w:t>
            </w:r>
          </w:p>
          <w:p w14:paraId="5C3A1955" w14:textId="77777777" w:rsidR="00441CA3" w:rsidRDefault="00441CA3" w:rsidP="009F357F">
            <w:pPr>
              <w:pStyle w:val="TableText"/>
              <w:numPr>
                <w:ilvl w:val="0"/>
                <w:numId w:val="1"/>
              </w:numPr>
              <w:ind w:left="187" w:hanging="187"/>
            </w:pPr>
            <w:r>
              <w:t>IHS Dentrix Enterprise User’s Guide*</w:t>
            </w:r>
          </w:p>
          <w:p w14:paraId="3BEABA7B" w14:textId="77777777" w:rsidR="00441CA3" w:rsidRPr="00EF587A" w:rsidRDefault="00441CA3" w:rsidP="009F357F">
            <w:pPr>
              <w:pStyle w:val="TableText"/>
              <w:numPr>
                <w:ilvl w:val="0"/>
                <w:numId w:val="1"/>
              </w:numPr>
              <w:spacing w:after="0"/>
              <w:ind w:left="187" w:hanging="187"/>
            </w:pPr>
            <w:r>
              <w:t>Reports Reference*</w:t>
            </w:r>
          </w:p>
        </w:tc>
      </w:tr>
    </w:tbl>
    <w:p w14:paraId="7394E0DE" w14:textId="77777777" w:rsidR="00B331A5" w:rsidRDefault="00B331A5" w:rsidP="009E00C1">
      <w:pPr>
        <w:pStyle w:val="BodyText"/>
      </w:pPr>
      <w:bookmarkStart w:id="393" w:name="_*NEW*_NIPRS_Validation_1"/>
      <w:bookmarkEnd w:id="393"/>
      <w:r>
        <w:br w:type="page"/>
      </w:r>
    </w:p>
    <w:p w14:paraId="07501550" w14:textId="10464A16" w:rsidR="00E2543C" w:rsidRDefault="00E2543C" w:rsidP="00E2543C">
      <w:pPr>
        <w:pStyle w:val="Heading2"/>
      </w:pPr>
      <w:bookmarkStart w:id="394" w:name="_Toc166834441"/>
      <w:r>
        <w:lastRenderedPageBreak/>
        <w:t>Monthly Clinic Closeout Duties</w:t>
      </w:r>
      <w:bookmarkEnd w:id="394"/>
    </w:p>
    <w:p w14:paraId="576636C5" w14:textId="264E4733" w:rsidR="00E2543C" w:rsidRDefault="00E2543C" w:rsidP="00E2543C">
      <w:r w:rsidRPr="000F3D09">
        <w:t xml:space="preserve">The </w:t>
      </w:r>
      <w:r>
        <w:t xml:space="preserve">Monthly </w:t>
      </w:r>
      <w:r w:rsidRPr="00912847">
        <w:t xml:space="preserve">Clinic Closeout Duties </w:t>
      </w:r>
      <w:r>
        <w:t>checklist</w:t>
      </w:r>
      <w:r w:rsidRPr="00912847">
        <w:t xml:space="preserve"> </w:t>
      </w:r>
      <w:r>
        <w:t xml:space="preserve">is </w:t>
      </w:r>
      <w:r w:rsidRPr="00912847">
        <w:t>a comprehensive list of</w:t>
      </w:r>
      <w:r w:rsidRPr="000F3D09">
        <w:t xml:space="preserve"> checks and balances to ensure the accuracy of entries recorded within Dentrix Enterprise</w:t>
      </w:r>
      <w:r>
        <w:t xml:space="preserve"> and</w:t>
      </w:r>
      <w:r w:rsidRPr="000F3D09">
        <w:t xml:space="preserve"> allow </w:t>
      </w:r>
      <w:r>
        <w:t xml:space="preserve">the </w:t>
      </w:r>
      <w:r w:rsidRPr="000F3D09">
        <w:t>tracking and review</w:t>
      </w:r>
      <w:r>
        <w:t>ing</w:t>
      </w:r>
      <w:r w:rsidRPr="000F3D09">
        <w:t xml:space="preserve"> of internal key performance indicators. </w:t>
      </w:r>
      <w:r>
        <w:t>Each table of the checklist provides details for performing a task. To complete the task’s objective, use the</w:t>
      </w:r>
      <w:r w:rsidRPr="00912847">
        <w:t xml:space="preserve"> suggested report filters</w:t>
      </w:r>
      <w:r>
        <w:t xml:space="preserve">, </w:t>
      </w:r>
      <w:r w:rsidRPr="00912847">
        <w:t>review</w:t>
      </w:r>
      <w:r>
        <w:t xml:space="preserve"> the report</w:t>
      </w:r>
      <w:r w:rsidRPr="00912847">
        <w:t xml:space="preserve">, </w:t>
      </w:r>
      <w:r>
        <w:t>be aware of any</w:t>
      </w:r>
      <w:r w:rsidRPr="00912847">
        <w:t xml:space="preserve"> dependencies</w:t>
      </w:r>
      <w:r>
        <w:t>, and take actions or make</w:t>
      </w:r>
      <w:r w:rsidRPr="00912847">
        <w:t xml:space="preserve"> corrections if</w:t>
      </w:r>
      <w:r>
        <w:t xml:space="preserve"> </w:t>
      </w:r>
      <w:r w:rsidRPr="00912847">
        <w:t xml:space="preserve">the report does not yield the expected result. </w:t>
      </w:r>
      <w:r>
        <w:t>To record the task’s completion,</w:t>
      </w:r>
      <w:r w:rsidRPr="00912847">
        <w:t xml:space="preserve"> enter the review date, your name, recommended actions, target date</w:t>
      </w:r>
      <w:r>
        <w:t>,</w:t>
      </w:r>
      <w:r w:rsidRPr="00912847">
        <w:t xml:space="preserve"> and completion date.</w:t>
      </w:r>
    </w:p>
    <w:tbl>
      <w:tblPr>
        <w:tblStyle w:val="TableGrid"/>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1"/>
        <w:gridCol w:w="1599"/>
        <w:gridCol w:w="2242"/>
        <w:gridCol w:w="3331"/>
        <w:gridCol w:w="2429"/>
        <w:gridCol w:w="1628"/>
      </w:tblGrid>
      <w:tr w:rsidR="000921ED" w:rsidRPr="00EE4BD6" w14:paraId="3604986B" w14:textId="77777777" w:rsidTr="00D40F1F">
        <w:trPr>
          <w:cantSplit/>
        </w:trPr>
        <w:tc>
          <w:tcPr>
            <w:tcW w:w="5000" w:type="pct"/>
            <w:gridSpan w:val="6"/>
            <w:shd w:val="clear" w:color="auto" w:fill="D9E2F3" w:themeFill="accent5" w:themeFillTint="33"/>
            <w:vAlign w:val="center"/>
          </w:tcPr>
          <w:p w14:paraId="04BBDC71" w14:textId="05E68A29" w:rsidR="000921ED" w:rsidRPr="00912847" w:rsidRDefault="000921ED" w:rsidP="002979D4">
            <w:pPr>
              <w:pStyle w:val="Heading4"/>
            </w:pPr>
            <w:bookmarkStart w:id="395" w:name="_Aging/Credit_Balance_Report"/>
            <w:bookmarkEnd w:id="395"/>
            <w:r w:rsidRPr="00EB07D3">
              <w:t>Aging/Credit Balance Report</w:t>
            </w:r>
            <w:r w:rsidR="00BB2D77">
              <w:tab/>
            </w:r>
            <w:hyperlink w:anchor="_Monthly_Checklist_1" w:history="1">
              <w:r w:rsidR="00FF74B1" w:rsidRPr="00FF74B1">
                <w:rPr>
                  <w:rStyle w:val="Hyperlink"/>
                  <w:b w:val="0"/>
                  <w:bCs/>
                  <w:sz w:val="16"/>
                  <w:szCs w:val="18"/>
                </w:rPr>
                <w:t>Return to Monthly Checklist</w:t>
              </w:r>
            </w:hyperlink>
          </w:p>
        </w:tc>
      </w:tr>
      <w:tr w:rsidR="000921ED" w:rsidRPr="00EE4BD6" w14:paraId="1C645B68" w14:textId="77777777" w:rsidTr="00D40F1F">
        <w:trPr>
          <w:cantSplit/>
          <w:tblHeader/>
        </w:trPr>
        <w:tc>
          <w:tcPr>
            <w:tcW w:w="668" w:type="pct"/>
            <w:vAlign w:val="center"/>
          </w:tcPr>
          <w:p w14:paraId="59AEBD9A" w14:textId="77777777" w:rsidR="000921ED" w:rsidRPr="00912847" w:rsidRDefault="000921ED" w:rsidP="009F357F">
            <w:pPr>
              <w:pStyle w:val="TableText"/>
              <w:jc w:val="center"/>
              <w:rPr>
                <w:b/>
                <w:bCs/>
              </w:rPr>
            </w:pPr>
            <w:r w:rsidRPr="00912847">
              <w:rPr>
                <w:b/>
                <w:bCs/>
              </w:rPr>
              <w:t>Suggested Report Filters</w:t>
            </w:r>
          </w:p>
        </w:tc>
        <w:tc>
          <w:tcPr>
            <w:tcW w:w="617" w:type="pct"/>
            <w:vAlign w:val="center"/>
          </w:tcPr>
          <w:p w14:paraId="1FAC9A3C" w14:textId="77777777" w:rsidR="000921ED" w:rsidRPr="00912847" w:rsidRDefault="000921ED" w:rsidP="009F357F">
            <w:pPr>
              <w:pStyle w:val="TableText"/>
              <w:jc w:val="center"/>
              <w:rPr>
                <w:b/>
                <w:bCs/>
              </w:rPr>
            </w:pPr>
            <w:r w:rsidRPr="00912847">
              <w:rPr>
                <w:b/>
                <w:bCs/>
              </w:rPr>
              <w:t>Intent / Responsibility</w:t>
            </w:r>
          </w:p>
        </w:tc>
        <w:tc>
          <w:tcPr>
            <w:tcW w:w="865" w:type="pct"/>
            <w:vAlign w:val="center"/>
          </w:tcPr>
          <w:p w14:paraId="3BA5A8BE" w14:textId="77777777" w:rsidR="000921ED" w:rsidRPr="00912847" w:rsidRDefault="000921ED" w:rsidP="009F357F">
            <w:pPr>
              <w:pStyle w:val="TableText"/>
              <w:jc w:val="center"/>
              <w:rPr>
                <w:b/>
                <w:bCs/>
              </w:rPr>
            </w:pPr>
            <w:r w:rsidRPr="00912847">
              <w:rPr>
                <w:b/>
                <w:bCs/>
              </w:rPr>
              <w:t>Objective</w:t>
            </w:r>
          </w:p>
        </w:tc>
        <w:tc>
          <w:tcPr>
            <w:tcW w:w="1285" w:type="pct"/>
            <w:vAlign w:val="center"/>
          </w:tcPr>
          <w:p w14:paraId="5D475CA9" w14:textId="77777777" w:rsidR="000921ED" w:rsidRPr="00912847" w:rsidRDefault="000921ED" w:rsidP="009F357F">
            <w:pPr>
              <w:pStyle w:val="TableText"/>
              <w:jc w:val="center"/>
              <w:rPr>
                <w:b/>
                <w:bCs/>
              </w:rPr>
            </w:pPr>
            <w:r w:rsidRPr="00912847">
              <w:rPr>
                <w:b/>
                <w:bCs/>
              </w:rPr>
              <w:t>Dependencies and Possible Actions or Corrections Needed to Meet Objective</w:t>
            </w:r>
          </w:p>
        </w:tc>
        <w:tc>
          <w:tcPr>
            <w:tcW w:w="937" w:type="pct"/>
            <w:vAlign w:val="center"/>
          </w:tcPr>
          <w:p w14:paraId="15BA9EDB" w14:textId="77777777" w:rsidR="000921ED" w:rsidRPr="009A1DE7" w:rsidRDefault="000921ED" w:rsidP="009F357F">
            <w:pPr>
              <w:pStyle w:val="TableText"/>
              <w:jc w:val="center"/>
            </w:pPr>
            <w:r w:rsidRPr="00912847">
              <w:rPr>
                <w:b/>
                <w:bCs/>
              </w:rPr>
              <w:t>Warning</w:t>
            </w:r>
          </w:p>
          <w:p w14:paraId="336CFAC5" w14:textId="77777777" w:rsidR="000921ED" w:rsidRPr="009A1DE7" w:rsidRDefault="000921E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628" w:type="pct"/>
            <w:vAlign w:val="center"/>
          </w:tcPr>
          <w:p w14:paraId="76DD2EC8" w14:textId="77777777" w:rsidR="000921ED" w:rsidRPr="009A1DE7" w:rsidRDefault="000921ED" w:rsidP="009F357F">
            <w:pPr>
              <w:pStyle w:val="TableText"/>
              <w:jc w:val="center"/>
            </w:pPr>
            <w:r w:rsidRPr="00912847">
              <w:rPr>
                <w:b/>
                <w:bCs/>
              </w:rPr>
              <w:t>References</w:t>
            </w:r>
          </w:p>
          <w:p w14:paraId="1E5898FB" w14:textId="77777777" w:rsidR="000921ED" w:rsidRPr="009A1DE7" w:rsidRDefault="000921ED" w:rsidP="009F357F">
            <w:pPr>
              <w:pStyle w:val="TableText"/>
              <w:jc w:val="center"/>
            </w:pPr>
            <w:r w:rsidRPr="009A1DE7">
              <w:rPr>
                <w:i/>
                <w:iCs/>
              </w:rPr>
              <w:t>An asterisk (*) denotes an external resource.</w:t>
            </w:r>
          </w:p>
        </w:tc>
      </w:tr>
      <w:tr w:rsidR="000921ED" w:rsidRPr="00EE4BD6" w14:paraId="04F246C9" w14:textId="77777777" w:rsidTr="00D40F1F">
        <w:trPr>
          <w:cantSplit/>
          <w:trHeight w:val="826"/>
        </w:trPr>
        <w:tc>
          <w:tcPr>
            <w:tcW w:w="668" w:type="pct"/>
          </w:tcPr>
          <w:p w14:paraId="726C3CC3" w14:textId="77777777" w:rsidR="000921ED" w:rsidRPr="009A1DE7" w:rsidRDefault="000921ED" w:rsidP="009F357F">
            <w:pPr>
              <w:pStyle w:val="TableText"/>
              <w:numPr>
                <w:ilvl w:val="0"/>
                <w:numId w:val="3"/>
              </w:numPr>
              <w:ind w:left="226" w:hanging="180"/>
            </w:pPr>
            <w:r w:rsidRPr="00E71A8D">
              <w:t>Since the report parameters include the ability to specify individual Clinics and/or Providers, it is possible to reveal more targeted information.</w:t>
            </w:r>
          </w:p>
        </w:tc>
        <w:tc>
          <w:tcPr>
            <w:tcW w:w="617" w:type="pct"/>
          </w:tcPr>
          <w:p w14:paraId="3D63ED5E" w14:textId="77777777" w:rsidR="000921ED" w:rsidRPr="009A1DE7" w:rsidRDefault="000921ED" w:rsidP="009F357F">
            <w:pPr>
              <w:pStyle w:val="TableText"/>
            </w:pPr>
            <w:r w:rsidRPr="00E71A8D">
              <w:t xml:space="preserve">Dental Chief, CAC, </w:t>
            </w:r>
            <w:r>
              <w:t xml:space="preserve">or </w:t>
            </w:r>
            <w:r w:rsidRPr="00E71A8D">
              <w:t>Billing Manager</w:t>
            </w:r>
          </w:p>
        </w:tc>
        <w:tc>
          <w:tcPr>
            <w:tcW w:w="865" w:type="pct"/>
          </w:tcPr>
          <w:p w14:paraId="3D95F19C" w14:textId="77777777" w:rsidR="000921ED" w:rsidRDefault="000921ED" w:rsidP="009F357F">
            <w:pPr>
              <w:pStyle w:val="TableText"/>
              <w:keepNext/>
              <w:keepLines/>
            </w:pPr>
            <w:r>
              <w:t>This report provides complete Aged Accounts Receivable information and Credit Balances (i.e. insurance over payments or over adjustments displayed as Suspended Credits).  To identify guarantor/patient balances that may need attention due to:</w:t>
            </w:r>
          </w:p>
          <w:p w14:paraId="3C62CBEF" w14:textId="77777777" w:rsidR="000921ED" w:rsidRDefault="000921ED" w:rsidP="009F357F">
            <w:pPr>
              <w:pStyle w:val="TableText"/>
              <w:keepNext/>
              <w:keepLines/>
            </w:pPr>
            <w:r>
              <w:t>Non-Payment</w:t>
            </w:r>
          </w:p>
          <w:p w14:paraId="353656A2" w14:textId="77777777" w:rsidR="000921ED" w:rsidRDefault="000921ED" w:rsidP="009F357F">
            <w:pPr>
              <w:pStyle w:val="TableText"/>
              <w:keepNext/>
              <w:keepLines/>
            </w:pPr>
            <w:r>
              <w:t>Suspended Credits</w:t>
            </w:r>
          </w:p>
          <w:p w14:paraId="00A65148" w14:textId="77777777" w:rsidR="000921ED" w:rsidRPr="009A1DE7" w:rsidRDefault="000921ED" w:rsidP="009F357F">
            <w:pPr>
              <w:pStyle w:val="TableText"/>
            </w:pPr>
            <w:r>
              <w:t>Outstanding/Overdue Insurance Claims</w:t>
            </w:r>
          </w:p>
        </w:tc>
        <w:tc>
          <w:tcPr>
            <w:tcW w:w="1285" w:type="pct"/>
          </w:tcPr>
          <w:p w14:paraId="0788F520" w14:textId="77777777" w:rsidR="000921ED" w:rsidRDefault="000921ED" w:rsidP="009F357F">
            <w:pPr>
              <w:pStyle w:val="TableText"/>
              <w:keepNext/>
              <w:keepLines/>
              <w:numPr>
                <w:ilvl w:val="0"/>
                <w:numId w:val="2"/>
              </w:numPr>
              <w:ind w:left="232" w:hanging="180"/>
            </w:pPr>
            <w:r w:rsidRPr="00E71A8D">
              <w:t>Maintain fee schedules and insurance coverage to ensure proper patient responsibility.  Fees are being charged as procedures are completed.</w:t>
            </w:r>
          </w:p>
          <w:p w14:paraId="2C30886C" w14:textId="77777777" w:rsidR="000921ED" w:rsidRDefault="000921ED" w:rsidP="009F357F">
            <w:pPr>
              <w:pStyle w:val="TableText"/>
              <w:keepNext/>
              <w:keepLines/>
              <w:numPr>
                <w:ilvl w:val="0"/>
                <w:numId w:val="2"/>
              </w:numPr>
              <w:ind w:left="232" w:hanging="180"/>
            </w:pPr>
            <w:r w:rsidRPr="00E71A8D">
              <w:t>Collect patient responsibility at time of service.  Identify at risk accounts and accounts with credits - follow site internal guidelines for contact/additional action.</w:t>
            </w:r>
          </w:p>
          <w:p w14:paraId="5CEE5443" w14:textId="77777777" w:rsidR="000921ED" w:rsidRDefault="000921ED" w:rsidP="009F357F">
            <w:pPr>
              <w:pStyle w:val="TableText"/>
              <w:keepNext/>
              <w:keepLines/>
              <w:numPr>
                <w:ilvl w:val="0"/>
                <w:numId w:val="2"/>
              </w:numPr>
              <w:ind w:left="232" w:hanging="180"/>
            </w:pPr>
            <w:r w:rsidRPr="00E71A8D">
              <w:t>Needed corrections to posted transactions are being made on a daily basis, prior to insurance release.  Insurance claims are routinely processed to completion.</w:t>
            </w:r>
          </w:p>
          <w:p w14:paraId="3E23794D" w14:textId="77777777" w:rsidR="000921ED" w:rsidRPr="009A1DE7" w:rsidRDefault="000921ED" w:rsidP="009F357F">
            <w:pPr>
              <w:pStyle w:val="TableText"/>
              <w:numPr>
                <w:ilvl w:val="0"/>
                <w:numId w:val="2"/>
              </w:numPr>
              <w:ind w:left="232" w:hanging="180"/>
            </w:pPr>
            <w:r w:rsidRPr="00E71A8D">
              <w:t>Month End Update is completed each month.</w:t>
            </w:r>
          </w:p>
        </w:tc>
        <w:tc>
          <w:tcPr>
            <w:tcW w:w="937" w:type="pct"/>
          </w:tcPr>
          <w:p w14:paraId="71F150CB" w14:textId="77777777" w:rsidR="000921ED" w:rsidRPr="00EF587A" w:rsidRDefault="000921ED" w:rsidP="009F357F">
            <w:pPr>
              <w:pStyle w:val="TableText"/>
            </w:pPr>
            <w:r w:rsidRPr="00E71A8D">
              <w:t>Without this monthly review, aging balances and the reasons for the overdue state will not be identified and resolved.  Incorrect adjustments may not be recognized and corrected.  Not reviewing Aging/Credit Balance Report information by Clinic may allow specific site A/R issues to be overlooked and left unresolved.</w:t>
            </w:r>
          </w:p>
        </w:tc>
        <w:tc>
          <w:tcPr>
            <w:tcW w:w="628" w:type="pct"/>
          </w:tcPr>
          <w:p w14:paraId="51B56312" w14:textId="77777777" w:rsidR="000921ED" w:rsidRDefault="000921ED" w:rsidP="009F357F">
            <w:pPr>
              <w:pStyle w:val="TableText"/>
              <w:numPr>
                <w:ilvl w:val="0"/>
                <w:numId w:val="1"/>
              </w:numPr>
              <w:ind w:left="187" w:hanging="187"/>
            </w:pPr>
            <w:r w:rsidRPr="00E71A8D">
              <w:t>Revenue Cycle</w:t>
            </w:r>
          </w:p>
          <w:p w14:paraId="36A695F6" w14:textId="77777777" w:rsidR="000921ED" w:rsidRPr="00EF587A" w:rsidRDefault="000921ED" w:rsidP="009F357F">
            <w:pPr>
              <w:pStyle w:val="TableText"/>
              <w:numPr>
                <w:ilvl w:val="0"/>
                <w:numId w:val="1"/>
              </w:numPr>
              <w:spacing w:after="0"/>
              <w:ind w:left="187" w:hanging="187"/>
            </w:pPr>
            <w:r w:rsidRPr="00E71A8D">
              <w:t>Reports Reference</w:t>
            </w:r>
            <w:r>
              <w:t>*</w:t>
            </w:r>
          </w:p>
        </w:tc>
      </w:tr>
    </w:tbl>
    <w:p w14:paraId="0F8B310D" w14:textId="77777777" w:rsidR="00D40F1F" w:rsidRDefault="00D40F1F">
      <w:r>
        <w:rPr>
          <w:b/>
          <w:iCs/>
        </w:rPr>
        <w:br w:type="page"/>
      </w:r>
    </w:p>
    <w:tbl>
      <w:tblPr>
        <w:tblStyle w:val="TableGrid"/>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29"/>
        <w:gridCol w:w="1602"/>
        <w:gridCol w:w="2242"/>
        <w:gridCol w:w="3333"/>
        <w:gridCol w:w="2522"/>
        <w:gridCol w:w="1532"/>
      </w:tblGrid>
      <w:tr w:rsidR="000921ED" w:rsidRPr="009A1DE7" w14:paraId="3E02B5C2" w14:textId="77777777" w:rsidTr="00D40F1F">
        <w:trPr>
          <w:cantSplit/>
          <w:trHeight w:val="117"/>
        </w:trPr>
        <w:tc>
          <w:tcPr>
            <w:tcW w:w="5000" w:type="pct"/>
            <w:gridSpan w:val="6"/>
            <w:shd w:val="clear" w:color="auto" w:fill="D9E2F3" w:themeFill="accent5" w:themeFillTint="33"/>
            <w:vAlign w:val="center"/>
          </w:tcPr>
          <w:p w14:paraId="19B7DF6A" w14:textId="23CF1DE0" w:rsidR="000921ED" w:rsidRPr="00912847" w:rsidRDefault="000921ED" w:rsidP="002979D4">
            <w:pPr>
              <w:pStyle w:val="Heading4"/>
            </w:pPr>
            <w:bookmarkStart w:id="396" w:name="_Insurance_Claims_Aging"/>
            <w:bookmarkEnd w:id="396"/>
            <w:r w:rsidRPr="00EB07D3">
              <w:lastRenderedPageBreak/>
              <w:t>Insurance Claims Aging Report</w:t>
            </w:r>
            <w:r w:rsidR="00BB2D77">
              <w:tab/>
            </w:r>
            <w:hyperlink w:anchor="_Monthly_Checklist_1" w:history="1">
              <w:r w:rsidR="00FF74B1" w:rsidRPr="00FF74B1">
                <w:rPr>
                  <w:rStyle w:val="Hyperlink"/>
                  <w:b w:val="0"/>
                  <w:bCs/>
                  <w:sz w:val="16"/>
                  <w:szCs w:val="18"/>
                </w:rPr>
                <w:t>Return to Monthly Checklist</w:t>
              </w:r>
            </w:hyperlink>
          </w:p>
        </w:tc>
      </w:tr>
      <w:tr w:rsidR="00D40F1F" w:rsidRPr="009A1DE7" w14:paraId="46642635" w14:textId="77777777" w:rsidTr="00D40F1F">
        <w:trPr>
          <w:cantSplit/>
          <w:tblHeader/>
        </w:trPr>
        <w:tc>
          <w:tcPr>
            <w:tcW w:w="667" w:type="pct"/>
            <w:vAlign w:val="center"/>
          </w:tcPr>
          <w:p w14:paraId="4D31DEE4" w14:textId="77777777" w:rsidR="000921ED" w:rsidRPr="00912847" w:rsidRDefault="000921ED" w:rsidP="009F357F">
            <w:pPr>
              <w:pStyle w:val="TableText"/>
              <w:jc w:val="center"/>
              <w:rPr>
                <w:b/>
                <w:bCs/>
              </w:rPr>
            </w:pPr>
            <w:r w:rsidRPr="00912847">
              <w:rPr>
                <w:b/>
                <w:bCs/>
              </w:rPr>
              <w:t>Suggested Report Filters</w:t>
            </w:r>
          </w:p>
        </w:tc>
        <w:tc>
          <w:tcPr>
            <w:tcW w:w="618" w:type="pct"/>
            <w:vAlign w:val="center"/>
          </w:tcPr>
          <w:p w14:paraId="0D40BA8E" w14:textId="77777777" w:rsidR="000921ED" w:rsidRPr="00912847" w:rsidRDefault="000921ED" w:rsidP="009F357F">
            <w:pPr>
              <w:pStyle w:val="TableText"/>
              <w:jc w:val="center"/>
              <w:rPr>
                <w:b/>
                <w:bCs/>
              </w:rPr>
            </w:pPr>
            <w:r w:rsidRPr="00912847">
              <w:rPr>
                <w:b/>
                <w:bCs/>
              </w:rPr>
              <w:t>Intent / Responsibility</w:t>
            </w:r>
          </w:p>
        </w:tc>
        <w:tc>
          <w:tcPr>
            <w:tcW w:w="865" w:type="pct"/>
            <w:vAlign w:val="center"/>
          </w:tcPr>
          <w:p w14:paraId="07419861" w14:textId="77777777" w:rsidR="000921ED" w:rsidRPr="00912847" w:rsidRDefault="000921ED" w:rsidP="009F357F">
            <w:pPr>
              <w:pStyle w:val="TableText"/>
              <w:jc w:val="center"/>
              <w:rPr>
                <w:b/>
                <w:bCs/>
              </w:rPr>
            </w:pPr>
            <w:r w:rsidRPr="00912847">
              <w:rPr>
                <w:b/>
                <w:bCs/>
              </w:rPr>
              <w:t>Objective</w:t>
            </w:r>
          </w:p>
        </w:tc>
        <w:tc>
          <w:tcPr>
            <w:tcW w:w="1286" w:type="pct"/>
            <w:vAlign w:val="center"/>
          </w:tcPr>
          <w:p w14:paraId="7A7F7CF4" w14:textId="77777777" w:rsidR="000921ED" w:rsidRPr="00912847" w:rsidRDefault="000921ED" w:rsidP="009F357F">
            <w:pPr>
              <w:pStyle w:val="TableText"/>
              <w:jc w:val="center"/>
              <w:rPr>
                <w:b/>
                <w:bCs/>
              </w:rPr>
            </w:pPr>
            <w:r w:rsidRPr="00912847">
              <w:rPr>
                <w:b/>
                <w:bCs/>
              </w:rPr>
              <w:t>Dependencies and Possible Actions or Corrections Needed to Meet Objective</w:t>
            </w:r>
          </w:p>
        </w:tc>
        <w:tc>
          <w:tcPr>
            <w:tcW w:w="973" w:type="pct"/>
            <w:vAlign w:val="center"/>
          </w:tcPr>
          <w:p w14:paraId="07E993EE" w14:textId="77777777" w:rsidR="000921ED" w:rsidRPr="009A1DE7" w:rsidRDefault="000921ED" w:rsidP="009F357F">
            <w:pPr>
              <w:pStyle w:val="TableText"/>
              <w:jc w:val="center"/>
            </w:pPr>
            <w:r w:rsidRPr="00912847">
              <w:rPr>
                <w:b/>
                <w:bCs/>
              </w:rPr>
              <w:t>Warning</w:t>
            </w:r>
          </w:p>
          <w:p w14:paraId="26DCCB88" w14:textId="77777777" w:rsidR="000921ED" w:rsidRPr="009A1DE7" w:rsidRDefault="000921E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1" w:type="pct"/>
            <w:vAlign w:val="center"/>
          </w:tcPr>
          <w:p w14:paraId="7F78F17A" w14:textId="77777777" w:rsidR="000921ED" w:rsidRPr="009A1DE7" w:rsidRDefault="000921ED" w:rsidP="009F357F">
            <w:pPr>
              <w:pStyle w:val="TableText"/>
              <w:jc w:val="center"/>
            </w:pPr>
            <w:r w:rsidRPr="00912847">
              <w:rPr>
                <w:b/>
                <w:bCs/>
              </w:rPr>
              <w:t>References</w:t>
            </w:r>
          </w:p>
          <w:p w14:paraId="5DD4C3B0" w14:textId="77777777" w:rsidR="000921ED" w:rsidRPr="009A1DE7" w:rsidRDefault="000921ED" w:rsidP="009F357F">
            <w:pPr>
              <w:pStyle w:val="TableText"/>
              <w:jc w:val="center"/>
            </w:pPr>
            <w:r w:rsidRPr="009A1DE7">
              <w:rPr>
                <w:i/>
                <w:iCs/>
              </w:rPr>
              <w:t>An asterisk (*) denotes an external resource.</w:t>
            </w:r>
          </w:p>
        </w:tc>
      </w:tr>
      <w:tr w:rsidR="00D40F1F" w:rsidRPr="00EE4BD6" w14:paraId="309875AD" w14:textId="77777777" w:rsidTr="00D40F1F">
        <w:trPr>
          <w:cantSplit/>
          <w:trHeight w:val="560"/>
        </w:trPr>
        <w:tc>
          <w:tcPr>
            <w:tcW w:w="667" w:type="pct"/>
          </w:tcPr>
          <w:p w14:paraId="41E95F41" w14:textId="77777777" w:rsidR="000921ED" w:rsidRPr="009A1DE7" w:rsidRDefault="000921ED" w:rsidP="009F357F">
            <w:pPr>
              <w:pStyle w:val="TableText"/>
              <w:numPr>
                <w:ilvl w:val="0"/>
                <w:numId w:val="3"/>
              </w:numPr>
              <w:ind w:left="226" w:hanging="180"/>
            </w:pPr>
            <w:r w:rsidRPr="00E71A8D">
              <w:t>Since the report parameters include the ability to specify individual Clinics and/or Carriers it is possible to reveal more targeted information</w:t>
            </w:r>
            <w:r>
              <w:t>.</w:t>
            </w:r>
          </w:p>
        </w:tc>
        <w:tc>
          <w:tcPr>
            <w:tcW w:w="618" w:type="pct"/>
          </w:tcPr>
          <w:p w14:paraId="30F824DE" w14:textId="77777777" w:rsidR="000921ED" w:rsidRPr="009A1DE7" w:rsidRDefault="000921ED" w:rsidP="009F357F">
            <w:pPr>
              <w:pStyle w:val="TableText"/>
            </w:pPr>
            <w:r w:rsidRPr="00E71A8D">
              <w:t>CAC / Billing Manager</w:t>
            </w:r>
          </w:p>
        </w:tc>
        <w:tc>
          <w:tcPr>
            <w:tcW w:w="865" w:type="pct"/>
          </w:tcPr>
          <w:p w14:paraId="3AAB33D6" w14:textId="77777777" w:rsidR="000921ED" w:rsidRPr="009A1DE7" w:rsidRDefault="000921ED" w:rsidP="009F357F">
            <w:pPr>
              <w:pStyle w:val="TableText"/>
            </w:pPr>
            <w:r w:rsidRPr="00E71A8D">
              <w:t>This report displays each insurance carrier with outstanding claims along with aged insurance estimates based on the claim sent date.  Reviewing the information on this report allows follow-up on delayed claims.  Through further research of the aged claim, the user will discover what needs to be done to expedite processing so that the claim can be paid/adjudicated.</w:t>
            </w:r>
          </w:p>
        </w:tc>
        <w:tc>
          <w:tcPr>
            <w:tcW w:w="1286" w:type="pct"/>
          </w:tcPr>
          <w:p w14:paraId="54F074C1" w14:textId="77777777" w:rsidR="000921ED" w:rsidRDefault="000921ED" w:rsidP="009F357F">
            <w:pPr>
              <w:pStyle w:val="TableText"/>
              <w:keepNext/>
              <w:keepLines/>
              <w:numPr>
                <w:ilvl w:val="0"/>
                <w:numId w:val="2"/>
              </w:numPr>
              <w:ind w:left="232" w:hanging="180"/>
            </w:pPr>
            <w:r w:rsidRPr="00E71A8D">
              <w:t>Fees are being charged and claims billing processed in the EDR and via eServices/eClaims.</w:t>
            </w:r>
          </w:p>
          <w:p w14:paraId="27BBEC0D" w14:textId="77777777" w:rsidR="000921ED" w:rsidRPr="009A1DE7" w:rsidRDefault="000921ED" w:rsidP="009F357F">
            <w:pPr>
              <w:pStyle w:val="TableText"/>
              <w:numPr>
                <w:ilvl w:val="0"/>
                <w:numId w:val="2"/>
              </w:numPr>
              <w:ind w:left="232" w:hanging="180"/>
            </w:pPr>
            <w:r w:rsidRPr="00E71A8D">
              <w:rPr>
                <w:u w:val="single"/>
              </w:rPr>
              <w:t>Ledger</w:t>
            </w:r>
            <w:r w:rsidRPr="00E71A8D">
              <w:t>:  Generate a claim to be added to the list.  Reconcile the claim to remove it.</w:t>
            </w:r>
          </w:p>
        </w:tc>
        <w:tc>
          <w:tcPr>
            <w:tcW w:w="973" w:type="pct"/>
          </w:tcPr>
          <w:p w14:paraId="6F5B83B0" w14:textId="77777777" w:rsidR="000921ED" w:rsidRPr="00EF587A" w:rsidRDefault="000921ED" w:rsidP="009F357F">
            <w:pPr>
              <w:pStyle w:val="TableText"/>
            </w:pPr>
            <w:r w:rsidRPr="00E71A8D">
              <w:t>Without review of this report, insurance claims that need attention in some way will not be recognized and receipt of revenue will be delayed.</w:t>
            </w:r>
          </w:p>
        </w:tc>
        <w:tc>
          <w:tcPr>
            <w:tcW w:w="591" w:type="pct"/>
          </w:tcPr>
          <w:p w14:paraId="24D7F664" w14:textId="77777777" w:rsidR="000921ED" w:rsidRDefault="000921ED" w:rsidP="009F357F">
            <w:pPr>
              <w:pStyle w:val="TableText"/>
              <w:numPr>
                <w:ilvl w:val="0"/>
                <w:numId w:val="1"/>
              </w:numPr>
              <w:ind w:left="187" w:hanging="187"/>
            </w:pPr>
            <w:r w:rsidRPr="00E71A8D">
              <w:t>Revenue Cycle</w:t>
            </w:r>
          </w:p>
          <w:p w14:paraId="0C14331F" w14:textId="77777777" w:rsidR="000921ED" w:rsidRPr="00EF587A" w:rsidRDefault="000921ED" w:rsidP="009F357F">
            <w:pPr>
              <w:pStyle w:val="TableText"/>
              <w:numPr>
                <w:ilvl w:val="0"/>
                <w:numId w:val="1"/>
              </w:numPr>
              <w:spacing w:after="0"/>
              <w:ind w:left="187" w:hanging="187"/>
            </w:pPr>
            <w:r w:rsidRPr="00E71A8D">
              <w:t>Reports Reference</w:t>
            </w:r>
            <w:r>
              <w:t>*</w:t>
            </w:r>
          </w:p>
        </w:tc>
      </w:tr>
      <w:tr w:rsidR="006C476D" w:rsidRPr="00EE4BD6" w14:paraId="16C3623A" w14:textId="77777777" w:rsidTr="00CD184D">
        <w:trPr>
          <w:cantSplit/>
          <w:trHeight w:val="189"/>
        </w:trPr>
        <w:tc>
          <w:tcPr>
            <w:tcW w:w="5000" w:type="pct"/>
            <w:gridSpan w:val="6"/>
            <w:shd w:val="clear" w:color="auto" w:fill="D9E2F3" w:themeFill="accent5" w:themeFillTint="33"/>
            <w:vAlign w:val="center"/>
          </w:tcPr>
          <w:p w14:paraId="4E5E67DD" w14:textId="43B70939" w:rsidR="006C476D" w:rsidRPr="00F12263" w:rsidRDefault="000F591C" w:rsidP="002979D4">
            <w:pPr>
              <w:pStyle w:val="Heading4"/>
            </w:pPr>
            <w:bookmarkStart w:id="397" w:name="_Billing_Statements"/>
            <w:bookmarkEnd w:id="397"/>
            <w:r>
              <w:t>Billing Statements</w:t>
            </w:r>
            <w:r w:rsidR="00BB2D77">
              <w:tab/>
            </w:r>
            <w:hyperlink w:anchor="_Monthly_Checklist_1" w:history="1">
              <w:r w:rsidR="00FF74B1" w:rsidRPr="00FF74B1">
                <w:rPr>
                  <w:rStyle w:val="Hyperlink"/>
                  <w:b w:val="0"/>
                  <w:bCs/>
                  <w:sz w:val="16"/>
                  <w:szCs w:val="18"/>
                </w:rPr>
                <w:t>Return to Monthly Checklist</w:t>
              </w:r>
            </w:hyperlink>
          </w:p>
        </w:tc>
      </w:tr>
      <w:tr w:rsidR="006C476D" w:rsidRPr="00EE4BD6" w14:paraId="585BCF07" w14:textId="77777777" w:rsidTr="00D40F1F">
        <w:trPr>
          <w:cantSplit/>
          <w:trHeight w:val="444"/>
        </w:trPr>
        <w:tc>
          <w:tcPr>
            <w:tcW w:w="667" w:type="pct"/>
            <w:vAlign w:val="center"/>
          </w:tcPr>
          <w:p w14:paraId="6EC58EF8" w14:textId="55F6F379" w:rsidR="006C476D" w:rsidRPr="00E71A8D" w:rsidRDefault="006C476D" w:rsidP="009E07D7">
            <w:pPr>
              <w:pStyle w:val="TableText"/>
              <w:ind w:left="46"/>
              <w:jc w:val="center"/>
            </w:pPr>
            <w:r w:rsidRPr="00912847">
              <w:rPr>
                <w:b/>
                <w:bCs/>
              </w:rPr>
              <w:t>Suggested Report Filters</w:t>
            </w:r>
          </w:p>
        </w:tc>
        <w:tc>
          <w:tcPr>
            <w:tcW w:w="618" w:type="pct"/>
            <w:vAlign w:val="center"/>
          </w:tcPr>
          <w:p w14:paraId="2C0AB056" w14:textId="7DE75886" w:rsidR="006C476D" w:rsidRPr="00E71A8D" w:rsidRDefault="006C476D" w:rsidP="009E07D7">
            <w:pPr>
              <w:pStyle w:val="TableText"/>
              <w:jc w:val="center"/>
            </w:pPr>
            <w:r w:rsidRPr="00912847">
              <w:rPr>
                <w:b/>
                <w:bCs/>
              </w:rPr>
              <w:t>Intent / Responsibility</w:t>
            </w:r>
          </w:p>
        </w:tc>
        <w:tc>
          <w:tcPr>
            <w:tcW w:w="865" w:type="pct"/>
            <w:vAlign w:val="center"/>
          </w:tcPr>
          <w:p w14:paraId="311BB0FB" w14:textId="2F3BF847" w:rsidR="006C476D" w:rsidRPr="00E71A8D" w:rsidRDefault="006C476D" w:rsidP="009E07D7">
            <w:pPr>
              <w:pStyle w:val="TableText"/>
              <w:jc w:val="center"/>
            </w:pPr>
            <w:r w:rsidRPr="00912847">
              <w:rPr>
                <w:b/>
                <w:bCs/>
              </w:rPr>
              <w:t>Objective</w:t>
            </w:r>
          </w:p>
        </w:tc>
        <w:tc>
          <w:tcPr>
            <w:tcW w:w="1286" w:type="pct"/>
            <w:vAlign w:val="center"/>
          </w:tcPr>
          <w:p w14:paraId="0E614994" w14:textId="2AB08F57" w:rsidR="006C476D" w:rsidRPr="00E71A8D" w:rsidRDefault="006C476D" w:rsidP="009E07D7">
            <w:pPr>
              <w:pStyle w:val="TableText"/>
              <w:keepNext/>
              <w:keepLines/>
              <w:ind w:left="52"/>
              <w:jc w:val="center"/>
              <w:rPr>
                <w:u w:val="single"/>
              </w:rPr>
            </w:pPr>
            <w:r w:rsidRPr="00912847">
              <w:rPr>
                <w:b/>
                <w:bCs/>
              </w:rPr>
              <w:t>Dependencies and Possible Actions or Corrections Needed to Meet Objective</w:t>
            </w:r>
          </w:p>
        </w:tc>
        <w:tc>
          <w:tcPr>
            <w:tcW w:w="973" w:type="pct"/>
            <w:vAlign w:val="center"/>
          </w:tcPr>
          <w:p w14:paraId="5277C463" w14:textId="77777777" w:rsidR="006C476D" w:rsidRPr="009A1DE7" w:rsidRDefault="006C476D" w:rsidP="009E07D7">
            <w:pPr>
              <w:pStyle w:val="TableText"/>
              <w:jc w:val="center"/>
            </w:pPr>
            <w:r w:rsidRPr="00912847">
              <w:rPr>
                <w:b/>
                <w:bCs/>
              </w:rPr>
              <w:t>Warning</w:t>
            </w:r>
          </w:p>
          <w:p w14:paraId="455075AD" w14:textId="57B5E441" w:rsidR="006C476D" w:rsidRPr="00E71A8D" w:rsidRDefault="006C476D" w:rsidP="009E07D7">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1" w:type="pct"/>
            <w:vAlign w:val="center"/>
          </w:tcPr>
          <w:p w14:paraId="780266BB" w14:textId="77777777" w:rsidR="006C476D" w:rsidRPr="009A1DE7" w:rsidRDefault="006C476D" w:rsidP="009E07D7">
            <w:pPr>
              <w:pStyle w:val="TableText"/>
              <w:jc w:val="center"/>
            </w:pPr>
            <w:r w:rsidRPr="00912847">
              <w:rPr>
                <w:b/>
                <w:bCs/>
              </w:rPr>
              <w:t>References</w:t>
            </w:r>
          </w:p>
          <w:p w14:paraId="3ABF4F8E" w14:textId="0F2BFAF7" w:rsidR="006C476D" w:rsidRPr="00E71A8D" w:rsidRDefault="006C476D" w:rsidP="009E07D7">
            <w:pPr>
              <w:pStyle w:val="TableText"/>
              <w:jc w:val="center"/>
            </w:pPr>
            <w:r w:rsidRPr="009A1DE7">
              <w:rPr>
                <w:i/>
                <w:iCs/>
              </w:rPr>
              <w:t>An asterisk (*) denotes an external resource.</w:t>
            </w:r>
          </w:p>
        </w:tc>
      </w:tr>
      <w:tr w:rsidR="006C476D" w:rsidRPr="00EE4BD6" w14:paraId="59240D0E" w14:textId="77777777" w:rsidTr="00D40F1F">
        <w:trPr>
          <w:cantSplit/>
          <w:trHeight w:val="444"/>
        </w:trPr>
        <w:tc>
          <w:tcPr>
            <w:tcW w:w="667" w:type="pct"/>
          </w:tcPr>
          <w:p w14:paraId="257F5E2C" w14:textId="77777777" w:rsidR="006C476D" w:rsidRPr="009A1DE7" w:rsidRDefault="006C476D" w:rsidP="009F357F">
            <w:pPr>
              <w:pStyle w:val="TableText"/>
              <w:numPr>
                <w:ilvl w:val="0"/>
                <w:numId w:val="3"/>
              </w:numPr>
              <w:ind w:left="226" w:hanging="180"/>
            </w:pPr>
            <w:r w:rsidRPr="00E71A8D">
              <w:t>Since the report parameters include the ability to specify individual Billing Types it is possible to reveal more targeted information.</w:t>
            </w:r>
          </w:p>
        </w:tc>
        <w:tc>
          <w:tcPr>
            <w:tcW w:w="618" w:type="pct"/>
          </w:tcPr>
          <w:p w14:paraId="224C89F7" w14:textId="77777777" w:rsidR="006C476D" w:rsidRPr="009A1DE7" w:rsidRDefault="006C476D" w:rsidP="009F357F">
            <w:pPr>
              <w:pStyle w:val="TableText"/>
            </w:pPr>
            <w:r w:rsidRPr="00E71A8D">
              <w:t>Billing</w:t>
            </w:r>
          </w:p>
        </w:tc>
        <w:tc>
          <w:tcPr>
            <w:tcW w:w="865" w:type="pct"/>
          </w:tcPr>
          <w:p w14:paraId="6D55833F" w14:textId="77777777" w:rsidR="006C476D" w:rsidRPr="009A1DE7" w:rsidRDefault="006C476D" w:rsidP="009F357F">
            <w:pPr>
              <w:pStyle w:val="TableText"/>
            </w:pPr>
            <w:r w:rsidRPr="00E71A8D">
              <w:t>Billing Statements are generated to present a patient with services that have been rendered and any balance that has remained unpaid.</w:t>
            </w:r>
          </w:p>
        </w:tc>
        <w:tc>
          <w:tcPr>
            <w:tcW w:w="1286" w:type="pct"/>
          </w:tcPr>
          <w:p w14:paraId="049902C6" w14:textId="77777777" w:rsidR="006C476D" w:rsidRDefault="006C476D" w:rsidP="009F357F">
            <w:pPr>
              <w:pStyle w:val="TableText"/>
              <w:keepNext/>
              <w:keepLines/>
              <w:numPr>
                <w:ilvl w:val="0"/>
                <w:numId w:val="2"/>
              </w:numPr>
              <w:ind w:left="232" w:hanging="180"/>
            </w:pPr>
            <w:r w:rsidRPr="00E71A8D">
              <w:rPr>
                <w:u w:val="single"/>
              </w:rPr>
              <w:t>Office Manager</w:t>
            </w:r>
            <w:r w:rsidRPr="00E71A8D">
              <w:t>:  Filters are used to focus on balances that are overdue and collectible.</w:t>
            </w:r>
          </w:p>
          <w:p w14:paraId="7D0C1535" w14:textId="77777777" w:rsidR="006C476D" w:rsidRDefault="006C476D" w:rsidP="009F357F">
            <w:pPr>
              <w:pStyle w:val="TableText"/>
              <w:keepNext/>
              <w:keepLines/>
              <w:numPr>
                <w:ilvl w:val="0"/>
                <w:numId w:val="2"/>
              </w:numPr>
              <w:ind w:left="232" w:hanging="180"/>
            </w:pPr>
            <w:r w:rsidRPr="00E71A8D">
              <w:rPr>
                <w:u w:val="single"/>
              </w:rPr>
              <w:t>Ledger</w:t>
            </w:r>
            <w:r w:rsidRPr="00E71A8D">
              <w:t>:  Proper allocation of payments.</w:t>
            </w:r>
          </w:p>
          <w:p w14:paraId="539683B2" w14:textId="77777777" w:rsidR="006C476D" w:rsidRPr="009A1DE7" w:rsidRDefault="006C476D" w:rsidP="009F357F">
            <w:pPr>
              <w:pStyle w:val="TableText"/>
              <w:numPr>
                <w:ilvl w:val="0"/>
                <w:numId w:val="2"/>
              </w:numPr>
              <w:ind w:left="232" w:hanging="180"/>
            </w:pPr>
            <w:r w:rsidRPr="00E71A8D">
              <w:rPr>
                <w:u w:val="single"/>
              </w:rPr>
              <w:t>DXOne</w:t>
            </w:r>
            <w:r>
              <w:rPr>
                <w:u w:val="single"/>
              </w:rPr>
              <w:t xml:space="preserve"> Reporting</w:t>
            </w:r>
            <w:r w:rsidRPr="00E71A8D">
              <w:t>:  Reviewing aging and suspended credit report prior to running billing statements to ensure accuracy of patient balances.</w:t>
            </w:r>
          </w:p>
        </w:tc>
        <w:tc>
          <w:tcPr>
            <w:tcW w:w="973" w:type="pct"/>
          </w:tcPr>
          <w:p w14:paraId="50471DCD" w14:textId="77777777" w:rsidR="006C476D" w:rsidRPr="00EF587A" w:rsidRDefault="006C476D" w:rsidP="009F357F">
            <w:pPr>
              <w:pStyle w:val="TableText"/>
            </w:pPr>
            <w:r w:rsidRPr="00E71A8D">
              <w:t>Managing revenue cycle processes within Dentrix Enterprise ensures patient accounts are reviewed for unpaid balances.  Generation of billing statements enables the opportunity to communicate balances owed on accounts following treatment and insurance payments</w:t>
            </w:r>
            <w:r>
              <w:t>.</w:t>
            </w:r>
          </w:p>
        </w:tc>
        <w:tc>
          <w:tcPr>
            <w:tcW w:w="591" w:type="pct"/>
          </w:tcPr>
          <w:p w14:paraId="534F2F04" w14:textId="77777777" w:rsidR="006C476D" w:rsidRDefault="006C476D" w:rsidP="009F357F">
            <w:pPr>
              <w:pStyle w:val="TableText"/>
              <w:numPr>
                <w:ilvl w:val="0"/>
                <w:numId w:val="1"/>
              </w:numPr>
              <w:ind w:left="187" w:hanging="187"/>
            </w:pPr>
            <w:r w:rsidRPr="00E71A8D">
              <w:t>Revenue Cycle</w:t>
            </w:r>
          </w:p>
          <w:p w14:paraId="1FCB9BB9" w14:textId="77777777" w:rsidR="006C476D" w:rsidRPr="00EF587A" w:rsidRDefault="006C476D" w:rsidP="009F357F">
            <w:pPr>
              <w:pStyle w:val="TableText"/>
              <w:numPr>
                <w:ilvl w:val="0"/>
                <w:numId w:val="1"/>
              </w:numPr>
              <w:spacing w:after="0"/>
              <w:ind w:left="187" w:hanging="187"/>
            </w:pPr>
            <w:r w:rsidRPr="00E71A8D">
              <w:t>Reports Reference</w:t>
            </w:r>
            <w:r>
              <w:t>*</w:t>
            </w:r>
          </w:p>
        </w:tc>
      </w:tr>
    </w:tbl>
    <w:p w14:paraId="296B14EB" w14:textId="77777777" w:rsidR="00D40F1F" w:rsidRDefault="00D40F1F">
      <w:r>
        <w:rPr>
          <w:b/>
          <w:iCs/>
        </w:rPr>
        <w:br w:type="page"/>
      </w:r>
    </w:p>
    <w:tbl>
      <w:tblPr>
        <w:tblStyle w:val="TableGrid"/>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29"/>
        <w:gridCol w:w="1602"/>
        <w:gridCol w:w="2239"/>
        <w:gridCol w:w="3331"/>
        <w:gridCol w:w="2522"/>
        <w:gridCol w:w="1537"/>
      </w:tblGrid>
      <w:tr w:rsidR="000F591C" w:rsidRPr="00EE4BD6" w14:paraId="7777E5B7" w14:textId="77777777" w:rsidTr="00CD184D">
        <w:trPr>
          <w:cantSplit/>
          <w:trHeight w:val="288"/>
        </w:trPr>
        <w:tc>
          <w:tcPr>
            <w:tcW w:w="5000" w:type="pct"/>
            <w:gridSpan w:val="6"/>
            <w:shd w:val="clear" w:color="auto" w:fill="D9E2F3" w:themeFill="accent5" w:themeFillTint="33"/>
            <w:vAlign w:val="center"/>
          </w:tcPr>
          <w:p w14:paraId="0E47E70F" w14:textId="4A1B76DB" w:rsidR="000F591C" w:rsidRPr="00912847" w:rsidRDefault="000F591C" w:rsidP="000F591C">
            <w:pPr>
              <w:pStyle w:val="Heading4"/>
              <w:rPr>
                <w:bCs/>
              </w:rPr>
            </w:pPr>
            <w:bookmarkStart w:id="398" w:name="_Adjustment_Summary_Report"/>
            <w:bookmarkEnd w:id="398"/>
            <w:r w:rsidRPr="00EB07D3">
              <w:lastRenderedPageBreak/>
              <w:t>Adjustment Summary Report</w:t>
            </w:r>
            <w:r w:rsidR="00BB2D77">
              <w:tab/>
            </w:r>
            <w:hyperlink w:anchor="_Monthly_Checklist_1" w:history="1">
              <w:r w:rsidR="00FF74B1" w:rsidRPr="00FF74B1">
                <w:rPr>
                  <w:rStyle w:val="Hyperlink"/>
                  <w:b w:val="0"/>
                  <w:bCs/>
                  <w:sz w:val="16"/>
                  <w:szCs w:val="18"/>
                </w:rPr>
                <w:t>Return to Monthly Checklist</w:t>
              </w:r>
            </w:hyperlink>
          </w:p>
        </w:tc>
      </w:tr>
      <w:tr w:rsidR="006C476D" w:rsidRPr="00EE4BD6" w14:paraId="676CF240" w14:textId="77777777" w:rsidTr="00D40F1F">
        <w:trPr>
          <w:cantSplit/>
          <w:trHeight w:val="554"/>
        </w:trPr>
        <w:tc>
          <w:tcPr>
            <w:tcW w:w="667" w:type="pct"/>
            <w:vAlign w:val="center"/>
          </w:tcPr>
          <w:p w14:paraId="0C217F8F" w14:textId="1BA0B58E" w:rsidR="006C476D" w:rsidRPr="00E71A8D" w:rsidRDefault="006C476D" w:rsidP="00C769AB">
            <w:pPr>
              <w:pStyle w:val="TableText"/>
              <w:jc w:val="center"/>
            </w:pPr>
            <w:r w:rsidRPr="00912847">
              <w:rPr>
                <w:b/>
                <w:bCs/>
              </w:rPr>
              <w:t>Suggested Report Filters</w:t>
            </w:r>
          </w:p>
        </w:tc>
        <w:tc>
          <w:tcPr>
            <w:tcW w:w="618" w:type="pct"/>
            <w:vAlign w:val="center"/>
          </w:tcPr>
          <w:p w14:paraId="7C275521" w14:textId="7F61DC81" w:rsidR="006C476D" w:rsidRPr="00E71A8D" w:rsidRDefault="006C476D" w:rsidP="00C769AB">
            <w:pPr>
              <w:pStyle w:val="TableText"/>
              <w:jc w:val="center"/>
            </w:pPr>
            <w:r w:rsidRPr="00912847">
              <w:rPr>
                <w:b/>
                <w:bCs/>
              </w:rPr>
              <w:t>Intent / Responsibility</w:t>
            </w:r>
          </w:p>
        </w:tc>
        <w:tc>
          <w:tcPr>
            <w:tcW w:w="864" w:type="pct"/>
            <w:vAlign w:val="center"/>
          </w:tcPr>
          <w:p w14:paraId="0BF9DE6F" w14:textId="68552B7C" w:rsidR="006C476D" w:rsidRPr="00E71A8D" w:rsidRDefault="006C476D" w:rsidP="00C769AB">
            <w:pPr>
              <w:pStyle w:val="TableText"/>
              <w:jc w:val="center"/>
            </w:pPr>
            <w:r w:rsidRPr="00912847">
              <w:rPr>
                <w:b/>
                <w:bCs/>
              </w:rPr>
              <w:t>Objective</w:t>
            </w:r>
          </w:p>
        </w:tc>
        <w:tc>
          <w:tcPr>
            <w:tcW w:w="1285" w:type="pct"/>
            <w:vAlign w:val="center"/>
          </w:tcPr>
          <w:p w14:paraId="0BD6FD27" w14:textId="2672202C" w:rsidR="006C476D" w:rsidRPr="00E71A8D" w:rsidRDefault="006C476D" w:rsidP="00C769AB">
            <w:pPr>
              <w:pStyle w:val="TableText"/>
              <w:keepNext/>
              <w:keepLines/>
              <w:jc w:val="center"/>
              <w:rPr>
                <w:u w:val="single"/>
              </w:rPr>
            </w:pPr>
            <w:r w:rsidRPr="00912847">
              <w:rPr>
                <w:b/>
                <w:bCs/>
              </w:rPr>
              <w:t>Dependencies and Possible Actions or Corrections Needed to Meet Objective</w:t>
            </w:r>
          </w:p>
        </w:tc>
        <w:tc>
          <w:tcPr>
            <w:tcW w:w="973" w:type="pct"/>
            <w:vAlign w:val="center"/>
          </w:tcPr>
          <w:p w14:paraId="0348EF96" w14:textId="77777777" w:rsidR="006C476D" w:rsidRPr="009A1DE7" w:rsidRDefault="006C476D" w:rsidP="00C769AB">
            <w:pPr>
              <w:pStyle w:val="TableText"/>
              <w:jc w:val="center"/>
            </w:pPr>
            <w:r w:rsidRPr="00912847">
              <w:rPr>
                <w:b/>
                <w:bCs/>
              </w:rPr>
              <w:t>Warning</w:t>
            </w:r>
          </w:p>
          <w:p w14:paraId="51BA76D1" w14:textId="201BF86E" w:rsidR="006C476D" w:rsidRPr="00E71A8D" w:rsidRDefault="006C476D" w:rsidP="00C769AB">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6C164A82" w14:textId="77777777" w:rsidR="006C476D" w:rsidRPr="009A1DE7" w:rsidRDefault="006C476D" w:rsidP="00C769AB">
            <w:pPr>
              <w:pStyle w:val="TableText"/>
              <w:jc w:val="center"/>
            </w:pPr>
            <w:r w:rsidRPr="00912847">
              <w:rPr>
                <w:b/>
                <w:bCs/>
              </w:rPr>
              <w:t>References</w:t>
            </w:r>
          </w:p>
          <w:p w14:paraId="796D0BDC" w14:textId="2E355710" w:rsidR="006C476D" w:rsidRDefault="006C476D" w:rsidP="00C769AB">
            <w:pPr>
              <w:pStyle w:val="TableText"/>
              <w:jc w:val="center"/>
            </w:pPr>
            <w:r w:rsidRPr="009A1DE7">
              <w:rPr>
                <w:i/>
                <w:iCs/>
              </w:rPr>
              <w:t>An asterisk (*) denotes an external resource.</w:t>
            </w:r>
          </w:p>
        </w:tc>
      </w:tr>
      <w:tr w:rsidR="006C476D" w:rsidRPr="00EE4BD6" w14:paraId="3ACD5D3C" w14:textId="77777777" w:rsidTr="00D40F1F">
        <w:trPr>
          <w:cantSplit/>
          <w:trHeight w:val="554"/>
        </w:trPr>
        <w:tc>
          <w:tcPr>
            <w:tcW w:w="667" w:type="pct"/>
          </w:tcPr>
          <w:p w14:paraId="32C366EA" w14:textId="77777777" w:rsidR="006C476D" w:rsidRPr="009A1DE7" w:rsidRDefault="006C476D" w:rsidP="009F357F">
            <w:pPr>
              <w:pStyle w:val="TableText"/>
              <w:numPr>
                <w:ilvl w:val="0"/>
                <w:numId w:val="3"/>
              </w:numPr>
              <w:ind w:left="226" w:hanging="180"/>
            </w:pPr>
            <w:r w:rsidRPr="00E71A8D">
              <w:t>This report displays a list of adjustments applied in the EDR Ledger.  Among the parameters available in the report are all or specific adjustment types along with all or selected providers.</w:t>
            </w:r>
          </w:p>
        </w:tc>
        <w:tc>
          <w:tcPr>
            <w:tcW w:w="618" w:type="pct"/>
          </w:tcPr>
          <w:p w14:paraId="0D4FFB19" w14:textId="77777777" w:rsidR="006C476D" w:rsidRPr="009A1DE7" w:rsidRDefault="006C476D" w:rsidP="009F357F">
            <w:pPr>
              <w:pStyle w:val="TableText"/>
            </w:pPr>
            <w:r w:rsidRPr="00E71A8D">
              <w:t>Dental Chief, CAC</w:t>
            </w:r>
          </w:p>
        </w:tc>
        <w:tc>
          <w:tcPr>
            <w:tcW w:w="864" w:type="pct"/>
          </w:tcPr>
          <w:p w14:paraId="5060AAA0" w14:textId="77777777" w:rsidR="006C476D" w:rsidRPr="009A1DE7" w:rsidRDefault="006C476D" w:rsidP="009F357F">
            <w:pPr>
              <w:pStyle w:val="TableText"/>
            </w:pPr>
            <w:r w:rsidRPr="00E71A8D">
              <w:t>Among the purposes for examining data includes over-use of a "generic" adjustment types that could be further broken down into more specific adjustment types for better tracking.</w:t>
            </w:r>
          </w:p>
        </w:tc>
        <w:tc>
          <w:tcPr>
            <w:tcW w:w="1285" w:type="pct"/>
          </w:tcPr>
          <w:p w14:paraId="277E8CF9" w14:textId="77777777" w:rsidR="006C476D" w:rsidRDefault="006C476D" w:rsidP="009F357F">
            <w:pPr>
              <w:pStyle w:val="TableText"/>
              <w:keepNext/>
              <w:keepLines/>
              <w:numPr>
                <w:ilvl w:val="0"/>
                <w:numId w:val="2"/>
              </w:numPr>
              <w:ind w:left="232" w:hanging="180"/>
            </w:pPr>
            <w:r w:rsidRPr="00E71A8D">
              <w:rPr>
                <w:u w:val="single"/>
              </w:rPr>
              <w:t>Office Manager</w:t>
            </w:r>
            <w:r w:rsidRPr="00E71A8D">
              <w:t>:  Appropriate staff members have been allowed security rights to add Adjustments in the EDR ledger after in-depth training of the cause and effect of entering adjustments.</w:t>
            </w:r>
          </w:p>
          <w:p w14:paraId="3CF305EC" w14:textId="77777777" w:rsidR="006C476D" w:rsidRDefault="006C476D" w:rsidP="009F357F">
            <w:pPr>
              <w:pStyle w:val="TableText"/>
              <w:keepNext/>
              <w:keepLines/>
              <w:numPr>
                <w:ilvl w:val="0"/>
                <w:numId w:val="2"/>
              </w:numPr>
              <w:ind w:left="232" w:hanging="180"/>
            </w:pPr>
            <w:r w:rsidRPr="00E71A8D">
              <w:t>Set up and use of adjustment type definitions that reflect detailed reporting needs.</w:t>
            </w:r>
          </w:p>
          <w:p w14:paraId="523703ED" w14:textId="77777777" w:rsidR="006C476D" w:rsidRPr="009A1DE7" w:rsidRDefault="006C476D" w:rsidP="009F357F">
            <w:pPr>
              <w:pStyle w:val="TableText"/>
              <w:numPr>
                <w:ilvl w:val="0"/>
                <w:numId w:val="2"/>
              </w:numPr>
              <w:ind w:left="232" w:hanging="180"/>
            </w:pPr>
            <w:r w:rsidRPr="00E71A8D">
              <w:rPr>
                <w:u w:val="single"/>
              </w:rPr>
              <w:t>Ledger</w:t>
            </w:r>
            <w:r w:rsidRPr="00E71A8D">
              <w:t>:  Application of adjustments to patient account Ledgers.</w:t>
            </w:r>
          </w:p>
        </w:tc>
        <w:tc>
          <w:tcPr>
            <w:tcW w:w="973" w:type="pct"/>
          </w:tcPr>
          <w:p w14:paraId="239E8918" w14:textId="77777777" w:rsidR="006C476D" w:rsidRPr="00EF587A" w:rsidRDefault="006C476D" w:rsidP="009F357F">
            <w:pPr>
              <w:pStyle w:val="TableText"/>
            </w:pPr>
            <w:r w:rsidRPr="00E71A8D">
              <w:t>Not reviewing the information on the Adjustment Summary Report leaves questions about adjustment use unidentified and unresolved.</w:t>
            </w:r>
          </w:p>
        </w:tc>
        <w:tc>
          <w:tcPr>
            <w:tcW w:w="593" w:type="pct"/>
          </w:tcPr>
          <w:p w14:paraId="13FE2A13" w14:textId="77777777" w:rsidR="006C476D" w:rsidRDefault="006C476D" w:rsidP="009F357F">
            <w:pPr>
              <w:pStyle w:val="TableText"/>
              <w:numPr>
                <w:ilvl w:val="0"/>
                <w:numId w:val="1"/>
              </w:numPr>
              <w:ind w:left="187" w:hanging="187"/>
            </w:pPr>
            <w:r>
              <w:t>Database Design</w:t>
            </w:r>
          </w:p>
          <w:p w14:paraId="18A0D1E7" w14:textId="77777777" w:rsidR="006C476D" w:rsidRDefault="006C476D" w:rsidP="009F357F">
            <w:pPr>
              <w:pStyle w:val="TableText"/>
              <w:numPr>
                <w:ilvl w:val="0"/>
                <w:numId w:val="1"/>
              </w:numPr>
              <w:ind w:left="187" w:hanging="187"/>
            </w:pPr>
            <w:r w:rsidRPr="00E71A8D">
              <w:t>Revenue Cycle</w:t>
            </w:r>
          </w:p>
          <w:p w14:paraId="6CA14AD4" w14:textId="77777777" w:rsidR="006C476D" w:rsidRPr="00EF587A" w:rsidRDefault="006C476D" w:rsidP="009F357F">
            <w:pPr>
              <w:pStyle w:val="TableText"/>
              <w:numPr>
                <w:ilvl w:val="0"/>
                <w:numId w:val="1"/>
              </w:numPr>
              <w:spacing w:after="0"/>
              <w:ind w:left="187" w:hanging="187"/>
            </w:pPr>
            <w:r w:rsidRPr="00E71A8D">
              <w:t>Reports Reference</w:t>
            </w:r>
            <w:r>
              <w:t>*</w:t>
            </w:r>
          </w:p>
        </w:tc>
      </w:tr>
      <w:tr w:rsidR="006C476D" w:rsidRPr="00C769AB" w14:paraId="55DA4763" w14:textId="77777777" w:rsidTr="00997381">
        <w:trPr>
          <w:cantSplit/>
          <w:trHeight w:val="17"/>
        </w:trPr>
        <w:tc>
          <w:tcPr>
            <w:tcW w:w="5000" w:type="pct"/>
            <w:gridSpan w:val="6"/>
            <w:shd w:val="clear" w:color="auto" w:fill="D9E2F3" w:themeFill="accent5" w:themeFillTint="33"/>
            <w:vAlign w:val="center"/>
          </w:tcPr>
          <w:p w14:paraId="48C55853" w14:textId="0DA6C897" w:rsidR="006C476D" w:rsidRPr="00C769AB" w:rsidRDefault="006C476D" w:rsidP="000F591C">
            <w:pPr>
              <w:pStyle w:val="Heading4"/>
            </w:pPr>
            <w:bookmarkStart w:id="399" w:name="_Production_Summary_Report"/>
            <w:bookmarkEnd w:id="399"/>
            <w:r w:rsidRPr="00C831AA">
              <w:t>Production Summary Report</w:t>
            </w:r>
            <w:r w:rsidR="00BB2D77">
              <w:tab/>
            </w:r>
            <w:hyperlink w:anchor="_Monthly_Checklist_1" w:history="1">
              <w:r w:rsidR="00FF74B1" w:rsidRPr="00FF74B1">
                <w:rPr>
                  <w:rStyle w:val="Hyperlink"/>
                  <w:b w:val="0"/>
                  <w:bCs/>
                  <w:sz w:val="16"/>
                  <w:szCs w:val="18"/>
                </w:rPr>
                <w:t>Return to Monthly Checklist</w:t>
              </w:r>
            </w:hyperlink>
          </w:p>
        </w:tc>
      </w:tr>
      <w:tr w:rsidR="006C476D" w:rsidRPr="00C769AB" w14:paraId="2CEF4A3A" w14:textId="77777777" w:rsidTr="00D40F1F">
        <w:trPr>
          <w:cantSplit/>
          <w:trHeight w:val="489"/>
        </w:trPr>
        <w:tc>
          <w:tcPr>
            <w:tcW w:w="667" w:type="pct"/>
            <w:vAlign w:val="center"/>
          </w:tcPr>
          <w:p w14:paraId="57A8E61B" w14:textId="29C8997E" w:rsidR="006C476D" w:rsidRPr="00C769AB" w:rsidRDefault="006C476D" w:rsidP="00E35549">
            <w:pPr>
              <w:pStyle w:val="TableText"/>
              <w:jc w:val="center"/>
            </w:pPr>
            <w:r w:rsidRPr="00912847">
              <w:rPr>
                <w:b/>
                <w:bCs/>
              </w:rPr>
              <w:t>Suggested Report Filters</w:t>
            </w:r>
          </w:p>
        </w:tc>
        <w:tc>
          <w:tcPr>
            <w:tcW w:w="618" w:type="pct"/>
            <w:vAlign w:val="center"/>
          </w:tcPr>
          <w:p w14:paraId="0590833D" w14:textId="0FB54B25" w:rsidR="006C476D" w:rsidRPr="00C769AB" w:rsidRDefault="006C476D" w:rsidP="00E35549">
            <w:pPr>
              <w:pStyle w:val="TableText"/>
              <w:jc w:val="center"/>
            </w:pPr>
            <w:r w:rsidRPr="00912847">
              <w:rPr>
                <w:b/>
                <w:bCs/>
              </w:rPr>
              <w:t>Intent / Responsibility</w:t>
            </w:r>
          </w:p>
        </w:tc>
        <w:tc>
          <w:tcPr>
            <w:tcW w:w="864" w:type="pct"/>
            <w:vAlign w:val="center"/>
          </w:tcPr>
          <w:p w14:paraId="14075E14" w14:textId="39109226" w:rsidR="006C476D" w:rsidRPr="00C769AB" w:rsidRDefault="006C476D" w:rsidP="00E35549">
            <w:pPr>
              <w:pStyle w:val="TableText"/>
              <w:jc w:val="center"/>
            </w:pPr>
            <w:r w:rsidRPr="00912847">
              <w:rPr>
                <w:b/>
                <w:bCs/>
              </w:rPr>
              <w:t>Objective</w:t>
            </w:r>
          </w:p>
        </w:tc>
        <w:tc>
          <w:tcPr>
            <w:tcW w:w="1285" w:type="pct"/>
            <w:vAlign w:val="center"/>
          </w:tcPr>
          <w:p w14:paraId="79B0F177" w14:textId="4BC38F20" w:rsidR="006C476D" w:rsidRPr="00C769AB" w:rsidRDefault="006C476D" w:rsidP="00E35549">
            <w:pPr>
              <w:pStyle w:val="TableText"/>
              <w:jc w:val="center"/>
            </w:pPr>
            <w:r w:rsidRPr="00912847">
              <w:rPr>
                <w:b/>
                <w:bCs/>
              </w:rPr>
              <w:t>Dependencies and Possible Actions or Corrections Needed to Meet Objective</w:t>
            </w:r>
          </w:p>
        </w:tc>
        <w:tc>
          <w:tcPr>
            <w:tcW w:w="973" w:type="pct"/>
            <w:vAlign w:val="center"/>
          </w:tcPr>
          <w:p w14:paraId="285697DE" w14:textId="77777777" w:rsidR="006C476D" w:rsidRPr="009A1DE7" w:rsidRDefault="006C476D" w:rsidP="00E35549">
            <w:pPr>
              <w:pStyle w:val="TableText"/>
              <w:jc w:val="center"/>
            </w:pPr>
            <w:r w:rsidRPr="00912847">
              <w:rPr>
                <w:b/>
                <w:bCs/>
              </w:rPr>
              <w:t>Warning</w:t>
            </w:r>
          </w:p>
          <w:p w14:paraId="142C5805" w14:textId="1D0CDFF0" w:rsidR="006C476D" w:rsidRPr="00C769AB" w:rsidRDefault="006C476D" w:rsidP="00E35549">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11F7CE2F" w14:textId="77777777" w:rsidR="006C476D" w:rsidRPr="009A1DE7" w:rsidRDefault="006C476D" w:rsidP="00E35549">
            <w:pPr>
              <w:pStyle w:val="TableText"/>
              <w:jc w:val="center"/>
            </w:pPr>
            <w:r w:rsidRPr="00912847">
              <w:rPr>
                <w:b/>
                <w:bCs/>
              </w:rPr>
              <w:t>References</w:t>
            </w:r>
          </w:p>
          <w:p w14:paraId="04397FFA" w14:textId="6AADAC4D" w:rsidR="006C476D" w:rsidRPr="00C769AB" w:rsidRDefault="006C476D" w:rsidP="00E35549">
            <w:pPr>
              <w:pStyle w:val="TableText"/>
              <w:jc w:val="center"/>
            </w:pPr>
            <w:r w:rsidRPr="009A1DE7">
              <w:rPr>
                <w:i/>
                <w:iCs/>
              </w:rPr>
              <w:t>An asterisk (*) denotes an external resource.</w:t>
            </w:r>
          </w:p>
        </w:tc>
      </w:tr>
      <w:tr w:rsidR="006C476D" w:rsidRPr="00EE4BD6" w14:paraId="54CBBC43" w14:textId="77777777" w:rsidTr="00D40F1F">
        <w:trPr>
          <w:cantSplit/>
          <w:trHeight w:val="489"/>
        </w:trPr>
        <w:tc>
          <w:tcPr>
            <w:tcW w:w="667" w:type="pct"/>
          </w:tcPr>
          <w:p w14:paraId="74509279" w14:textId="77777777" w:rsidR="006C476D" w:rsidRPr="009A1DE7" w:rsidRDefault="006C476D" w:rsidP="009F357F">
            <w:pPr>
              <w:pStyle w:val="TableText"/>
              <w:numPr>
                <w:ilvl w:val="0"/>
                <w:numId w:val="3"/>
              </w:numPr>
              <w:ind w:left="226" w:hanging="180"/>
            </w:pPr>
            <w:r w:rsidRPr="00C0452F">
              <w:t>This report displays a list of Procedure in the EDR Ledger.  Among the parameters available in the report are all or specific procedure codes along with all or selected providers.</w:t>
            </w:r>
          </w:p>
        </w:tc>
        <w:tc>
          <w:tcPr>
            <w:tcW w:w="618" w:type="pct"/>
          </w:tcPr>
          <w:p w14:paraId="5210147B" w14:textId="77777777" w:rsidR="006C476D" w:rsidRPr="009A1DE7" w:rsidRDefault="006C476D" w:rsidP="009F357F">
            <w:pPr>
              <w:pStyle w:val="TableText"/>
            </w:pPr>
            <w:r w:rsidRPr="00C0452F">
              <w:t>Dental Chief, CAC</w:t>
            </w:r>
          </w:p>
        </w:tc>
        <w:tc>
          <w:tcPr>
            <w:tcW w:w="864" w:type="pct"/>
          </w:tcPr>
          <w:p w14:paraId="4DEE9B82" w14:textId="77777777" w:rsidR="006C476D" w:rsidRPr="009A1DE7" w:rsidRDefault="006C476D" w:rsidP="009F357F">
            <w:pPr>
              <w:pStyle w:val="TableText"/>
            </w:pPr>
            <w:r w:rsidRPr="00C0452F">
              <w:t>Among the purposes for examining data includes identification of high and low volume procedures to allow for proper staffing based on productivity though adjustment of more or less providers needed based on volume.</w:t>
            </w:r>
          </w:p>
        </w:tc>
        <w:tc>
          <w:tcPr>
            <w:tcW w:w="1285" w:type="pct"/>
          </w:tcPr>
          <w:p w14:paraId="55D0A87C" w14:textId="77777777" w:rsidR="006C476D" w:rsidRPr="009A1DE7" w:rsidRDefault="006C476D" w:rsidP="009F357F">
            <w:pPr>
              <w:pStyle w:val="TableText"/>
              <w:numPr>
                <w:ilvl w:val="0"/>
                <w:numId w:val="2"/>
              </w:numPr>
              <w:ind w:left="232" w:hanging="180"/>
            </w:pPr>
            <w:r w:rsidRPr="00C0452F">
              <w:rPr>
                <w:u w:val="single"/>
              </w:rPr>
              <w:t>Ledger</w:t>
            </w:r>
            <w:r w:rsidRPr="00C0452F">
              <w:t>:  All visits are documented with a procedure/service code daily.  If inaccuracies are identified they were not properly address in daily and weekly check list.</w:t>
            </w:r>
          </w:p>
        </w:tc>
        <w:tc>
          <w:tcPr>
            <w:tcW w:w="973" w:type="pct"/>
          </w:tcPr>
          <w:p w14:paraId="40DC8A38" w14:textId="77777777" w:rsidR="006C476D" w:rsidRPr="00EF587A" w:rsidRDefault="006C476D" w:rsidP="009F357F">
            <w:pPr>
              <w:pStyle w:val="TableText"/>
            </w:pPr>
            <w:r w:rsidRPr="00C0452F">
              <w:t>Not reviewing the information on the Production Summary Report leaves questions about procedure code use and the risk for unidentified staffing needs based on volume of patient services.</w:t>
            </w:r>
          </w:p>
        </w:tc>
        <w:tc>
          <w:tcPr>
            <w:tcW w:w="593" w:type="pct"/>
          </w:tcPr>
          <w:p w14:paraId="67AF52C5" w14:textId="77777777" w:rsidR="006C476D" w:rsidRDefault="006C476D" w:rsidP="009F357F">
            <w:pPr>
              <w:pStyle w:val="TableText"/>
              <w:numPr>
                <w:ilvl w:val="0"/>
                <w:numId w:val="1"/>
              </w:numPr>
              <w:ind w:left="187" w:hanging="187"/>
            </w:pPr>
            <w:r>
              <w:t>Database Design</w:t>
            </w:r>
          </w:p>
          <w:p w14:paraId="4C0733E5" w14:textId="77777777" w:rsidR="006C476D" w:rsidRDefault="006C476D" w:rsidP="009F357F">
            <w:pPr>
              <w:pStyle w:val="TableText"/>
              <w:numPr>
                <w:ilvl w:val="0"/>
                <w:numId w:val="1"/>
              </w:numPr>
              <w:ind w:left="187" w:hanging="187"/>
            </w:pPr>
            <w:r w:rsidRPr="00E71A8D">
              <w:t>Revenue Cycle</w:t>
            </w:r>
          </w:p>
          <w:p w14:paraId="4B5EBA59" w14:textId="77777777" w:rsidR="006C476D" w:rsidRPr="00EF587A" w:rsidRDefault="006C476D" w:rsidP="009F357F">
            <w:pPr>
              <w:pStyle w:val="TableText"/>
              <w:numPr>
                <w:ilvl w:val="0"/>
                <w:numId w:val="1"/>
              </w:numPr>
              <w:spacing w:after="0"/>
              <w:ind w:left="187" w:hanging="187"/>
            </w:pPr>
            <w:r w:rsidRPr="00E71A8D">
              <w:t>Reports Reference</w:t>
            </w:r>
            <w:r>
              <w:t>*</w:t>
            </w:r>
          </w:p>
        </w:tc>
      </w:tr>
    </w:tbl>
    <w:p w14:paraId="19442F52" w14:textId="77777777" w:rsidR="00D40F1F" w:rsidRDefault="00D40F1F">
      <w:r>
        <w:rPr>
          <w:b/>
          <w:iCs/>
        </w:rPr>
        <w:br w:type="page"/>
      </w:r>
    </w:p>
    <w:tbl>
      <w:tblPr>
        <w:tblStyle w:val="TableGrid"/>
        <w:tblW w:w="129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2"/>
        <w:gridCol w:w="1607"/>
        <w:gridCol w:w="2242"/>
        <w:gridCol w:w="3331"/>
        <w:gridCol w:w="2525"/>
        <w:gridCol w:w="1524"/>
      </w:tblGrid>
      <w:tr w:rsidR="006C476D" w:rsidRPr="00E35549" w14:paraId="1FC8DF19" w14:textId="77777777" w:rsidTr="000958C8">
        <w:trPr>
          <w:cantSplit/>
          <w:trHeight w:val="162"/>
        </w:trPr>
        <w:tc>
          <w:tcPr>
            <w:tcW w:w="5000" w:type="pct"/>
            <w:gridSpan w:val="6"/>
            <w:shd w:val="clear" w:color="auto" w:fill="D9E2F3" w:themeFill="accent5" w:themeFillTint="33"/>
            <w:vAlign w:val="center"/>
          </w:tcPr>
          <w:p w14:paraId="2E08B9B3" w14:textId="1ABA102A" w:rsidR="006C476D" w:rsidRPr="00E35549" w:rsidRDefault="006C476D" w:rsidP="000F591C">
            <w:pPr>
              <w:pStyle w:val="Heading4"/>
            </w:pPr>
            <w:bookmarkStart w:id="400" w:name="_Payment_Summary_Report"/>
            <w:bookmarkEnd w:id="400"/>
            <w:r w:rsidRPr="00C831AA">
              <w:lastRenderedPageBreak/>
              <w:t>Payment Summary Report</w:t>
            </w:r>
            <w:r w:rsidR="00BB2D77">
              <w:tab/>
            </w:r>
            <w:hyperlink w:anchor="_Monthly_Checklist_1" w:history="1">
              <w:r w:rsidR="00FF74B1" w:rsidRPr="00FF74B1">
                <w:rPr>
                  <w:rStyle w:val="Hyperlink"/>
                  <w:b w:val="0"/>
                  <w:bCs/>
                  <w:sz w:val="16"/>
                  <w:szCs w:val="18"/>
                </w:rPr>
                <w:t>Return to Monthly Checklist</w:t>
              </w:r>
            </w:hyperlink>
          </w:p>
        </w:tc>
      </w:tr>
      <w:tr w:rsidR="006C476D" w:rsidRPr="00E35549" w14:paraId="620486B6" w14:textId="77777777" w:rsidTr="000958C8">
        <w:trPr>
          <w:cantSplit/>
          <w:trHeight w:val="489"/>
        </w:trPr>
        <w:tc>
          <w:tcPr>
            <w:tcW w:w="668" w:type="pct"/>
            <w:vAlign w:val="center"/>
          </w:tcPr>
          <w:p w14:paraId="3CA2F7C3" w14:textId="7AB86C98" w:rsidR="006C476D" w:rsidRPr="00E35549" w:rsidRDefault="006C476D" w:rsidP="003F7FC7">
            <w:pPr>
              <w:pStyle w:val="TableText"/>
              <w:jc w:val="center"/>
            </w:pPr>
            <w:r w:rsidRPr="00912847">
              <w:rPr>
                <w:b/>
                <w:bCs/>
              </w:rPr>
              <w:t>Suggested Report Filters</w:t>
            </w:r>
          </w:p>
        </w:tc>
        <w:tc>
          <w:tcPr>
            <w:tcW w:w="620" w:type="pct"/>
            <w:vAlign w:val="center"/>
          </w:tcPr>
          <w:p w14:paraId="5307D865" w14:textId="102AF710" w:rsidR="006C476D" w:rsidRPr="00E35549" w:rsidRDefault="006C476D" w:rsidP="003F7FC7">
            <w:pPr>
              <w:pStyle w:val="TableText"/>
              <w:jc w:val="center"/>
            </w:pPr>
            <w:r w:rsidRPr="00912847">
              <w:rPr>
                <w:b/>
                <w:bCs/>
              </w:rPr>
              <w:t>Intent / Responsibility</w:t>
            </w:r>
          </w:p>
        </w:tc>
        <w:tc>
          <w:tcPr>
            <w:tcW w:w="865" w:type="pct"/>
            <w:vAlign w:val="center"/>
          </w:tcPr>
          <w:p w14:paraId="6F056B63" w14:textId="5B54CD65" w:rsidR="006C476D" w:rsidRPr="00E35549" w:rsidRDefault="006C476D" w:rsidP="003F7FC7">
            <w:pPr>
              <w:pStyle w:val="TableText"/>
              <w:jc w:val="center"/>
            </w:pPr>
            <w:r w:rsidRPr="00912847">
              <w:rPr>
                <w:b/>
                <w:bCs/>
              </w:rPr>
              <w:t>Objective</w:t>
            </w:r>
          </w:p>
        </w:tc>
        <w:tc>
          <w:tcPr>
            <w:tcW w:w="1285" w:type="pct"/>
            <w:vAlign w:val="center"/>
          </w:tcPr>
          <w:p w14:paraId="3DF5A6DB" w14:textId="5F587873" w:rsidR="006C476D" w:rsidRPr="00E35549" w:rsidRDefault="006C476D" w:rsidP="003F7FC7">
            <w:pPr>
              <w:pStyle w:val="TableText"/>
              <w:jc w:val="center"/>
            </w:pPr>
            <w:r w:rsidRPr="00912847">
              <w:rPr>
                <w:b/>
                <w:bCs/>
              </w:rPr>
              <w:t>Dependencies and Possible Actions or Corrections Needed to Meet Objective</w:t>
            </w:r>
          </w:p>
        </w:tc>
        <w:tc>
          <w:tcPr>
            <w:tcW w:w="974" w:type="pct"/>
            <w:vAlign w:val="center"/>
          </w:tcPr>
          <w:p w14:paraId="6011CF08" w14:textId="77777777" w:rsidR="006C476D" w:rsidRPr="009A1DE7" w:rsidRDefault="006C476D" w:rsidP="003F7FC7">
            <w:pPr>
              <w:pStyle w:val="TableText"/>
              <w:jc w:val="center"/>
            </w:pPr>
            <w:r w:rsidRPr="00912847">
              <w:rPr>
                <w:b/>
                <w:bCs/>
              </w:rPr>
              <w:t>Warning</w:t>
            </w:r>
          </w:p>
          <w:p w14:paraId="140EFCFF" w14:textId="26405E65" w:rsidR="006C476D" w:rsidRPr="00E35549" w:rsidRDefault="006C476D" w:rsidP="003F7FC7">
            <w:pPr>
              <w:pStyle w:val="TableText"/>
              <w:jc w:val="center"/>
            </w:pPr>
            <w:r w:rsidRPr="009A1DE7">
              <w:rPr>
                <w:i/>
                <w:iCs/>
              </w:rPr>
              <w:t>Not following the recommendations may yield the</w:t>
            </w:r>
            <w:r>
              <w:rPr>
                <w:i/>
                <w:iCs/>
              </w:rPr>
              <w:t>se</w:t>
            </w:r>
            <w:r w:rsidRPr="009A1DE7">
              <w:rPr>
                <w:i/>
                <w:iCs/>
              </w:rPr>
              <w:t xml:space="preserve"> unintended results.</w:t>
            </w:r>
          </w:p>
        </w:tc>
        <w:tc>
          <w:tcPr>
            <w:tcW w:w="589" w:type="pct"/>
            <w:vAlign w:val="center"/>
          </w:tcPr>
          <w:p w14:paraId="0E71FF2B" w14:textId="77777777" w:rsidR="006C476D" w:rsidRPr="009A1DE7" w:rsidRDefault="006C476D" w:rsidP="003F7FC7">
            <w:pPr>
              <w:pStyle w:val="TableText"/>
              <w:jc w:val="center"/>
            </w:pPr>
            <w:r w:rsidRPr="00912847">
              <w:rPr>
                <w:b/>
                <w:bCs/>
              </w:rPr>
              <w:t>References</w:t>
            </w:r>
          </w:p>
          <w:p w14:paraId="1E0C8985" w14:textId="4656CA1F" w:rsidR="006C476D" w:rsidRPr="00E35549" w:rsidRDefault="006C476D" w:rsidP="003F7FC7">
            <w:pPr>
              <w:pStyle w:val="TableText"/>
              <w:jc w:val="center"/>
            </w:pPr>
            <w:r w:rsidRPr="009A1DE7">
              <w:rPr>
                <w:i/>
                <w:iCs/>
              </w:rPr>
              <w:t>An asterisk (*) denotes an external resource.</w:t>
            </w:r>
          </w:p>
        </w:tc>
      </w:tr>
      <w:tr w:rsidR="006C476D" w:rsidRPr="00EE4BD6" w14:paraId="4BEE07CB" w14:textId="77777777" w:rsidTr="000958C8">
        <w:trPr>
          <w:cantSplit/>
          <w:trHeight w:val="489"/>
        </w:trPr>
        <w:tc>
          <w:tcPr>
            <w:tcW w:w="668" w:type="pct"/>
          </w:tcPr>
          <w:p w14:paraId="3E901CF1" w14:textId="77777777" w:rsidR="006C476D" w:rsidRPr="009A1DE7" w:rsidRDefault="006C476D" w:rsidP="009F357F">
            <w:pPr>
              <w:pStyle w:val="TableText"/>
              <w:numPr>
                <w:ilvl w:val="0"/>
                <w:numId w:val="3"/>
              </w:numPr>
              <w:ind w:left="226" w:hanging="180"/>
            </w:pPr>
            <w:r w:rsidRPr="00C0452F">
              <w:t>This report displays a list of Payment Types in the EDR Ledger.  Among the parameters available in the report are all or specific payment types along with all or selected providers.</w:t>
            </w:r>
          </w:p>
        </w:tc>
        <w:tc>
          <w:tcPr>
            <w:tcW w:w="620" w:type="pct"/>
          </w:tcPr>
          <w:p w14:paraId="39B32809" w14:textId="77777777" w:rsidR="006C476D" w:rsidRPr="009A1DE7" w:rsidRDefault="006C476D" w:rsidP="009F357F">
            <w:pPr>
              <w:pStyle w:val="TableText"/>
            </w:pPr>
            <w:r w:rsidRPr="00C0452F">
              <w:t>Dental Chief, CAC</w:t>
            </w:r>
          </w:p>
        </w:tc>
        <w:tc>
          <w:tcPr>
            <w:tcW w:w="865" w:type="pct"/>
          </w:tcPr>
          <w:p w14:paraId="2913BCFC" w14:textId="77777777" w:rsidR="006C476D" w:rsidRPr="009A1DE7" w:rsidRDefault="006C476D" w:rsidP="009F357F">
            <w:pPr>
              <w:pStyle w:val="TableText"/>
            </w:pPr>
            <w:r w:rsidRPr="00C0452F">
              <w:t>Among the purposes for examining data includes identification of high and low volume payment types.</w:t>
            </w:r>
          </w:p>
        </w:tc>
        <w:tc>
          <w:tcPr>
            <w:tcW w:w="1285" w:type="pct"/>
          </w:tcPr>
          <w:p w14:paraId="7545CF9C" w14:textId="77777777" w:rsidR="006C476D" w:rsidRPr="009A1DE7" w:rsidRDefault="006C476D" w:rsidP="009F357F">
            <w:pPr>
              <w:pStyle w:val="TableText"/>
              <w:numPr>
                <w:ilvl w:val="0"/>
                <w:numId w:val="2"/>
              </w:numPr>
              <w:ind w:left="232" w:hanging="180"/>
            </w:pPr>
            <w:r w:rsidRPr="00C0452F">
              <w:rPr>
                <w:u w:val="single"/>
              </w:rPr>
              <w:t>Ledger</w:t>
            </w:r>
            <w:r w:rsidRPr="00C0452F">
              <w:t>:  All payments properly labeled and posted in a timely manner.  If inaccuracies are identified they were not properly address in daily and weekly check list.</w:t>
            </w:r>
          </w:p>
        </w:tc>
        <w:tc>
          <w:tcPr>
            <w:tcW w:w="974" w:type="pct"/>
          </w:tcPr>
          <w:p w14:paraId="123A7921" w14:textId="77777777" w:rsidR="006C476D" w:rsidRPr="00EF587A" w:rsidRDefault="006C476D" w:rsidP="009F357F">
            <w:pPr>
              <w:pStyle w:val="TableText"/>
            </w:pPr>
            <w:r w:rsidRPr="00C0452F">
              <w:t>Not reviewing the information on the Payment Summary Report leaves questions about payment type use unidentified and unresolved.</w:t>
            </w:r>
          </w:p>
        </w:tc>
        <w:tc>
          <w:tcPr>
            <w:tcW w:w="589" w:type="pct"/>
          </w:tcPr>
          <w:p w14:paraId="6845985D" w14:textId="77777777" w:rsidR="006C476D" w:rsidRDefault="006C476D" w:rsidP="009F357F">
            <w:pPr>
              <w:pStyle w:val="TableText"/>
              <w:numPr>
                <w:ilvl w:val="0"/>
                <w:numId w:val="1"/>
              </w:numPr>
              <w:ind w:left="187" w:hanging="187"/>
            </w:pPr>
            <w:r>
              <w:t>Database Design</w:t>
            </w:r>
          </w:p>
          <w:p w14:paraId="50F31C86" w14:textId="77777777" w:rsidR="006C476D" w:rsidRDefault="006C476D" w:rsidP="009F357F">
            <w:pPr>
              <w:pStyle w:val="TableText"/>
              <w:numPr>
                <w:ilvl w:val="0"/>
                <w:numId w:val="1"/>
              </w:numPr>
              <w:ind w:left="187" w:hanging="187"/>
            </w:pPr>
            <w:r w:rsidRPr="00E71A8D">
              <w:t>Revenue Cycle</w:t>
            </w:r>
          </w:p>
          <w:p w14:paraId="199A1A5F" w14:textId="77777777" w:rsidR="006C476D" w:rsidRPr="00EF587A" w:rsidRDefault="006C476D" w:rsidP="009F357F">
            <w:pPr>
              <w:pStyle w:val="TableText"/>
              <w:numPr>
                <w:ilvl w:val="0"/>
                <w:numId w:val="1"/>
              </w:numPr>
              <w:spacing w:after="0"/>
              <w:ind w:left="187" w:hanging="187"/>
            </w:pPr>
            <w:r w:rsidRPr="00E71A8D">
              <w:t>Reports Reference</w:t>
            </w:r>
            <w:r>
              <w:t>*</w:t>
            </w:r>
          </w:p>
        </w:tc>
      </w:tr>
      <w:tr w:rsidR="006C476D" w:rsidRPr="00725C0D" w14:paraId="44C40D16" w14:textId="77777777" w:rsidTr="000958C8">
        <w:trPr>
          <w:cantSplit/>
          <w:trHeight w:val="252"/>
        </w:trPr>
        <w:tc>
          <w:tcPr>
            <w:tcW w:w="5000" w:type="pct"/>
            <w:gridSpan w:val="6"/>
            <w:shd w:val="clear" w:color="auto" w:fill="D9E2F3" w:themeFill="accent5" w:themeFillTint="33"/>
            <w:vAlign w:val="center"/>
          </w:tcPr>
          <w:p w14:paraId="1A658C4C" w14:textId="799233C0" w:rsidR="006C476D" w:rsidRPr="00725C0D" w:rsidRDefault="006C476D" w:rsidP="000F591C">
            <w:pPr>
              <w:pStyle w:val="Heading4"/>
            </w:pPr>
            <w:bookmarkStart w:id="401" w:name="_Practice_Analysis"/>
            <w:bookmarkEnd w:id="401"/>
            <w:r w:rsidRPr="00C831AA">
              <w:t>Practice Analysis</w:t>
            </w:r>
            <w:r w:rsidR="00BB2D77">
              <w:tab/>
            </w:r>
            <w:hyperlink w:anchor="_Monthly_Checklist_1" w:history="1">
              <w:r w:rsidR="00FF74B1" w:rsidRPr="00FF74B1">
                <w:rPr>
                  <w:rStyle w:val="Hyperlink"/>
                  <w:b w:val="0"/>
                  <w:bCs/>
                  <w:sz w:val="16"/>
                  <w:szCs w:val="18"/>
                </w:rPr>
                <w:t>Return to Monthly Checklist</w:t>
              </w:r>
            </w:hyperlink>
          </w:p>
        </w:tc>
      </w:tr>
      <w:tr w:rsidR="00997381" w:rsidRPr="003F7FC7" w14:paraId="3C64EB5B" w14:textId="77777777" w:rsidTr="000958C8">
        <w:trPr>
          <w:cantSplit/>
          <w:trHeight w:val="428"/>
        </w:trPr>
        <w:tc>
          <w:tcPr>
            <w:tcW w:w="668" w:type="pct"/>
            <w:vAlign w:val="center"/>
          </w:tcPr>
          <w:p w14:paraId="1E4BC2B7" w14:textId="77777777" w:rsidR="006C476D" w:rsidRPr="003F7FC7" w:rsidRDefault="006C476D" w:rsidP="009F357F">
            <w:pPr>
              <w:pStyle w:val="TableText"/>
              <w:jc w:val="center"/>
            </w:pPr>
            <w:r w:rsidRPr="00912847">
              <w:rPr>
                <w:b/>
                <w:bCs/>
              </w:rPr>
              <w:t>Suggested Report Filters</w:t>
            </w:r>
          </w:p>
        </w:tc>
        <w:tc>
          <w:tcPr>
            <w:tcW w:w="620" w:type="pct"/>
            <w:vAlign w:val="center"/>
          </w:tcPr>
          <w:p w14:paraId="5B79A6C5" w14:textId="77777777" w:rsidR="006C476D" w:rsidRPr="003F7FC7" w:rsidRDefault="006C476D" w:rsidP="009F357F">
            <w:pPr>
              <w:pStyle w:val="TableText"/>
              <w:jc w:val="center"/>
            </w:pPr>
            <w:r w:rsidRPr="00912847">
              <w:rPr>
                <w:b/>
                <w:bCs/>
              </w:rPr>
              <w:t>Intent / Responsibility</w:t>
            </w:r>
          </w:p>
        </w:tc>
        <w:tc>
          <w:tcPr>
            <w:tcW w:w="865" w:type="pct"/>
            <w:vAlign w:val="center"/>
          </w:tcPr>
          <w:p w14:paraId="64FFA78F" w14:textId="77777777" w:rsidR="006C476D" w:rsidRPr="003F7FC7" w:rsidRDefault="006C476D" w:rsidP="009F357F">
            <w:pPr>
              <w:pStyle w:val="TableText"/>
              <w:jc w:val="center"/>
            </w:pPr>
            <w:r w:rsidRPr="00912847">
              <w:rPr>
                <w:b/>
                <w:bCs/>
              </w:rPr>
              <w:t>Objective</w:t>
            </w:r>
          </w:p>
        </w:tc>
        <w:tc>
          <w:tcPr>
            <w:tcW w:w="1285" w:type="pct"/>
            <w:vAlign w:val="center"/>
          </w:tcPr>
          <w:p w14:paraId="3ECC0A8A" w14:textId="77777777" w:rsidR="006C476D" w:rsidRPr="003F7FC7" w:rsidRDefault="006C476D" w:rsidP="009F357F">
            <w:pPr>
              <w:pStyle w:val="TableText"/>
              <w:jc w:val="center"/>
            </w:pPr>
            <w:r w:rsidRPr="00912847">
              <w:rPr>
                <w:b/>
                <w:bCs/>
              </w:rPr>
              <w:t>Dependencies and Possible Actions or Corrections Needed to Meet Objective</w:t>
            </w:r>
          </w:p>
        </w:tc>
        <w:tc>
          <w:tcPr>
            <w:tcW w:w="974" w:type="pct"/>
            <w:vAlign w:val="center"/>
          </w:tcPr>
          <w:p w14:paraId="34BD380F" w14:textId="77777777" w:rsidR="006C476D" w:rsidRPr="009A1DE7" w:rsidRDefault="006C476D" w:rsidP="009F357F">
            <w:pPr>
              <w:pStyle w:val="TableText"/>
              <w:jc w:val="center"/>
            </w:pPr>
            <w:r w:rsidRPr="00912847">
              <w:rPr>
                <w:b/>
                <w:bCs/>
              </w:rPr>
              <w:t>Warning</w:t>
            </w:r>
          </w:p>
          <w:p w14:paraId="5A1C6ED0" w14:textId="77777777" w:rsidR="006C476D" w:rsidRPr="003F7FC7" w:rsidRDefault="006C476D" w:rsidP="009F357F">
            <w:pPr>
              <w:pStyle w:val="TableText"/>
              <w:jc w:val="center"/>
            </w:pPr>
            <w:r w:rsidRPr="009A1DE7">
              <w:rPr>
                <w:i/>
                <w:iCs/>
              </w:rPr>
              <w:t>Not following the recommendations may yield the</w:t>
            </w:r>
            <w:r>
              <w:rPr>
                <w:i/>
                <w:iCs/>
              </w:rPr>
              <w:t>se</w:t>
            </w:r>
            <w:r w:rsidRPr="009A1DE7">
              <w:rPr>
                <w:i/>
                <w:iCs/>
              </w:rPr>
              <w:t xml:space="preserve"> unintended results.</w:t>
            </w:r>
          </w:p>
        </w:tc>
        <w:tc>
          <w:tcPr>
            <w:tcW w:w="589" w:type="pct"/>
            <w:vAlign w:val="center"/>
          </w:tcPr>
          <w:p w14:paraId="0FD419D3" w14:textId="77777777" w:rsidR="006C476D" w:rsidRPr="009A1DE7" w:rsidRDefault="006C476D" w:rsidP="009F357F">
            <w:pPr>
              <w:pStyle w:val="TableText"/>
              <w:jc w:val="center"/>
            </w:pPr>
            <w:r w:rsidRPr="00912847">
              <w:rPr>
                <w:b/>
                <w:bCs/>
              </w:rPr>
              <w:t>References</w:t>
            </w:r>
          </w:p>
          <w:p w14:paraId="56EF7B95" w14:textId="77777777" w:rsidR="006C476D" w:rsidRPr="003F7FC7" w:rsidRDefault="006C476D" w:rsidP="009F357F">
            <w:pPr>
              <w:pStyle w:val="TableText"/>
              <w:jc w:val="center"/>
            </w:pPr>
            <w:r w:rsidRPr="009A1DE7">
              <w:rPr>
                <w:i/>
                <w:iCs/>
              </w:rPr>
              <w:t>An asterisk (*) denotes an external resource.</w:t>
            </w:r>
          </w:p>
        </w:tc>
      </w:tr>
      <w:tr w:rsidR="000958C8" w:rsidRPr="00EE4BD6" w14:paraId="4D9D45A9" w14:textId="77777777" w:rsidTr="000958C8">
        <w:trPr>
          <w:cantSplit/>
          <w:trHeight w:val="428"/>
        </w:trPr>
        <w:tc>
          <w:tcPr>
            <w:tcW w:w="668" w:type="pct"/>
          </w:tcPr>
          <w:p w14:paraId="28EA29C1" w14:textId="77777777" w:rsidR="006C476D" w:rsidRPr="009A1DE7" w:rsidRDefault="006C476D" w:rsidP="009F357F">
            <w:pPr>
              <w:pStyle w:val="TableText"/>
              <w:numPr>
                <w:ilvl w:val="0"/>
                <w:numId w:val="3"/>
              </w:numPr>
              <w:ind w:left="226" w:hanging="180"/>
            </w:pPr>
            <w:r w:rsidRPr="00C0452F">
              <w:t>Previous Month</w:t>
            </w:r>
          </w:p>
        </w:tc>
        <w:tc>
          <w:tcPr>
            <w:tcW w:w="620" w:type="pct"/>
          </w:tcPr>
          <w:p w14:paraId="3A509DB1" w14:textId="77777777" w:rsidR="006C476D" w:rsidRPr="009A1DE7" w:rsidRDefault="006C476D" w:rsidP="009F357F">
            <w:pPr>
              <w:pStyle w:val="TableText"/>
            </w:pPr>
            <w:r w:rsidRPr="00C0452F">
              <w:t>Dental Chief, CAC</w:t>
            </w:r>
          </w:p>
        </w:tc>
        <w:tc>
          <w:tcPr>
            <w:tcW w:w="865" w:type="pct"/>
          </w:tcPr>
          <w:p w14:paraId="41BE5B34" w14:textId="77777777" w:rsidR="006C476D" w:rsidRPr="009A1DE7" w:rsidRDefault="006C476D" w:rsidP="009F357F">
            <w:pPr>
              <w:pStyle w:val="TableText"/>
            </w:pPr>
            <w:r w:rsidRPr="00C0452F">
              <w:t>View the practices financial situation from a high level.  Total Production, collection, adjustments, and age of balances.</w:t>
            </w:r>
          </w:p>
        </w:tc>
        <w:tc>
          <w:tcPr>
            <w:tcW w:w="1285" w:type="pct"/>
          </w:tcPr>
          <w:p w14:paraId="3EBDB3CE" w14:textId="77777777" w:rsidR="006C476D" w:rsidRDefault="006C476D" w:rsidP="009F357F">
            <w:pPr>
              <w:pStyle w:val="TableText"/>
              <w:keepNext/>
              <w:keepLines/>
              <w:numPr>
                <w:ilvl w:val="0"/>
                <w:numId w:val="2"/>
              </w:numPr>
              <w:ind w:left="232" w:hanging="180"/>
            </w:pPr>
            <w:r w:rsidRPr="00C0452F">
              <w:t>All daily and weekly reports have been verified accurate.</w:t>
            </w:r>
          </w:p>
          <w:p w14:paraId="0EA7BE7B" w14:textId="77777777" w:rsidR="006C476D" w:rsidRPr="009A1DE7" w:rsidRDefault="006C476D" w:rsidP="009F357F">
            <w:pPr>
              <w:pStyle w:val="TableText"/>
              <w:numPr>
                <w:ilvl w:val="0"/>
                <w:numId w:val="2"/>
              </w:numPr>
              <w:ind w:left="232" w:hanging="180"/>
            </w:pPr>
            <w:r w:rsidRPr="00C0452F">
              <w:t>Review daily and weekly reports and audits for outliers and inaccuracies.  Reinforce standard operating process through reinforcement training.</w:t>
            </w:r>
          </w:p>
        </w:tc>
        <w:tc>
          <w:tcPr>
            <w:tcW w:w="974" w:type="pct"/>
          </w:tcPr>
          <w:p w14:paraId="54432396" w14:textId="77777777" w:rsidR="006C476D" w:rsidRPr="00EF587A" w:rsidRDefault="006C476D" w:rsidP="009F357F">
            <w:pPr>
              <w:pStyle w:val="TableText"/>
            </w:pPr>
            <w:r w:rsidRPr="00C0452F">
              <w:t>The Practice Analysis Report is intended to provide a high overview of clinic health for production, collections, and overall patient transactions.  Without review of this report, there are likely to be gaps in practice health awareness.</w:t>
            </w:r>
          </w:p>
        </w:tc>
        <w:tc>
          <w:tcPr>
            <w:tcW w:w="589" w:type="pct"/>
          </w:tcPr>
          <w:p w14:paraId="2EB92675" w14:textId="77777777" w:rsidR="006C476D" w:rsidRPr="00EF587A" w:rsidRDefault="006C476D" w:rsidP="009F357F">
            <w:pPr>
              <w:pStyle w:val="TableText"/>
              <w:numPr>
                <w:ilvl w:val="0"/>
                <w:numId w:val="1"/>
              </w:numPr>
              <w:spacing w:after="0"/>
              <w:ind w:left="187" w:hanging="187"/>
            </w:pPr>
            <w:r w:rsidRPr="00E71A8D">
              <w:t>Reports Reference</w:t>
            </w:r>
            <w:r>
              <w:t>*</w:t>
            </w:r>
          </w:p>
        </w:tc>
      </w:tr>
    </w:tbl>
    <w:p w14:paraId="33C0AEBF" w14:textId="77777777" w:rsidR="000958C8" w:rsidRDefault="000958C8">
      <w:r>
        <w:rPr>
          <w:b/>
          <w:iCs/>
        </w:rPr>
        <w:br w:type="page"/>
      </w:r>
    </w:p>
    <w:tbl>
      <w:tblPr>
        <w:tblStyle w:val="TableGrid"/>
        <w:tblW w:w="129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2"/>
        <w:gridCol w:w="1607"/>
        <w:gridCol w:w="2242"/>
        <w:gridCol w:w="3331"/>
        <w:gridCol w:w="2520"/>
        <w:gridCol w:w="1529"/>
      </w:tblGrid>
      <w:tr w:rsidR="00725C0D" w:rsidRPr="003F7FC7" w14:paraId="7AA2609A" w14:textId="77777777" w:rsidTr="000958C8">
        <w:trPr>
          <w:cantSplit/>
          <w:trHeight w:val="117"/>
        </w:trPr>
        <w:tc>
          <w:tcPr>
            <w:tcW w:w="5000" w:type="pct"/>
            <w:gridSpan w:val="6"/>
            <w:shd w:val="clear" w:color="auto" w:fill="D9E2F3" w:themeFill="accent5" w:themeFillTint="33"/>
            <w:vAlign w:val="center"/>
          </w:tcPr>
          <w:p w14:paraId="1D41A6A2" w14:textId="201C9055" w:rsidR="00725C0D" w:rsidRPr="003F7FC7" w:rsidRDefault="00725C0D" w:rsidP="000F591C">
            <w:pPr>
              <w:pStyle w:val="Heading4"/>
            </w:pPr>
            <w:bookmarkStart w:id="402" w:name="_Suspended_Credits_Report_1"/>
            <w:bookmarkEnd w:id="402"/>
            <w:r w:rsidRPr="00C831AA">
              <w:lastRenderedPageBreak/>
              <w:t>Suspended Credits Report</w:t>
            </w:r>
            <w:r w:rsidR="00BB2D77">
              <w:tab/>
            </w:r>
            <w:hyperlink w:anchor="_Monthly_Checklist_1" w:history="1">
              <w:r w:rsidR="00FF74B1" w:rsidRPr="00FF74B1">
                <w:rPr>
                  <w:rStyle w:val="Hyperlink"/>
                  <w:b w:val="0"/>
                  <w:bCs/>
                  <w:sz w:val="16"/>
                  <w:szCs w:val="18"/>
                </w:rPr>
                <w:t>Return to Monthly Checklist</w:t>
              </w:r>
            </w:hyperlink>
          </w:p>
        </w:tc>
      </w:tr>
      <w:tr w:rsidR="00725C0D" w:rsidRPr="003F7FC7" w14:paraId="64C34BAB" w14:textId="77777777" w:rsidTr="000958C8">
        <w:trPr>
          <w:cantSplit/>
          <w:trHeight w:val="428"/>
        </w:trPr>
        <w:tc>
          <w:tcPr>
            <w:tcW w:w="668" w:type="pct"/>
            <w:vAlign w:val="center"/>
          </w:tcPr>
          <w:p w14:paraId="162AD156" w14:textId="2C356932" w:rsidR="00725C0D" w:rsidRPr="003F7FC7" w:rsidRDefault="00725C0D" w:rsidP="003F7FC7">
            <w:pPr>
              <w:pStyle w:val="TableText"/>
              <w:jc w:val="center"/>
            </w:pPr>
            <w:r w:rsidRPr="00912847">
              <w:rPr>
                <w:b/>
                <w:bCs/>
              </w:rPr>
              <w:t>Suggested Report Filters</w:t>
            </w:r>
          </w:p>
        </w:tc>
        <w:tc>
          <w:tcPr>
            <w:tcW w:w="620" w:type="pct"/>
            <w:vAlign w:val="center"/>
          </w:tcPr>
          <w:p w14:paraId="03AD8A77" w14:textId="18117810" w:rsidR="00725C0D" w:rsidRPr="003F7FC7" w:rsidRDefault="00725C0D" w:rsidP="003F7FC7">
            <w:pPr>
              <w:pStyle w:val="TableText"/>
              <w:jc w:val="center"/>
            </w:pPr>
            <w:r w:rsidRPr="00912847">
              <w:rPr>
                <w:b/>
                <w:bCs/>
              </w:rPr>
              <w:t>Intent / Responsibility</w:t>
            </w:r>
          </w:p>
        </w:tc>
        <w:tc>
          <w:tcPr>
            <w:tcW w:w="865" w:type="pct"/>
            <w:vAlign w:val="center"/>
          </w:tcPr>
          <w:p w14:paraId="33A5AFE1" w14:textId="7137A991" w:rsidR="00725C0D" w:rsidRPr="003F7FC7" w:rsidRDefault="00725C0D" w:rsidP="003F7FC7">
            <w:pPr>
              <w:pStyle w:val="TableText"/>
              <w:jc w:val="center"/>
            </w:pPr>
            <w:r w:rsidRPr="00912847">
              <w:rPr>
                <w:b/>
                <w:bCs/>
              </w:rPr>
              <w:t>Objective</w:t>
            </w:r>
          </w:p>
        </w:tc>
        <w:tc>
          <w:tcPr>
            <w:tcW w:w="1285" w:type="pct"/>
            <w:vAlign w:val="center"/>
          </w:tcPr>
          <w:p w14:paraId="76590A80" w14:textId="7F7122DF" w:rsidR="00725C0D" w:rsidRPr="003F7FC7" w:rsidRDefault="00725C0D" w:rsidP="003F7FC7">
            <w:pPr>
              <w:pStyle w:val="TableText"/>
              <w:jc w:val="center"/>
            </w:pPr>
            <w:r w:rsidRPr="00912847">
              <w:rPr>
                <w:b/>
                <w:bCs/>
              </w:rPr>
              <w:t>Dependencies and Possible Actions or Corrections Needed to Meet Objective</w:t>
            </w:r>
          </w:p>
        </w:tc>
        <w:tc>
          <w:tcPr>
            <w:tcW w:w="972" w:type="pct"/>
            <w:vAlign w:val="center"/>
          </w:tcPr>
          <w:p w14:paraId="3253C750" w14:textId="77777777" w:rsidR="00725C0D" w:rsidRPr="009A1DE7" w:rsidRDefault="00725C0D" w:rsidP="003F7FC7">
            <w:pPr>
              <w:pStyle w:val="TableText"/>
              <w:jc w:val="center"/>
            </w:pPr>
            <w:r w:rsidRPr="00912847">
              <w:rPr>
                <w:b/>
                <w:bCs/>
              </w:rPr>
              <w:t>Warning</w:t>
            </w:r>
          </w:p>
          <w:p w14:paraId="50F4C071" w14:textId="53121D1B" w:rsidR="00725C0D" w:rsidRPr="003F7FC7" w:rsidRDefault="00725C0D" w:rsidP="003F7FC7">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0" w:type="pct"/>
            <w:vAlign w:val="center"/>
          </w:tcPr>
          <w:p w14:paraId="78F374DD" w14:textId="77777777" w:rsidR="00725C0D" w:rsidRPr="009A1DE7" w:rsidRDefault="00725C0D" w:rsidP="003F7FC7">
            <w:pPr>
              <w:pStyle w:val="TableText"/>
              <w:jc w:val="center"/>
            </w:pPr>
            <w:r w:rsidRPr="00912847">
              <w:rPr>
                <w:b/>
                <w:bCs/>
              </w:rPr>
              <w:t>References</w:t>
            </w:r>
          </w:p>
          <w:p w14:paraId="58879746" w14:textId="2ED73D3E" w:rsidR="00725C0D" w:rsidRPr="003F7FC7" w:rsidRDefault="00725C0D" w:rsidP="003F7FC7">
            <w:pPr>
              <w:pStyle w:val="TableText"/>
              <w:jc w:val="center"/>
            </w:pPr>
            <w:r w:rsidRPr="009A1DE7">
              <w:rPr>
                <w:i/>
                <w:iCs/>
              </w:rPr>
              <w:t>An asterisk (*) denotes an external resource.</w:t>
            </w:r>
          </w:p>
        </w:tc>
      </w:tr>
      <w:tr w:rsidR="00725C0D" w:rsidRPr="00EE4BD6" w14:paraId="2F3C05CF" w14:textId="77777777" w:rsidTr="000958C8">
        <w:trPr>
          <w:cantSplit/>
          <w:trHeight w:val="428"/>
        </w:trPr>
        <w:tc>
          <w:tcPr>
            <w:tcW w:w="668" w:type="pct"/>
          </w:tcPr>
          <w:p w14:paraId="099BFA14" w14:textId="77777777" w:rsidR="00725C0D" w:rsidRPr="009A1DE7" w:rsidRDefault="00725C0D" w:rsidP="009F357F">
            <w:pPr>
              <w:pStyle w:val="TableText"/>
              <w:numPr>
                <w:ilvl w:val="0"/>
                <w:numId w:val="3"/>
              </w:numPr>
              <w:ind w:left="226" w:hanging="180"/>
            </w:pPr>
            <w:r w:rsidRPr="00C0452F">
              <w:t>This report lists any payments or credits that have been suspended in the patient's ledger.</w:t>
            </w:r>
          </w:p>
        </w:tc>
        <w:tc>
          <w:tcPr>
            <w:tcW w:w="620" w:type="pct"/>
          </w:tcPr>
          <w:p w14:paraId="3FD584BE" w14:textId="77777777" w:rsidR="00725C0D" w:rsidRPr="009A1DE7" w:rsidRDefault="00725C0D" w:rsidP="009F357F">
            <w:pPr>
              <w:pStyle w:val="TableText"/>
            </w:pPr>
            <w:r w:rsidRPr="00C0452F">
              <w:t>CAC / Billing Manager</w:t>
            </w:r>
          </w:p>
        </w:tc>
        <w:tc>
          <w:tcPr>
            <w:tcW w:w="865" w:type="pct"/>
          </w:tcPr>
          <w:p w14:paraId="7D523EB1" w14:textId="77777777" w:rsidR="00725C0D" w:rsidRPr="009A1DE7" w:rsidRDefault="00725C0D" w:rsidP="009F357F">
            <w:pPr>
              <w:pStyle w:val="TableText"/>
            </w:pPr>
            <w:r w:rsidRPr="00C0452F">
              <w:t xml:space="preserve">Line item accounting is the accounting principle used in the EDR.  When a payment or credit adjustment exceeds the patient's balance, it cannot be allocated so it is "suspended".  There are both automated and manual ways of handling these unallocated suspended credits.  Reviewing the Suspended Credits Report allows discovery and resolve of accounts that have unallocated funds.  </w:t>
            </w:r>
          </w:p>
        </w:tc>
        <w:tc>
          <w:tcPr>
            <w:tcW w:w="1285" w:type="pct"/>
          </w:tcPr>
          <w:p w14:paraId="573C0C0D" w14:textId="77777777" w:rsidR="00725C0D" w:rsidRDefault="00725C0D" w:rsidP="009F357F">
            <w:pPr>
              <w:pStyle w:val="TableText"/>
              <w:keepNext/>
              <w:keepLines/>
              <w:numPr>
                <w:ilvl w:val="0"/>
                <w:numId w:val="2"/>
              </w:numPr>
              <w:ind w:left="232" w:hanging="180"/>
            </w:pPr>
            <w:r w:rsidRPr="00C0452F">
              <w:rPr>
                <w:u w:val="single"/>
              </w:rPr>
              <w:t>Ledger</w:t>
            </w:r>
            <w:r w:rsidRPr="00C0452F">
              <w:t>:  Fees are being charged and payments/adjustments are being posted.  Allocate payments when payment is made.</w:t>
            </w:r>
          </w:p>
          <w:p w14:paraId="35A74363" w14:textId="77777777" w:rsidR="00725C0D" w:rsidRPr="009A1DE7" w:rsidRDefault="00725C0D" w:rsidP="009F357F">
            <w:pPr>
              <w:pStyle w:val="TableText"/>
              <w:numPr>
                <w:ilvl w:val="0"/>
                <w:numId w:val="2"/>
              </w:numPr>
              <w:ind w:left="232" w:hanging="180"/>
            </w:pPr>
            <w:r w:rsidRPr="00C0452F">
              <w:t>Maintain fee schedules and insurance coverage to ensure proper payment allocation.</w:t>
            </w:r>
          </w:p>
        </w:tc>
        <w:tc>
          <w:tcPr>
            <w:tcW w:w="972" w:type="pct"/>
          </w:tcPr>
          <w:p w14:paraId="6CD0FFAF" w14:textId="77777777" w:rsidR="00725C0D" w:rsidRPr="00EF587A" w:rsidRDefault="00725C0D" w:rsidP="009F357F">
            <w:pPr>
              <w:pStyle w:val="TableText"/>
            </w:pPr>
            <w:r w:rsidRPr="00C0452F">
              <w:t>Not using the Suspended Credits Report to identify unallocated funds leaves revenue unrecognized by way of application to patient balances/procedures.  Until the suspended credits are allocated, the provider will not "get credit" for collection of these funds as the payments have not been posted.</w:t>
            </w:r>
          </w:p>
        </w:tc>
        <w:tc>
          <w:tcPr>
            <w:tcW w:w="590" w:type="pct"/>
          </w:tcPr>
          <w:p w14:paraId="28EDCACC" w14:textId="77777777" w:rsidR="00725C0D" w:rsidRDefault="00725C0D" w:rsidP="009F357F">
            <w:pPr>
              <w:pStyle w:val="TableText"/>
              <w:numPr>
                <w:ilvl w:val="0"/>
                <w:numId w:val="1"/>
              </w:numPr>
              <w:ind w:left="187" w:hanging="187"/>
            </w:pPr>
            <w:r>
              <w:t>Revenue Cycle</w:t>
            </w:r>
          </w:p>
          <w:p w14:paraId="4589AF14" w14:textId="77777777" w:rsidR="00725C0D" w:rsidRPr="00EF587A" w:rsidRDefault="00725C0D" w:rsidP="009F357F">
            <w:pPr>
              <w:pStyle w:val="TableText"/>
              <w:numPr>
                <w:ilvl w:val="0"/>
                <w:numId w:val="1"/>
              </w:numPr>
              <w:spacing w:after="0"/>
              <w:ind w:left="187" w:hanging="187"/>
            </w:pPr>
            <w:r w:rsidRPr="00E71A8D">
              <w:t>Reports Reference</w:t>
            </w:r>
            <w:r>
              <w:t>*</w:t>
            </w:r>
          </w:p>
        </w:tc>
      </w:tr>
      <w:tr w:rsidR="00725C0D" w:rsidRPr="0055653E" w14:paraId="3ABD4F05" w14:textId="77777777" w:rsidTr="000958C8">
        <w:trPr>
          <w:cantSplit/>
          <w:trHeight w:val="17"/>
        </w:trPr>
        <w:tc>
          <w:tcPr>
            <w:tcW w:w="5000" w:type="pct"/>
            <w:gridSpan w:val="6"/>
            <w:shd w:val="clear" w:color="auto" w:fill="D9E2F3" w:themeFill="accent5" w:themeFillTint="33"/>
            <w:vAlign w:val="center"/>
          </w:tcPr>
          <w:p w14:paraId="5DD7CC16" w14:textId="14712131" w:rsidR="00725C0D" w:rsidRPr="0055653E" w:rsidRDefault="00725C0D" w:rsidP="000F591C">
            <w:pPr>
              <w:pStyle w:val="Heading4"/>
            </w:pPr>
            <w:bookmarkStart w:id="403" w:name="_Insurance_Transaction_Analysis"/>
            <w:bookmarkEnd w:id="403"/>
            <w:r w:rsidRPr="00C831AA">
              <w:t>Insurance Transaction Analysis</w:t>
            </w:r>
            <w:r w:rsidR="00BB2D77">
              <w:tab/>
            </w:r>
            <w:hyperlink w:anchor="_Monthly_Checklist_1" w:history="1">
              <w:r w:rsidR="00FF74B1" w:rsidRPr="00FF74B1">
                <w:rPr>
                  <w:rStyle w:val="Hyperlink"/>
                  <w:b w:val="0"/>
                  <w:bCs/>
                  <w:sz w:val="16"/>
                  <w:szCs w:val="18"/>
                </w:rPr>
                <w:t>Return to Monthly Checklist</w:t>
              </w:r>
            </w:hyperlink>
          </w:p>
        </w:tc>
      </w:tr>
      <w:tr w:rsidR="00725C0D" w:rsidRPr="0055653E" w14:paraId="00F2688E" w14:textId="77777777" w:rsidTr="000958C8">
        <w:trPr>
          <w:cantSplit/>
          <w:trHeight w:val="428"/>
        </w:trPr>
        <w:tc>
          <w:tcPr>
            <w:tcW w:w="668" w:type="pct"/>
            <w:vAlign w:val="center"/>
          </w:tcPr>
          <w:p w14:paraId="3123E196" w14:textId="350E3158" w:rsidR="00725C0D" w:rsidRPr="0055653E" w:rsidRDefault="00725C0D" w:rsidP="0055653E">
            <w:pPr>
              <w:pStyle w:val="TableText"/>
              <w:jc w:val="center"/>
            </w:pPr>
            <w:r w:rsidRPr="00912847">
              <w:rPr>
                <w:b/>
                <w:bCs/>
              </w:rPr>
              <w:t>Suggested Report Filters</w:t>
            </w:r>
          </w:p>
        </w:tc>
        <w:tc>
          <w:tcPr>
            <w:tcW w:w="618" w:type="pct"/>
            <w:vAlign w:val="center"/>
          </w:tcPr>
          <w:p w14:paraId="4891F5CB" w14:textId="7C87DFCC" w:rsidR="00725C0D" w:rsidRPr="0055653E" w:rsidRDefault="00725C0D" w:rsidP="0055653E">
            <w:pPr>
              <w:pStyle w:val="TableText"/>
              <w:jc w:val="center"/>
            </w:pPr>
            <w:r w:rsidRPr="00912847">
              <w:rPr>
                <w:b/>
                <w:bCs/>
              </w:rPr>
              <w:t>Intent / Responsibility</w:t>
            </w:r>
          </w:p>
        </w:tc>
        <w:tc>
          <w:tcPr>
            <w:tcW w:w="864" w:type="pct"/>
            <w:vAlign w:val="center"/>
          </w:tcPr>
          <w:p w14:paraId="228F5B15" w14:textId="03A1855B" w:rsidR="00725C0D" w:rsidRPr="0055653E" w:rsidRDefault="00725C0D" w:rsidP="0055653E">
            <w:pPr>
              <w:pStyle w:val="TableText"/>
              <w:jc w:val="center"/>
            </w:pPr>
            <w:r w:rsidRPr="00912847">
              <w:rPr>
                <w:b/>
                <w:bCs/>
              </w:rPr>
              <w:t>Objective</w:t>
            </w:r>
          </w:p>
        </w:tc>
        <w:tc>
          <w:tcPr>
            <w:tcW w:w="1285" w:type="pct"/>
            <w:vAlign w:val="center"/>
          </w:tcPr>
          <w:p w14:paraId="70A5E6D4" w14:textId="6685AB6E" w:rsidR="00725C0D" w:rsidRPr="0055653E" w:rsidRDefault="00725C0D" w:rsidP="0055653E">
            <w:pPr>
              <w:pStyle w:val="TableText"/>
              <w:jc w:val="center"/>
            </w:pPr>
            <w:r w:rsidRPr="00912847">
              <w:rPr>
                <w:b/>
                <w:bCs/>
              </w:rPr>
              <w:t>Dependencies and Possible Actions or Corrections Needed to Meet Objective</w:t>
            </w:r>
          </w:p>
        </w:tc>
        <w:tc>
          <w:tcPr>
            <w:tcW w:w="972" w:type="pct"/>
            <w:vAlign w:val="center"/>
          </w:tcPr>
          <w:p w14:paraId="310E7DB8" w14:textId="77777777" w:rsidR="00725C0D" w:rsidRPr="009A1DE7" w:rsidRDefault="00725C0D" w:rsidP="0055653E">
            <w:pPr>
              <w:pStyle w:val="TableText"/>
              <w:jc w:val="center"/>
            </w:pPr>
            <w:r w:rsidRPr="00912847">
              <w:rPr>
                <w:b/>
                <w:bCs/>
              </w:rPr>
              <w:t>Warning</w:t>
            </w:r>
          </w:p>
          <w:p w14:paraId="279547AE" w14:textId="13F9BEC2" w:rsidR="00725C0D" w:rsidRPr="0055653E" w:rsidRDefault="00725C0D" w:rsidP="0055653E">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6F17D3D1" w14:textId="77777777" w:rsidR="00725C0D" w:rsidRPr="009A1DE7" w:rsidRDefault="00725C0D" w:rsidP="0055653E">
            <w:pPr>
              <w:pStyle w:val="TableText"/>
              <w:jc w:val="center"/>
            </w:pPr>
            <w:r w:rsidRPr="00912847">
              <w:rPr>
                <w:b/>
                <w:bCs/>
              </w:rPr>
              <w:t>References</w:t>
            </w:r>
          </w:p>
          <w:p w14:paraId="24EBB102" w14:textId="0025F3BD" w:rsidR="00725C0D" w:rsidRPr="0055653E" w:rsidRDefault="00725C0D" w:rsidP="0055653E">
            <w:pPr>
              <w:pStyle w:val="TableText"/>
              <w:jc w:val="center"/>
            </w:pPr>
            <w:r w:rsidRPr="009A1DE7">
              <w:rPr>
                <w:i/>
                <w:iCs/>
              </w:rPr>
              <w:t>An asterisk (*) denotes an external resource.</w:t>
            </w:r>
          </w:p>
        </w:tc>
      </w:tr>
      <w:tr w:rsidR="00725C0D" w:rsidRPr="00EE4BD6" w14:paraId="2E868AAD" w14:textId="77777777" w:rsidTr="000958C8">
        <w:trPr>
          <w:cantSplit/>
          <w:trHeight w:val="428"/>
        </w:trPr>
        <w:tc>
          <w:tcPr>
            <w:tcW w:w="668" w:type="pct"/>
          </w:tcPr>
          <w:p w14:paraId="0C82D6E7" w14:textId="77777777" w:rsidR="00725C0D" w:rsidRPr="009A1DE7" w:rsidRDefault="00725C0D" w:rsidP="009F357F">
            <w:pPr>
              <w:pStyle w:val="TableText"/>
              <w:numPr>
                <w:ilvl w:val="0"/>
                <w:numId w:val="3"/>
              </w:numPr>
              <w:ind w:left="226" w:hanging="180"/>
            </w:pPr>
            <w:r w:rsidRPr="00C0452F">
              <w:t>Previous Month</w:t>
            </w:r>
          </w:p>
        </w:tc>
        <w:tc>
          <w:tcPr>
            <w:tcW w:w="618" w:type="pct"/>
          </w:tcPr>
          <w:p w14:paraId="127B1B4F" w14:textId="77777777" w:rsidR="00725C0D" w:rsidRPr="009A1DE7" w:rsidRDefault="00725C0D" w:rsidP="009F357F">
            <w:pPr>
              <w:pStyle w:val="TableText"/>
            </w:pPr>
            <w:r w:rsidRPr="00C0452F">
              <w:t>Billing Manager</w:t>
            </w:r>
          </w:p>
        </w:tc>
        <w:tc>
          <w:tcPr>
            <w:tcW w:w="864" w:type="pct"/>
          </w:tcPr>
          <w:p w14:paraId="17D372CE" w14:textId="77777777" w:rsidR="00725C0D" w:rsidRPr="009A1DE7" w:rsidRDefault="00725C0D" w:rsidP="009F357F">
            <w:pPr>
              <w:pStyle w:val="TableText"/>
            </w:pPr>
            <w:r w:rsidRPr="00C0452F">
              <w:t>Produce a highly customizable report which identifies how insurance plans are reimbursing.</w:t>
            </w:r>
          </w:p>
        </w:tc>
        <w:tc>
          <w:tcPr>
            <w:tcW w:w="1285" w:type="pct"/>
          </w:tcPr>
          <w:p w14:paraId="25E7F8CB" w14:textId="77777777" w:rsidR="00725C0D" w:rsidRDefault="00725C0D" w:rsidP="009F357F">
            <w:pPr>
              <w:pStyle w:val="TableText"/>
              <w:keepNext/>
              <w:keepLines/>
              <w:numPr>
                <w:ilvl w:val="0"/>
                <w:numId w:val="2"/>
              </w:numPr>
              <w:ind w:left="232" w:hanging="180"/>
            </w:pPr>
            <w:r w:rsidRPr="00C0452F">
              <w:rPr>
                <w:u w:val="single"/>
              </w:rPr>
              <w:t>Ledger</w:t>
            </w:r>
            <w:r w:rsidRPr="00C0452F">
              <w:t>:  All Insurance payments and adjustments are properly posted in a timely manner.</w:t>
            </w:r>
          </w:p>
          <w:p w14:paraId="4F4040D0" w14:textId="77777777" w:rsidR="00725C0D" w:rsidRPr="009A1DE7" w:rsidRDefault="00725C0D" w:rsidP="009F357F">
            <w:pPr>
              <w:pStyle w:val="TableText"/>
              <w:numPr>
                <w:ilvl w:val="0"/>
                <w:numId w:val="2"/>
              </w:numPr>
              <w:ind w:left="232" w:hanging="180"/>
            </w:pPr>
            <w:r w:rsidRPr="00C0452F">
              <w:t>Review daily and weekly reports and audits for outliers and inaccuracies.  Reinforce standard operating process through reinforcement training.</w:t>
            </w:r>
          </w:p>
        </w:tc>
        <w:tc>
          <w:tcPr>
            <w:tcW w:w="972" w:type="pct"/>
          </w:tcPr>
          <w:p w14:paraId="6F0346D3" w14:textId="77777777" w:rsidR="00725C0D" w:rsidRPr="00EF587A" w:rsidRDefault="00725C0D" w:rsidP="009F357F">
            <w:pPr>
              <w:pStyle w:val="TableText"/>
            </w:pPr>
            <w:r w:rsidRPr="00C0452F">
              <w:t>The Insurance Transaction Analysis is intended to provide a detailed account of insurance transactions reimbursements and adjustments.  Without review of this report, there are likely to be gaps in fully understanding the historical and future implications for insurance based transactions.</w:t>
            </w:r>
          </w:p>
        </w:tc>
        <w:tc>
          <w:tcPr>
            <w:tcW w:w="593" w:type="pct"/>
          </w:tcPr>
          <w:p w14:paraId="6BC0EFA1" w14:textId="77777777" w:rsidR="00725C0D" w:rsidRDefault="00725C0D" w:rsidP="009F357F">
            <w:pPr>
              <w:pStyle w:val="TableText"/>
              <w:numPr>
                <w:ilvl w:val="0"/>
                <w:numId w:val="1"/>
              </w:numPr>
              <w:ind w:left="187" w:hanging="187"/>
            </w:pPr>
            <w:r>
              <w:t>Revenue Cycle</w:t>
            </w:r>
          </w:p>
          <w:p w14:paraId="63B5F1BE" w14:textId="77777777" w:rsidR="00725C0D" w:rsidRPr="00EF587A" w:rsidRDefault="00725C0D" w:rsidP="009F357F">
            <w:pPr>
              <w:pStyle w:val="TableText"/>
              <w:numPr>
                <w:ilvl w:val="0"/>
                <w:numId w:val="1"/>
              </w:numPr>
              <w:spacing w:after="0"/>
              <w:ind w:left="187" w:hanging="187"/>
            </w:pPr>
            <w:r w:rsidRPr="00E71A8D">
              <w:t>Reports Reference</w:t>
            </w:r>
            <w:r>
              <w:t>*</w:t>
            </w:r>
          </w:p>
        </w:tc>
      </w:tr>
    </w:tbl>
    <w:p w14:paraId="7C2B343D" w14:textId="77777777" w:rsidR="000958C8" w:rsidRDefault="000958C8">
      <w:r>
        <w:rPr>
          <w:b/>
          <w:iCs/>
        </w:rPr>
        <w:br w:type="page"/>
      </w:r>
    </w:p>
    <w:tbl>
      <w:tblPr>
        <w:tblStyle w:val="TableGrid"/>
        <w:tblW w:w="129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1"/>
        <w:gridCol w:w="1602"/>
        <w:gridCol w:w="2240"/>
        <w:gridCol w:w="3331"/>
        <w:gridCol w:w="2520"/>
        <w:gridCol w:w="1537"/>
      </w:tblGrid>
      <w:tr w:rsidR="00725C0D" w:rsidRPr="0055653E" w14:paraId="1A8815A3" w14:textId="77777777" w:rsidTr="000958C8">
        <w:trPr>
          <w:cantSplit/>
          <w:trHeight w:val="27"/>
        </w:trPr>
        <w:tc>
          <w:tcPr>
            <w:tcW w:w="5000" w:type="pct"/>
            <w:gridSpan w:val="6"/>
            <w:shd w:val="clear" w:color="auto" w:fill="D9E2F3" w:themeFill="accent5" w:themeFillTint="33"/>
            <w:vAlign w:val="center"/>
          </w:tcPr>
          <w:p w14:paraId="3C01578A" w14:textId="2385669D" w:rsidR="00725C0D" w:rsidRPr="0055653E" w:rsidRDefault="00725C0D" w:rsidP="000F591C">
            <w:pPr>
              <w:pStyle w:val="Heading4"/>
            </w:pPr>
            <w:bookmarkStart w:id="404" w:name="_Audit_Reports_Combined"/>
            <w:bookmarkEnd w:id="404"/>
            <w:r w:rsidRPr="00C831AA">
              <w:lastRenderedPageBreak/>
              <w:t>Audit Reports Combined</w:t>
            </w:r>
            <w:r w:rsidR="00B16C98">
              <w:tab/>
            </w:r>
            <w:hyperlink w:anchor="_Monthly_Checklist_1" w:history="1">
              <w:r w:rsidR="00FF74B1" w:rsidRPr="00FF74B1">
                <w:rPr>
                  <w:rStyle w:val="Hyperlink"/>
                  <w:b w:val="0"/>
                  <w:bCs/>
                  <w:sz w:val="16"/>
                  <w:szCs w:val="18"/>
                </w:rPr>
                <w:t>Return to Monthly Checklist</w:t>
              </w:r>
            </w:hyperlink>
          </w:p>
        </w:tc>
      </w:tr>
      <w:tr w:rsidR="00725C0D" w:rsidRPr="00EE4BD6" w14:paraId="5492C324" w14:textId="77777777" w:rsidTr="000958C8">
        <w:trPr>
          <w:cantSplit/>
          <w:trHeight w:val="916"/>
        </w:trPr>
        <w:tc>
          <w:tcPr>
            <w:tcW w:w="668" w:type="pct"/>
            <w:vAlign w:val="center"/>
          </w:tcPr>
          <w:p w14:paraId="58799587" w14:textId="6F230E92" w:rsidR="00725C0D" w:rsidRPr="0055653E" w:rsidRDefault="00725C0D" w:rsidP="0055653E">
            <w:pPr>
              <w:pStyle w:val="TableText"/>
              <w:jc w:val="center"/>
            </w:pPr>
            <w:r w:rsidRPr="00912847">
              <w:rPr>
                <w:b/>
                <w:bCs/>
              </w:rPr>
              <w:t>Suggested Report Filters</w:t>
            </w:r>
          </w:p>
        </w:tc>
        <w:tc>
          <w:tcPr>
            <w:tcW w:w="618" w:type="pct"/>
            <w:vAlign w:val="center"/>
          </w:tcPr>
          <w:p w14:paraId="4B6A42C5" w14:textId="2EF2E0FD" w:rsidR="00725C0D" w:rsidRPr="0055653E" w:rsidRDefault="00725C0D" w:rsidP="0055653E">
            <w:pPr>
              <w:pStyle w:val="TableText"/>
              <w:jc w:val="center"/>
            </w:pPr>
            <w:r w:rsidRPr="00912847">
              <w:rPr>
                <w:b/>
                <w:bCs/>
              </w:rPr>
              <w:t>Intent / Responsibility</w:t>
            </w:r>
          </w:p>
        </w:tc>
        <w:tc>
          <w:tcPr>
            <w:tcW w:w="864" w:type="pct"/>
            <w:vAlign w:val="center"/>
          </w:tcPr>
          <w:p w14:paraId="46905A87" w14:textId="36AE1DC1" w:rsidR="00725C0D" w:rsidRPr="0055653E" w:rsidRDefault="00725C0D" w:rsidP="0055653E">
            <w:pPr>
              <w:pStyle w:val="TableText"/>
              <w:jc w:val="center"/>
            </w:pPr>
            <w:r w:rsidRPr="00912847">
              <w:rPr>
                <w:b/>
                <w:bCs/>
              </w:rPr>
              <w:t>Objective</w:t>
            </w:r>
          </w:p>
        </w:tc>
        <w:tc>
          <w:tcPr>
            <w:tcW w:w="1285" w:type="pct"/>
            <w:vAlign w:val="center"/>
          </w:tcPr>
          <w:p w14:paraId="2AEDDA84" w14:textId="50B858C4" w:rsidR="00725C0D" w:rsidRPr="0055653E" w:rsidRDefault="00725C0D" w:rsidP="0055653E">
            <w:pPr>
              <w:pStyle w:val="TableText"/>
              <w:jc w:val="center"/>
            </w:pPr>
            <w:r w:rsidRPr="00912847">
              <w:rPr>
                <w:b/>
                <w:bCs/>
              </w:rPr>
              <w:t>Dependencies and Possible Actions or Corrections Needed to Meet Objective</w:t>
            </w:r>
          </w:p>
        </w:tc>
        <w:tc>
          <w:tcPr>
            <w:tcW w:w="972" w:type="pct"/>
            <w:vAlign w:val="center"/>
          </w:tcPr>
          <w:p w14:paraId="4B32475F" w14:textId="77777777" w:rsidR="00725C0D" w:rsidRPr="009A1DE7" w:rsidRDefault="00725C0D" w:rsidP="0055653E">
            <w:pPr>
              <w:pStyle w:val="TableText"/>
              <w:jc w:val="center"/>
            </w:pPr>
            <w:r w:rsidRPr="00912847">
              <w:rPr>
                <w:b/>
                <w:bCs/>
              </w:rPr>
              <w:t>Warning</w:t>
            </w:r>
          </w:p>
          <w:p w14:paraId="01E4BBE5" w14:textId="62E8DE21" w:rsidR="00725C0D" w:rsidRPr="0055653E" w:rsidRDefault="00725C0D" w:rsidP="0055653E">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1A9E70EE" w14:textId="77777777" w:rsidR="00725C0D" w:rsidRPr="009A1DE7" w:rsidRDefault="00725C0D" w:rsidP="0055653E">
            <w:pPr>
              <w:pStyle w:val="TableText"/>
              <w:jc w:val="center"/>
            </w:pPr>
            <w:r w:rsidRPr="00912847">
              <w:rPr>
                <w:b/>
                <w:bCs/>
              </w:rPr>
              <w:t>References</w:t>
            </w:r>
          </w:p>
          <w:p w14:paraId="3F08EDAC" w14:textId="4B5F253D" w:rsidR="00725C0D" w:rsidRPr="0055653E" w:rsidRDefault="00725C0D" w:rsidP="0055653E">
            <w:pPr>
              <w:pStyle w:val="TableText"/>
              <w:jc w:val="center"/>
            </w:pPr>
            <w:r w:rsidRPr="009A1DE7">
              <w:rPr>
                <w:i/>
                <w:iCs/>
              </w:rPr>
              <w:t>An asterisk (*) denotes an external resource.</w:t>
            </w:r>
          </w:p>
        </w:tc>
      </w:tr>
      <w:tr w:rsidR="00725C0D" w:rsidRPr="00EE4BD6" w14:paraId="05B66999" w14:textId="77777777" w:rsidTr="000958C8">
        <w:trPr>
          <w:cantSplit/>
          <w:trHeight w:val="916"/>
        </w:trPr>
        <w:tc>
          <w:tcPr>
            <w:tcW w:w="668" w:type="pct"/>
          </w:tcPr>
          <w:p w14:paraId="4EDFE2FF" w14:textId="77777777" w:rsidR="00725C0D" w:rsidRDefault="00725C0D" w:rsidP="009F357F">
            <w:pPr>
              <w:pStyle w:val="TableText"/>
              <w:keepNext/>
              <w:keepLines/>
              <w:numPr>
                <w:ilvl w:val="0"/>
                <w:numId w:val="3"/>
              </w:numPr>
              <w:ind w:left="230" w:hanging="187"/>
            </w:pPr>
            <w:r>
              <w:t>Filters include selection of all patients or designated patient name.</w:t>
            </w:r>
          </w:p>
          <w:p w14:paraId="7E14223B" w14:textId="77777777" w:rsidR="00725C0D" w:rsidRDefault="00725C0D" w:rsidP="009F357F">
            <w:pPr>
              <w:pStyle w:val="TableText"/>
              <w:keepNext/>
              <w:keepLines/>
              <w:numPr>
                <w:ilvl w:val="0"/>
                <w:numId w:val="3"/>
              </w:numPr>
              <w:ind w:left="230" w:hanging="187"/>
            </w:pPr>
            <w:r>
              <w:t>There is a Sort By feature that allows selection of the following:</w:t>
            </w:r>
          </w:p>
          <w:p w14:paraId="65722A37" w14:textId="77777777" w:rsidR="00725C0D" w:rsidRDefault="00725C0D" w:rsidP="009F357F">
            <w:pPr>
              <w:pStyle w:val="TableText"/>
              <w:keepNext/>
              <w:keepLines/>
              <w:numPr>
                <w:ilvl w:val="1"/>
                <w:numId w:val="3"/>
              </w:numPr>
              <w:ind w:left="489" w:hanging="187"/>
            </w:pPr>
            <w:r>
              <w:t>Date/Time</w:t>
            </w:r>
          </w:p>
          <w:p w14:paraId="67CA78B0" w14:textId="77777777" w:rsidR="00725C0D" w:rsidRDefault="00725C0D" w:rsidP="009F357F">
            <w:pPr>
              <w:pStyle w:val="TableText"/>
              <w:keepNext/>
              <w:keepLines/>
              <w:numPr>
                <w:ilvl w:val="1"/>
                <w:numId w:val="3"/>
              </w:numPr>
              <w:ind w:left="489" w:hanging="187"/>
            </w:pPr>
            <w:r>
              <w:t>User</w:t>
            </w:r>
          </w:p>
          <w:p w14:paraId="5D84E9AD" w14:textId="77777777" w:rsidR="00725C0D" w:rsidRDefault="00725C0D" w:rsidP="009F357F">
            <w:pPr>
              <w:pStyle w:val="TableText"/>
              <w:keepNext/>
              <w:keepLines/>
              <w:numPr>
                <w:ilvl w:val="1"/>
                <w:numId w:val="3"/>
              </w:numPr>
              <w:ind w:left="489" w:hanging="187"/>
            </w:pPr>
            <w:r>
              <w:t>Patient Name</w:t>
            </w:r>
          </w:p>
          <w:p w14:paraId="4F0587B6" w14:textId="77777777" w:rsidR="00725C0D" w:rsidRPr="009A1DE7" w:rsidRDefault="00725C0D" w:rsidP="009F357F">
            <w:pPr>
              <w:pStyle w:val="TableText"/>
              <w:numPr>
                <w:ilvl w:val="0"/>
                <w:numId w:val="3"/>
              </w:numPr>
              <w:ind w:left="226" w:hanging="180"/>
            </w:pPr>
            <w:r>
              <w:t>Action Type</w:t>
            </w:r>
          </w:p>
        </w:tc>
        <w:tc>
          <w:tcPr>
            <w:tcW w:w="618" w:type="pct"/>
          </w:tcPr>
          <w:p w14:paraId="2234203E" w14:textId="77777777" w:rsidR="00725C0D" w:rsidRPr="009A1DE7" w:rsidRDefault="00725C0D" w:rsidP="009F357F">
            <w:pPr>
              <w:pStyle w:val="TableText"/>
            </w:pPr>
            <w:r w:rsidRPr="00C0452F">
              <w:t>Dental Chief, CAC</w:t>
            </w:r>
          </w:p>
        </w:tc>
        <w:tc>
          <w:tcPr>
            <w:tcW w:w="864" w:type="pct"/>
          </w:tcPr>
          <w:p w14:paraId="44C5BD2B" w14:textId="77777777" w:rsidR="00725C0D" w:rsidRDefault="00725C0D" w:rsidP="009F357F">
            <w:pPr>
              <w:pStyle w:val="TableText"/>
              <w:keepNext/>
              <w:keepLines/>
            </w:pPr>
            <w:r>
              <w:t xml:space="preserve">This report identifies users who have performed the following Changes or Actions:  Inserted / Modified or Deleted Procedures, </w:t>
            </w:r>
          </w:p>
          <w:p w14:paraId="70F701DF" w14:textId="77777777" w:rsidR="00725C0D" w:rsidRDefault="00725C0D" w:rsidP="009F357F">
            <w:pPr>
              <w:pStyle w:val="TableText"/>
              <w:keepNext/>
              <w:keepLines/>
            </w:pPr>
            <w:r>
              <w:t>Patient Information Accessed, Printed Patient Reports, Patient Health Exchange Export and Data Accessed.</w:t>
            </w:r>
          </w:p>
          <w:p w14:paraId="4F0FAD64" w14:textId="77777777" w:rsidR="00725C0D" w:rsidRPr="009A1DE7" w:rsidRDefault="00725C0D" w:rsidP="009F357F">
            <w:pPr>
              <w:pStyle w:val="TableText"/>
            </w:pPr>
            <w:r>
              <w:t>Among the purposes of performing this audit:  may reveal an indication of those users who may have rights that are "too generous" for their roles and/or help define those users who consistently make mistakes and may need reinforcement training.  Users accessing patient records when there is no clinical / business reason to do so may also be monitored.</w:t>
            </w:r>
          </w:p>
        </w:tc>
        <w:tc>
          <w:tcPr>
            <w:tcW w:w="1285" w:type="pct"/>
          </w:tcPr>
          <w:p w14:paraId="277BA607" w14:textId="77777777" w:rsidR="00725C0D" w:rsidRPr="009A1DE7" w:rsidRDefault="00725C0D" w:rsidP="009F357F">
            <w:pPr>
              <w:pStyle w:val="TableText"/>
              <w:numPr>
                <w:ilvl w:val="0"/>
                <w:numId w:val="2"/>
              </w:numPr>
              <w:ind w:left="232" w:hanging="180"/>
            </w:pPr>
            <w:r w:rsidRPr="00C0452F">
              <w:rPr>
                <w:u w:val="single"/>
              </w:rPr>
              <w:t>Office Manager</w:t>
            </w:r>
            <w:r w:rsidRPr="00C0452F">
              <w:t>:  Password Securities are in place for each team member who uses the EDR.  Set up security groups to ensure access is limited to job responsibility needs.</w:t>
            </w:r>
          </w:p>
        </w:tc>
        <w:tc>
          <w:tcPr>
            <w:tcW w:w="972" w:type="pct"/>
          </w:tcPr>
          <w:p w14:paraId="4D9D2612" w14:textId="77777777" w:rsidR="00725C0D" w:rsidRDefault="00725C0D" w:rsidP="009F357F">
            <w:pPr>
              <w:pStyle w:val="TableText"/>
            </w:pPr>
            <w:r>
              <w:t xml:space="preserve">Not using the Audit-Combined Report leaves the site in a vulnerable position regarding the security of patient information. </w:t>
            </w:r>
          </w:p>
          <w:p w14:paraId="20CA5DFA" w14:textId="77777777" w:rsidR="00725C0D" w:rsidRDefault="00725C0D" w:rsidP="009F357F">
            <w:pPr>
              <w:pStyle w:val="TableText"/>
            </w:pPr>
            <w:r>
              <w:t>Since there are very specific situations where Patient Information Accessed are and are not allowed, monitoring this user access is essential.  And use of printed or exported patient information functionality must be monitored so that PHI is not leaving the facility.</w:t>
            </w:r>
          </w:p>
          <w:p w14:paraId="0E8406B5" w14:textId="77777777" w:rsidR="00725C0D" w:rsidRPr="00EF587A" w:rsidRDefault="00725C0D" w:rsidP="009F357F">
            <w:pPr>
              <w:pStyle w:val="TableText"/>
            </w:pPr>
            <w:r>
              <w:t>If there is a user(s) who is excessively editing completed procedures, the reasons behind this must be explored (it could be a simple need for more/individual training or it could be something else altogether).</w:t>
            </w:r>
          </w:p>
        </w:tc>
        <w:tc>
          <w:tcPr>
            <w:tcW w:w="593" w:type="pct"/>
          </w:tcPr>
          <w:p w14:paraId="7A01FAC8" w14:textId="77777777" w:rsidR="00725C0D" w:rsidRDefault="00725C0D" w:rsidP="009F357F">
            <w:pPr>
              <w:pStyle w:val="TableText"/>
              <w:numPr>
                <w:ilvl w:val="0"/>
                <w:numId w:val="1"/>
              </w:numPr>
              <w:ind w:left="187" w:hanging="187"/>
            </w:pPr>
            <w:r>
              <w:t>Database Design</w:t>
            </w:r>
          </w:p>
          <w:p w14:paraId="38FED13A" w14:textId="77777777" w:rsidR="00725C0D" w:rsidRDefault="00725C0D" w:rsidP="009F357F">
            <w:pPr>
              <w:pStyle w:val="TableText"/>
              <w:numPr>
                <w:ilvl w:val="0"/>
                <w:numId w:val="1"/>
              </w:numPr>
              <w:ind w:left="187" w:hanging="187"/>
            </w:pPr>
            <w:r>
              <w:t>Patient Records</w:t>
            </w:r>
          </w:p>
          <w:p w14:paraId="22AD809A" w14:textId="77777777" w:rsidR="00725C0D" w:rsidRDefault="00725C0D" w:rsidP="009F357F">
            <w:pPr>
              <w:pStyle w:val="TableText"/>
              <w:numPr>
                <w:ilvl w:val="0"/>
                <w:numId w:val="1"/>
              </w:numPr>
              <w:ind w:left="187" w:hanging="187"/>
            </w:pPr>
            <w:r>
              <w:t>Clinical Records</w:t>
            </w:r>
          </w:p>
          <w:p w14:paraId="752B6850" w14:textId="77777777" w:rsidR="00725C0D" w:rsidRPr="00EF587A" w:rsidRDefault="00725C0D" w:rsidP="009F357F">
            <w:pPr>
              <w:pStyle w:val="TableText"/>
              <w:numPr>
                <w:ilvl w:val="0"/>
                <w:numId w:val="1"/>
              </w:numPr>
              <w:spacing w:after="0"/>
              <w:ind w:left="187" w:hanging="187"/>
            </w:pPr>
            <w:r>
              <w:t>Reports Reference*</w:t>
            </w:r>
          </w:p>
        </w:tc>
      </w:tr>
    </w:tbl>
    <w:p w14:paraId="01378470" w14:textId="77777777" w:rsidR="000958C8" w:rsidRDefault="000958C8">
      <w:r>
        <w:rPr>
          <w:b/>
          <w:iCs/>
        </w:rPr>
        <w:br w:type="page"/>
      </w:r>
    </w:p>
    <w:tbl>
      <w:tblPr>
        <w:tblStyle w:val="TableGrid"/>
        <w:tblW w:w="129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1"/>
        <w:gridCol w:w="1602"/>
        <w:gridCol w:w="2240"/>
        <w:gridCol w:w="3331"/>
        <w:gridCol w:w="2520"/>
        <w:gridCol w:w="1537"/>
      </w:tblGrid>
      <w:tr w:rsidR="00725C0D" w:rsidRPr="002841C5" w14:paraId="00B597A5" w14:textId="77777777" w:rsidTr="000958C8">
        <w:trPr>
          <w:cantSplit/>
          <w:trHeight w:val="99"/>
        </w:trPr>
        <w:tc>
          <w:tcPr>
            <w:tcW w:w="5000" w:type="pct"/>
            <w:gridSpan w:val="6"/>
            <w:shd w:val="clear" w:color="auto" w:fill="D9E2F3" w:themeFill="accent5" w:themeFillTint="33"/>
            <w:vAlign w:val="center"/>
          </w:tcPr>
          <w:p w14:paraId="26114CA2" w14:textId="41F57959" w:rsidR="00725C0D" w:rsidRPr="002841C5" w:rsidRDefault="00725C0D" w:rsidP="000F591C">
            <w:pPr>
              <w:pStyle w:val="Heading4"/>
            </w:pPr>
            <w:bookmarkStart w:id="405" w:name="_Audit_Reports_Transaction"/>
            <w:bookmarkEnd w:id="405"/>
            <w:r w:rsidRPr="00C831AA">
              <w:lastRenderedPageBreak/>
              <w:t>Audit Reports Transaction</w:t>
            </w:r>
            <w:r w:rsidR="00B16C98">
              <w:tab/>
            </w:r>
            <w:hyperlink w:anchor="_Monthly_Checklist_1" w:history="1">
              <w:r w:rsidR="00FF74B1" w:rsidRPr="00FF74B1">
                <w:rPr>
                  <w:rStyle w:val="Hyperlink"/>
                  <w:b w:val="0"/>
                  <w:bCs/>
                  <w:sz w:val="16"/>
                  <w:szCs w:val="18"/>
                </w:rPr>
                <w:t>Return to Monthly Checklist</w:t>
              </w:r>
            </w:hyperlink>
          </w:p>
        </w:tc>
      </w:tr>
      <w:tr w:rsidR="00725C0D" w:rsidRPr="002841C5" w14:paraId="231D5816" w14:textId="77777777" w:rsidTr="000958C8">
        <w:trPr>
          <w:cantSplit/>
          <w:trHeight w:val="724"/>
        </w:trPr>
        <w:tc>
          <w:tcPr>
            <w:tcW w:w="668" w:type="pct"/>
            <w:vAlign w:val="center"/>
          </w:tcPr>
          <w:p w14:paraId="5757A98B" w14:textId="6B3CE3BD" w:rsidR="00725C0D" w:rsidRPr="002841C5" w:rsidRDefault="00725C0D" w:rsidP="002841C5">
            <w:pPr>
              <w:pStyle w:val="TableText"/>
              <w:jc w:val="center"/>
            </w:pPr>
            <w:r w:rsidRPr="00912847">
              <w:rPr>
                <w:b/>
                <w:bCs/>
              </w:rPr>
              <w:t>Suggested Report Filters</w:t>
            </w:r>
          </w:p>
        </w:tc>
        <w:tc>
          <w:tcPr>
            <w:tcW w:w="618" w:type="pct"/>
            <w:vAlign w:val="center"/>
          </w:tcPr>
          <w:p w14:paraId="59101090" w14:textId="19F9C2AC" w:rsidR="00725C0D" w:rsidRPr="002841C5" w:rsidRDefault="00725C0D" w:rsidP="002841C5">
            <w:pPr>
              <w:pStyle w:val="TableText"/>
              <w:jc w:val="center"/>
            </w:pPr>
            <w:r w:rsidRPr="00912847">
              <w:rPr>
                <w:b/>
                <w:bCs/>
              </w:rPr>
              <w:t>Intent / Responsibility</w:t>
            </w:r>
          </w:p>
        </w:tc>
        <w:tc>
          <w:tcPr>
            <w:tcW w:w="864" w:type="pct"/>
            <w:vAlign w:val="center"/>
          </w:tcPr>
          <w:p w14:paraId="585840B3" w14:textId="1DAE0173" w:rsidR="00725C0D" w:rsidRPr="002841C5" w:rsidRDefault="00725C0D" w:rsidP="002841C5">
            <w:pPr>
              <w:pStyle w:val="TableText"/>
              <w:jc w:val="center"/>
            </w:pPr>
            <w:r w:rsidRPr="00912847">
              <w:rPr>
                <w:b/>
                <w:bCs/>
              </w:rPr>
              <w:t>Objective</w:t>
            </w:r>
          </w:p>
        </w:tc>
        <w:tc>
          <w:tcPr>
            <w:tcW w:w="1285" w:type="pct"/>
            <w:vAlign w:val="center"/>
          </w:tcPr>
          <w:p w14:paraId="4CB6EB71" w14:textId="377A5EC3" w:rsidR="00725C0D" w:rsidRPr="002841C5" w:rsidRDefault="00725C0D" w:rsidP="002841C5">
            <w:pPr>
              <w:pStyle w:val="TableText"/>
              <w:jc w:val="center"/>
            </w:pPr>
            <w:r w:rsidRPr="00912847">
              <w:rPr>
                <w:b/>
                <w:bCs/>
              </w:rPr>
              <w:t>Dependencies and Possible Actions or Corrections Needed to Meet Objective</w:t>
            </w:r>
          </w:p>
        </w:tc>
        <w:tc>
          <w:tcPr>
            <w:tcW w:w="972" w:type="pct"/>
            <w:vAlign w:val="center"/>
          </w:tcPr>
          <w:p w14:paraId="6C922B57" w14:textId="77777777" w:rsidR="00725C0D" w:rsidRPr="009A1DE7" w:rsidRDefault="00725C0D" w:rsidP="002841C5">
            <w:pPr>
              <w:pStyle w:val="TableText"/>
              <w:jc w:val="center"/>
            </w:pPr>
            <w:r w:rsidRPr="00912847">
              <w:rPr>
                <w:b/>
                <w:bCs/>
              </w:rPr>
              <w:t>Warning</w:t>
            </w:r>
          </w:p>
          <w:p w14:paraId="207334C8" w14:textId="3E9593E7" w:rsidR="00725C0D" w:rsidRPr="002841C5" w:rsidRDefault="00725C0D" w:rsidP="002841C5">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0B57E2F5" w14:textId="77777777" w:rsidR="00725C0D" w:rsidRPr="009A1DE7" w:rsidRDefault="00725C0D" w:rsidP="002841C5">
            <w:pPr>
              <w:pStyle w:val="TableText"/>
              <w:jc w:val="center"/>
            </w:pPr>
            <w:r w:rsidRPr="00912847">
              <w:rPr>
                <w:b/>
                <w:bCs/>
              </w:rPr>
              <w:t>References</w:t>
            </w:r>
          </w:p>
          <w:p w14:paraId="7EBC9141" w14:textId="45AA82E8" w:rsidR="00725C0D" w:rsidRPr="002841C5" w:rsidRDefault="00725C0D" w:rsidP="002841C5">
            <w:pPr>
              <w:pStyle w:val="TableText"/>
              <w:jc w:val="center"/>
            </w:pPr>
            <w:r w:rsidRPr="009A1DE7">
              <w:rPr>
                <w:i/>
                <w:iCs/>
              </w:rPr>
              <w:t>An asterisk (*) denotes an external resource.</w:t>
            </w:r>
          </w:p>
        </w:tc>
      </w:tr>
      <w:tr w:rsidR="00725C0D" w:rsidRPr="00EE4BD6" w14:paraId="7C601255" w14:textId="77777777" w:rsidTr="000958C8">
        <w:trPr>
          <w:cantSplit/>
          <w:trHeight w:val="724"/>
        </w:trPr>
        <w:tc>
          <w:tcPr>
            <w:tcW w:w="668" w:type="pct"/>
          </w:tcPr>
          <w:p w14:paraId="121178F3" w14:textId="77777777" w:rsidR="00725C0D" w:rsidRDefault="00725C0D" w:rsidP="009F357F">
            <w:pPr>
              <w:pStyle w:val="TableText"/>
              <w:keepNext/>
              <w:keepLines/>
              <w:numPr>
                <w:ilvl w:val="0"/>
                <w:numId w:val="3"/>
              </w:numPr>
              <w:ind w:left="230" w:hanging="187"/>
            </w:pPr>
            <w:r>
              <w:t>Filters include selection of all patients or designated patient name.</w:t>
            </w:r>
          </w:p>
          <w:p w14:paraId="4359BD3F" w14:textId="77777777" w:rsidR="00725C0D" w:rsidRDefault="00725C0D" w:rsidP="009F357F">
            <w:pPr>
              <w:pStyle w:val="TableText"/>
              <w:keepNext/>
              <w:keepLines/>
              <w:numPr>
                <w:ilvl w:val="0"/>
                <w:numId w:val="3"/>
              </w:numPr>
              <w:ind w:left="230" w:hanging="187"/>
            </w:pPr>
            <w:r>
              <w:t>There is a Sort By feature that allows selection of the following:</w:t>
            </w:r>
          </w:p>
          <w:p w14:paraId="64BDF1DA" w14:textId="77777777" w:rsidR="00725C0D" w:rsidRDefault="00725C0D" w:rsidP="009F357F">
            <w:pPr>
              <w:pStyle w:val="TableText"/>
              <w:keepNext/>
              <w:keepLines/>
              <w:numPr>
                <w:ilvl w:val="1"/>
                <w:numId w:val="3"/>
              </w:numPr>
              <w:ind w:left="489" w:hanging="187"/>
            </w:pPr>
            <w:r>
              <w:t>Date/Time Changed</w:t>
            </w:r>
          </w:p>
          <w:p w14:paraId="65F41B79" w14:textId="77777777" w:rsidR="00725C0D" w:rsidRDefault="00725C0D" w:rsidP="009F357F">
            <w:pPr>
              <w:pStyle w:val="TableText"/>
              <w:keepNext/>
              <w:keepLines/>
              <w:numPr>
                <w:ilvl w:val="1"/>
                <w:numId w:val="3"/>
              </w:numPr>
              <w:ind w:left="489" w:hanging="187"/>
            </w:pPr>
            <w:r>
              <w:t>User Changed</w:t>
            </w:r>
          </w:p>
          <w:p w14:paraId="60CEE4A5" w14:textId="77777777" w:rsidR="00725C0D" w:rsidRDefault="00725C0D" w:rsidP="009F357F">
            <w:pPr>
              <w:pStyle w:val="TableText"/>
              <w:keepNext/>
              <w:keepLines/>
              <w:numPr>
                <w:ilvl w:val="1"/>
                <w:numId w:val="3"/>
              </w:numPr>
              <w:ind w:left="489" w:hanging="187"/>
            </w:pPr>
            <w:r>
              <w:t>Patient Name</w:t>
            </w:r>
          </w:p>
          <w:p w14:paraId="7C267929" w14:textId="77777777" w:rsidR="00725C0D" w:rsidRPr="009A1DE7" w:rsidRDefault="00725C0D" w:rsidP="009F357F">
            <w:pPr>
              <w:pStyle w:val="TableText"/>
              <w:keepNext/>
              <w:keepLines/>
              <w:numPr>
                <w:ilvl w:val="0"/>
                <w:numId w:val="3"/>
              </w:numPr>
              <w:ind w:left="226" w:hanging="180"/>
            </w:pPr>
            <w:r>
              <w:t>Action Type</w:t>
            </w:r>
          </w:p>
        </w:tc>
        <w:tc>
          <w:tcPr>
            <w:tcW w:w="618" w:type="pct"/>
          </w:tcPr>
          <w:p w14:paraId="6B031752" w14:textId="77777777" w:rsidR="00725C0D" w:rsidRPr="009A1DE7" w:rsidRDefault="00725C0D" w:rsidP="009F357F">
            <w:pPr>
              <w:pStyle w:val="TableText"/>
              <w:keepNext/>
              <w:keepLines/>
            </w:pPr>
            <w:r w:rsidRPr="001A2A9F">
              <w:t>Dental Chief, CAC</w:t>
            </w:r>
          </w:p>
        </w:tc>
        <w:tc>
          <w:tcPr>
            <w:tcW w:w="864" w:type="pct"/>
          </w:tcPr>
          <w:p w14:paraId="70A2A7B0" w14:textId="77777777" w:rsidR="00725C0D" w:rsidRDefault="00725C0D" w:rsidP="009F357F">
            <w:pPr>
              <w:pStyle w:val="TableText"/>
              <w:keepNext/>
              <w:keepLines/>
            </w:pPr>
            <w:r>
              <w:t>This report identifies changes to:  Completed Procedures, Guarantor Payments, Insurance Payments, Adjustments</w:t>
            </w:r>
          </w:p>
          <w:p w14:paraId="2B07F15E" w14:textId="77777777" w:rsidR="00725C0D" w:rsidRPr="009A1DE7" w:rsidRDefault="00725C0D" w:rsidP="009F357F">
            <w:pPr>
              <w:pStyle w:val="TableText"/>
              <w:keepNext/>
              <w:keepLines/>
            </w:pPr>
            <w:r>
              <w:t>Among the purposes for using this report to identify these changes would be to pinpoint user deficiencies in their EDR skill-set for setting complete procedures and for posting payments and adjustments.</w:t>
            </w:r>
          </w:p>
        </w:tc>
        <w:tc>
          <w:tcPr>
            <w:tcW w:w="1285" w:type="pct"/>
          </w:tcPr>
          <w:p w14:paraId="6AC36250" w14:textId="77777777" w:rsidR="00725C0D" w:rsidRDefault="00725C0D" w:rsidP="009F357F">
            <w:pPr>
              <w:pStyle w:val="TableText"/>
              <w:keepNext/>
              <w:keepLines/>
              <w:numPr>
                <w:ilvl w:val="0"/>
                <w:numId w:val="2"/>
              </w:numPr>
              <w:ind w:left="232" w:hanging="180"/>
            </w:pPr>
            <w:r w:rsidRPr="001A2A9F">
              <w:t>Site is using EDR for Revenue Cycle Management (i.e. billing insurance claims)</w:t>
            </w:r>
          </w:p>
          <w:p w14:paraId="649F759F" w14:textId="77777777" w:rsidR="00725C0D" w:rsidRPr="009A1DE7" w:rsidRDefault="00725C0D" w:rsidP="009F357F">
            <w:pPr>
              <w:pStyle w:val="TableText"/>
              <w:keepNext/>
              <w:keepLines/>
              <w:numPr>
                <w:ilvl w:val="0"/>
                <w:numId w:val="2"/>
              </w:numPr>
              <w:ind w:left="232" w:hanging="180"/>
            </w:pPr>
            <w:r w:rsidRPr="001A2A9F">
              <w:rPr>
                <w:u w:val="single"/>
              </w:rPr>
              <w:t>Office Manager</w:t>
            </w:r>
            <w:r w:rsidRPr="001A2A9F">
              <w:t>:  Password Securities are in place for each team member who uses the EDR.  Set up security groups to ensure access is limited to job responsibility needs.  The ability to make changes to Completed Procedures, Guarantor Payments, Insurance Payments and Adjustments must be limited to those whose roles absolutely require this access.</w:t>
            </w:r>
          </w:p>
        </w:tc>
        <w:tc>
          <w:tcPr>
            <w:tcW w:w="972" w:type="pct"/>
          </w:tcPr>
          <w:p w14:paraId="54703771" w14:textId="77777777" w:rsidR="00725C0D" w:rsidRDefault="00725C0D" w:rsidP="009F357F">
            <w:pPr>
              <w:pStyle w:val="TableText"/>
              <w:keepNext/>
              <w:keepLines/>
            </w:pPr>
            <w:r>
              <w:t xml:space="preserve">Not using the Audit Report - Transactions to identify changes to financial transactions leaves the site in a vulnerable position regarding the security - and accuracy - of patient charges, payments and adjustments. </w:t>
            </w:r>
          </w:p>
          <w:p w14:paraId="700BCC5B" w14:textId="77777777" w:rsidR="00725C0D" w:rsidRPr="00EF587A" w:rsidRDefault="00725C0D" w:rsidP="009F357F">
            <w:pPr>
              <w:pStyle w:val="TableText"/>
              <w:keepNext/>
              <w:keepLines/>
            </w:pPr>
            <w:r>
              <w:t>If there are previously unidentified reasons for needed changes to transactions, accountability must be in place.  So not monitoring this information - and not exploring reasons behind changes - will leave the clinic open to costly errors.</w:t>
            </w:r>
          </w:p>
        </w:tc>
        <w:tc>
          <w:tcPr>
            <w:tcW w:w="593" w:type="pct"/>
          </w:tcPr>
          <w:p w14:paraId="0FABA4E4" w14:textId="77777777" w:rsidR="00725C0D" w:rsidRDefault="00725C0D" w:rsidP="009F357F">
            <w:pPr>
              <w:pStyle w:val="TableText"/>
              <w:keepNext/>
              <w:keepLines/>
              <w:numPr>
                <w:ilvl w:val="0"/>
                <w:numId w:val="1"/>
              </w:numPr>
              <w:ind w:left="187" w:hanging="187"/>
            </w:pPr>
            <w:r>
              <w:t>Database Design</w:t>
            </w:r>
          </w:p>
          <w:p w14:paraId="46E16C9C" w14:textId="77777777" w:rsidR="00725C0D" w:rsidRDefault="00725C0D" w:rsidP="009F357F">
            <w:pPr>
              <w:pStyle w:val="TableText"/>
              <w:keepNext/>
              <w:keepLines/>
              <w:numPr>
                <w:ilvl w:val="0"/>
                <w:numId w:val="1"/>
              </w:numPr>
              <w:ind w:left="187" w:hanging="187"/>
            </w:pPr>
            <w:r>
              <w:t>Revenue Cycle</w:t>
            </w:r>
          </w:p>
          <w:p w14:paraId="511075D6" w14:textId="77777777" w:rsidR="00725C0D" w:rsidRPr="00EF587A" w:rsidRDefault="00725C0D" w:rsidP="009F357F">
            <w:pPr>
              <w:pStyle w:val="TableText"/>
              <w:keepNext/>
              <w:keepLines/>
              <w:numPr>
                <w:ilvl w:val="0"/>
                <w:numId w:val="1"/>
              </w:numPr>
              <w:spacing w:after="0"/>
              <w:ind w:left="187" w:hanging="187"/>
            </w:pPr>
            <w:r>
              <w:t>Reports Reference*</w:t>
            </w:r>
          </w:p>
        </w:tc>
      </w:tr>
      <w:tr w:rsidR="00725C0D" w:rsidRPr="002841C5" w14:paraId="7318F2F1" w14:textId="77777777" w:rsidTr="000958C8">
        <w:trPr>
          <w:cantSplit/>
          <w:trHeight w:val="54"/>
        </w:trPr>
        <w:tc>
          <w:tcPr>
            <w:tcW w:w="5000" w:type="pct"/>
            <w:gridSpan w:val="6"/>
            <w:shd w:val="clear" w:color="auto" w:fill="D9E2F3" w:themeFill="accent5" w:themeFillTint="33"/>
            <w:vAlign w:val="center"/>
          </w:tcPr>
          <w:p w14:paraId="5CDBB0C2" w14:textId="6E3CAD6E" w:rsidR="00725C0D" w:rsidRPr="002841C5" w:rsidRDefault="00725C0D" w:rsidP="000F591C">
            <w:pPr>
              <w:pStyle w:val="Heading4"/>
            </w:pPr>
            <w:bookmarkStart w:id="406" w:name="_Reminder_Cards_Letter"/>
            <w:bookmarkEnd w:id="406"/>
            <w:r w:rsidRPr="009D3E7C">
              <w:t>Reminder Cards Letter Merge</w:t>
            </w:r>
            <w:r w:rsidR="00B16C98">
              <w:tab/>
            </w:r>
            <w:hyperlink w:anchor="_Monthly_Checklist_1" w:history="1">
              <w:r w:rsidR="00FF74B1" w:rsidRPr="00FF74B1">
                <w:rPr>
                  <w:rStyle w:val="Hyperlink"/>
                  <w:b w:val="0"/>
                  <w:bCs/>
                  <w:sz w:val="16"/>
                  <w:szCs w:val="18"/>
                </w:rPr>
                <w:t>Return to Monthly Checklist</w:t>
              </w:r>
            </w:hyperlink>
          </w:p>
        </w:tc>
      </w:tr>
      <w:tr w:rsidR="00725C0D" w:rsidRPr="002841C5" w14:paraId="48E4936B" w14:textId="77777777" w:rsidTr="000958C8">
        <w:trPr>
          <w:cantSplit/>
          <w:trHeight w:val="554"/>
        </w:trPr>
        <w:tc>
          <w:tcPr>
            <w:tcW w:w="668" w:type="pct"/>
            <w:vAlign w:val="center"/>
          </w:tcPr>
          <w:p w14:paraId="59773FE0" w14:textId="24F53DD4" w:rsidR="00725C0D" w:rsidRPr="002841C5" w:rsidRDefault="00725C0D" w:rsidP="002841C5">
            <w:pPr>
              <w:pStyle w:val="TableText"/>
              <w:jc w:val="center"/>
            </w:pPr>
            <w:r w:rsidRPr="00912847">
              <w:rPr>
                <w:b/>
                <w:bCs/>
              </w:rPr>
              <w:t>Suggested Report Filters</w:t>
            </w:r>
          </w:p>
        </w:tc>
        <w:tc>
          <w:tcPr>
            <w:tcW w:w="618" w:type="pct"/>
            <w:vAlign w:val="center"/>
          </w:tcPr>
          <w:p w14:paraId="4EDA4D04" w14:textId="6F51C24F" w:rsidR="00725C0D" w:rsidRPr="002841C5" w:rsidRDefault="00725C0D" w:rsidP="002841C5">
            <w:pPr>
              <w:pStyle w:val="TableText"/>
              <w:jc w:val="center"/>
            </w:pPr>
            <w:r w:rsidRPr="00912847">
              <w:rPr>
                <w:b/>
                <w:bCs/>
              </w:rPr>
              <w:t>Intent / Responsibility</w:t>
            </w:r>
          </w:p>
        </w:tc>
        <w:tc>
          <w:tcPr>
            <w:tcW w:w="864" w:type="pct"/>
            <w:vAlign w:val="center"/>
          </w:tcPr>
          <w:p w14:paraId="27C967B9" w14:textId="2E9837CD" w:rsidR="00725C0D" w:rsidRPr="002841C5" w:rsidRDefault="00725C0D" w:rsidP="002841C5">
            <w:pPr>
              <w:pStyle w:val="TableText"/>
              <w:jc w:val="center"/>
            </w:pPr>
            <w:r w:rsidRPr="00912847">
              <w:rPr>
                <w:b/>
                <w:bCs/>
              </w:rPr>
              <w:t>Objective</w:t>
            </w:r>
          </w:p>
        </w:tc>
        <w:tc>
          <w:tcPr>
            <w:tcW w:w="1285" w:type="pct"/>
            <w:vAlign w:val="center"/>
          </w:tcPr>
          <w:p w14:paraId="749CF2CE" w14:textId="20A18AEB" w:rsidR="00725C0D" w:rsidRPr="002841C5" w:rsidRDefault="00725C0D" w:rsidP="002841C5">
            <w:pPr>
              <w:pStyle w:val="TableText"/>
              <w:jc w:val="center"/>
            </w:pPr>
            <w:r w:rsidRPr="00912847">
              <w:rPr>
                <w:b/>
                <w:bCs/>
              </w:rPr>
              <w:t>Dependencies and Possible Actions or Corrections Needed to Meet Objective</w:t>
            </w:r>
          </w:p>
        </w:tc>
        <w:tc>
          <w:tcPr>
            <w:tcW w:w="972" w:type="pct"/>
            <w:vAlign w:val="center"/>
          </w:tcPr>
          <w:p w14:paraId="705B0BDF" w14:textId="77777777" w:rsidR="00725C0D" w:rsidRPr="009A1DE7" w:rsidRDefault="00725C0D" w:rsidP="002841C5">
            <w:pPr>
              <w:pStyle w:val="TableText"/>
              <w:jc w:val="center"/>
            </w:pPr>
            <w:r w:rsidRPr="00912847">
              <w:rPr>
                <w:b/>
                <w:bCs/>
              </w:rPr>
              <w:t>Warning</w:t>
            </w:r>
          </w:p>
          <w:p w14:paraId="441BB76E" w14:textId="6FE3542F" w:rsidR="00725C0D" w:rsidRPr="002841C5" w:rsidRDefault="00725C0D" w:rsidP="002841C5">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7F2177BF" w14:textId="77777777" w:rsidR="00725C0D" w:rsidRPr="009A1DE7" w:rsidRDefault="00725C0D" w:rsidP="002841C5">
            <w:pPr>
              <w:pStyle w:val="TableText"/>
              <w:jc w:val="center"/>
            </w:pPr>
            <w:r w:rsidRPr="00912847">
              <w:rPr>
                <w:b/>
                <w:bCs/>
              </w:rPr>
              <w:t>References</w:t>
            </w:r>
          </w:p>
          <w:p w14:paraId="7658D4B1" w14:textId="41FBD126" w:rsidR="00725C0D" w:rsidRPr="002841C5" w:rsidRDefault="00725C0D" w:rsidP="002841C5">
            <w:pPr>
              <w:pStyle w:val="TableText"/>
              <w:jc w:val="center"/>
            </w:pPr>
            <w:r w:rsidRPr="009A1DE7">
              <w:rPr>
                <w:i/>
                <w:iCs/>
              </w:rPr>
              <w:t>An asterisk (*) denotes an external resource.</w:t>
            </w:r>
          </w:p>
        </w:tc>
      </w:tr>
      <w:tr w:rsidR="00725C0D" w:rsidRPr="00EE4BD6" w14:paraId="4CA40880" w14:textId="77777777" w:rsidTr="000958C8">
        <w:trPr>
          <w:cantSplit/>
          <w:trHeight w:val="554"/>
        </w:trPr>
        <w:tc>
          <w:tcPr>
            <w:tcW w:w="668" w:type="pct"/>
          </w:tcPr>
          <w:p w14:paraId="13FBFBD6" w14:textId="77777777" w:rsidR="00725C0D" w:rsidRDefault="00725C0D" w:rsidP="009F357F">
            <w:pPr>
              <w:pStyle w:val="TableText"/>
              <w:keepNext/>
              <w:keepLines/>
            </w:pPr>
            <w:r>
              <w:t>Appt. Reminders for:</w:t>
            </w:r>
          </w:p>
          <w:p w14:paraId="44F8FF15" w14:textId="77777777" w:rsidR="00725C0D" w:rsidRDefault="00725C0D" w:rsidP="009F357F">
            <w:pPr>
              <w:pStyle w:val="TableText"/>
              <w:keepNext/>
              <w:keepLines/>
              <w:numPr>
                <w:ilvl w:val="0"/>
                <w:numId w:val="3"/>
              </w:numPr>
              <w:ind w:left="230" w:hanging="187"/>
            </w:pPr>
            <w:r w:rsidRPr="001A2A9F">
              <w:t>Continuing Care - Patients who are due but not appointed</w:t>
            </w:r>
          </w:p>
          <w:p w14:paraId="1F5EA744" w14:textId="77777777" w:rsidR="00725C0D" w:rsidRPr="009A1DE7" w:rsidRDefault="00725C0D" w:rsidP="009F357F">
            <w:pPr>
              <w:pStyle w:val="TableText"/>
              <w:numPr>
                <w:ilvl w:val="0"/>
                <w:numId w:val="3"/>
              </w:numPr>
              <w:ind w:left="226" w:hanging="180"/>
            </w:pPr>
            <w:r w:rsidRPr="001A2A9F">
              <w:t>Continuing Care - Patients who are scheduled</w:t>
            </w:r>
          </w:p>
        </w:tc>
        <w:tc>
          <w:tcPr>
            <w:tcW w:w="618" w:type="pct"/>
          </w:tcPr>
          <w:p w14:paraId="0D439EFE" w14:textId="77777777" w:rsidR="00725C0D" w:rsidRPr="009A1DE7" w:rsidRDefault="00725C0D" w:rsidP="009F357F">
            <w:pPr>
              <w:pStyle w:val="TableText"/>
            </w:pPr>
            <w:r w:rsidRPr="001A2A9F">
              <w:t>Front Desk/Scheduler</w:t>
            </w:r>
          </w:p>
        </w:tc>
        <w:tc>
          <w:tcPr>
            <w:tcW w:w="864" w:type="pct"/>
          </w:tcPr>
          <w:p w14:paraId="76372E18" w14:textId="77777777" w:rsidR="00725C0D" w:rsidRDefault="00725C0D" w:rsidP="009F357F">
            <w:pPr>
              <w:pStyle w:val="TableText"/>
              <w:keepNext/>
              <w:keepLines/>
            </w:pPr>
            <w:r>
              <w:t>Reminder cards may be generated using the Letter Merge functionality in Office Manager (MS Word integration with EDR).</w:t>
            </w:r>
          </w:p>
          <w:p w14:paraId="3DF034EC" w14:textId="77777777" w:rsidR="00725C0D" w:rsidRPr="009A1DE7" w:rsidRDefault="00725C0D" w:rsidP="009F357F">
            <w:pPr>
              <w:pStyle w:val="TableText"/>
            </w:pPr>
            <w:r>
              <w:t>used  in addition to scheduling assistant call list</w:t>
            </w:r>
          </w:p>
        </w:tc>
        <w:tc>
          <w:tcPr>
            <w:tcW w:w="1285" w:type="pct"/>
          </w:tcPr>
          <w:p w14:paraId="432B1248" w14:textId="77777777" w:rsidR="00725C0D" w:rsidRDefault="00725C0D" w:rsidP="009F357F">
            <w:pPr>
              <w:pStyle w:val="TableText"/>
              <w:keepNext/>
              <w:keepLines/>
              <w:numPr>
                <w:ilvl w:val="0"/>
                <w:numId w:val="2"/>
              </w:numPr>
              <w:ind w:left="245" w:hanging="187"/>
            </w:pPr>
            <w:r w:rsidRPr="001A2A9F">
              <w:rPr>
                <w:u w:val="single"/>
              </w:rPr>
              <w:t>Office Manager</w:t>
            </w:r>
            <w:r>
              <w:t>:  Continuing Care types are set up and attached to appropriate procedure codes.</w:t>
            </w:r>
          </w:p>
          <w:p w14:paraId="6669381C" w14:textId="77777777" w:rsidR="00725C0D" w:rsidRDefault="00725C0D" w:rsidP="009F357F">
            <w:pPr>
              <w:pStyle w:val="TableText"/>
              <w:keepNext/>
              <w:keepLines/>
              <w:numPr>
                <w:ilvl w:val="0"/>
                <w:numId w:val="2"/>
              </w:numPr>
              <w:ind w:left="245" w:hanging="187"/>
            </w:pPr>
            <w:r w:rsidRPr="001A2A9F">
              <w:rPr>
                <w:u w:val="single"/>
              </w:rPr>
              <w:t>Appointment Book</w:t>
            </w:r>
            <w:r>
              <w:t>:  Continuing Care is attached to Patient appointments scheduled (procedure codes must be used in the Appt. Reasons).</w:t>
            </w:r>
          </w:p>
          <w:p w14:paraId="6D9A6FD9" w14:textId="77777777" w:rsidR="00725C0D" w:rsidRPr="009A1DE7" w:rsidRDefault="00725C0D" w:rsidP="009F357F">
            <w:pPr>
              <w:pStyle w:val="TableText"/>
              <w:numPr>
                <w:ilvl w:val="0"/>
                <w:numId w:val="2"/>
              </w:numPr>
              <w:ind w:left="232" w:hanging="180"/>
            </w:pPr>
            <w:r w:rsidRPr="001A2A9F">
              <w:rPr>
                <w:u w:val="single"/>
              </w:rPr>
              <w:t>Family File</w:t>
            </w:r>
            <w:r>
              <w:t>:  Continuing Care attached to patient file with correct frequency and due date.</w:t>
            </w:r>
          </w:p>
        </w:tc>
        <w:tc>
          <w:tcPr>
            <w:tcW w:w="972" w:type="pct"/>
          </w:tcPr>
          <w:p w14:paraId="58C1C454" w14:textId="77777777" w:rsidR="00725C0D" w:rsidRPr="00EF587A" w:rsidRDefault="00725C0D" w:rsidP="009F357F">
            <w:pPr>
              <w:pStyle w:val="TableText"/>
            </w:pPr>
            <w:r w:rsidRPr="001A2A9F">
              <w:t>Not using cards as a means of reminding patients of either their scheduled appointments or of the need to contact the clinic to schedule is an avoidable situation that negates meaningful communications with patients.</w:t>
            </w:r>
          </w:p>
        </w:tc>
        <w:tc>
          <w:tcPr>
            <w:tcW w:w="593" w:type="pct"/>
          </w:tcPr>
          <w:p w14:paraId="1C95A4F5" w14:textId="77777777" w:rsidR="00725C0D" w:rsidRDefault="00725C0D" w:rsidP="009F357F">
            <w:pPr>
              <w:pStyle w:val="TableText"/>
              <w:numPr>
                <w:ilvl w:val="0"/>
                <w:numId w:val="1"/>
              </w:numPr>
              <w:ind w:left="187" w:hanging="187"/>
            </w:pPr>
            <w:r>
              <w:t>Database Design</w:t>
            </w:r>
          </w:p>
          <w:p w14:paraId="33E607B2" w14:textId="77777777" w:rsidR="00725C0D" w:rsidRDefault="00725C0D" w:rsidP="009F357F">
            <w:pPr>
              <w:pStyle w:val="TableText"/>
              <w:numPr>
                <w:ilvl w:val="0"/>
                <w:numId w:val="1"/>
              </w:numPr>
              <w:ind w:left="187" w:hanging="187"/>
            </w:pPr>
            <w:r>
              <w:t>Patient Records</w:t>
            </w:r>
          </w:p>
          <w:p w14:paraId="1AC21673" w14:textId="77777777" w:rsidR="00725C0D" w:rsidRPr="00EF587A" w:rsidRDefault="00725C0D" w:rsidP="009F357F">
            <w:pPr>
              <w:pStyle w:val="TableText"/>
              <w:numPr>
                <w:ilvl w:val="0"/>
                <w:numId w:val="1"/>
              </w:numPr>
              <w:spacing w:after="0"/>
              <w:ind w:left="187" w:hanging="187"/>
            </w:pPr>
            <w:r>
              <w:t>Schedule Optimization</w:t>
            </w:r>
          </w:p>
        </w:tc>
      </w:tr>
    </w:tbl>
    <w:p w14:paraId="5BBE0015" w14:textId="77777777" w:rsidR="000958C8" w:rsidRDefault="000958C8">
      <w:r>
        <w:rPr>
          <w:b/>
          <w:iCs/>
        </w:rPr>
        <w:br w:type="page"/>
      </w:r>
    </w:p>
    <w:tbl>
      <w:tblPr>
        <w:tblStyle w:val="TableGrid"/>
        <w:tblW w:w="13061"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94"/>
        <w:gridCol w:w="65"/>
        <w:gridCol w:w="1570"/>
        <w:gridCol w:w="2244"/>
        <w:gridCol w:w="3336"/>
        <w:gridCol w:w="2440"/>
        <w:gridCol w:w="1612"/>
      </w:tblGrid>
      <w:tr w:rsidR="00DD1E1E" w:rsidRPr="00EE4BD6" w14:paraId="448C1644" w14:textId="77777777" w:rsidTr="00B16C98">
        <w:trPr>
          <w:cantSplit/>
          <w:tblHeader/>
        </w:trPr>
        <w:tc>
          <w:tcPr>
            <w:tcW w:w="5000" w:type="pct"/>
            <w:gridSpan w:val="7"/>
            <w:shd w:val="clear" w:color="auto" w:fill="D9E2F3" w:themeFill="accent5" w:themeFillTint="33"/>
            <w:vAlign w:val="center"/>
          </w:tcPr>
          <w:p w14:paraId="60194580" w14:textId="27699C55" w:rsidR="00DD1E1E" w:rsidRPr="00912847" w:rsidRDefault="00DD1E1E" w:rsidP="00B16C98">
            <w:pPr>
              <w:pStyle w:val="Heading4"/>
            </w:pPr>
            <w:bookmarkStart w:id="407" w:name="_Oral_Health_Status_1"/>
            <w:bookmarkEnd w:id="407"/>
            <w:r w:rsidRPr="006E5910">
              <w:lastRenderedPageBreak/>
              <w:t>Oral Health Status Report</w:t>
            </w:r>
            <w:r w:rsidR="00B16C98">
              <w:tab/>
            </w:r>
            <w:hyperlink w:anchor="_Monthly_Checklist_1" w:history="1">
              <w:r w:rsidR="00B16C98" w:rsidRPr="00FF74B1">
                <w:rPr>
                  <w:rStyle w:val="Hyperlink"/>
                  <w:b w:val="0"/>
                  <w:bCs/>
                  <w:sz w:val="16"/>
                  <w:szCs w:val="18"/>
                </w:rPr>
                <w:t>Return to Monthly Checklist</w:t>
              </w:r>
            </w:hyperlink>
          </w:p>
        </w:tc>
      </w:tr>
      <w:tr w:rsidR="00DD1E1E" w:rsidRPr="00EE4BD6" w14:paraId="0E5E7C8A" w14:textId="77777777" w:rsidTr="009E00C1">
        <w:trPr>
          <w:cantSplit/>
          <w:tblHeader/>
        </w:trPr>
        <w:tc>
          <w:tcPr>
            <w:tcW w:w="712" w:type="pct"/>
            <w:gridSpan w:val="2"/>
            <w:vAlign w:val="center"/>
          </w:tcPr>
          <w:p w14:paraId="4D3F1594" w14:textId="77777777" w:rsidR="00DD1E1E" w:rsidRPr="00912847" w:rsidRDefault="00DD1E1E" w:rsidP="00B47A80">
            <w:pPr>
              <w:pStyle w:val="TableText"/>
              <w:jc w:val="center"/>
              <w:rPr>
                <w:b/>
                <w:bCs/>
              </w:rPr>
            </w:pPr>
            <w:r w:rsidRPr="00912847">
              <w:rPr>
                <w:b/>
                <w:bCs/>
              </w:rPr>
              <w:t>Suggested Report Filters</w:t>
            </w:r>
          </w:p>
        </w:tc>
        <w:tc>
          <w:tcPr>
            <w:tcW w:w="601" w:type="pct"/>
            <w:vAlign w:val="center"/>
          </w:tcPr>
          <w:p w14:paraId="082BB7AB" w14:textId="77777777" w:rsidR="00DD1E1E" w:rsidRPr="00912847" w:rsidRDefault="00DD1E1E" w:rsidP="00B47A80">
            <w:pPr>
              <w:pStyle w:val="TableText"/>
              <w:jc w:val="center"/>
              <w:rPr>
                <w:b/>
                <w:bCs/>
              </w:rPr>
            </w:pPr>
            <w:r w:rsidRPr="00912847">
              <w:rPr>
                <w:b/>
                <w:bCs/>
              </w:rPr>
              <w:t>Intent / Responsibility</w:t>
            </w:r>
          </w:p>
        </w:tc>
        <w:tc>
          <w:tcPr>
            <w:tcW w:w="859" w:type="pct"/>
            <w:vAlign w:val="center"/>
          </w:tcPr>
          <w:p w14:paraId="1031D9FD" w14:textId="77777777" w:rsidR="00DD1E1E" w:rsidRPr="00912847" w:rsidRDefault="00DD1E1E" w:rsidP="00B47A80">
            <w:pPr>
              <w:pStyle w:val="TableText"/>
              <w:jc w:val="center"/>
              <w:rPr>
                <w:b/>
                <w:bCs/>
              </w:rPr>
            </w:pPr>
            <w:r w:rsidRPr="00912847">
              <w:rPr>
                <w:b/>
                <w:bCs/>
              </w:rPr>
              <w:t>Objective</w:t>
            </w:r>
          </w:p>
        </w:tc>
        <w:tc>
          <w:tcPr>
            <w:tcW w:w="1277" w:type="pct"/>
            <w:vAlign w:val="center"/>
          </w:tcPr>
          <w:p w14:paraId="63848198" w14:textId="77777777" w:rsidR="00DD1E1E" w:rsidRPr="00912847" w:rsidRDefault="00DD1E1E" w:rsidP="00B47A80">
            <w:pPr>
              <w:pStyle w:val="TableText"/>
              <w:jc w:val="center"/>
              <w:rPr>
                <w:b/>
                <w:bCs/>
              </w:rPr>
            </w:pPr>
            <w:r w:rsidRPr="00912847">
              <w:rPr>
                <w:b/>
                <w:bCs/>
              </w:rPr>
              <w:t>Dependencies and Possible Actions or Corrections Needed to Meet Objective</w:t>
            </w:r>
          </w:p>
        </w:tc>
        <w:tc>
          <w:tcPr>
            <w:tcW w:w="934" w:type="pct"/>
            <w:vAlign w:val="center"/>
          </w:tcPr>
          <w:p w14:paraId="6D6C9762" w14:textId="77777777" w:rsidR="00DD1E1E" w:rsidRPr="009A1DE7" w:rsidRDefault="00DD1E1E" w:rsidP="00B47A80">
            <w:pPr>
              <w:pStyle w:val="TableText"/>
              <w:jc w:val="center"/>
            </w:pPr>
            <w:r w:rsidRPr="00912847">
              <w:rPr>
                <w:b/>
                <w:bCs/>
              </w:rPr>
              <w:t>Warning</w:t>
            </w:r>
          </w:p>
          <w:p w14:paraId="79F86B68" w14:textId="77777777" w:rsidR="00DD1E1E" w:rsidRPr="009A1DE7" w:rsidRDefault="00DD1E1E" w:rsidP="00B47A80">
            <w:pPr>
              <w:pStyle w:val="TableText"/>
              <w:jc w:val="center"/>
            </w:pPr>
            <w:r w:rsidRPr="009A1DE7">
              <w:rPr>
                <w:i/>
                <w:iCs/>
              </w:rPr>
              <w:t>Not following the recommendations may yield the</w:t>
            </w:r>
            <w:r>
              <w:rPr>
                <w:i/>
                <w:iCs/>
              </w:rPr>
              <w:t>se</w:t>
            </w:r>
            <w:r w:rsidRPr="009A1DE7">
              <w:rPr>
                <w:i/>
                <w:iCs/>
              </w:rPr>
              <w:t xml:space="preserve"> unintended results.</w:t>
            </w:r>
          </w:p>
        </w:tc>
        <w:tc>
          <w:tcPr>
            <w:tcW w:w="617" w:type="pct"/>
            <w:vAlign w:val="center"/>
          </w:tcPr>
          <w:p w14:paraId="4A3D68B2" w14:textId="77777777" w:rsidR="00DD1E1E" w:rsidRPr="009A1DE7" w:rsidRDefault="00DD1E1E" w:rsidP="00B47A80">
            <w:pPr>
              <w:pStyle w:val="TableText"/>
              <w:jc w:val="center"/>
            </w:pPr>
            <w:r w:rsidRPr="00912847">
              <w:rPr>
                <w:b/>
                <w:bCs/>
              </w:rPr>
              <w:t>References</w:t>
            </w:r>
          </w:p>
          <w:p w14:paraId="30E64E81" w14:textId="77777777" w:rsidR="00DD1E1E" w:rsidRPr="009A1DE7" w:rsidRDefault="00DD1E1E" w:rsidP="00B47A80">
            <w:pPr>
              <w:pStyle w:val="TableText"/>
              <w:jc w:val="center"/>
            </w:pPr>
            <w:r w:rsidRPr="009A1DE7">
              <w:rPr>
                <w:i/>
                <w:iCs/>
              </w:rPr>
              <w:t>An asterisk (*) denotes an external resource.</w:t>
            </w:r>
          </w:p>
        </w:tc>
      </w:tr>
      <w:tr w:rsidR="00DD1E1E" w:rsidRPr="00EE4BD6" w14:paraId="5AD95499" w14:textId="77777777" w:rsidTr="009E00C1">
        <w:trPr>
          <w:cantSplit/>
          <w:trHeight w:val="428"/>
        </w:trPr>
        <w:tc>
          <w:tcPr>
            <w:tcW w:w="712" w:type="pct"/>
            <w:gridSpan w:val="2"/>
          </w:tcPr>
          <w:p w14:paraId="59DC6D28" w14:textId="77777777" w:rsidR="00DD1E1E" w:rsidRPr="009A1DE7" w:rsidRDefault="00DD1E1E" w:rsidP="00B47A80">
            <w:pPr>
              <w:pStyle w:val="TableText"/>
              <w:numPr>
                <w:ilvl w:val="0"/>
                <w:numId w:val="3"/>
              </w:numPr>
              <w:ind w:left="226" w:hanging="180"/>
            </w:pPr>
            <w:r>
              <w:t>Date Range: Last week’s range</w:t>
            </w:r>
          </w:p>
        </w:tc>
        <w:tc>
          <w:tcPr>
            <w:tcW w:w="601" w:type="pct"/>
          </w:tcPr>
          <w:p w14:paraId="78548C1E" w14:textId="77777777" w:rsidR="00DD1E1E" w:rsidRPr="009A1DE7" w:rsidRDefault="00DD1E1E" w:rsidP="00B47A80">
            <w:pPr>
              <w:pStyle w:val="TableText"/>
            </w:pPr>
            <w:r>
              <w:t>Dental Chief / CAC</w:t>
            </w:r>
          </w:p>
        </w:tc>
        <w:tc>
          <w:tcPr>
            <w:tcW w:w="859" w:type="pct"/>
          </w:tcPr>
          <w:p w14:paraId="5E904D03" w14:textId="77777777" w:rsidR="00DD1E1E" w:rsidRPr="009A1DE7" w:rsidRDefault="00DD1E1E" w:rsidP="00B47A80">
            <w:pPr>
              <w:pStyle w:val="TableText"/>
            </w:pPr>
            <w:r>
              <w:t>Identify high-risk dental patients for contact and follow up.</w:t>
            </w:r>
          </w:p>
        </w:tc>
        <w:tc>
          <w:tcPr>
            <w:tcW w:w="1277" w:type="pct"/>
          </w:tcPr>
          <w:p w14:paraId="60E75E81" w14:textId="77777777" w:rsidR="00DD1E1E" w:rsidRDefault="00DD1E1E" w:rsidP="00B47A80">
            <w:pPr>
              <w:pStyle w:val="TableText"/>
              <w:keepNext/>
              <w:keepLines/>
              <w:numPr>
                <w:ilvl w:val="0"/>
                <w:numId w:val="2"/>
              </w:numPr>
              <w:ind w:left="232" w:hanging="180"/>
            </w:pPr>
            <w:r>
              <w:t>OHS tool is routinely used in order to populate OHS Report data.</w:t>
            </w:r>
          </w:p>
          <w:p w14:paraId="272162B7" w14:textId="77777777" w:rsidR="00DD1E1E" w:rsidRDefault="00DD1E1E" w:rsidP="00B47A80">
            <w:pPr>
              <w:pStyle w:val="TableText"/>
              <w:keepNext/>
              <w:keepLines/>
              <w:numPr>
                <w:ilvl w:val="0"/>
                <w:numId w:val="2"/>
              </w:numPr>
              <w:ind w:left="232" w:hanging="180"/>
            </w:pPr>
            <w:r>
              <w:t>Conduct chart audits for non-compliance.</w:t>
            </w:r>
          </w:p>
          <w:p w14:paraId="46D4D6E1" w14:textId="77777777" w:rsidR="00DD1E1E" w:rsidRPr="009A1DE7" w:rsidRDefault="00DD1E1E" w:rsidP="00B47A80">
            <w:pPr>
              <w:pStyle w:val="TableText"/>
              <w:numPr>
                <w:ilvl w:val="0"/>
                <w:numId w:val="2"/>
              </w:numPr>
              <w:ind w:left="232" w:hanging="180"/>
            </w:pPr>
            <w:r>
              <w:t>Re-educate on process for completion of OHS metrics.</w:t>
            </w:r>
          </w:p>
        </w:tc>
        <w:tc>
          <w:tcPr>
            <w:tcW w:w="934" w:type="pct"/>
          </w:tcPr>
          <w:p w14:paraId="6E444BC1" w14:textId="77777777" w:rsidR="00DD1E1E" w:rsidRPr="00EF587A" w:rsidRDefault="00DD1E1E" w:rsidP="00B47A80">
            <w:pPr>
              <w:pStyle w:val="TableText"/>
            </w:pPr>
            <w:r>
              <w:t>If</w:t>
            </w:r>
            <w:r w:rsidRPr="003F4C43">
              <w:t xml:space="preserve"> the OHS </w:t>
            </w:r>
            <w:r>
              <w:t>metrics</w:t>
            </w:r>
            <w:r w:rsidRPr="003F4C43">
              <w:t xml:space="preserve"> </w:t>
            </w:r>
            <w:r>
              <w:t xml:space="preserve">are not completed </w:t>
            </w:r>
            <w:r w:rsidRPr="003F4C43">
              <w:t>at patient visits</w:t>
            </w:r>
            <w:r>
              <w:t xml:space="preserve">, and </w:t>
            </w:r>
            <w:r w:rsidRPr="003F4C43">
              <w:t>subsequent reports</w:t>
            </w:r>
            <w:r>
              <w:t xml:space="preserve"> are not run</w:t>
            </w:r>
            <w:r w:rsidRPr="003F4C43">
              <w:t>,</w:t>
            </w:r>
            <w:r>
              <w:t xml:space="preserve"> you cannot effectively identify and follow up</w:t>
            </w:r>
            <w:r w:rsidRPr="003F4C43">
              <w:t xml:space="preserve"> </w:t>
            </w:r>
            <w:r>
              <w:t>with</w:t>
            </w:r>
            <w:r w:rsidRPr="003F4C43">
              <w:t xml:space="preserve"> high</w:t>
            </w:r>
            <w:r>
              <w:t>-</w:t>
            </w:r>
            <w:r w:rsidRPr="003F4C43">
              <w:t>risk patients.</w:t>
            </w:r>
          </w:p>
        </w:tc>
        <w:tc>
          <w:tcPr>
            <w:tcW w:w="617" w:type="pct"/>
          </w:tcPr>
          <w:p w14:paraId="4D1B1908" w14:textId="77777777" w:rsidR="00DD1E1E" w:rsidRPr="009A1DE7" w:rsidRDefault="00DD1E1E" w:rsidP="00B47A80">
            <w:pPr>
              <w:pStyle w:val="TableText"/>
              <w:numPr>
                <w:ilvl w:val="0"/>
                <w:numId w:val="1"/>
              </w:numPr>
              <w:spacing w:after="0"/>
              <w:ind w:left="187" w:hanging="187"/>
            </w:pPr>
            <w:r w:rsidRPr="009A1DE7">
              <w:t>Clinical Records</w:t>
            </w:r>
          </w:p>
          <w:p w14:paraId="239C33BB" w14:textId="77777777" w:rsidR="00DD1E1E" w:rsidRPr="009A1DE7" w:rsidRDefault="00DD1E1E" w:rsidP="00B47A80">
            <w:pPr>
              <w:pStyle w:val="TableText"/>
              <w:numPr>
                <w:ilvl w:val="0"/>
                <w:numId w:val="1"/>
              </w:numPr>
              <w:spacing w:after="0"/>
              <w:ind w:left="187" w:hanging="187"/>
            </w:pPr>
            <w:r w:rsidRPr="009A1DE7">
              <w:t>Patient Records</w:t>
            </w:r>
          </w:p>
          <w:p w14:paraId="3A794F05" w14:textId="77777777" w:rsidR="00DD1E1E" w:rsidRPr="00EF587A" w:rsidRDefault="00DD1E1E" w:rsidP="00B47A80">
            <w:pPr>
              <w:pStyle w:val="TableText"/>
              <w:numPr>
                <w:ilvl w:val="0"/>
                <w:numId w:val="1"/>
              </w:numPr>
              <w:spacing w:after="0"/>
              <w:ind w:left="187" w:hanging="187"/>
            </w:pPr>
            <w:r w:rsidRPr="009A1DE7">
              <w:t>Reports Reference*</w:t>
            </w:r>
          </w:p>
        </w:tc>
      </w:tr>
      <w:tr w:rsidR="00DD1E1E" w:rsidRPr="00E92EA5" w14:paraId="3A899D31" w14:textId="77777777" w:rsidTr="00B16C98">
        <w:trPr>
          <w:cantSplit/>
          <w:trHeight w:val="428"/>
        </w:trPr>
        <w:tc>
          <w:tcPr>
            <w:tcW w:w="5000" w:type="pct"/>
            <w:gridSpan w:val="7"/>
            <w:shd w:val="clear" w:color="auto" w:fill="D9E2F3" w:themeFill="accent5" w:themeFillTint="33"/>
            <w:vAlign w:val="center"/>
          </w:tcPr>
          <w:p w14:paraId="5E8F4CFE" w14:textId="0CAD0B95" w:rsidR="00DD1E1E" w:rsidRPr="00E92EA5" w:rsidRDefault="00B16C98" w:rsidP="00B16C98">
            <w:pPr>
              <w:pStyle w:val="Heading4"/>
              <w:tabs>
                <w:tab w:val="clear" w:pos="12960"/>
                <w:tab w:val="right" w:pos="12979"/>
              </w:tabs>
            </w:pPr>
            <w:bookmarkStart w:id="408" w:name="_OHS_Outcome_after"/>
            <w:bookmarkEnd w:id="408"/>
            <w:r w:rsidRPr="00B16C98">
              <w:rPr>
                <w:color w:val="auto"/>
              </w:rPr>
              <w:t>OHS Outcome after Appointment Report</w:t>
            </w:r>
            <w:r>
              <w:rPr>
                <w:color w:val="auto"/>
              </w:rPr>
              <w:tab/>
            </w:r>
            <w:hyperlink w:anchor="_Monthly_Checklist_1" w:history="1">
              <w:r w:rsidRPr="00FF74B1">
                <w:rPr>
                  <w:rStyle w:val="Hyperlink"/>
                  <w:b w:val="0"/>
                  <w:bCs/>
                  <w:sz w:val="16"/>
                  <w:szCs w:val="18"/>
                </w:rPr>
                <w:t>Return to Monthly Checklist</w:t>
              </w:r>
            </w:hyperlink>
          </w:p>
        </w:tc>
      </w:tr>
      <w:tr w:rsidR="00DD1E1E" w14:paraId="5D570B43" w14:textId="77777777" w:rsidTr="009E00C1">
        <w:trPr>
          <w:cantSplit/>
          <w:trHeight w:val="428"/>
        </w:trPr>
        <w:tc>
          <w:tcPr>
            <w:tcW w:w="687" w:type="pct"/>
            <w:vAlign w:val="center"/>
          </w:tcPr>
          <w:p w14:paraId="4C603060" w14:textId="77777777" w:rsidR="00DD1E1E" w:rsidRPr="00D160F4" w:rsidRDefault="00DD1E1E" w:rsidP="00B47A80">
            <w:pPr>
              <w:pStyle w:val="TableText"/>
              <w:keepNext/>
              <w:keepLines/>
              <w:ind w:left="46"/>
              <w:jc w:val="center"/>
            </w:pPr>
            <w:r w:rsidRPr="00912847">
              <w:rPr>
                <w:b/>
                <w:bCs/>
              </w:rPr>
              <w:t>Suggested Report Filters</w:t>
            </w:r>
          </w:p>
        </w:tc>
        <w:tc>
          <w:tcPr>
            <w:tcW w:w="626" w:type="pct"/>
            <w:gridSpan w:val="2"/>
            <w:vAlign w:val="center"/>
          </w:tcPr>
          <w:p w14:paraId="212CA8F8" w14:textId="77777777" w:rsidR="00DD1E1E" w:rsidRDefault="00DD1E1E" w:rsidP="00B47A80">
            <w:pPr>
              <w:pStyle w:val="TableText"/>
              <w:jc w:val="center"/>
            </w:pPr>
            <w:r w:rsidRPr="00912847">
              <w:rPr>
                <w:b/>
                <w:bCs/>
              </w:rPr>
              <w:t>Intent / Responsibility</w:t>
            </w:r>
          </w:p>
        </w:tc>
        <w:tc>
          <w:tcPr>
            <w:tcW w:w="859" w:type="pct"/>
            <w:vAlign w:val="center"/>
          </w:tcPr>
          <w:p w14:paraId="495B009E" w14:textId="77777777" w:rsidR="00DD1E1E" w:rsidRPr="00837A86" w:rsidRDefault="00DD1E1E" w:rsidP="00B47A80">
            <w:pPr>
              <w:pStyle w:val="TableText"/>
              <w:jc w:val="center"/>
            </w:pPr>
            <w:r w:rsidRPr="00912847">
              <w:rPr>
                <w:b/>
                <w:bCs/>
              </w:rPr>
              <w:t>Objective</w:t>
            </w:r>
          </w:p>
        </w:tc>
        <w:tc>
          <w:tcPr>
            <w:tcW w:w="1277" w:type="pct"/>
            <w:vAlign w:val="center"/>
          </w:tcPr>
          <w:p w14:paraId="43339506" w14:textId="77777777" w:rsidR="00DD1E1E" w:rsidRPr="00837A86" w:rsidRDefault="00DD1E1E" w:rsidP="00B47A80">
            <w:pPr>
              <w:pStyle w:val="TableText"/>
              <w:keepNext/>
              <w:keepLines/>
              <w:jc w:val="center"/>
            </w:pPr>
            <w:r w:rsidRPr="00912847">
              <w:rPr>
                <w:b/>
                <w:bCs/>
              </w:rPr>
              <w:t>Dependencies and Possible Actions or Corrections Needed to Meet Objective</w:t>
            </w:r>
          </w:p>
        </w:tc>
        <w:tc>
          <w:tcPr>
            <w:tcW w:w="934" w:type="pct"/>
            <w:vAlign w:val="center"/>
          </w:tcPr>
          <w:p w14:paraId="2CE8E90A" w14:textId="77777777" w:rsidR="00DD1E1E" w:rsidRPr="009A1DE7" w:rsidRDefault="00DD1E1E" w:rsidP="00B47A80">
            <w:pPr>
              <w:pStyle w:val="TableText"/>
              <w:jc w:val="center"/>
            </w:pPr>
            <w:r w:rsidRPr="00912847">
              <w:rPr>
                <w:b/>
                <w:bCs/>
              </w:rPr>
              <w:t>Warning</w:t>
            </w:r>
          </w:p>
          <w:p w14:paraId="7E40E0A6" w14:textId="77777777" w:rsidR="00DD1E1E" w:rsidRPr="00837A86" w:rsidRDefault="00DD1E1E" w:rsidP="00B47A80">
            <w:pPr>
              <w:pStyle w:val="TableText"/>
              <w:jc w:val="center"/>
            </w:pPr>
            <w:r w:rsidRPr="009A1DE7">
              <w:rPr>
                <w:i/>
                <w:iCs/>
              </w:rPr>
              <w:t>Not following the recommendations may yield the</w:t>
            </w:r>
            <w:r>
              <w:rPr>
                <w:i/>
                <w:iCs/>
              </w:rPr>
              <w:t>se</w:t>
            </w:r>
            <w:r w:rsidRPr="009A1DE7">
              <w:rPr>
                <w:i/>
                <w:iCs/>
              </w:rPr>
              <w:t xml:space="preserve"> unintended results.</w:t>
            </w:r>
          </w:p>
        </w:tc>
        <w:tc>
          <w:tcPr>
            <w:tcW w:w="617" w:type="pct"/>
            <w:vAlign w:val="center"/>
          </w:tcPr>
          <w:p w14:paraId="19F72D1A" w14:textId="77777777" w:rsidR="00DD1E1E" w:rsidRPr="009A1DE7" w:rsidRDefault="00DD1E1E" w:rsidP="00B47A80">
            <w:pPr>
              <w:pStyle w:val="TableText"/>
              <w:jc w:val="center"/>
            </w:pPr>
            <w:r w:rsidRPr="00912847">
              <w:rPr>
                <w:b/>
                <w:bCs/>
              </w:rPr>
              <w:t>References</w:t>
            </w:r>
          </w:p>
          <w:p w14:paraId="3A8A0E65" w14:textId="77777777" w:rsidR="00DD1E1E" w:rsidRDefault="00DD1E1E" w:rsidP="00B47A80">
            <w:pPr>
              <w:pStyle w:val="TableText"/>
              <w:spacing w:after="0"/>
              <w:jc w:val="center"/>
            </w:pPr>
            <w:r w:rsidRPr="009A1DE7">
              <w:rPr>
                <w:i/>
                <w:iCs/>
              </w:rPr>
              <w:t>An asterisk (*) denotes an external resource.</w:t>
            </w:r>
          </w:p>
        </w:tc>
      </w:tr>
      <w:tr w:rsidR="00DD1E1E" w:rsidRPr="00EF587A" w14:paraId="21DBA4B1" w14:textId="77777777" w:rsidTr="009E00C1">
        <w:trPr>
          <w:cantSplit/>
          <w:trHeight w:val="428"/>
        </w:trPr>
        <w:tc>
          <w:tcPr>
            <w:tcW w:w="687" w:type="pct"/>
          </w:tcPr>
          <w:p w14:paraId="1AAA6243" w14:textId="0D567262" w:rsidR="00DD1E1E" w:rsidRPr="009A1DE7" w:rsidRDefault="00BB2D77" w:rsidP="00B47A80">
            <w:pPr>
              <w:pStyle w:val="TableText"/>
              <w:numPr>
                <w:ilvl w:val="0"/>
                <w:numId w:val="3"/>
              </w:numPr>
              <w:ind w:left="226" w:hanging="180"/>
            </w:pPr>
            <w:r>
              <w:t>Date Range: Last month’s range</w:t>
            </w:r>
          </w:p>
        </w:tc>
        <w:tc>
          <w:tcPr>
            <w:tcW w:w="626" w:type="pct"/>
            <w:gridSpan w:val="2"/>
          </w:tcPr>
          <w:p w14:paraId="15887497" w14:textId="7FFF045E" w:rsidR="00DD1E1E" w:rsidRPr="009A1DE7" w:rsidRDefault="009E00C1" w:rsidP="00B47A80">
            <w:pPr>
              <w:pStyle w:val="TableText"/>
            </w:pPr>
            <w:r>
              <w:t>Dental Chief / CAC</w:t>
            </w:r>
          </w:p>
        </w:tc>
        <w:tc>
          <w:tcPr>
            <w:tcW w:w="859" w:type="pct"/>
          </w:tcPr>
          <w:p w14:paraId="2EED8CF0" w14:textId="7142B8F9" w:rsidR="00DD1E1E" w:rsidRPr="009A1DE7" w:rsidRDefault="00BB2D77" w:rsidP="00B47A80">
            <w:pPr>
              <w:pStyle w:val="TableText"/>
            </w:pPr>
            <w:r>
              <w:t>Measure</w:t>
            </w:r>
            <w:r w:rsidRPr="00BB2D77">
              <w:t xml:space="preserve"> changes in oral health after appointments, which may indicate the benefit or effectiveness of treatment performed.</w:t>
            </w:r>
          </w:p>
        </w:tc>
        <w:tc>
          <w:tcPr>
            <w:tcW w:w="1277" w:type="pct"/>
          </w:tcPr>
          <w:p w14:paraId="09A72565" w14:textId="77777777" w:rsidR="009E00C1" w:rsidRDefault="009E00C1" w:rsidP="009E00C1">
            <w:pPr>
              <w:pStyle w:val="TableText"/>
              <w:keepNext/>
              <w:keepLines/>
              <w:numPr>
                <w:ilvl w:val="0"/>
                <w:numId w:val="2"/>
              </w:numPr>
              <w:ind w:left="232" w:hanging="180"/>
            </w:pPr>
            <w:r>
              <w:t>OHS tool is routinely used in order to populate OHS Report data.</w:t>
            </w:r>
          </w:p>
          <w:p w14:paraId="6C524C7C" w14:textId="77777777" w:rsidR="009E00C1" w:rsidRDefault="009E00C1" w:rsidP="009E00C1">
            <w:pPr>
              <w:pStyle w:val="TableText"/>
              <w:keepNext/>
              <w:keepLines/>
              <w:numPr>
                <w:ilvl w:val="0"/>
                <w:numId w:val="2"/>
              </w:numPr>
              <w:ind w:left="232" w:hanging="180"/>
            </w:pPr>
            <w:r>
              <w:t>Conduct chart audits for non-compliance.</w:t>
            </w:r>
          </w:p>
          <w:p w14:paraId="47851991" w14:textId="2C4D251D" w:rsidR="00DD1E1E" w:rsidRPr="009A1DE7" w:rsidRDefault="009E00C1" w:rsidP="009E00C1">
            <w:pPr>
              <w:pStyle w:val="TableText"/>
              <w:numPr>
                <w:ilvl w:val="0"/>
                <w:numId w:val="2"/>
              </w:numPr>
              <w:ind w:left="232" w:hanging="180"/>
            </w:pPr>
            <w:r>
              <w:t>Re-educate on process for completion of OHS metrics.</w:t>
            </w:r>
          </w:p>
        </w:tc>
        <w:tc>
          <w:tcPr>
            <w:tcW w:w="934" w:type="pct"/>
          </w:tcPr>
          <w:p w14:paraId="5832A71E" w14:textId="74C81940" w:rsidR="00DD1E1E" w:rsidRPr="00EF587A" w:rsidRDefault="009E00C1" w:rsidP="00B47A80">
            <w:pPr>
              <w:pStyle w:val="TableText"/>
            </w:pPr>
            <w:r>
              <w:t>If</w:t>
            </w:r>
            <w:r w:rsidRPr="003F4C43">
              <w:t xml:space="preserve"> the OHS </w:t>
            </w:r>
            <w:r>
              <w:t>metrics</w:t>
            </w:r>
            <w:r w:rsidRPr="003F4C43">
              <w:t xml:space="preserve"> </w:t>
            </w:r>
            <w:r>
              <w:t xml:space="preserve">are not completed </w:t>
            </w:r>
            <w:r w:rsidRPr="003F4C43">
              <w:t>at patient visits</w:t>
            </w:r>
            <w:r>
              <w:t>, and this</w:t>
            </w:r>
            <w:r w:rsidRPr="003F4C43">
              <w:t xml:space="preserve"> reports</w:t>
            </w:r>
            <w:r>
              <w:t xml:space="preserve"> is not run</w:t>
            </w:r>
            <w:r w:rsidRPr="003F4C43">
              <w:t>,</w:t>
            </w:r>
            <w:r>
              <w:t xml:space="preserve"> you cannot effectively identify the benefits of treatments performed</w:t>
            </w:r>
            <w:r w:rsidRPr="003F4C43">
              <w:t>.</w:t>
            </w:r>
          </w:p>
        </w:tc>
        <w:tc>
          <w:tcPr>
            <w:tcW w:w="617" w:type="pct"/>
          </w:tcPr>
          <w:p w14:paraId="00680DEF" w14:textId="77777777" w:rsidR="009E00C1" w:rsidRPr="009A1DE7" w:rsidRDefault="009E00C1" w:rsidP="009E00C1">
            <w:pPr>
              <w:pStyle w:val="TableText"/>
              <w:numPr>
                <w:ilvl w:val="0"/>
                <w:numId w:val="1"/>
              </w:numPr>
              <w:spacing w:after="0"/>
              <w:ind w:left="187" w:hanging="187"/>
            </w:pPr>
            <w:r w:rsidRPr="009A1DE7">
              <w:t>Clinical Records</w:t>
            </w:r>
          </w:p>
          <w:p w14:paraId="32EB4133" w14:textId="77777777" w:rsidR="009E00C1" w:rsidRPr="009A1DE7" w:rsidRDefault="009E00C1" w:rsidP="009E00C1">
            <w:pPr>
              <w:pStyle w:val="TableText"/>
              <w:numPr>
                <w:ilvl w:val="0"/>
                <w:numId w:val="1"/>
              </w:numPr>
              <w:spacing w:after="0"/>
              <w:ind w:left="187" w:hanging="187"/>
            </w:pPr>
            <w:r w:rsidRPr="009A1DE7">
              <w:t>Patient Records</w:t>
            </w:r>
          </w:p>
          <w:p w14:paraId="4170DD03" w14:textId="0630FDED" w:rsidR="00DD1E1E" w:rsidRPr="00EF587A" w:rsidRDefault="009E00C1" w:rsidP="009E00C1">
            <w:pPr>
              <w:pStyle w:val="TableText"/>
              <w:numPr>
                <w:ilvl w:val="0"/>
                <w:numId w:val="1"/>
              </w:numPr>
              <w:spacing w:after="0"/>
              <w:ind w:left="187" w:hanging="187"/>
            </w:pPr>
            <w:r w:rsidRPr="009A1DE7">
              <w:t>Reports Reference*</w:t>
            </w:r>
          </w:p>
        </w:tc>
      </w:tr>
    </w:tbl>
    <w:p w14:paraId="2EF0A84C" w14:textId="77777777" w:rsidR="009E00C1" w:rsidRDefault="009E00C1">
      <w:bookmarkStart w:id="409" w:name="_Data_Base_Backup"/>
      <w:bookmarkEnd w:id="409"/>
      <w:r>
        <w:rPr>
          <w:b/>
          <w:iCs/>
        </w:rPr>
        <w:br w:type="page"/>
      </w:r>
    </w:p>
    <w:tbl>
      <w:tblPr>
        <w:tblStyle w:val="TableGrid"/>
        <w:tblW w:w="13061"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828"/>
        <w:gridCol w:w="1601"/>
        <w:gridCol w:w="2244"/>
        <w:gridCol w:w="3336"/>
        <w:gridCol w:w="2521"/>
        <w:gridCol w:w="1531"/>
      </w:tblGrid>
      <w:tr w:rsidR="00725C0D" w:rsidRPr="00725C0D" w14:paraId="79F81725" w14:textId="77777777" w:rsidTr="00DD1E1E">
        <w:trPr>
          <w:cantSplit/>
          <w:trHeight w:val="189"/>
        </w:trPr>
        <w:tc>
          <w:tcPr>
            <w:tcW w:w="5000" w:type="pct"/>
            <w:gridSpan w:val="6"/>
            <w:shd w:val="clear" w:color="auto" w:fill="D9E2F3" w:themeFill="accent5" w:themeFillTint="33"/>
            <w:vAlign w:val="center"/>
          </w:tcPr>
          <w:p w14:paraId="72E5EE69" w14:textId="2474C685" w:rsidR="00725C0D" w:rsidRPr="00725C0D" w:rsidRDefault="00725C0D" w:rsidP="000F591C">
            <w:pPr>
              <w:pStyle w:val="Heading4"/>
            </w:pPr>
            <w:r w:rsidRPr="009D3E7C">
              <w:lastRenderedPageBreak/>
              <w:t>Data Base Backup</w:t>
            </w:r>
            <w:r w:rsidR="00B16C98">
              <w:tab/>
            </w:r>
            <w:hyperlink w:anchor="_Monthly_Checklist_1" w:history="1">
              <w:r w:rsidR="00B16C98" w:rsidRPr="00FF74B1">
                <w:rPr>
                  <w:rStyle w:val="Hyperlink"/>
                  <w:b w:val="0"/>
                  <w:bCs/>
                  <w:sz w:val="16"/>
                  <w:szCs w:val="18"/>
                </w:rPr>
                <w:t>Return to Monthly Checklist</w:t>
              </w:r>
            </w:hyperlink>
          </w:p>
        </w:tc>
      </w:tr>
      <w:tr w:rsidR="00725C0D" w:rsidRPr="00725C0D" w14:paraId="705F9FCE" w14:textId="77777777" w:rsidTr="00DD1E1E">
        <w:trPr>
          <w:cantSplit/>
          <w:trHeight w:val="654"/>
        </w:trPr>
        <w:tc>
          <w:tcPr>
            <w:tcW w:w="700" w:type="pct"/>
            <w:vAlign w:val="center"/>
          </w:tcPr>
          <w:p w14:paraId="16092D67" w14:textId="19C20FF2" w:rsidR="00725C0D" w:rsidRPr="00725C0D" w:rsidRDefault="00725C0D" w:rsidP="00725C0D">
            <w:pPr>
              <w:pStyle w:val="TableText"/>
              <w:jc w:val="center"/>
            </w:pPr>
            <w:r w:rsidRPr="00912847">
              <w:rPr>
                <w:b/>
                <w:bCs/>
              </w:rPr>
              <w:t>Suggested Report Filters</w:t>
            </w:r>
          </w:p>
        </w:tc>
        <w:tc>
          <w:tcPr>
            <w:tcW w:w="613" w:type="pct"/>
            <w:vAlign w:val="center"/>
          </w:tcPr>
          <w:p w14:paraId="791F773F" w14:textId="44EA8703" w:rsidR="00725C0D" w:rsidRPr="00725C0D" w:rsidRDefault="00725C0D" w:rsidP="00725C0D">
            <w:pPr>
              <w:pStyle w:val="TableText"/>
              <w:jc w:val="center"/>
            </w:pPr>
            <w:r w:rsidRPr="00912847">
              <w:rPr>
                <w:b/>
                <w:bCs/>
              </w:rPr>
              <w:t>Intent / Responsibility</w:t>
            </w:r>
          </w:p>
        </w:tc>
        <w:tc>
          <w:tcPr>
            <w:tcW w:w="859" w:type="pct"/>
            <w:vAlign w:val="center"/>
          </w:tcPr>
          <w:p w14:paraId="472E99E2" w14:textId="744A5E98" w:rsidR="00725C0D" w:rsidRPr="00725C0D" w:rsidRDefault="00725C0D" w:rsidP="00725C0D">
            <w:pPr>
              <w:pStyle w:val="TableText"/>
              <w:jc w:val="center"/>
            </w:pPr>
            <w:r w:rsidRPr="00912847">
              <w:rPr>
                <w:b/>
                <w:bCs/>
              </w:rPr>
              <w:t>Objective</w:t>
            </w:r>
          </w:p>
        </w:tc>
        <w:tc>
          <w:tcPr>
            <w:tcW w:w="1277" w:type="pct"/>
            <w:vAlign w:val="center"/>
          </w:tcPr>
          <w:p w14:paraId="61D23F74" w14:textId="641BEB9F" w:rsidR="00725C0D" w:rsidRPr="00725C0D" w:rsidRDefault="00725C0D" w:rsidP="00725C0D">
            <w:pPr>
              <w:pStyle w:val="TableText"/>
              <w:jc w:val="center"/>
            </w:pPr>
            <w:r w:rsidRPr="00912847">
              <w:rPr>
                <w:b/>
                <w:bCs/>
              </w:rPr>
              <w:t>Dependencies and Possible Actions or Corrections Needed to Meet Objective</w:t>
            </w:r>
          </w:p>
        </w:tc>
        <w:tc>
          <w:tcPr>
            <w:tcW w:w="965" w:type="pct"/>
            <w:vAlign w:val="center"/>
          </w:tcPr>
          <w:p w14:paraId="1E2B1D16" w14:textId="77777777" w:rsidR="00725C0D" w:rsidRPr="009A1DE7" w:rsidRDefault="00725C0D" w:rsidP="00725C0D">
            <w:pPr>
              <w:pStyle w:val="TableText"/>
              <w:jc w:val="center"/>
            </w:pPr>
            <w:r w:rsidRPr="00912847">
              <w:rPr>
                <w:b/>
                <w:bCs/>
              </w:rPr>
              <w:t>Warning</w:t>
            </w:r>
          </w:p>
          <w:p w14:paraId="59D92280" w14:textId="7707A52A" w:rsidR="00725C0D" w:rsidRPr="00725C0D" w:rsidRDefault="00725C0D" w:rsidP="00725C0D">
            <w:pPr>
              <w:pStyle w:val="TableText"/>
              <w:jc w:val="center"/>
            </w:pPr>
            <w:r w:rsidRPr="009A1DE7">
              <w:rPr>
                <w:i/>
                <w:iCs/>
              </w:rPr>
              <w:t>Not following the recommendations may yield the</w:t>
            </w:r>
            <w:r>
              <w:rPr>
                <w:i/>
                <w:iCs/>
              </w:rPr>
              <w:t>se</w:t>
            </w:r>
            <w:r w:rsidRPr="009A1DE7">
              <w:rPr>
                <w:i/>
                <w:iCs/>
              </w:rPr>
              <w:t xml:space="preserve"> unintended results.</w:t>
            </w:r>
          </w:p>
        </w:tc>
        <w:tc>
          <w:tcPr>
            <w:tcW w:w="586" w:type="pct"/>
            <w:vAlign w:val="center"/>
          </w:tcPr>
          <w:p w14:paraId="7B5823BB" w14:textId="77777777" w:rsidR="00725C0D" w:rsidRPr="009A1DE7" w:rsidRDefault="00725C0D" w:rsidP="00725C0D">
            <w:pPr>
              <w:pStyle w:val="TableText"/>
              <w:jc w:val="center"/>
            </w:pPr>
            <w:r w:rsidRPr="00912847">
              <w:rPr>
                <w:b/>
                <w:bCs/>
              </w:rPr>
              <w:t>References</w:t>
            </w:r>
          </w:p>
          <w:p w14:paraId="7A0D6EC6" w14:textId="7F5FB74A" w:rsidR="00725C0D" w:rsidRPr="00725C0D" w:rsidRDefault="00725C0D" w:rsidP="00725C0D">
            <w:pPr>
              <w:pStyle w:val="TableText"/>
              <w:jc w:val="center"/>
            </w:pPr>
            <w:r w:rsidRPr="009A1DE7">
              <w:rPr>
                <w:i/>
                <w:iCs/>
              </w:rPr>
              <w:t>An asterisk (*) denotes an external resource.</w:t>
            </w:r>
          </w:p>
        </w:tc>
      </w:tr>
      <w:tr w:rsidR="00725C0D" w:rsidRPr="00EE4BD6" w14:paraId="46D8802B" w14:textId="77777777" w:rsidTr="00DD1E1E">
        <w:trPr>
          <w:cantSplit/>
          <w:trHeight w:val="654"/>
        </w:trPr>
        <w:tc>
          <w:tcPr>
            <w:tcW w:w="700" w:type="pct"/>
          </w:tcPr>
          <w:p w14:paraId="0A929DF8" w14:textId="77777777" w:rsidR="00725C0D" w:rsidRPr="009D3E7C" w:rsidRDefault="00725C0D" w:rsidP="009F357F">
            <w:pPr>
              <w:pStyle w:val="TableText"/>
              <w:keepNext/>
              <w:keepLines/>
            </w:pPr>
            <w:r>
              <w:t>N/A</w:t>
            </w:r>
          </w:p>
        </w:tc>
        <w:tc>
          <w:tcPr>
            <w:tcW w:w="613" w:type="pct"/>
          </w:tcPr>
          <w:p w14:paraId="35C2E286" w14:textId="77777777" w:rsidR="00725C0D" w:rsidRPr="009A1DE7" w:rsidRDefault="00725C0D" w:rsidP="009F357F">
            <w:pPr>
              <w:pStyle w:val="TableText"/>
              <w:keepNext/>
              <w:keepLines/>
            </w:pPr>
            <w:r w:rsidRPr="001A2A9F">
              <w:t>CAC/IT</w:t>
            </w:r>
          </w:p>
        </w:tc>
        <w:tc>
          <w:tcPr>
            <w:tcW w:w="859" w:type="pct"/>
          </w:tcPr>
          <w:p w14:paraId="107907B3" w14:textId="77777777" w:rsidR="00725C0D" w:rsidRDefault="00725C0D" w:rsidP="009F357F">
            <w:pPr>
              <w:pStyle w:val="TableText"/>
              <w:keepNext/>
              <w:keepLines/>
            </w:pPr>
            <w:r>
              <w:t>The data in your Dentrix Enterprise database is one of your most valuable resources used in managing your dental business.</w:t>
            </w:r>
          </w:p>
          <w:p w14:paraId="0E29096A" w14:textId="77777777" w:rsidR="00725C0D" w:rsidRDefault="00725C0D" w:rsidP="009F357F">
            <w:pPr>
              <w:pStyle w:val="TableText"/>
              <w:keepNext/>
              <w:keepLines/>
            </w:pPr>
            <w:r>
              <w:t>In order to protect your investment, a disaster recovery plan needs to be developed, implemented,</w:t>
            </w:r>
          </w:p>
          <w:p w14:paraId="575AE180" w14:textId="77777777" w:rsidR="00725C0D" w:rsidRPr="009A1DE7" w:rsidRDefault="00725C0D" w:rsidP="009F357F">
            <w:pPr>
              <w:pStyle w:val="TableText"/>
              <w:keepNext/>
              <w:keepLines/>
            </w:pPr>
            <w:r>
              <w:t>maintained, and tested.</w:t>
            </w:r>
          </w:p>
        </w:tc>
        <w:tc>
          <w:tcPr>
            <w:tcW w:w="1277" w:type="pct"/>
          </w:tcPr>
          <w:p w14:paraId="5489DBF7" w14:textId="77777777" w:rsidR="00725C0D" w:rsidRDefault="00725C0D" w:rsidP="009F357F">
            <w:pPr>
              <w:pStyle w:val="TableText"/>
              <w:keepNext/>
              <w:keepLines/>
              <w:numPr>
                <w:ilvl w:val="0"/>
                <w:numId w:val="2"/>
              </w:numPr>
              <w:ind w:left="232" w:hanging="180"/>
            </w:pPr>
            <w:r w:rsidRPr="001A2A9F">
              <w:t>It is recommended that your DBA should be a MCITP Database Administrator (Microsoft Certified IT)</w:t>
            </w:r>
          </w:p>
          <w:p w14:paraId="47C88539" w14:textId="77777777" w:rsidR="00725C0D" w:rsidRPr="009A1DE7" w:rsidRDefault="00725C0D" w:rsidP="009F357F">
            <w:pPr>
              <w:pStyle w:val="TableText"/>
              <w:keepNext/>
              <w:keepLines/>
              <w:numPr>
                <w:ilvl w:val="0"/>
                <w:numId w:val="2"/>
              </w:numPr>
              <w:ind w:left="232" w:hanging="180"/>
            </w:pPr>
            <w:r w:rsidRPr="001A2A9F">
              <w:t>Professional Database Administrator) or MCM (Microsoft Certified Master) for MS SQL Server. A trained</w:t>
            </w:r>
            <w:r>
              <w:t xml:space="preserve"> </w:t>
            </w:r>
            <w:r w:rsidRPr="001A2A9F">
              <w:t>and qualified MCM or MCITP Database Administrator will already know how to accomplish the tasks</w:t>
            </w:r>
          </w:p>
        </w:tc>
        <w:tc>
          <w:tcPr>
            <w:tcW w:w="965" w:type="pct"/>
          </w:tcPr>
          <w:p w14:paraId="72ABA429" w14:textId="77777777" w:rsidR="00725C0D" w:rsidRPr="00EF587A" w:rsidRDefault="00725C0D" w:rsidP="009F357F">
            <w:pPr>
              <w:pStyle w:val="TableText"/>
              <w:keepNext/>
              <w:keepLines/>
            </w:pPr>
            <w:r>
              <w:t>Not having a data backup can be an extremely costly event in a situation where there is a hardware malfunction with the server, causing potentially significant data loss and down time.</w:t>
            </w:r>
          </w:p>
        </w:tc>
        <w:tc>
          <w:tcPr>
            <w:tcW w:w="586" w:type="pct"/>
          </w:tcPr>
          <w:p w14:paraId="3DC5AB89" w14:textId="77777777" w:rsidR="00725C0D" w:rsidRPr="009D3E7C" w:rsidRDefault="00725C0D" w:rsidP="009F357F">
            <w:pPr>
              <w:pStyle w:val="TableText"/>
              <w:keepNext/>
              <w:keepLines/>
            </w:pPr>
            <w:r>
              <w:t>N/A</w:t>
            </w:r>
          </w:p>
        </w:tc>
      </w:tr>
    </w:tbl>
    <w:p w14:paraId="7D07C868" w14:textId="77777777" w:rsidR="000958C8" w:rsidRDefault="000958C8">
      <w:r>
        <w:rPr>
          <w:b/>
          <w:iCs/>
        </w:rPr>
        <w:br w:type="page"/>
      </w:r>
    </w:p>
    <w:tbl>
      <w:tblPr>
        <w:tblStyle w:val="TableGrid"/>
        <w:tblW w:w="129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1732"/>
        <w:gridCol w:w="1602"/>
        <w:gridCol w:w="3409"/>
        <w:gridCol w:w="2522"/>
        <w:gridCol w:w="2159"/>
        <w:gridCol w:w="1537"/>
      </w:tblGrid>
      <w:tr w:rsidR="00725C0D" w:rsidRPr="00725C0D" w14:paraId="2A8BF34E" w14:textId="77777777" w:rsidTr="000958C8">
        <w:trPr>
          <w:cantSplit/>
          <w:trHeight w:val="297"/>
        </w:trPr>
        <w:tc>
          <w:tcPr>
            <w:tcW w:w="5000" w:type="pct"/>
            <w:gridSpan w:val="6"/>
            <w:shd w:val="clear" w:color="auto" w:fill="D9E2F3" w:themeFill="accent5" w:themeFillTint="33"/>
            <w:vAlign w:val="center"/>
          </w:tcPr>
          <w:p w14:paraId="35C03A5E" w14:textId="685EBAA0" w:rsidR="00725C0D" w:rsidRPr="00725C0D" w:rsidRDefault="00725C0D" w:rsidP="000F591C">
            <w:pPr>
              <w:pStyle w:val="Heading4"/>
            </w:pPr>
            <w:bookmarkStart w:id="410" w:name="_Month_End_Update"/>
            <w:bookmarkEnd w:id="410"/>
            <w:r w:rsidRPr="009D3E7C">
              <w:lastRenderedPageBreak/>
              <w:t>Month End Update</w:t>
            </w:r>
            <w:r w:rsidR="00F17BA0">
              <w:tab/>
            </w:r>
            <w:hyperlink w:anchor="_Monthly_Checklist_1" w:history="1">
              <w:r w:rsidR="00FF74B1" w:rsidRPr="00FF74B1">
                <w:rPr>
                  <w:rStyle w:val="Hyperlink"/>
                  <w:b w:val="0"/>
                  <w:bCs/>
                  <w:sz w:val="16"/>
                  <w:szCs w:val="18"/>
                </w:rPr>
                <w:t>Return to Monthly Checklist</w:t>
              </w:r>
            </w:hyperlink>
          </w:p>
        </w:tc>
      </w:tr>
      <w:tr w:rsidR="000958C8" w:rsidRPr="00725C0D" w14:paraId="61CE81A1" w14:textId="77777777" w:rsidTr="000958C8">
        <w:trPr>
          <w:cantSplit/>
          <w:trHeight w:val="1246"/>
        </w:trPr>
        <w:tc>
          <w:tcPr>
            <w:tcW w:w="668" w:type="pct"/>
            <w:vAlign w:val="center"/>
          </w:tcPr>
          <w:p w14:paraId="1D7382CC" w14:textId="7D9554FD" w:rsidR="00725C0D" w:rsidRPr="00725C0D" w:rsidRDefault="00725C0D" w:rsidP="00725C0D">
            <w:pPr>
              <w:pStyle w:val="TableText"/>
              <w:jc w:val="center"/>
            </w:pPr>
            <w:r w:rsidRPr="00912847">
              <w:rPr>
                <w:b/>
                <w:bCs/>
              </w:rPr>
              <w:t>Suggested Report Filters</w:t>
            </w:r>
          </w:p>
        </w:tc>
        <w:tc>
          <w:tcPr>
            <w:tcW w:w="618" w:type="pct"/>
            <w:vAlign w:val="center"/>
          </w:tcPr>
          <w:p w14:paraId="736D8C8B" w14:textId="64EA6365" w:rsidR="00725C0D" w:rsidRPr="00725C0D" w:rsidRDefault="00725C0D" w:rsidP="00725C0D">
            <w:pPr>
              <w:pStyle w:val="TableText"/>
              <w:jc w:val="center"/>
            </w:pPr>
            <w:r w:rsidRPr="00912847">
              <w:rPr>
                <w:b/>
                <w:bCs/>
              </w:rPr>
              <w:t>Intent / Responsibility</w:t>
            </w:r>
          </w:p>
        </w:tc>
        <w:tc>
          <w:tcPr>
            <w:tcW w:w="1315" w:type="pct"/>
            <w:vAlign w:val="center"/>
          </w:tcPr>
          <w:p w14:paraId="4CB5B8CA" w14:textId="0EF412B4" w:rsidR="00725C0D" w:rsidRPr="00725C0D" w:rsidRDefault="00725C0D" w:rsidP="00725C0D">
            <w:pPr>
              <w:pStyle w:val="TableText"/>
              <w:jc w:val="center"/>
            </w:pPr>
            <w:r w:rsidRPr="00912847">
              <w:rPr>
                <w:b/>
                <w:bCs/>
              </w:rPr>
              <w:t>Objective</w:t>
            </w:r>
          </w:p>
        </w:tc>
        <w:tc>
          <w:tcPr>
            <w:tcW w:w="973" w:type="pct"/>
            <w:vAlign w:val="center"/>
          </w:tcPr>
          <w:p w14:paraId="727F06CE" w14:textId="447E4447" w:rsidR="00725C0D" w:rsidRPr="00725C0D" w:rsidRDefault="00725C0D" w:rsidP="00725C0D">
            <w:pPr>
              <w:pStyle w:val="TableText"/>
              <w:jc w:val="center"/>
            </w:pPr>
            <w:r w:rsidRPr="00912847">
              <w:rPr>
                <w:b/>
                <w:bCs/>
              </w:rPr>
              <w:t>Dependencies and Possible Actions or Corrections Needed to Meet Objective</w:t>
            </w:r>
          </w:p>
        </w:tc>
        <w:tc>
          <w:tcPr>
            <w:tcW w:w="833" w:type="pct"/>
            <w:vAlign w:val="center"/>
          </w:tcPr>
          <w:p w14:paraId="3B0E3D2C" w14:textId="77777777" w:rsidR="00725C0D" w:rsidRPr="009A1DE7" w:rsidRDefault="00725C0D" w:rsidP="00725C0D">
            <w:pPr>
              <w:pStyle w:val="TableText"/>
              <w:jc w:val="center"/>
            </w:pPr>
            <w:r w:rsidRPr="00912847">
              <w:rPr>
                <w:b/>
                <w:bCs/>
              </w:rPr>
              <w:t>Warning</w:t>
            </w:r>
          </w:p>
          <w:p w14:paraId="0E34FC7C" w14:textId="2C4D919C" w:rsidR="00725C0D" w:rsidRPr="00725C0D" w:rsidRDefault="00725C0D" w:rsidP="00725C0D">
            <w:pPr>
              <w:pStyle w:val="TableText"/>
              <w:jc w:val="center"/>
            </w:pPr>
            <w:r w:rsidRPr="009A1DE7">
              <w:rPr>
                <w:i/>
                <w:iCs/>
              </w:rPr>
              <w:t>Not following the recommendations may yield the</w:t>
            </w:r>
            <w:r>
              <w:rPr>
                <w:i/>
                <w:iCs/>
              </w:rPr>
              <w:t>se</w:t>
            </w:r>
            <w:r w:rsidRPr="009A1DE7">
              <w:rPr>
                <w:i/>
                <w:iCs/>
              </w:rPr>
              <w:t xml:space="preserve"> unintended results.</w:t>
            </w:r>
          </w:p>
        </w:tc>
        <w:tc>
          <w:tcPr>
            <w:tcW w:w="593" w:type="pct"/>
            <w:vAlign w:val="center"/>
          </w:tcPr>
          <w:p w14:paraId="36D7D23B" w14:textId="77777777" w:rsidR="00725C0D" w:rsidRPr="009A1DE7" w:rsidRDefault="00725C0D" w:rsidP="00725C0D">
            <w:pPr>
              <w:pStyle w:val="TableText"/>
              <w:jc w:val="center"/>
            </w:pPr>
            <w:r w:rsidRPr="00912847">
              <w:rPr>
                <w:b/>
                <w:bCs/>
              </w:rPr>
              <w:t>References</w:t>
            </w:r>
          </w:p>
          <w:p w14:paraId="21C6C70A" w14:textId="10A902FE" w:rsidR="00725C0D" w:rsidRPr="00725C0D" w:rsidRDefault="00725C0D" w:rsidP="00725C0D">
            <w:pPr>
              <w:pStyle w:val="TableText"/>
              <w:jc w:val="center"/>
            </w:pPr>
            <w:r w:rsidRPr="009A1DE7">
              <w:rPr>
                <w:i/>
                <w:iCs/>
              </w:rPr>
              <w:t>An asterisk (*) denotes an external resource.</w:t>
            </w:r>
          </w:p>
        </w:tc>
      </w:tr>
      <w:tr w:rsidR="000958C8" w:rsidRPr="00EE4BD6" w14:paraId="2CEEC498" w14:textId="77777777" w:rsidTr="000958C8">
        <w:trPr>
          <w:cantSplit/>
          <w:trHeight w:val="1246"/>
        </w:trPr>
        <w:tc>
          <w:tcPr>
            <w:tcW w:w="668" w:type="pct"/>
          </w:tcPr>
          <w:p w14:paraId="11B8215B" w14:textId="77777777" w:rsidR="00725C0D" w:rsidRPr="009D3E7C" w:rsidRDefault="00725C0D" w:rsidP="008B5B9E">
            <w:pPr>
              <w:pStyle w:val="TableText"/>
            </w:pPr>
            <w:r>
              <w:t>N/A</w:t>
            </w:r>
          </w:p>
        </w:tc>
        <w:tc>
          <w:tcPr>
            <w:tcW w:w="618" w:type="pct"/>
          </w:tcPr>
          <w:p w14:paraId="5FE455EE" w14:textId="77777777" w:rsidR="00725C0D" w:rsidRPr="009A1DE7" w:rsidRDefault="00725C0D" w:rsidP="008B5B9E">
            <w:pPr>
              <w:pStyle w:val="TableText"/>
            </w:pPr>
            <w:r w:rsidRPr="00C4444C">
              <w:t>CAC / Billing Manager</w:t>
            </w:r>
          </w:p>
        </w:tc>
        <w:tc>
          <w:tcPr>
            <w:tcW w:w="1315" w:type="pct"/>
          </w:tcPr>
          <w:p w14:paraId="55C17C4D" w14:textId="77777777" w:rsidR="00725C0D" w:rsidRDefault="00725C0D" w:rsidP="008B5B9E">
            <w:pPr>
              <w:pStyle w:val="TableText"/>
            </w:pPr>
            <w:r>
              <w:t>Running the month-end update is a crucial management routine. The month-end update completes many maintenance tasks important to getting accurate patient data quickly:</w:t>
            </w:r>
          </w:p>
          <w:p w14:paraId="7ACA84F0" w14:textId="77777777" w:rsidR="00725C0D" w:rsidRDefault="00725C0D" w:rsidP="008B5B9E">
            <w:pPr>
              <w:pStyle w:val="TableText"/>
            </w:pPr>
            <w:r>
              <w:t>Aging account balances - Close each month so that account balances will not remain current on your aging reports.</w:t>
            </w:r>
          </w:p>
          <w:p w14:paraId="465AEBC4" w14:textId="77777777" w:rsidR="00725C0D" w:rsidRDefault="00725C0D" w:rsidP="008B5B9E">
            <w:pPr>
              <w:pStyle w:val="TableText"/>
            </w:pPr>
            <w:r>
              <w:t>Moving procedures to history - All procedures posted during the month being closed will be moved into history, locking out changes and deletions.</w:t>
            </w:r>
          </w:p>
          <w:p w14:paraId="29138C5B" w14:textId="77777777" w:rsidR="00725C0D" w:rsidRDefault="00725C0D" w:rsidP="008B5B9E">
            <w:pPr>
              <w:pStyle w:val="TableText"/>
            </w:pPr>
            <w:r>
              <w:t>Creating totals records - To speed report generation, Dentrix Enterprise creates a monthly totals record each time a month is closed. Without this monthly record, Dentrix Enterprise must calculate analysis information each time a report is generated, which can greatly slow the report generation process.</w:t>
            </w:r>
          </w:p>
          <w:p w14:paraId="6DFC43D7" w14:textId="77777777" w:rsidR="00725C0D" w:rsidRDefault="00725C0D" w:rsidP="008B5B9E">
            <w:pPr>
              <w:pStyle w:val="TableText"/>
            </w:pPr>
            <w:r>
              <w:t>Resetting insurance benefits (optional) - For all patients who have dental insurance coverage that resets during the month being updated, the benefits used and deductible applied amounts will be reset.</w:t>
            </w:r>
          </w:p>
          <w:p w14:paraId="01C38592" w14:textId="77777777" w:rsidR="00725C0D" w:rsidRPr="009A1DE7" w:rsidRDefault="00725C0D" w:rsidP="008B5B9E">
            <w:pPr>
              <w:pStyle w:val="TableText"/>
            </w:pPr>
            <w:r>
              <w:t>*can be done independent of the month end if needed</w:t>
            </w:r>
          </w:p>
        </w:tc>
        <w:tc>
          <w:tcPr>
            <w:tcW w:w="973" w:type="pct"/>
          </w:tcPr>
          <w:p w14:paraId="44E7EC42" w14:textId="77777777" w:rsidR="00725C0D" w:rsidRDefault="00725C0D" w:rsidP="008B5B9E">
            <w:pPr>
              <w:pStyle w:val="TableText"/>
              <w:numPr>
                <w:ilvl w:val="0"/>
                <w:numId w:val="2"/>
              </w:numPr>
              <w:ind w:left="232" w:hanging="180"/>
            </w:pPr>
            <w:r w:rsidRPr="00C4444C">
              <w:t>You cannot close out the current month. You must wait until the first day of the next month before Dentrix Enterprise will allow you to close out that month (for example, you cannot close out the month of June until the first day of July).</w:t>
            </w:r>
          </w:p>
          <w:p w14:paraId="105F7EFE" w14:textId="77777777" w:rsidR="00725C0D" w:rsidRDefault="00725C0D" w:rsidP="008B5B9E">
            <w:pPr>
              <w:pStyle w:val="TableText"/>
              <w:numPr>
                <w:ilvl w:val="0"/>
                <w:numId w:val="2"/>
              </w:numPr>
              <w:ind w:left="232" w:hanging="180"/>
            </w:pPr>
            <w:r w:rsidRPr="00C4444C">
              <w:t xml:space="preserve">Everyone must be logged out of </w:t>
            </w:r>
            <w:r>
              <w:t xml:space="preserve">Dentrix </w:t>
            </w:r>
            <w:r w:rsidRPr="00C4444C">
              <w:t>Enterprise</w:t>
            </w:r>
          </w:p>
          <w:p w14:paraId="3A9786AE" w14:textId="77777777" w:rsidR="00725C0D" w:rsidRPr="009A1DE7" w:rsidRDefault="00725C0D" w:rsidP="008B5B9E">
            <w:pPr>
              <w:pStyle w:val="TableText"/>
              <w:numPr>
                <w:ilvl w:val="0"/>
                <w:numId w:val="2"/>
              </w:numPr>
              <w:ind w:left="232" w:hanging="180"/>
            </w:pPr>
            <w:r w:rsidRPr="00C4444C">
              <w:t>The process includes enabling single user mode, processing the month end update (run time varies based on amount of data), then disabling single user mode.</w:t>
            </w:r>
          </w:p>
        </w:tc>
        <w:tc>
          <w:tcPr>
            <w:tcW w:w="833" w:type="pct"/>
          </w:tcPr>
          <w:p w14:paraId="621681B9" w14:textId="77777777" w:rsidR="00725C0D" w:rsidRPr="00EF587A" w:rsidRDefault="00725C0D" w:rsidP="008B5B9E">
            <w:pPr>
              <w:pStyle w:val="TableText"/>
            </w:pPr>
            <w:r w:rsidRPr="006375CF">
              <w:t>Without a routine process for the Month End Update, MTD/YTD totals will be inaccurate, insurance benefits will not reset, and ledger items are not locked and are able to be deleted or modified with correct security level.</w:t>
            </w:r>
          </w:p>
        </w:tc>
        <w:tc>
          <w:tcPr>
            <w:tcW w:w="593" w:type="pct"/>
          </w:tcPr>
          <w:p w14:paraId="147B7F1C" w14:textId="77777777" w:rsidR="00725C0D" w:rsidRPr="009D3E7C" w:rsidRDefault="00725C0D" w:rsidP="008B5B9E">
            <w:pPr>
              <w:pStyle w:val="TableText"/>
            </w:pPr>
            <w:r>
              <w:t>N/A</w:t>
            </w:r>
          </w:p>
        </w:tc>
      </w:tr>
    </w:tbl>
    <w:p w14:paraId="3C031EF1" w14:textId="77777777" w:rsidR="00D26D39" w:rsidRDefault="00D26D39" w:rsidP="00A10575">
      <w:pPr>
        <w:pStyle w:val="BodyText"/>
      </w:pPr>
      <w:r>
        <w:br w:type="page"/>
      </w:r>
    </w:p>
    <w:p w14:paraId="3A2C9847" w14:textId="04B55824" w:rsidR="00DF18AF" w:rsidRDefault="00DF18AF" w:rsidP="00DF18AF">
      <w:pPr>
        <w:pStyle w:val="Heading2"/>
      </w:pPr>
      <w:bookmarkStart w:id="411" w:name="_Toc166834442"/>
      <w:r>
        <w:lastRenderedPageBreak/>
        <w:t>Administrative Reports Checklist</w:t>
      </w:r>
      <w:bookmarkEnd w:id="411"/>
    </w:p>
    <w:p w14:paraId="46760F0F" w14:textId="5BDAAFDC" w:rsidR="00DF18AF" w:rsidRDefault="00DF18AF" w:rsidP="00DF18AF">
      <w:r w:rsidRPr="00972BD0">
        <w:t xml:space="preserve">The </w:t>
      </w:r>
      <w:r>
        <w:t>Administrative Reports checklist</w:t>
      </w:r>
      <w:r w:rsidRPr="00972BD0">
        <w:t xml:space="preserve"> </w:t>
      </w:r>
      <w:r>
        <w:t xml:space="preserve">is </w:t>
      </w:r>
      <w:r w:rsidRPr="00972BD0">
        <w:t>a comprehensive list of checks and balances to ensure the accuracy of entries recorded within Dentrix Enterprise</w:t>
      </w:r>
      <w:r>
        <w:t xml:space="preserve"> and</w:t>
      </w:r>
      <w:r w:rsidRPr="00972BD0">
        <w:t xml:space="preserve"> allow </w:t>
      </w:r>
      <w:r>
        <w:t xml:space="preserve">the </w:t>
      </w:r>
      <w:r w:rsidRPr="00972BD0">
        <w:t>tracking and review</w:t>
      </w:r>
      <w:r>
        <w:t>ing</w:t>
      </w:r>
      <w:r w:rsidRPr="00972BD0">
        <w:t xml:space="preserve"> of internal key performance indicators.</w:t>
      </w:r>
      <w:r>
        <w:t xml:space="preserve"> Each table of the checklist provides details for performing a task. To complete the task’s objective, be aware of any</w:t>
      </w:r>
      <w:r w:rsidRPr="00912847">
        <w:t xml:space="preserve"> dependencies</w:t>
      </w:r>
      <w:r>
        <w:t>, and take actions or make</w:t>
      </w:r>
      <w:r w:rsidRPr="00912847">
        <w:t xml:space="preserve"> corrections if</w:t>
      </w:r>
      <w:r>
        <w:t xml:space="preserve"> </w:t>
      </w:r>
      <w:r w:rsidRPr="00912847">
        <w:t>the report</w:t>
      </w:r>
      <w:r>
        <w:t xml:space="preserve"> or action</w:t>
      </w:r>
      <w:r w:rsidRPr="00912847">
        <w:t xml:space="preserve"> does not yield the expected result. </w:t>
      </w:r>
      <w:r>
        <w:t>To record the task’s completion,</w:t>
      </w:r>
      <w:r w:rsidRPr="00912847">
        <w:t xml:space="preserve"> enter the review date, your name, recommended actions, target date</w:t>
      </w:r>
      <w:r>
        <w:t>,</w:t>
      </w:r>
      <w:r w:rsidRPr="00912847">
        <w:t xml:space="preserve"> and completion date.</w:t>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D748CA" w:rsidRPr="00EE4BD6" w14:paraId="620FD3EA" w14:textId="77777777" w:rsidTr="00A10575">
        <w:trPr>
          <w:cantSplit/>
          <w:trHeight w:val="135"/>
          <w:tblHeader/>
        </w:trPr>
        <w:tc>
          <w:tcPr>
            <w:tcW w:w="5000" w:type="pct"/>
            <w:gridSpan w:val="3"/>
            <w:shd w:val="clear" w:color="auto" w:fill="D5DCE4" w:themeFill="text2" w:themeFillTint="33"/>
            <w:vAlign w:val="center"/>
          </w:tcPr>
          <w:p w14:paraId="365E7DE0" w14:textId="1C6A29D1" w:rsidR="00D748CA" w:rsidRPr="00912847" w:rsidRDefault="00302CB9" w:rsidP="00213055">
            <w:pPr>
              <w:pStyle w:val="Heading4"/>
            </w:pPr>
            <w:bookmarkStart w:id="412" w:name="_Patient_List"/>
            <w:bookmarkEnd w:id="412"/>
            <w:r>
              <w:t>Patient List</w:t>
            </w:r>
            <w:r w:rsidR="00F17BA0">
              <w:tab/>
            </w:r>
            <w:hyperlink w:anchor="_Daily,_Weekly,_Monthly" w:history="1">
              <w:r w:rsidR="00FF74B1" w:rsidRPr="00FF74B1">
                <w:rPr>
                  <w:rStyle w:val="Hyperlink"/>
                  <w:b w:val="0"/>
                  <w:bCs/>
                  <w:sz w:val="16"/>
                  <w:szCs w:val="18"/>
                </w:rPr>
                <w:t>Return to Administrative Reports Checklist</w:t>
              </w:r>
            </w:hyperlink>
          </w:p>
        </w:tc>
      </w:tr>
      <w:tr w:rsidR="00D748CA" w:rsidRPr="00EE4BD6" w14:paraId="6B30B12D" w14:textId="77777777" w:rsidTr="00A10575">
        <w:trPr>
          <w:cantSplit/>
          <w:trHeight w:val="595"/>
          <w:tblHeader/>
        </w:trPr>
        <w:tc>
          <w:tcPr>
            <w:tcW w:w="1941" w:type="pct"/>
            <w:vAlign w:val="center"/>
          </w:tcPr>
          <w:p w14:paraId="6500C1D1" w14:textId="77777777" w:rsidR="00D748CA" w:rsidRPr="00912847" w:rsidRDefault="00D748CA" w:rsidP="009F357F">
            <w:pPr>
              <w:pStyle w:val="TableText"/>
              <w:jc w:val="center"/>
              <w:rPr>
                <w:b/>
                <w:bCs/>
              </w:rPr>
            </w:pPr>
            <w:r w:rsidRPr="00912847">
              <w:rPr>
                <w:b/>
                <w:bCs/>
              </w:rPr>
              <w:t>Objective</w:t>
            </w:r>
          </w:p>
        </w:tc>
        <w:tc>
          <w:tcPr>
            <w:tcW w:w="1528" w:type="pct"/>
            <w:vAlign w:val="center"/>
          </w:tcPr>
          <w:p w14:paraId="69186E01" w14:textId="77777777" w:rsidR="00D748CA" w:rsidRPr="00912847" w:rsidRDefault="00D748CA" w:rsidP="009F357F">
            <w:pPr>
              <w:pStyle w:val="TableText"/>
              <w:jc w:val="center"/>
              <w:rPr>
                <w:b/>
                <w:bCs/>
              </w:rPr>
            </w:pPr>
            <w:r w:rsidRPr="00912847">
              <w:rPr>
                <w:b/>
                <w:bCs/>
              </w:rPr>
              <w:t>Dependencies and Possible Actions or Corrections Needed to Meet Objective</w:t>
            </w:r>
          </w:p>
        </w:tc>
        <w:tc>
          <w:tcPr>
            <w:tcW w:w="1531" w:type="pct"/>
            <w:vAlign w:val="center"/>
          </w:tcPr>
          <w:p w14:paraId="6940F899" w14:textId="77777777" w:rsidR="00D748CA" w:rsidRPr="009A1DE7" w:rsidRDefault="00D748CA" w:rsidP="009F357F">
            <w:pPr>
              <w:pStyle w:val="TableText"/>
              <w:jc w:val="center"/>
            </w:pPr>
            <w:r w:rsidRPr="00912847">
              <w:rPr>
                <w:b/>
                <w:bCs/>
              </w:rPr>
              <w:t>Warning</w:t>
            </w:r>
          </w:p>
          <w:p w14:paraId="7C8DF66C" w14:textId="77777777" w:rsidR="00D748CA" w:rsidRPr="009A1DE7" w:rsidRDefault="00D748CA" w:rsidP="009F357F">
            <w:pPr>
              <w:pStyle w:val="TableText"/>
              <w:jc w:val="center"/>
            </w:pPr>
            <w:r w:rsidRPr="009A1DE7">
              <w:rPr>
                <w:i/>
                <w:iCs/>
              </w:rPr>
              <w:t>Not following the recommendations may yield the</w:t>
            </w:r>
            <w:r>
              <w:rPr>
                <w:i/>
                <w:iCs/>
              </w:rPr>
              <w:t>se</w:t>
            </w:r>
            <w:r w:rsidRPr="009A1DE7">
              <w:rPr>
                <w:i/>
                <w:iCs/>
              </w:rPr>
              <w:t xml:space="preserve"> unintended results.</w:t>
            </w:r>
          </w:p>
        </w:tc>
      </w:tr>
      <w:tr w:rsidR="00D748CA" w:rsidRPr="00EE4BD6" w14:paraId="01D17259" w14:textId="77777777" w:rsidTr="00A10575">
        <w:trPr>
          <w:cantSplit/>
          <w:trHeight w:val="428"/>
        </w:trPr>
        <w:tc>
          <w:tcPr>
            <w:tcW w:w="1941" w:type="pct"/>
          </w:tcPr>
          <w:p w14:paraId="09B7B9FE" w14:textId="77777777" w:rsidR="00D748CA" w:rsidRPr="009A1DE7" w:rsidRDefault="00D748CA" w:rsidP="009F357F">
            <w:pPr>
              <w:pStyle w:val="TableText"/>
            </w:pPr>
            <w:r w:rsidRPr="006375CF">
              <w:t>To be used to query the database based on many different filters and data output.  This is a List of patients and not a "totaling" type report.</w:t>
            </w:r>
          </w:p>
        </w:tc>
        <w:tc>
          <w:tcPr>
            <w:tcW w:w="1528" w:type="pct"/>
          </w:tcPr>
          <w:p w14:paraId="6866F23A" w14:textId="77777777" w:rsidR="00D748CA" w:rsidRPr="009A1DE7" w:rsidRDefault="00D748CA" w:rsidP="009F357F">
            <w:pPr>
              <w:pStyle w:val="TableText"/>
              <w:numPr>
                <w:ilvl w:val="0"/>
                <w:numId w:val="2"/>
              </w:numPr>
              <w:ind w:left="232" w:hanging="180"/>
            </w:pPr>
            <w:r w:rsidRPr="006375CF">
              <w:t>Consistently following the daily, weekly monthly check list to ensure Dentrix Enterprise data is accurate.</w:t>
            </w:r>
          </w:p>
        </w:tc>
        <w:tc>
          <w:tcPr>
            <w:tcW w:w="1531" w:type="pct"/>
          </w:tcPr>
          <w:p w14:paraId="50679AAC" w14:textId="77777777" w:rsidR="00D748CA" w:rsidRPr="00EF587A" w:rsidRDefault="00D748CA" w:rsidP="009F357F">
            <w:pPr>
              <w:pStyle w:val="TableText"/>
            </w:pPr>
            <w:r w:rsidRPr="006375CF">
              <w:t>Data integrity will not be optimized without routine review of this report.  The simple concept of "garbage in garbage out" applies here to the level of accuracy, knowledge, and system outcomes.</w:t>
            </w:r>
          </w:p>
        </w:tc>
      </w:tr>
      <w:tr w:rsidR="00D748CA" w:rsidRPr="008A47C3" w14:paraId="2E5A3753" w14:textId="77777777" w:rsidTr="00A10575">
        <w:trPr>
          <w:cantSplit/>
          <w:trHeight w:val="24"/>
        </w:trPr>
        <w:tc>
          <w:tcPr>
            <w:tcW w:w="5000" w:type="pct"/>
            <w:gridSpan w:val="3"/>
            <w:shd w:val="clear" w:color="auto" w:fill="D5DCE4" w:themeFill="text2" w:themeFillTint="33"/>
            <w:vAlign w:val="center"/>
          </w:tcPr>
          <w:p w14:paraId="32E5A0E5" w14:textId="48FE8885" w:rsidR="00D748CA" w:rsidRPr="008A47C3" w:rsidRDefault="00D748CA" w:rsidP="00213055">
            <w:pPr>
              <w:pStyle w:val="Heading4"/>
            </w:pPr>
            <w:bookmarkStart w:id="413" w:name="_Appointment_Statistics"/>
            <w:bookmarkEnd w:id="413"/>
            <w:r w:rsidRPr="00941C21">
              <w:t>Appointment Statistics</w:t>
            </w:r>
            <w:r w:rsidR="00F17BA0">
              <w:tab/>
            </w:r>
            <w:hyperlink w:anchor="_Daily,_Weekly,_Monthly" w:history="1">
              <w:r w:rsidR="00FF74B1" w:rsidRPr="00FF74B1">
                <w:rPr>
                  <w:rStyle w:val="Hyperlink"/>
                  <w:b w:val="0"/>
                  <w:bCs/>
                  <w:sz w:val="16"/>
                  <w:szCs w:val="18"/>
                </w:rPr>
                <w:t>Return to Administrative Reports Checklist</w:t>
              </w:r>
            </w:hyperlink>
          </w:p>
        </w:tc>
      </w:tr>
      <w:tr w:rsidR="00D748CA" w:rsidRPr="008A47C3" w14:paraId="3C6E8F04" w14:textId="77777777" w:rsidTr="00A10575">
        <w:trPr>
          <w:cantSplit/>
          <w:trHeight w:val="428"/>
        </w:trPr>
        <w:tc>
          <w:tcPr>
            <w:tcW w:w="1941" w:type="pct"/>
            <w:vAlign w:val="center"/>
          </w:tcPr>
          <w:p w14:paraId="3CBF94E9" w14:textId="3AED7460" w:rsidR="00D748CA" w:rsidRPr="008A47C3" w:rsidRDefault="00D748CA" w:rsidP="00D748CA">
            <w:pPr>
              <w:pStyle w:val="TableText"/>
              <w:jc w:val="center"/>
            </w:pPr>
            <w:r w:rsidRPr="00912847">
              <w:rPr>
                <w:b/>
                <w:bCs/>
              </w:rPr>
              <w:t>Objective</w:t>
            </w:r>
          </w:p>
        </w:tc>
        <w:tc>
          <w:tcPr>
            <w:tcW w:w="1528" w:type="pct"/>
            <w:vAlign w:val="center"/>
          </w:tcPr>
          <w:p w14:paraId="1CC08D6E" w14:textId="42966343" w:rsidR="00D748CA" w:rsidRPr="008A47C3" w:rsidRDefault="00D748CA" w:rsidP="00D748CA">
            <w:pPr>
              <w:pStyle w:val="TableText"/>
              <w:jc w:val="center"/>
            </w:pPr>
            <w:r w:rsidRPr="00912847">
              <w:rPr>
                <w:b/>
                <w:bCs/>
              </w:rPr>
              <w:t>Dependencies and Possible Actions or Corrections Needed to Meet Objective</w:t>
            </w:r>
          </w:p>
        </w:tc>
        <w:tc>
          <w:tcPr>
            <w:tcW w:w="1531" w:type="pct"/>
            <w:vAlign w:val="center"/>
          </w:tcPr>
          <w:p w14:paraId="1E6AD9C2" w14:textId="77777777" w:rsidR="00D748CA" w:rsidRPr="009A1DE7" w:rsidRDefault="00D748CA" w:rsidP="00D748CA">
            <w:pPr>
              <w:pStyle w:val="TableText"/>
              <w:jc w:val="center"/>
            </w:pPr>
            <w:r w:rsidRPr="00912847">
              <w:rPr>
                <w:b/>
                <w:bCs/>
              </w:rPr>
              <w:t>Warning</w:t>
            </w:r>
          </w:p>
          <w:p w14:paraId="21FE862F" w14:textId="0430A7D8" w:rsidR="00D748CA" w:rsidRPr="008A47C3" w:rsidRDefault="00D748CA" w:rsidP="00D748CA">
            <w:pPr>
              <w:pStyle w:val="TableText"/>
              <w:jc w:val="center"/>
            </w:pPr>
            <w:r w:rsidRPr="009A1DE7">
              <w:rPr>
                <w:i/>
                <w:iCs/>
              </w:rPr>
              <w:t>Not following the recommendations may yield the</w:t>
            </w:r>
            <w:r>
              <w:rPr>
                <w:i/>
                <w:iCs/>
              </w:rPr>
              <w:t>se</w:t>
            </w:r>
            <w:r w:rsidRPr="009A1DE7">
              <w:rPr>
                <w:i/>
                <w:iCs/>
              </w:rPr>
              <w:t xml:space="preserve"> unintended results.</w:t>
            </w:r>
          </w:p>
        </w:tc>
      </w:tr>
      <w:tr w:rsidR="00D748CA" w:rsidRPr="00EE4BD6" w14:paraId="505330BA" w14:textId="77777777" w:rsidTr="00A10575">
        <w:trPr>
          <w:cantSplit/>
          <w:trHeight w:val="428"/>
        </w:trPr>
        <w:tc>
          <w:tcPr>
            <w:tcW w:w="1941" w:type="pct"/>
          </w:tcPr>
          <w:p w14:paraId="4FC4D30A" w14:textId="77777777" w:rsidR="00D748CA" w:rsidRPr="009A1DE7" w:rsidRDefault="00D748CA" w:rsidP="009F357F">
            <w:pPr>
              <w:pStyle w:val="TableText"/>
            </w:pPr>
            <w:r w:rsidRPr="006375CF">
              <w:t>Used to identify how long a patient was in an appointment status.  Other statistical information is provided such as Broken appointment count.</w:t>
            </w:r>
          </w:p>
        </w:tc>
        <w:tc>
          <w:tcPr>
            <w:tcW w:w="1528" w:type="pct"/>
          </w:tcPr>
          <w:p w14:paraId="4CE1009F" w14:textId="77777777" w:rsidR="00D748CA" w:rsidRDefault="00D748CA" w:rsidP="009F357F">
            <w:pPr>
              <w:pStyle w:val="TableText"/>
              <w:keepNext/>
              <w:keepLines/>
              <w:numPr>
                <w:ilvl w:val="0"/>
                <w:numId w:val="2"/>
              </w:numPr>
              <w:ind w:left="232" w:hanging="180"/>
            </w:pPr>
            <w:r w:rsidRPr="006375CF">
              <w:t>Set up and use of Appointment status and "late appointment" tracking is active.</w:t>
            </w:r>
          </w:p>
          <w:p w14:paraId="6EE1B35E" w14:textId="77777777" w:rsidR="00D748CA" w:rsidRPr="009A1DE7" w:rsidRDefault="00D748CA" w:rsidP="009F357F">
            <w:pPr>
              <w:pStyle w:val="TableText"/>
              <w:numPr>
                <w:ilvl w:val="0"/>
                <w:numId w:val="2"/>
              </w:numPr>
              <w:ind w:left="232" w:hanging="180"/>
            </w:pPr>
            <w:r w:rsidRPr="006375CF">
              <w:t>Consistently following the daily, weekly monthly check list to ensure Dentrix Enterprise data is accurate.</w:t>
            </w:r>
          </w:p>
        </w:tc>
        <w:tc>
          <w:tcPr>
            <w:tcW w:w="1531" w:type="pct"/>
          </w:tcPr>
          <w:p w14:paraId="63AB14A8" w14:textId="77777777" w:rsidR="00D748CA" w:rsidRPr="00EF587A" w:rsidRDefault="00D748CA" w:rsidP="009F357F">
            <w:pPr>
              <w:pStyle w:val="TableText"/>
            </w:pPr>
            <w:r w:rsidRPr="006375CF">
              <w:t xml:space="preserve">Patients may not </w:t>
            </w:r>
            <w:r>
              <w:t>appear as being</w:t>
            </w:r>
            <w:r w:rsidRPr="006375CF">
              <w:t xml:space="preserve"> on time if they are not seen on time. This makes planning out days and future availability difficult and will result in reduced productivity of the providers and staff.</w:t>
            </w:r>
          </w:p>
        </w:tc>
      </w:tr>
    </w:tbl>
    <w:p w14:paraId="0586079C" w14:textId="77777777" w:rsidR="00A10575" w:rsidRDefault="00A10575">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D748CA" w:rsidRPr="008A47C3" w14:paraId="5EBEC13C" w14:textId="77777777" w:rsidTr="00A10575">
        <w:trPr>
          <w:cantSplit/>
          <w:trHeight w:val="261"/>
        </w:trPr>
        <w:tc>
          <w:tcPr>
            <w:tcW w:w="5000" w:type="pct"/>
            <w:gridSpan w:val="3"/>
            <w:shd w:val="clear" w:color="auto" w:fill="D5DCE4" w:themeFill="text2" w:themeFillTint="33"/>
            <w:vAlign w:val="center"/>
          </w:tcPr>
          <w:p w14:paraId="6D0E7581" w14:textId="08CC1F19" w:rsidR="00D748CA" w:rsidRPr="008A47C3" w:rsidRDefault="00D748CA" w:rsidP="00213055">
            <w:pPr>
              <w:pStyle w:val="Heading4"/>
            </w:pPr>
            <w:bookmarkStart w:id="414" w:name="_Practice_Statistics"/>
            <w:bookmarkEnd w:id="414"/>
            <w:r w:rsidRPr="00587DBC">
              <w:lastRenderedPageBreak/>
              <w:t>Practice Statistics</w:t>
            </w:r>
            <w:r w:rsidR="00F17BA0">
              <w:tab/>
            </w:r>
            <w:hyperlink w:anchor="_Daily,_Weekly,_Monthly" w:history="1">
              <w:r w:rsidR="00FF74B1" w:rsidRPr="00FF74B1">
                <w:rPr>
                  <w:rStyle w:val="Hyperlink"/>
                  <w:b w:val="0"/>
                  <w:bCs/>
                  <w:sz w:val="16"/>
                  <w:szCs w:val="18"/>
                </w:rPr>
                <w:t>Return to Administrative Reports Checklist</w:t>
              </w:r>
            </w:hyperlink>
          </w:p>
        </w:tc>
      </w:tr>
      <w:tr w:rsidR="00D748CA" w:rsidRPr="008A47C3" w14:paraId="715ECE1E" w14:textId="77777777" w:rsidTr="00A10575">
        <w:trPr>
          <w:cantSplit/>
          <w:trHeight w:val="428"/>
        </w:trPr>
        <w:tc>
          <w:tcPr>
            <w:tcW w:w="1941" w:type="pct"/>
            <w:vAlign w:val="center"/>
          </w:tcPr>
          <w:p w14:paraId="68F00F7C" w14:textId="1C9E35C4" w:rsidR="00D748CA" w:rsidRPr="008A47C3" w:rsidRDefault="00D748CA" w:rsidP="00F40DE8">
            <w:pPr>
              <w:pStyle w:val="TableText"/>
              <w:keepNext/>
              <w:jc w:val="center"/>
            </w:pPr>
            <w:r w:rsidRPr="00912847">
              <w:rPr>
                <w:b/>
                <w:bCs/>
              </w:rPr>
              <w:t>Objective</w:t>
            </w:r>
          </w:p>
        </w:tc>
        <w:tc>
          <w:tcPr>
            <w:tcW w:w="1528" w:type="pct"/>
            <w:vAlign w:val="center"/>
          </w:tcPr>
          <w:p w14:paraId="5C8F0374" w14:textId="7C816CB4" w:rsidR="00D748CA" w:rsidRPr="008A47C3" w:rsidRDefault="00D748CA" w:rsidP="00D748CA">
            <w:pPr>
              <w:pStyle w:val="TableText"/>
              <w:jc w:val="center"/>
            </w:pPr>
            <w:r w:rsidRPr="00912847">
              <w:rPr>
                <w:b/>
                <w:bCs/>
              </w:rPr>
              <w:t>Dependencies and Possible Actions or Corrections Needed to Meet Objective</w:t>
            </w:r>
          </w:p>
        </w:tc>
        <w:tc>
          <w:tcPr>
            <w:tcW w:w="1531" w:type="pct"/>
            <w:vAlign w:val="center"/>
          </w:tcPr>
          <w:p w14:paraId="0C3420B1" w14:textId="77777777" w:rsidR="00D748CA" w:rsidRPr="009A1DE7" w:rsidRDefault="00D748CA" w:rsidP="00D748CA">
            <w:pPr>
              <w:pStyle w:val="TableText"/>
              <w:jc w:val="center"/>
            </w:pPr>
            <w:r w:rsidRPr="00912847">
              <w:rPr>
                <w:b/>
                <w:bCs/>
              </w:rPr>
              <w:t>Warning</w:t>
            </w:r>
          </w:p>
          <w:p w14:paraId="75845932" w14:textId="46D6DDF9" w:rsidR="00D748CA" w:rsidRPr="008A47C3" w:rsidRDefault="00D748CA" w:rsidP="00D748CA">
            <w:pPr>
              <w:pStyle w:val="TableText"/>
              <w:jc w:val="center"/>
            </w:pPr>
            <w:r w:rsidRPr="009A1DE7">
              <w:rPr>
                <w:i/>
                <w:iCs/>
              </w:rPr>
              <w:t>Not following the recommendations may yield the</w:t>
            </w:r>
            <w:r>
              <w:rPr>
                <w:i/>
                <w:iCs/>
              </w:rPr>
              <w:t>se</w:t>
            </w:r>
            <w:r w:rsidRPr="009A1DE7">
              <w:rPr>
                <w:i/>
                <w:iCs/>
              </w:rPr>
              <w:t xml:space="preserve"> unintended results.</w:t>
            </w:r>
          </w:p>
        </w:tc>
      </w:tr>
      <w:tr w:rsidR="00D748CA" w:rsidRPr="00EE4BD6" w14:paraId="70BA6A96" w14:textId="77777777" w:rsidTr="00A10575">
        <w:trPr>
          <w:cantSplit/>
          <w:trHeight w:val="428"/>
        </w:trPr>
        <w:tc>
          <w:tcPr>
            <w:tcW w:w="1941" w:type="pct"/>
          </w:tcPr>
          <w:p w14:paraId="22C4C003" w14:textId="77777777" w:rsidR="00D748CA" w:rsidRPr="009A1DE7" w:rsidRDefault="00D748CA" w:rsidP="009F357F">
            <w:pPr>
              <w:pStyle w:val="TableText"/>
            </w:pPr>
            <w:r w:rsidRPr="006375CF">
              <w:t>The Practice Statistics Report provides a detailed cross-section of the practice's patient base, including demographic, age, and continuing care information.</w:t>
            </w:r>
          </w:p>
        </w:tc>
        <w:tc>
          <w:tcPr>
            <w:tcW w:w="1528" w:type="pct"/>
          </w:tcPr>
          <w:p w14:paraId="7106F3E6" w14:textId="77777777" w:rsidR="00D748CA" w:rsidRPr="00587DBC" w:rsidRDefault="00D748CA" w:rsidP="004F45B6">
            <w:pPr>
              <w:pStyle w:val="TableText"/>
              <w:numPr>
                <w:ilvl w:val="0"/>
                <w:numId w:val="157"/>
              </w:numPr>
              <w:ind w:left="245" w:hanging="187"/>
            </w:pPr>
            <w:r>
              <w:t>Da</w:t>
            </w:r>
            <w:r w:rsidRPr="00587DBC">
              <w:t>y-to-day data entry is accurate.</w:t>
            </w:r>
          </w:p>
          <w:p w14:paraId="32C7C354" w14:textId="77777777" w:rsidR="00D748CA" w:rsidRPr="009A1DE7" w:rsidRDefault="00D748CA" w:rsidP="004F45B6">
            <w:pPr>
              <w:pStyle w:val="TableText"/>
              <w:numPr>
                <w:ilvl w:val="0"/>
                <w:numId w:val="157"/>
              </w:numPr>
              <w:ind w:left="245" w:hanging="187"/>
            </w:pPr>
            <w:r w:rsidRPr="00587DBC">
              <w:t>Consistently following the daily, weekly monthly check list to ensure Dentrix Enterp</w:t>
            </w:r>
            <w:r>
              <w:t>rise data is accurate.</w:t>
            </w:r>
          </w:p>
        </w:tc>
        <w:tc>
          <w:tcPr>
            <w:tcW w:w="1531" w:type="pct"/>
          </w:tcPr>
          <w:p w14:paraId="349D4243" w14:textId="77777777" w:rsidR="00D748CA" w:rsidRPr="00EF587A" w:rsidRDefault="00D748CA" w:rsidP="009F357F">
            <w:pPr>
              <w:pStyle w:val="TableText"/>
            </w:pPr>
            <w:r w:rsidRPr="006375CF">
              <w:t>Data integrity will not be optimized without routine review of this report.  The simple concept of "garbage in garbage out" applies here to the level of accuracy, knowledge and system outcomes.</w:t>
            </w:r>
          </w:p>
        </w:tc>
      </w:tr>
      <w:tr w:rsidR="00E179AF" w:rsidRPr="008A47C3" w14:paraId="4C822C56" w14:textId="77777777" w:rsidTr="00A10575">
        <w:trPr>
          <w:cantSplit/>
          <w:trHeight w:val="396"/>
        </w:trPr>
        <w:tc>
          <w:tcPr>
            <w:tcW w:w="5000" w:type="pct"/>
            <w:gridSpan w:val="3"/>
            <w:shd w:val="clear" w:color="auto" w:fill="D5DCE4" w:themeFill="text2" w:themeFillTint="33"/>
            <w:vAlign w:val="center"/>
          </w:tcPr>
          <w:p w14:paraId="06DFA323" w14:textId="1FFDA04B" w:rsidR="00E179AF" w:rsidRPr="008A47C3" w:rsidRDefault="00E179AF" w:rsidP="00E179AF">
            <w:pPr>
              <w:pStyle w:val="Heading4"/>
            </w:pPr>
            <w:bookmarkStart w:id="415" w:name="_Initial_Health_History"/>
            <w:bookmarkEnd w:id="415"/>
            <w:r w:rsidRPr="00E179AF">
              <w:t>Initial Health History</w:t>
            </w:r>
            <w:r w:rsidR="00F17BA0">
              <w:tab/>
            </w:r>
            <w:hyperlink w:anchor="_Daily,_Weekly,_Monthly" w:history="1">
              <w:r w:rsidR="00F026E6" w:rsidRPr="00FF74B1">
                <w:rPr>
                  <w:rStyle w:val="Hyperlink"/>
                  <w:b w:val="0"/>
                  <w:bCs/>
                  <w:sz w:val="16"/>
                  <w:szCs w:val="18"/>
                </w:rPr>
                <w:t>Return to Administrative Reports Checklist</w:t>
              </w:r>
            </w:hyperlink>
            <w:r w:rsidR="00FF74B1">
              <w:t xml:space="preserve">                                                                                             </w:t>
            </w:r>
          </w:p>
        </w:tc>
      </w:tr>
      <w:tr w:rsidR="00E179AF" w:rsidRPr="008A47C3" w14:paraId="19310D71" w14:textId="77777777" w:rsidTr="00A10575">
        <w:trPr>
          <w:cantSplit/>
          <w:trHeight w:val="428"/>
        </w:trPr>
        <w:tc>
          <w:tcPr>
            <w:tcW w:w="1941" w:type="pct"/>
            <w:vAlign w:val="center"/>
          </w:tcPr>
          <w:p w14:paraId="488C70C1" w14:textId="14B05B68" w:rsidR="00E179AF" w:rsidRPr="008A47C3" w:rsidRDefault="00E179AF" w:rsidP="00E179AF">
            <w:pPr>
              <w:pStyle w:val="TableText"/>
              <w:jc w:val="center"/>
            </w:pPr>
            <w:r w:rsidRPr="00912847">
              <w:rPr>
                <w:b/>
                <w:bCs/>
              </w:rPr>
              <w:t>Objective</w:t>
            </w:r>
          </w:p>
        </w:tc>
        <w:tc>
          <w:tcPr>
            <w:tcW w:w="1528" w:type="pct"/>
            <w:vAlign w:val="center"/>
          </w:tcPr>
          <w:p w14:paraId="4ECE7A13" w14:textId="4CAF6E6F" w:rsidR="00E179AF" w:rsidRPr="008A47C3" w:rsidRDefault="00E179AF" w:rsidP="00E179AF">
            <w:pPr>
              <w:pStyle w:val="TableText"/>
              <w:jc w:val="center"/>
            </w:pPr>
            <w:r w:rsidRPr="00912847">
              <w:rPr>
                <w:b/>
                <w:bCs/>
              </w:rPr>
              <w:t>Dependencies and Possible Actions or Corrections Needed to Meet Objective</w:t>
            </w:r>
          </w:p>
        </w:tc>
        <w:tc>
          <w:tcPr>
            <w:tcW w:w="1531" w:type="pct"/>
            <w:vAlign w:val="center"/>
          </w:tcPr>
          <w:p w14:paraId="012C875F" w14:textId="77777777" w:rsidR="00E179AF" w:rsidRPr="009A1DE7" w:rsidRDefault="00E179AF" w:rsidP="00E179AF">
            <w:pPr>
              <w:pStyle w:val="TableText"/>
              <w:jc w:val="center"/>
            </w:pPr>
            <w:r w:rsidRPr="00912847">
              <w:rPr>
                <w:b/>
                <w:bCs/>
              </w:rPr>
              <w:t>Warning</w:t>
            </w:r>
          </w:p>
          <w:p w14:paraId="622DFC33" w14:textId="24520255" w:rsidR="00E179AF" w:rsidRPr="008A47C3" w:rsidRDefault="00E179AF" w:rsidP="00E179AF">
            <w:pPr>
              <w:pStyle w:val="TableText"/>
              <w:jc w:val="center"/>
            </w:pPr>
            <w:r w:rsidRPr="009A1DE7">
              <w:rPr>
                <w:i/>
                <w:iCs/>
              </w:rPr>
              <w:t>Not following the recommendations may yield the</w:t>
            </w:r>
            <w:r>
              <w:rPr>
                <w:i/>
                <w:iCs/>
              </w:rPr>
              <w:t>se</w:t>
            </w:r>
            <w:r w:rsidRPr="009A1DE7">
              <w:rPr>
                <w:i/>
                <w:iCs/>
              </w:rPr>
              <w:t xml:space="preserve"> unintended results.</w:t>
            </w:r>
          </w:p>
        </w:tc>
      </w:tr>
      <w:tr w:rsidR="00E179AF" w:rsidRPr="00EE4BD6" w14:paraId="37922606" w14:textId="77777777" w:rsidTr="00A10575">
        <w:trPr>
          <w:cantSplit/>
          <w:trHeight w:val="428"/>
        </w:trPr>
        <w:tc>
          <w:tcPr>
            <w:tcW w:w="1941" w:type="pct"/>
          </w:tcPr>
          <w:p w14:paraId="1C24C18D" w14:textId="77777777" w:rsidR="00E179AF" w:rsidRPr="009A1DE7" w:rsidRDefault="00E179AF" w:rsidP="009F357F">
            <w:pPr>
              <w:pStyle w:val="TableText"/>
            </w:pPr>
            <w:r w:rsidRPr="006375CF">
              <w:t>The Initial Health History Report displays the percentage of new oral health patients who have a First Visit Date in the Family File that is within a specified time frame and who had an initial health history (determined by specified ADA and/or condition codes) entered into their electronic records during the same time frame.</w:t>
            </w:r>
          </w:p>
        </w:tc>
        <w:tc>
          <w:tcPr>
            <w:tcW w:w="1528" w:type="pct"/>
          </w:tcPr>
          <w:p w14:paraId="4921EE40" w14:textId="77777777" w:rsidR="00E179AF" w:rsidRDefault="00E179AF" w:rsidP="009F357F">
            <w:pPr>
              <w:pStyle w:val="TableText"/>
              <w:keepNext/>
              <w:keepLines/>
              <w:numPr>
                <w:ilvl w:val="0"/>
                <w:numId w:val="2"/>
              </w:numPr>
              <w:ind w:left="232" w:hanging="180"/>
            </w:pPr>
            <w:r w:rsidRPr="006375CF">
              <w:t>Identify and post proper codes at the time of service.</w:t>
            </w:r>
          </w:p>
          <w:p w14:paraId="35BDF7A6" w14:textId="77777777" w:rsidR="00E179AF" w:rsidRPr="009A1DE7" w:rsidRDefault="00E179AF" w:rsidP="009F357F">
            <w:pPr>
              <w:pStyle w:val="TableText"/>
              <w:numPr>
                <w:ilvl w:val="0"/>
                <w:numId w:val="2"/>
              </w:numPr>
              <w:ind w:left="232" w:hanging="180"/>
            </w:pPr>
            <w:r w:rsidRPr="006375CF">
              <w:t>Consistently following the daily, weekly monthly check list to ensure Dentrix Enterprise data is accurate.</w:t>
            </w:r>
          </w:p>
        </w:tc>
        <w:tc>
          <w:tcPr>
            <w:tcW w:w="1531" w:type="pct"/>
          </w:tcPr>
          <w:p w14:paraId="53D27272" w14:textId="77777777" w:rsidR="00E179AF" w:rsidRPr="00EF587A" w:rsidRDefault="00E179AF" w:rsidP="009F357F">
            <w:pPr>
              <w:pStyle w:val="TableText"/>
            </w:pPr>
            <w:r w:rsidRPr="006375CF">
              <w:t>Report data will be inaccurate and patient care not optimized.</w:t>
            </w:r>
          </w:p>
        </w:tc>
      </w:tr>
      <w:tr w:rsidR="00A412A2" w:rsidRPr="008A47C3" w14:paraId="1F1462A8" w14:textId="77777777" w:rsidTr="00A10575">
        <w:trPr>
          <w:cantSplit/>
          <w:trHeight w:val="428"/>
        </w:trPr>
        <w:tc>
          <w:tcPr>
            <w:tcW w:w="5000" w:type="pct"/>
            <w:gridSpan w:val="3"/>
            <w:shd w:val="clear" w:color="auto" w:fill="D5DCE4" w:themeFill="text2" w:themeFillTint="33"/>
            <w:vAlign w:val="center"/>
          </w:tcPr>
          <w:p w14:paraId="5117F4BA" w14:textId="3E80D216" w:rsidR="00A412A2" w:rsidRPr="008A47C3" w:rsidRDefault="00A412A2" w:rsidP="00A412A2">
            <w:pPr>
              <w:pStyle w:val="Heading4"/>
            </w:pPr>
            <w:bookmarkStart w:id="416" w:name="_Oral_Health_"/>
            <w:bookmarkEnd w:id="416"/>
            <w:r w:rsidRPr="00A412A2">
              <w:t>Oral Health Education</w:t>
            </w:r>
            <w:r w:rsidR="00F17BA0">
              <w:tab/>
            </w:r>
            <w:hyperlink w:anchor="_Daily,_Weekly,_Monthly" w:history="1">
              <w:r w:rsidR="00F026E6" w:rsidRPr="00FF74B1">
                <w:rPr>
                  <w:rStyle w:val="Hyperlink"/>
                  <w:b w:val="0"/>
                  <w:bCs/>
                  <w:sz w:val="16"/>
                  <w:szCs w:val="18"/>
                </w:rPr>
                <w:t>Return to Administrative Reports Checklist</w:t>
              </w:r>
            </w:hyperlink>
          </w:p>
        </w:tc>
      </w:tr>
      <w:tr w:rsidR="00A412A2" w:rsidRPr="008A47C3" w14:paraId="786A408D" w14:textId="77777777" w:rsidTr="00A10575">
        <w:trPr>
          <w:cantSplit/>
          <w:trHeight w:val="428"/>
        </w:trPr>
        <w:tc>
          <w:tcPr>
            <w:tcW w:w="1941" w:type="pct"/>
            <w:vAlign w:val="center"/>
          </w:tcPr>
          <w:p w14:paraId="2B605DAA" w14:textId="37EBF806" w:rsidR="00A412A2" w:rsidRPr="008A47C3" w:rsidRDefault="00A412A2" w:rsidP="00A412A2">
            <w:pPr>
              <w:pStyle w:val="TableText"/>
              <w:jc w:val="center"/>
            </w:pPr>
            <w:r w:rsidRPr="00912847">
              <w:rPr>
                <w:b/>
                <w:bCs/>
              </w:rPr>
              <w:t>Objective</w:t>
            </w:r>
          </w:p>
        </w:tc>
        <w:tc>
          <w:tcPr>
            <w:tcW w:w="1528" w:type="pct"/>
            <w:vAlign w:val="center"/>
          </w:tcPr>
          <w:p w14:paraId="2AF604EC" w14:textId="7296CB47" w:rsidR="00A412A2" w:rsidRPr="008A47C3" w:rsidRDefault="00A412A2" w:rsidP="00A412A2">
            <w:pPr>
              <w:pStyle w:val="TableText"/>
              <w:jc w:val="center"/>
            </w:pPr>
            <w:r w:rsidRPr="00912847">
              <w:rPr>
                <w:b/>
                <w:bCs/>
              </w:rPr>
              <w:t>Dependencies and Possible Actions or Corrections Needed to Meet Objective</w:t>
            </w:r>
          </w:p>
        </w:tc>
        <w:tc>
          <w:tcPr>
            <w:tcW w:w="1531" w:type="pct"/>
            <w:vAlign w:val="center"/>
          </w:tcPr>
          <w:p w14:paraId="1E015F7A" w14:textId="77777777" w:rsidR="00A412A2" w:rsidRPr="009A1DE7" w:rsidRDefault="00A412A2" w:rsidP="00A412A2">
            <w:pPr>
              <w:pStyle w:val="TableText"/>
              <w:jc w:val="center"/>
            </w:pPr>
            <w:r w:rsidRPr="00912847">
              <w:rPr>
                <w:b/>
                <w:bCs/>
              </w:rPr>
              <w:t>Warning</w:t>
            </w:r>
          </w:p>
          <w:p w14:paraId="3B27941F" w14:textId="35B88863" w:rsidR="00A412A2" w:rsidRPr="008A47C3" w:rsidRDefault="00A412A2" w:rsidP="00A412A2">
            <w:pPr>
              <w:pStyle w:val="TableText"/>
              <w:jc w:val="center"/>
            </w:pPr>
            <w:r w:rsidRPr="009A1DE7">
              <w:rPr>
                <w:i/>
                <w:iCs/>
              </w:rPr>
              <w:t>Not following the recommendations may yield the</w:t>
            </w:r>
            <w:r>
              <w:rPr>
                <w:i/>
                <w:iCs/>
              </w:rPr>
              <w:t>se</w:t>
            </w:r>
            <w:r w:rsidRPr="009A1DE7">
              <w:rPr>
                <w:i/>
                <w:iCs/>
              </w:rPr>
              <w:t xml:space="preserve"> unintended results.</w:t>
            </w:r>
          </w:p>
        </w:tc>
      </w:tr>
      <w:tr w:rsidR="00A412A2" w:rsidRPr="00EE4BD6" w14:paraId="6EA7D806" w14:textId="77777777" w:rsidTr="00A10575">
        <w:trPr>
          <w:cantSplit/>
          <w:trHeight w:val="428"/>
        </w:trPr>
        <w:tc>
          <w:tcPr>
            <w:tcW w:w="1941" w:type="pct"/>
          </w:tcPr>
          <w:p w14:paraId="0A96810A" w14:textId="77777777" w:rsidR="00A412A2" w:rsidRPr="009A1DE7" w:rsidRDefault="00A412A2" w:rsidP="009F357F">
            <w:pPr>
              <w:pStyle w:val="TableText"/>
            </w:pPr>
            <w:r w:rsidRPr="006375CF">
              <w:t>The Oral Health Education Report displays the percentage of oral health patients who received oral health education (determined by specified ADA and/or condition codes) at least once during a specified time frame.</w:t>
            </w:r>
          </w:p>
        </w:tc>
        <w:tc>
          <w:tcPr>
            <w:tcW w:w="1528" w:type="pct"/>
          </w:tcPr>
          <w:p w14:paraId="4AE1059E" w14:textId="77777777" w:rsidR="00A412A2" w:rsidRDefault="00A412A2" w:rsidP="009F357F">
            <w:pPr>
              <w:pStyle w:val="TableText"/>
              <w:keepNext/>
              <w:keepLines/>
              <w:numPr>
                <w:ilvl w:val="0"/>
                <w:numId w:val="2"/>
              </w:numPr>
              <w:ind w:left="232" w:hanging="180"/>
            </w:pPr>
            <w:r w:rsidRPr="006375CF">
              <w:t>Identify and post proper codes at the time of service.</w:t>
            </w:r>
          </w:p>
          <w:p w14:paraId="35A165F3" w14:textId="77777777" w:rsidR="00A412A2" w:rsidRPr="009A1DE7" w:rsidRDefault="00A412A2" w:rsidP="009F357F">
            <w:pPr>
              <w:pStyle w:val="TableText"/>
              <w:numPr>
                <w:ilvl w:val="0"/>
                <w:numId w:val="2"/>
              </w:numPr>
              <w:ind w:left="232" w:hanging="180"/>
            </w:pPr>
            <w:r w:rsidRPr="006375CF">
              <w:t>Consistently following the daily, weekly monthly check list to ensure Dentrix Enterprise data is accurate.</w:t>
            </w:r>
          </w:p>
        </w:tc>
        <w:tc>
          <w:tcPr>
            <w:tcW w:w="1531" w:type="pct"/>
          </w:tcPr>
          <w:p w14:paraId="0BD0F62B" w14:textId="77777777" w:rsidR="00A412A2" w:rsidRPr="00EF587A" w:rsidRDefault="00A412A2" w:rsidP="009F357F">
            <w:pPr>
              <w:pStyle w:val="TableText"/>
            </w:pPr>
            <w:r w:rsidRPr="006375CF">
              <w:t>Report data will be inaccurate and patient care not optimized.</w:t>
            </w:r>
          </w:p>
        </w:tc>
      </w:tr>
    </w:tbl>
    <w:p w14:paraId="30DE3691" w14:textId="77777777" w:rsidR="00A10575" w:rsidRDefault="00A10575">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6C1DCC" w:rsidRPr="008A47C3" w14:paraId="112A3AC9" w14:textId="77777777" w:rsidTr="00A10575">
        <w:trPr>
          <w:cantSplit/>
          <w:trHeight w:val="428"/>
        </w:trPr>
        <w:tc>
          <w:tcPr>
            <w:tcW w:w="5000" w:type="pct"/>
            <w:gridSpan w:val="3"/>
            <w:shd w:val="clear" w:color="auto" w:fill="D5DCE4" w:themeFill="text2" w:themeFillTint="33"/>
            <w:vAlign w:val="center"/>
          </w:tcPr>
          <w:p w14:paraId="13507877" w14:textId="2FE56501" w:rsidR="006C1DCC" w:rsidRPr="008A47C3" w:rsidRDefault="006C1DCC" w:rsidP="006C1DCC">
            <w:pPr>
              <w:pStyle w:val="Heading4"/>
            </w:pPr>
            <w:bookmarkStart w:id="417" w:name="_Periodontal_Exam"/>
            <w:bookmarkEnd w:id="417"/>
            <w:r w:rsidRPr="006C1DCC">
              <w:lastRenderedPageBreak/>
              <w:t>Periodontal Exam</w:t>
            </w:r>
            <w:r w:rsidR="00F17BA0">
              <w:tab/>
            </w:r>
            <w:hyperlink w:anchor="_Daily,_Weekly,_Monthly" w:history="1">
              <w:r w:rsidR="00F026E6" w:rsidRPr="00FF74B1">
                <w:rPr>
                  <w:rStyle w:val="Hyperlink"/>
                  <w:b w:val="0"/>
                  <w:bCs/>
                  <w:sz w:val="16"/>
                  <w:szCs w:val="18"/>
                </w:rPr>
                <w:t>Return to Administrative Reports Checklist</w:t>
              </w:r>
            </w:hyperlink>
          </w:p>
        </w:tc>
      </w:tr>
      <w:tr w:rsidR="006C1DCC" w:rsidRPr="008A47C3" w14:paraId="4C6A1C04" w14:textId="77777777" w:rsidTr="00A10575">
        <w:trPr>
          <w:cantSplit/>
          <w:trHeight w:val="428"/>
        </w:trPr>
        <w:tc>
          <w:tcPr>
            <w:tcW w:w="1941" w:type="pct"/>
            <w:vAlign w:val="center"/>
          </w:tcPr>
          <w:p w14:paraId="41D0CDF0" w14:textId="6B3AC99F" w:rsidR="006C1DCC" w:rsidRPr="008A47C3" w:rsidRDefault="006C1DCC" w:rsidP="006C1DCC">
            <w:pPr>
              <w:pStyle w:val="TableText"/>
              <w:jc w:val="center"/>
            </w:pPr>
            <w:r w:rsidRPr="00912847">
              <w:rPr>
                <w:b/>
                <w:bCs/>
              </w:rPr>
              <w:t>Objective</w:t>
            </w:r>
          </w:p>
        </w:tc>
        <w:tc>
          <w:tcPr>
            <w:tcW w:w="1528" w:type="pct"/>
            <w:vAlign w:val="center"/>
          </w:tcPr>
          <w:p w14:paraId="02794DB4" w14:textId="4955DB10" w:rsidR="006C1DCC" w:rsidRPr="008A47C3" w:rsidRDefault="006C1DCC" w:rsidP="006C1DCC">
            <w:pPr>
              <w:pStyle w:val="TableText"/>
              <w:jc w:val="center"/>
            </w:pPr>
            <w:r w:rsidRPr="00912847">
              <w:rPr>
                <w:b/>
                <w:bCs/>
              </w:rPr>
              <w:t>Dependencies and Possible Actions or Corrections Needed to Meet Objective</w:t>
            </w:r>
          </w:p>
        </w:tc>
        <w:tc>
          <w:tcPr>
            <w:tcW w:w="1531" w:type="pct"/>
            <w:vAlign w:val="center"/>
          </w:tcPr>
          <w:p w14:paraId="7DC1C9DA" w14:textId="77777777" w:rsidR="006C1DCC" w:rsidRPr="009A1DE7" w:rsidRDefault="006C1DCC" w:rsidP="006C1DCC">
            <w:pPr>
              <w:pStyle w:val="TableText"/>
              <w:jc w:val="center"/>
            </w:pPr>
            <w:r w:rsidRPr="00912847">
              <w:rPr>
                <w:b/>
                <w:bCs/>
              </w:rPr>
              <w:t>Warning</w:t>
            </w:r>
          </w:p>
          <w:p w14:paraId="02A699E2" w14:textId="0E69B69F" w:rsidR="006C1DCC" w:rsidRPr="008A47C3" w:rsidRDefault="006C1DCC" w:rsidP="006C1DCC">
            <w:pPr>
              <w:pStyle w:val="TableText"/>
              <w:jc w:val="center"/>
            </w:pPr>
            <w:r w:rsidRPr="009A1DE7">
              <w:rPr>
                <w:i/>
                <w:iCs/>
              </w:rPr>
              <w:t>Not following the recommendations may yield the</w:t>
            </w:r>
            <w:r>
              <w:rPr>
                <w:i/>
                <w:iCs/>
              </w:rPr>
              <w:t>se</w:t>
            </w:r>
            <w:r w:rsidRPr="009A1DE7">
              <w:rPr>
                <w:i/>
                <w:iCs/>
              </w:rPr>
              <w:t xml:space="preserve"> unintended results.</w:t>
            </w:r>
          </w:p>
        </w:tc>
      </w:tr>
      <w:tr w:rsidR="00FF2095" w:rsidRPr="00EE4BD6" w14:paraId="43F7A345" w14:textId="77777777" w:rsidTr="00A10575">
        <w:trPr>
          <w:cantSplit/>
          <w:trHeight w:val="428"/>
        </w:trPr>
        <w:tc>
          <w:tcPr>
            <w:tcW w:w="1941" w:type="pct"/>
          </w:tcPr>
          <w:p w14:paraId="660ED651" w14:textId="77777777" w:rsidR="00FF2095" w:rsidRPr="009A1DE7" w:rsidRDefault="00FF2095" w:rsidP="009F357F">
            <w:pPr>
              <w:pStyle w:val="TableText"/>
            </w:pPr>
            <w:r w:rsidRPr="006375CF">
              <w:t>The Periodontal Exam Report displays the percentage of oral health patients who received a periodontal exam (determined by specified ADA and/or condition codes) at least once during a specified time frame.</w:t>
            </w:r>
          </w:p>
        </w:tc>
        <w:tc>
          <w:tcPr>
            <w:tcW w:w="1528" w:type="pct"/>
          </w:tcPr>
          <w:p w14:paraId="6240CFA5" w14:textId="77777777" w:rsidR="00FF2095" w:rsidRDefault="00FF2095" w:rsidP="009F357F">
            <w:pPr>
              <w:pStyle w:val="TableText"/>
              <w:keepNext/>
              <w:keepLines/>
              <w:numPr>
                <w:ilvl w:val="0"/>
                <w:numId w:val="2"/>
              </w:numPr>
              <w:ind w:left="232" w:hanging="180"/>
            </w:pPr>
            <w:r w:rsidRPr="006375CF">
              <w:t>Periodontal data entry into the Perio Chart during patient dental visit/exam.</w:t>
            </w:r>
          </w:p>
          <w:p w14:paraId="6B6ACE32" w14:textId="77777777" w:rsidR="00FF2095" w:rsidRPr="009A1DE7" w:rsidRDefault="00FF2095" w:rsidP="009F357F">
            <w:pPr>
              <w:pStyle w:val="TableText"/>
              <w:numPr>
                <w:ilvl w:val="0"/>
                <w:numId w:val="2"/>
              </w:numPr>
              <w:ind w:left="232" w:hanging="180"/>
            </w:pPr>
            <w:r w:rsidRPr="006375CF">
              <w:t>Consistently following the dail</w:t>
            </w:r>
            <w:r>
              <w:t>y</w:t>
            </w:r>
            <w:r w:rsidRPr="006375CF">
              <w:t>, weekly</w:t>
            </w:r>
            <w:r>
              <w:t>,</w:t>
            </w:r>
            <w:r w:rsidRPr="006375CF">
              <w:t xml:space="preserve"> monthly check list to ensure Dentrix Enterprise data is accurate.</w:t>
            </w:r>
          </w:p>
        </w:tc>
        <w:tc>
          <w:tcPr>
            <w:tcW w:w="1531" w:type="pct"/>
          </w:tcPr>
          <w:p w14:paraId="7B754B86" w14:textId="77777777" w:rsidR="00FF2095" w:rsidRPr="00EF587A" w:rsidRDefault="00FF2095" w:rsidP="009F357F">
            <w:pPr>
              <w:pStyle w:val="TableText"/>
            </w:pPr>
            <w:r w:rsidRPr="006375CF">
              <w:t>Report data will be inaccurate and patient care not optimized.</w:t>
            </w:r>
          </w:p>
        </w:tc>
      </w:tr>
      <w:tr w:rsidR="000C3B1E" w:rsidRPr="008A47C3" w14:paraId="37DC84C2" w14:textId="77777777" w:rsidTr="00A10575">
        <w:trPr>
          <w:cantSplit/>
          <w:trHeight w:val="428"/>
        </w:trPr>
        <w:tc>
          <w:tcPr>
            <w:tcW w:w="5000" w:type="pct"/>
            <w:gridSpan w:val="3"/>
            <w:shd w:val="clear" w:color="auto" w:fill="D5DCE4" w:themeFill="text2" w:themeFillTint="33"/>
            <w:vAlign w:val="center"/>
          </w:tcPr>
          <w:p w14:paraId="4B2725A8" w14:textId="2AFA11EA" w:rsidR="000C3B1E" w:rsidRPr="008A47C3" w:rsidRDefault="000C3B1E" w:rsidP="000C3B1E">
            <w:pPr>
              <w:pStyle w:val="Heading4"/>
            </w:pPr>
            <w:bookmarkStart w:id="418" w:name="_Visits_by_reports"/>
            <w:bookmarkEnd w:id="418"/>
            <w:r w:rsidRPr="00F46E06">
              <w:t>Visits by reports</w:t>
            </w:r>
            <w:r w:rsidR="00F17BA0">
              <w:tab/>
            </w:r>
            <w:hyperlink w:anchor="_Daily,_Weekly,_Monthly" w:history="1">
              <w:r w:rsidR="00F026E6" w:rsidRPr="00FF74B1">
                <w:rPr>
                  <w:rStyle w:val="Hyperlink"/>
                  <w:b w:val="0"/>
                  <w:bCs/>
                  <w:sz w:val="16"/>
                  <w:szCs w:val="18"/>
                </w:rPr>
                <w:t>Return to Administrative Reports Checklist</w:t>
              </w:r>
            </w:hyperlink>
          </w:p>
        </w:tc>
      </w:tr>
      <w:tr w:rsidR="000C3B1E" w:rsidRPr="008A47C3" w14:paraId="39C5A65D" w14:textId="77777777" w:rsidTr="00A10575">
        <w:trPr>
          <w:cantSplit/>
          <w:trHeight w:val="428"/>
        </w:trPr>
        <w:tc>
          <w:tcPr>
            <w:tcW w:w="1941" w:type="pct"/>
            <w:vAlign w:val="center"/>
          </w:tcPr>
          <w:p w14:paraId="581E7328" w14:textId="58B4948C" w:rsidR="000C3B1E" w:rsidRPr="008A47C3" w:rsidRDefault="000C3B1E" w:rsidP="000C3B1E">
            <w:pPr>
              <w:pStyle w:val="TableText"/>
              <w:jc w:val="center"/>
            </w:pPr>
            <w:r w:rsidRPr="00912847">
              <w:rPr>
                <w:b/>
                <w:bCs/>
              </w:rPr>
              <w:t>Objective</w:t>
            </w:r>
          </w:p>
        </w:tc>
        <w:tc>
          <w:tcPr>
            <w:tcW w:w="1528" w:type="pct"/>
            <w:vAlign w:val="center"/>
          </w:tcPr>
          <w:p w14:paraId="2334ADD5" w14:textId="22B3934E" w:rsidR="000C3B1E" w:rsidRPr="008A47C3" w:rsidRDefault="000C3B1E" w:rsidP="000C3B1E">
            <w:pPr>
              <w:pStyle w:val="TableText"/>
              <w:jc w:val="center"/>
            </w:pPr>
            <w:r w:rsidRPr="00912847">
              <w:rPr>
                <w:b/>
                <w:bCs/>
              </w:rPr>
              <w:t>Dependencies and Possible Actions or Corrections Needed to Meet Objective</w:t>
            </w:r>
          </w:p>
        </w:tc>
        <w:tc>
          <w:tcPr>
            <w:tcW w:w="1531" w:type="pct"/>
            <w:vAlign w:val="center"/>
          </w:tcPr>
          <w:p w14:paraId="5E26E602" w14:textId="77777777" w:rsidR="000C3B1E" w:rsidRPr="009A1DE7" w:rsidRDefault="000C3B1E" w:rsidP="000C3B1E">
            <w:pPr>
              <w:pStyle w:val="TableText"/>
              <w:jc w:val="center"/>
            </w:pPr>
            <w:r w:rsidRPr="00912847">
              <w:rPr>
                <w:b/>
                <w:bCs/>
              </w:rPr>
              <w:t>Warning</w:t>
            </w:r>
          </w:p>
          <w:p w14:paraId="36FD9839" w14:textId="1552D04B" w:rsidR="000C3B1E" w:rsidRPr="008A47C3" w:rsidRDefault="000C3B1E" w:rsidP="000C3B1E">
            <w:pPr>
              <w:pStyle w:val="TableText"/>
              <w:jc w:val="center"/>
            </w:pPr>
            <w:r w:rsidRPr="009A1DE7">
              <w:rPr>
                <w:i/>
                <w:iCs/>
              </w:rPr>
              <w:t>Not following the recommendations may yield the</w:t>
            </w:r>
            <w:r>
              <w:rPr>
                <w:i/>
                <w:iCs/>
              </w:rPr>
              <w:t>se</w:t>
            </w:r>
            <w:r w:rsidRPr="009A1DE7">
              <w:rPr>
                <w:i/>
                <w:iCs/>
              </w:rPr>
              <w:t xml:space="preserve"> unintended results.</w:t>
            </w:r>
          </w:p>
        </w:tc>
      </w:tr>
      <w:tr w:rsidR="000C3B1E" w:rsidRPr="00EE4BD6" w14:paraId="0DCF5B4D" w14:textId="77777777" w:rsidTr="00A10575">
        <w:trPr>
          <w:cantSplit/>
          <w:trHeight w:val="428"/>
        </w:trPr>
        <w:tc>
          <w:tcPr>
            <w:tcW w:w="1941" w:type="pct"/>
          </w:tcPr>
          <w:p w14:paraId="3918411D" w14:textId="77777777" w:rsidR="000C3B1E" w:rsidRPr="009A1DE7" w:rsidRDefault="000C3B1E" w:rsidP="009F357F">
            <w:pPr>
              <w:pStyle w:val="TableText"/>
            </w:pPr>
            <w:r>
              <w:t>Display the number of visits to an office or clinic by community, dentist and facility, and tribal membership. On the report, the first visit, revisit, broken appointment, and PTC (planned treatment completed) values are calculated.</w:t>
            </w:r>
          </w:p>
        </w:tc>
        <w:tc>
          <w:tcPr>
            <w:tcW w:w="1528" w:type="pct"/>
          </w:tcPr>
          <w:p w14:paraId="7286CE66" w14:textId="77777777" w:rsidR="000C3B1E" w:rsidRDefault="000C3B1E" w:rsidP="009F357F">
            <w:pPr>
              <w:pStyle w:val="TableText"/>
              <w:keepNext/>
              <w:keepLines/>
              <w:numPr>
                <w:ilvl w:val="0"/>
                <w:numId w:val="2"/>
              </w:numPr>
              <w:ind w:left="245" w:hanging="187"/>
            </w:pPr>
            <w:r>
              <w:t>All the procedure(s) for a given patient on a given day in the Ledger are counted as one visit. IHS condition codes and ADA codes are posted.</w:t>
            </w:r>
          </w:p>
          <w:p w14:paraId="38A9093B" w14:textId="77777777" w:rsidR="000C3B1E" w:rsidRPr="009A1DE7" w:rsidRDefault="000C3B1E" w:rsidP="009F357F">
            <w:pPr>
              <w:pStyle w:val="TableText"/>
              <w:numPr>
                <w:ilvl w:val="0"/>
                <w:numId w:val="2"/>
              </w:numPr>
              <w:ind w:left="232" w:hanging="180"/>
            </w:pPr>
            <w:r w:rsidRPr="001D78AE">
              <w:t>Consistently following the daily, weekly monthly check list to ensure Dentrix Enterprise data is accurate.</w:t>
            </w:r>
          </w:p>
        </w:tc>
        <w:tc>
          <w:tcPr>
            <w:tcW w:w="1531" w:type="pct"/>
          </w:tcPr>
          <w:p w14:paraId="47D3DEBF" w14:textId="77777777" w:rsidR="000C3B1E" w:rsidRPr="00EF587A" w:rsidRDefault="000C3B1E" w:rsidP="009F357F">
            <w:pPr>
              <w:pStyle w:val="TableText"/>
            </w:pPr>
            <w:r>
              <w:t>Report data will be inaccurate, dental teams will not be properly utilized and patient care could be reduced.</w:t>
            </w:r>
          </w:p>
        </w:tc>
      </w:tr>
      <w:tr w:rsidR="00C1739B" w:rsidRPr="008A47C3" w14:paraId="2BB03184" w14:textId="77777777" w:rsidTr="00A10575">
        <w:trPr>
          <w:cantSplit/>
          <w:trHeight w:val="428"/>
        </w:trPr>
        <w:tc>
          <w:tcPr>
            <w:tcW w:w="5000" w:type="pct"/>
            <w:gridSpan w:val="3"/>
            <w:shd w:val="clear" w:color="auto" w:fill="D5DCE4" w:themeFill="text2" w:themeFillTint="33"/>
            <w:vAlign w:val="center"/>
          </w:tcPr>
          <w:p w14:paraId="0392A427" w14:textId="215B925B" w:rsidR="00C1739B" w:rsidRPr="008A47C3" w:rsidRDefault="00C1739B" w:rsidP="00ED67B1">
            <w:pPr>
              <w:pStyle w:val="Heading4"/>
            </w:pPr>
            <w:bookmarkStart w:id="419" w:name="_OHSS_Report"/>
            <w:bookmarkEnd w:id="419"/>
            <w:r w:rsidRPr="00F46E06">
              <w:t>OHSS Report</w:t>
            </w:r>
            <w:r w:rsidR="00F17BA0">
              <w:tab/>
            </w:r>
            <w:hyperlink w:anchor="_Daily,_Weekly,_Monthly" w:history="1">
              <w:r w:rsidR="00F026E6" w:rsidRPr="00FF74B1">
                <w:rPr>
                  <w:rStyle w:val="Hyperlink"/>
                  <w:b w:val="0"/>
                  <w:bCs/>
                  <w:sz w:val="16"/>
                  <w:szCs w:val="18"/>
                </w:rPr>
                <w:t>Return to Administrative Reports Checklist</w:t>
              </w:r>
            </w:hyperlink>
          </w:p>
        </w:tc>
      </w:tr>
      <w:tr w:rsidR="00ED67B1" w:rsidRPr="008A47C3" w14:paraId="01133209" w14:textId="77777777" w:rsidTr="00A10575">
        <w:trPr>
          <w:cantSplit/>
          <w:trHeight w:val="428"/>
        </w:trPr>
        <w:tc>
          <w:tcPr>
            <w:tcW w:w="1941" w:type="pct"/>
            <w:vAlign w:val="center"/>
          </w:tcPr>
          <w:p w14:paraId="3C2EDD59" w14:textId="0CAC708C" w:rsidR="00ED67B1" w:rsidRPr="008A47C3" w:rsidRDefault="00ED67B1" w:rsidP="00ED67B1">
            <w:pPr>
              <w:pStyle w:val="TableText"/>
              <w:jc w:val="center"/>
            </w:pPr>
            <w:r w:rsidRPr="00912847">
              <w:rPr>
                <w:b/>
                <w:bCs/>
              </w:rPr>
              <w:t>Objective</w:t>
            </w:r>
          </w:p>
        </w:tc>
        <w:tc>
          <w:tcPr>
            <w:tcW w:w="1528" w:type="pct"/>
            <w:vAlign w:val="center"/>
          </w:tcPr>
          <w:p w14:paraId="6CEE7A2E" w14:textId="4E666946"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49E18808" w14:textId="77777777" w:rsidR="00ED67B1" w:rsidRPr="009A1DE7" w:rsidRDefault="00ED67B1" w:rsidP="00ED67B1">
            <w:pPr>
              <w:pStyle w:val="TableText"/>
              <w:jc w:val="center"/>
            </w:pPr>
            <w:r w:rsidRPr="00912847">
              <w:rPr>
                <w:b/>
                <w:bCs/>
              </w:rPr>
              <w:t>Warning</w:t>
            </w:r>
          </w:p>
          <w:p w14:paraId="13D22CF3" w14:textId="6C2C806F"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C1739B" w:rsidRPr="00EE4BD6" w14:paraId="4079C3F6" w14:textId="77777777" w:rsidTr="00A10575">
        <w:trPr>
          <w:cantSplit/>
          <w:trHeight w:val="244"/>
        </w:trPr>
        <w:tc>
          <w:tcPr>
            <w:tcW w:w="1941" w:type="pct"/>
          </w:tcPr>
          <w:p w14:paraId="5F9DBB7A" w14:textId="77777777" w:rsidR="00C1739B" w:rsidRDefault="00C1739B" w:rsidP="009F357F">
            <w:pPr>
              <w:pStyle w:val="TableText"/>
              <w:keepNext/>
              <w:keepLines/>
            </w:pPr>
            <w:r>
              <w:t xml:space="preserve">For various age ranges, identify how many patients have caries and </w:t>
            </w:r>
          </w:p>
          <w:p w14:paraId="412E2F95" w14:textId="77777777" w:rsidR="00C1739B" w:rsidRPr="009A1DE7" w:rsidRDefault="00C1739B" w:rsidP="009F357F">
            <w:pPr>
              <w:pStyle w:val="TableText"/>
              <w:keepNext/>
              <w:keepLines/>
            </w:pPr>
            <w:r>
              <w:t>how many do not, the number of patients with certain conditions, and patients’ period measurements.</w:t>
            </w:r>
          </w:p>
        </w:tc>
        <w:tc>
          <w:tcPr>
            <w:tcW w:w="1528" w:type="pct"/>
          </w:tcPr>
          <w:p w14:paraId="23E42F10" w14:textId="77777777" w:rsidR="00C1739B" w:rsidRDefault="00C1739B" w:rsidP="009F357F">
            <w:pPr>
              <w:pStyle w:val="TableText"/>
              <w:keepNext/>
              <w:keepLines/>
              <w:numPr>
                <w:ilvl w:val="0"/>
                <w:numId w:val="2"/>
              </w:numPr>
              <w:ind w:left="232" w:hanging="180"/>
            </w:pPr>
            <w:r w:rsidRPr="001D78AE">
              <w:t>Proper patient registration and charting completed.</w:t>
            </w:r>
          </w:p>
          <w:p w14:paraId="03EE3AAE" w14:textId="77777777" w:rsidR="00C1739B" w:rsidRPr="009A1DE7" w:rsidRDefault="00C1739B" w:rsidP="009F357F">
            <w:pPr>
              <w:pStyle w:val="TableText"/>
              <w:keepNext/>
              <w:keepLines/>
              <w:numPr>
                <w:ilvl w:val="0"/>
                <w:numId w:val="2"/>
              </w:numPr>
              <w:ind w:left="232" w:hanging="180"/>
            </w:pPr>
            <w:r w:rsidRPr="001D78AE">
              <w:t>Consistently following the daily, weekly monthly check list to ensure Dentrix Enterprise data is accurate.</w:t>
            </w:r>
          </w:p>
        </w:tc>
        <w:tc>
          <w:tcPr>
            <w:tcW w:w="1531" w:type="pct"/>
          </w:tcPr>
          <w:p w14:paraId="654DCBB9" w14:textId="77777777" w:rsidR="00C1739B" w:rsidRPr="00EF587A" w:rsidRDefault="00C1739B" w:rsidP="009F357F">
            <w:pPr>
              <w:pStyle w:val="TableText"/>
              <w:keepNext/>
              <w:keepLines/>
            </w:pPr>
            <w:r w:rsidRPr="001D78AE">
              <w:t>Report data will be inaccurate and patient care not optimized.</w:t>
            </w:r>
          </w:p>
        </w:tc>
      </w:tr>
    </w:tbl>
    <w:p w14:paraId="70F30492" w14:textId="77777777" w:rsidR="009E00C1" w:rsidRDefault="009E00C1">
      <w:pPr>
        <w:rPr>
          <w:b/>
          <w:iCs/>
        </w:rPr>
      </w:pPr>
    </w:p>
    <w:p w14:paraId="36D35553" w14:textId="77777777" w:rsidR="009E00C1" w:rsidRDefault="009E00C1">
      <w:pPr>
        <w:spacing w:after="0"/>
        <w:rPr>
          <w:b/>
          <w:iCs/>
        </w:rPr>
      </w:pPr>
      <w:r>
        <w:rPr>
          <w:b/>
          <w:iCs/>
        </w:rPr>
        <w:br w:type="page"/>
      </w:r>
    </w:p>
    <w:tbl>
      <w:tblPr>
        <w:tblStyle w:val="TableGrid"/>
        <w:tblW w:w="13061"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130"/>
        <w:gridCol w:w="3960"/>
        <w:gridCol w:w="3971"/>
      </w:tblGrid>
      <w:tr w:rsidR="009E00C1" w:rsidRPr="00EE4BD6" w14:paraId="31C479FD" w14:textId="77777777" w:rsidTr="00B47A80">
        <w:trPr>
          <w:cantSplit/>
          <w:tblHeader/>
        </w:trPr>
        <w:tc>
          <w:tcPr>
            <w:tcW w:w="5000" w:type="pct"/>
            <w:gridSpan w:val="3"/>
            <w:shd w:val="clear" w:color="auto" w:fill="D9E2F3" w:themeFill="accent5" w:themeFillTint="33"/>
            <w:vAlign w:val="center"/>
          </w:tcPr>
          <w:p w14:paraId="647D30C2" w14:textId="517302AA" w:rsidR="009E00C1" w:rsidRPr="00912847" w:rsidRDefault="009E00C1" w:rsidP="00B47A80">
            <w:pPr>
              <w:pStyle w:val="Heading4"/>
            </w:pPr>
            <w:bookmarkStart w:id="420" w:name="_Oral_Health_Status_2"/>
            <w:bookmarkEnd w:id="420"/>
            <w:r w:rsidRPr="006E5910">
              <w:lastRenderedPageBreak/>
              <w:t>Oral Health Status Report</w:t>
            </w:r>
            <w:r>
              <w:tab/>
            </w:r>
            <w:hyperlink w:anchor="_Daily,_Weekly,_Monthly" w:history="1">
              <w:r w:rsidR="00F17BA0" w:rsidRPr="00FF74B1">
                <w:rPr>
                  <w:rStyle w:val="Hyperlink"/>
                  <w:b w:val="0"/>
                  <w:bCs/>
                  <w:sz w:val="16"/>
                  <w:szCs w:val="18"/>
                </w:rPr>
                <w:t>Return to Administrative Reports Checklist</w:t>
              </w:r>
            </w:hyperlink>
          </w:p>
        </w:tc>
      </w:tr>
      <w:tr w:rsidR="00F17BA0" w:rsidRPr="00EE4BD6" w14:paraId="35541640" w14:textId="77777777" w:rsidTr="00F17BA0">
        <w:trPr>
          <w:cantSplit/>
          <w:tblHeader/>
        </w:trPr>
        <w:tc>
          <w:tcPr>
            <w:tcW w:w="1964" w:type="pct"/>
            <w:vAlign w:val="center"/>
          </w:tcPr>
          <w:p w14:paraId="33F1617B" w14:textId="576EDF1B" w:rsidR="00F17BA0" w:rsidRPr="00912847" w:rsidRDefault="00F17BA0" w:rsidP="00B47A80">
            <w:pPr>
              <w:pStyle w:val="TableText"/>
              <w:jc w:val="center"/>
              <w:rPr>
                <w:b/>
                <w:bCs/>
              </w:rPr>
            </w:pPr>
            <w:r w:rsidRPr="00912847">
              <w:rPr>
                <w:b/>
                <w:bCs/>
              </w:rPr>
              <w:t>Objective</w:t>
            </w:r>
          </w:p>
        </w:tc>
        <w:tc>
          <w:tcPr>
            <w:tcW w:w="1516" w:type="pct"/>
            <w:vAlign w:val="center"/>
          </w:tcPr>
          <w:p w14:paraId="4E3569F3" w14:textId="77777777" w:rsidR="00F17BA0" w:rsidRPr="00912847" w:rsidRDefault="00F17BA0" w:rsidP="00B47A80">
            <w:pPr>
              <w:pStyle w:val="TableText"/>
              <w:jc w:val="center"/>
              <w:rPr>
                <w:b/>
                <w:bCs/>
              </w:rPr>
            </w:pPr>
            <w:r w:rsidRPr="00912847">
              <w:rPr>
                <w:b/>
                <w:bCs/>
              </w:rPr>
              <w:t>Dependencies and Possible Actions or Corrections Needed to Meet Objective</w:t>
            </w:r>
          </w:p>
        </w:tc>
        <w:tc>
          <w:tcPr>
            <w:tcW w:w="1520" w:type="pct"/>
            <w:vAlign w:val="center"/>
          </w:tcPr>
          <w:p w14:paraId="2AF8D61C" w14:textId="77777777" w:rsidR="00F17BA0" w:rsidRPr="009A1DE7" w:rsidRDefault="00F17BA0" w:rsidP="00B47A80">
            <w:pPr>
              <w:pStyle w:val="TableText"/>
              <w:jc w:val="center"/>
            </w:pPr>
            <w:r w:rsidRPr="00912847">
              <w:rPr>
                <w:b/>
                <w:bCs/>
              </w:rPr>
              <w:t>Warning</w:t>
            </w:r>
          </w:p>
          <w:p w14:paraId="7F4C833F" w14:textId="52CAD75B" w:rsidR="00F17BA0" w:rsidRPr="009A1DE7" w:rsidRDefault="00F17BA0" w:rsidP="00B47A80">
            <w:pPr>
              <w:pStyle w:val="TableText"/>
              <w:jc w:val="center"/>
            </w:pPr>
            <w:r w:rsidRPr="009A1DE7">
              <w:rPr>
                <w:i/>
                <w:iCs/>
              </w:rPr>
              <w:t>Not following the recommendations may yield the</w:t>
            </w:r>
            <w:r>
              <w:rPr>
                <w:i/>
                <w:iCs/>
              </w:rPr>
              <w:t>se</w:t>
            </w:r>
            <w:r w:rsidRPr="009A1DE7">
              <w:rPr>
                <w:i/>
                <w:iCs/>
              </w:rPr>
              <w:t xml:space="preserve"> unintended results.</w:t>
            </w:r>
          </w:p>
        </w:tc>
      </w:tr>
      <w:tr w:rsidR="00F17BA0" w:rsidRPr="00EE4BD6" w14:paraId="3B04583C" w14:textId="77777777" w:rsidTr="00F17BA0">
        <w:trPr>
          <w:cantSplit/>
          <w:trHeight w:val="428"/>
        </w:trPr>
        <w:tc>
          <w:tcPr>
            <w:tcW w:w="1964" w:type="pct"/>
          </w:tcPr>
          <w:p w14:paraId="356F9286" w14:textId="19CA4477" w:rsidR="00F17BA0" w:rsidRPr="009A1DE7" w:rsidRDefault="00F17BA0" w:rsidP="00B47A80">
            <w:pPr>
              <w:pStyle w:val="TableText"/>
            </w:pPr>
            <w:r>
              <w:t>Identify high-risk dental patients for contact and follow up.</w:t>
            </w:r>
          </w:p>
        </w:tc>
        <w:tc>
          <w:tcPr>
            <w:tcW w:w="1516" w:type="pct"/>
          </w:tcPr>
          <w:p w14:paraId="1454EAF6" w14:textId="77777777" w:rsidR="00F17BA0" w:rsidRDefault="00F17BA0" w:rsidP="00B47A80">
            <w:pPr>
              <w:pStyle w:val="TableText"/>
              <w:keepNext/>
              <w:keepLines/>
              <w:numPr>
                <w:ilvl w:val="0"/>
                <w:numId w:val="2"/>
              </w:numPr>
              <w:ind w:left="232" w:hanging="180"/>
            </w:pPr>
            <w:r>
              <w:t>OHS tool is routinely used in order to populate OHS Report data.</w:t>
            </w:r>
          </w:p>
          <w:p w14:paraId="18C68F66" w14:textId="77777777" w:rsidR="00F17BA0" w:rsidRDefault="00F17BA0" w:rsidP="00B47A80">
            <w:pPr>
              <w:pStyle w:val="TableText"/>
              <w:keepNext/>
              <w:keepLines/>
              <w:numPr>
                <w:ilvl w:val="0"/>
                <w:numId w:val="2"/>
              </w:numPr>
              <w:ind w:left="232" w:hanging="180"/>
            </w:pPr>
            <w:r>
              <w:t>Conduct chart audits for non-compliance.</w:t>
            </w:r>
          </w:p>
          <w:p w14:paraId="14780018" w14:textId="77777777" w:rsidR="00F17BA0" w:rsidRPr="009A1DE7" w:rsidRDefault="00F17BA0" w:rsidP="00B47A80">
            <w:pPr>
              <w:pStyle w:val="TableText"/>
              <w:numPr>
                <w:ilvl w:val="0"/>
                <w:numId w:val="2"/>
              </w:numPr>
              <w:ind w:left="232" w:hanging="180"/>
            </w:pPr>
            <w:r>
              <w:t>Re-educate on process for completion of OHS metrics.</w:t>
            </w:r>
          </w:p>
        </w:tc>
        <w:tc>
          <w:tcPr>
            <w:tcW w:w="1520" w:type="pct"/>
          </w:tcPr>
          <w:p w14:paraId="45788147" w14:textId="2FBADC75" w:rsidR="00F17BA0" w:rsidRPr="00F17BA0" w:rsidRDefault="00F17BA0" w:rsidP="00F17BA0">
            <w:pPr>
              <w:pStyle w:val="TableText"/>
            </w:pPr>
            <w:r>
              <w:t>If</w:t>
            </w:r>
            <w:r w:rsidRPr="003F4C43">
              <w:t xml:space="preserve"> the OHS </w:t>
            </w:r>
            <w:r>
              <w:t>metrics</w:t>
            </w:r>
            <w:r w:rsidRPr="003F4C43">
              <w:t xml:space="preserve"> </w:t>
            </w:r>
            <w:r>
              <w:t xml:space="preserve">are not completed </w:t>
            </w:r>
            <w:r w:rsidRPr="003F4C43">
              <w:t>at patient visits</w:t>
            </w:r>
            <w:r>
              <w:t xml:space="preserve">, and </w:t>
            </w:r>
            <w:r w:rsidRPr="003F4C43">
              <w:t>subsequent reports</w:t>
            </w:r>
            <w:r>
              <w:t xml:space="preserve"> are not run</w:t>
            </w:r>
            <w:r w:rsidRPr="003F4C43">
              <w:t>,</w:t>
            </w:r>
            <w:r>
              <w:t xml:space="preserve"> you cannot effectively identify and follow up</w:t>
            </w:r>
            <w:r w:rsidRPr="003F4C43">
              <w:t xml:space="preserve"> </w:t>
            </w:r>
            <w:r>
              <w:t>with</w:t>
            </w:r>
            <w:r w:rsidRPr="003F4C43">
              <w:t xml:space="preserve"> high</w:t>
            </w:r>
            <w:r>
              <w:t>-</w:t>
            </w:r>
            <w:r w:rsidRPr="003F4C43">
              <w:t>risk patients.</w:t>
            </w:r>
          </w:p>
        </w:tc>
      </w:tr>
      <w:tr w:rsidR="009E00C1" w:rsidRPr="00E92EA5" w14:paraId="633A1391" w14:textId="77777777" w:rsidTr="00B47A80">
        <w:trPr>
          <w:cantSplit/>
          <w:trHeight w:val="428"/>
        </w:trPr>
        <w:tc>
          <w:tcPr>
            <w:tcW w:w="5000" w:type="pct"/>
            <w:gridSpan w:val="3"/>
            <w:shd w:val="clear" w:color="auto" w:fill="D9E2F3" w:themeFill="accent5" w:themeFillTint="33"/>
            <w:vAlign w:val="center"/>
          </w:tcPr>
          <w:p w14:paraId="30B9CEAA" w14:textId="00E686BE" w:rsidR="009E00C1" w:rsidRPr="00E92EA5" w:rsidRDefault="009E00C1" w:rsidP="00B47A80">
            <w:pPr>
              <w:pStyle w:val="Heading4"/>
              <w:tabs>
                <w:tab w:val="clear" w:pos="12960"/>
                <w:tab w:val="right" w:pos="12979"/>
              </w:tabs>
            </w:pPr>
            <w:bookmarkStart w:id="421" w:name="_OHS_Outcome_after_1"/>
            <w:bookmarkEnd w:id="421"/>
            <w:r w:rsidRPr="00B16C98">
              <w:rPr>
                <w:color w:val="auto"/>
              </w:rPr>
              <w:t>OHS Outcome after Appointment Report</w:t>
            </w:r>
            <w:r>
              <w:rPr>
                <w:color w:val="auto"/>
              </w:rPr>
              <w:tab/>
            </w:r>
            <w:hyperlink w:anchor="_Daily,_Weekly,_Monthly" w:history="1">
              <w:r w:rsidR="00F17BA0" w:rsidRPr="00FF74B1">
                <w:rPr>
                  <w:rStyle w:val="Hyperlink"/>
                  <w:b w:val="0"/>
                  <w:bCs/>
                  <w:sz w:val="16"/>
                  <w:szCs w:val="18"/>
                </w:rPr>
                <w:t>Return to Administrative Reports Checklist</w:t>
              </w:r>
            </w:hyperlink>
          </w:p>
        </w:tc>
      </w:tr>
      <w:tr w:rsidR="00F17BA0" w14:paraId="091DA89E" w14:textId="77777777" w:rsidTr="00F17BA0">
        <w:trPr>
          <w:cantSplit/>
          <w:trHeight w:val="428"/>
        </w:trPr>
        <w:tc>
          <w:tcPr>
            <w:tcW w:w="1964" w:type="pct"/>
            <w:vAlign w:val="center"/>
          </w:tcPr>
          <w:p w14:paraId="624677F9" w14:textId="4CCB253F" w:rsidR="00F17BA0" w:rsidRPr="00837A86" w:rsidRDefault="00F17BA0" w:rsidP="00B47A80">
            <w:pPr>
              <w:pStyle w:val="TableText"/>
              <w:jc w:val="center"/>
            </w:pPr>
            <w:r w:rsidRPr="00912847">
              <w:rPr>
                <w:b/>
                <w:bCs/>
              </w:rPr>
              <w:t>Objective</w:t>
            </w:r>
          </w:p>
        </w:tc>
        <w:tc>
          <w:tcPr>
            <w:tcW w:w="1516" w:type="pct"/>
            <w:vAlign w:val="center"/>
          </w:tcPr>
          <w:p w14:paraId="44757D20" w14:textId="77777777" w:rsidR="00F17BA0" w:rsidRPr="00837A86" w:rsidRDefault="00F17BA0" w:rsidP="00B47A80">
            <w:pPr>
              <w:pStyle w:val="TableText"/>
              <w:keepNext/>
              <w:keepLines/>
              <w:jc w:val="center"/>
            </w:pPr>
            <w:r w:rsidRPr="00912847">
              <w:rPr>
                <w:b/>
                <w:bCs/>
              </w:rPr>
              <w:t>Dependencies and Possible Actions or Corrections Needed to Meet Objective</w:t>
            </w:r>
          </w:p>
        </w:tc>
        <w:tc>
          <w:tcPr>
            <w:tcW w:w="1520" w:type="pct"/>
            <w:vAlign w:val="center"/>
          </w:tcPr>
          <w:p w14:paraId="31CC1D15" w14:textId="77777777" w:rsidR="00F17BA0" w:rsidRPr="009A1DE7" w:rsidRDefault="00F17BA0" w:rsidP="00B47A80">
            <w:pPr>
              <w:pStyle w:val="TableText"/>
              <w:jc w:val="center"/>
            </w:pPr>
            <w:r w:rsidRPr="00912847">
              <w:rPr>
                <w:b/>
                <w:bCs/>
              </w:rPr>
              <w:t>Warning</w:t>
            </w:r>
          </w:p>
          <w:p w14:paraId="6B391D15" w14:textId="5D662717" w:rsidR="00F17BA0" w:rsidRDefault="00F17BA0" w:rsidP="00B47A80">
            <w:pPr>
              <w:pStyle w:val="TableText"/>
              <w:spacing w:after="0"/>
              <w:jc w:val="center"/>
            </w:pPr>
            <w:r w:rsidRPr="009A1DE7">
              <w:rPr>
                <w:i/>
                <w:iCs/>
              </w:rPr>
              <w:t>Not following the recommendations may yield the</w:t>
            </w:r>
            <w:r>
              <w:rPr>
                <w:i/>
                <w:iCs/>
              </w:rPr>
              <w:t>se</w:t>
            </w:r>
            <w:r w:rsidRPr="009A1DE7">
              <w:rPr>
                <w:i/>
                <w:iCs/>
              </w:rPr>
              <w:t xml:space="preserve"> unintended results.</w:t>
            </w:r>
          </w:p>
        </w:tc>
      </w:tr>
      <w:tr w:rsidR="00F17BA0" w:rsidRPr="00EF587A" w14:paraId="7C1579CD" w14:textId="77777777" w:rsidTr="00F17BA0">
        <w:trPr>
          <w:cantSplit/>
          <w:trHeight w:val="428"/>
        </w:trPr>
        <w:tc>
          <w:tcPr>
            <w:tcW w:w="1964" w:type="pct"/>
          </w:tcPr>
          <w:p w14:paraId="38290CEE" w14:textId="00EA6BAF" w:rsidR="00F17BA0" w:rsidRPr="009A1DE7" w:rsidRDefault="00F17BA0" w:rsidP="00B47A80">
            <w:pPr>
              <w:pStyle w:val="TableText"/>
            </w:pPr>
            <w:r>
              <w:t>Measure</w:t>
            </w:r>
            <w:r w:rsidRPr="00BB2D77">
              <w:t xml:space="preserve"> changes in oral health after appointments, which may indicate the benefit or effectiveness of treatment performed.</w:t>
            </w:r>
          </w:p>
        </w:tc>
        <w:tc>
          <w:tcPr>
            <w:tcW w:w="1516" w:type="pct"/>
          </w:tcPr>
          <w:p w14:paraId="19E1E9F8" w14:textId="77777777" w:rsidR="00F17BA0" w:rsidRDefault="00F17BA0" w:rsidP="00B47A80">
            <w:pPr>
              <w:pStyle w:val="TableText"/>
              <w:keepNext/>
              <w:keepLines/>
              <w:numPr>
                <w:ilvl w:val="0"/>
                <w:numId w:val="2"/>
              </w:numPr>
              <w:ind w:left="232" w:hanging="180"/>
            </w:pPr>
            <w:r>
              <w:t>OHS tool is routinely used in order to populate OHS Report data.</w:t>
            </w:r>
          </w:p>
          <w:p w14:paraId="0AD98AF7" w14:textId="77777777" w:rsidR="00F17BA0" w:rsidRDefault="00F17BA0" w:rsidP="00B47A80">
            <w:pPr>
              <w:pStyle w:val="TableText"/>
              <w:keepNext/>
              <w:keepLines/>
              <w:numPr>
                <w:ilvl w:val="0"/>
                <w:numId w:val="2"/>
              </w:numPr>
              <w:ind w:left="232" w:hanging="180"/>
            </w:pPr>
            <w:r>
              <w:t>Conduct chart audits for non-compliance.</w:t>
            </w:r>
          </w:p>
          <w:p w14:paraId="56B4DE3A" w14:textId="77777777" w:rsidR="00F17BA0" w:rsidRPr="009A1DE7" w:rsidRDefault="00F17BA0" w:rsidP="00B47A80">
            <w:pPr>
              <w:pStyle w:val="TableText"/>
              <w:numPr>
                <w:ilvl w:val="0"/>
                <w:numId w:val="2"/>
              </w:numPr>
              <w:ind w:left="232" w:hanging="180"/>
            </w:pPr>
            <w:r>
              <w:t>Re-educate on process for completion of OHS metrics.</w:t>
            </w:r>
          </w:p>
        </w:tc>
        <w:tc>
          <w:tcPr>
            <w:tcW w:w="1520" w:type="pct"/>
          </w:tcPr>
          <w:p w14:paraId="229653B1" w14:textId="75A3966C" w:rsidR="00F17BA0" w:rsidRPr="00F17BA0" w:rsidRDefault="00F17BA0" w:rsidP="00F17BA0">
            <w:pPr>
              <w:pStyle w:val="TableText"/>
            </w:pPr>
            <w:r>
              <w:t>If</w:t>
            </w:r>
            <w:r w:rsidRPr="003F4C43">
              <w:t xml:space="preserve"> the OHS </w:t>
            </w:r>
            <w:r>
              <w:t>metrics</w:t>
            </w:r>
            <w:r w:rsidRPr="003F4C43">
              <w:t xml:space="preserve"> </w:t>
            </w:r>
            <w:r>
              <w:t xml:space="preserve">are not completed </w:t>
            </w:r>
            <w:r w:rsidRPr="003F4C43">
              <w:t>at patient visits</w:t>
            </w:r>
            <w:r>
              <w:t>, and this</w:t>
            </w:r>
            <w:r w:rsidRPr="003F4C43">
              <w:t xml:space="preserve"> reports</w:t>
            </w:r>
            <w:r>
              <w:t xml:space="preserve"> is not run</w:t>
            </w:r>
            <w:r w:rsidRPr="003F4C43">
              <w:t>,</w:t>
            </w:r>
            <w:r>
              <w:t xml:space="preserve"> you cannot effectively identify the benefits of treatments performed</w:t>
            </w:r>
            <w:r w:rsidRPr="003F4C43">
              <w:t>.</w:t>
            </w:r>
          </w:p>
        </w:tc>
      </w:tr>
    </w:tbl>
    <w:p w14:paraId="47845959" w14:textId="3603474E" w:rsidR="00A10575" w:rsidRDefault="00A10575">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C1739B" w:rsidRPr="008A47C3" w14:paraId="697B1E0A" w14:textId="77777777" w:rsidTr="00A10575">
        <w:trPr>
          <w:cantSplit/>
          <w:trHeight w:val="428"/>
        </w:trPr>
        <w:tc>
          <w:tcPr>
            <w:tcW w:w="5000" w:type="pct"/>
            <w:gridSpan w:val="3"/>
            <w:shd w:val="clear" w:color="auto" w:fill="D5DCE4" w:themeFill="text2" w:themeFillTint="33"/>
            <w:vAlign w:val="center"/>
          </w:tcPr>
          <w:p w14:paraId="23896883" w14:textId="02978987" w:rsidR="00C1739B" w:rsidRPr="008A47C3" w:rsidRDefault="00C1739B" w:rsidP="00ED67B1">
            <w:pPr>
              <w:pStyle w:val="Heading4"/>
            </w:pPr>
            <w:bookmarkStart w:id="422" w:name="_Dentist_Activity_Reports"/>
            <w:bookmarkEnd w:id="422"/>
            <w:r w:rsidRPr="00F46E06">
              <w:lastRenderedPageBreak/>
              <w:t>Dentist Activity Reports</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2D6DBF88" w14:textId="77777777" w:rsidTr="00A10575">
        <w:trPr>
          <w:cantSplit/>
          <w:trHeight w:val="428"/>
        </w:trPr>
        <w:tc>
          <w:tcPr>
            <w:tcW w:w="1941" w:type="pct"/>
            <w:vAlign w:val="center"/>
          </w:tcPr>
          <w:p w14:paraId="2A364CCD" w14:textId="1B2CCF2D" w:rsidR="00ED67B1" w:rsidRPr="008A47C3" w:rsidRDefault="00ED67B1" w:rsidP="00ED67B1">
            <w:pPr>
              <w:pStyle w:val="TableText"/>
              <w:jc w:val="center"/>
            </w:pPr>
            <w:r w:rsidRPr="00912847">
              <w:rPr>
                <w:b/>
                <w:bCs/>
              </w:rPr>
              <w:t>Objective</w:t>
            </w:r>
          </w:p>
        </w:tc>
        <w:tc>
          <w:tcPr>
            <w:tcW w:w="1528" w:type="pct"/>
            <w:vAlign w:val="center"/>
          </w:tcPr>
          <w:p w14:paraId="002D2793" w14:textId="2114C199"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3453D2AA" w14:textId="77777777" w:rsidR="00ED67B1" w:rsidRPr="009A1DE7" w:rsidRDefault="00ED67B1" w:rsidP="00ED67B1">
            <w:pPr>
              <w:pStyle w:val="TableText"/>
              <w:jc w:val="center"/>
            </w:pPr>
            <w:r w:rsidRPr="00912847">
              <w:rPr>
                <w:b/>
                <w:bCs/>
              </w:rPr>
              <w:t>Warning</w:t>
            </w:r>
          </w:p>
          <w:p w14:paraId="5F53D05F" w14:textId="0EC5938F"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C1739B" w:rsidRPr="00EE4BD6" w14:paraId="6142C7C3" w14:textId="77777777" w:rsidTr="00A10575">
        <w:trPr>
          <w:cantSplit/>
          <w:trHeight w:val="244"/>
        </w:trPr>
        <w:tc>
          <w:tcPr>
            <w:tcW w:w="1941" w:type="pct"/>
          </w:tcPr>
          <w:p w14:paraId="78B8CB65" w14:textId="77777777" w:rsidR="00C1739B" w:rsidRPr="009A1DE7" w:rsidRDefault="00C1739B" w:rsidP="00C1739B">
            <w:pPr>
              <w:pStyle w:val="TableText"/>
              <w:keepNext/>
              <w:keepLines/>
            </w:pPr>
            <w:r w:rsidRPr="001D78AE">
              <w:t>Display the number of patients seen by each</w:t>
            </w:r>
            <w:r>
              <w:t xml:space="preserve"> </w:t>
            </w:r>
            <w:r w:rsidRPr="001D78AE">
              <w:t>provider and the types of treatment given. Also, the report displays the RVUs (relative value units) and RVU percentages for the treatment provided.</w:t>
            </w:r>
          </w:p>
        </w:tc>
        <w:tc>
          <w:tcPr>
            <w:tcW w:w="1528" w:type="pct"/>
          </w:tcPr>
          <w:p w14:paraId="645FE663" w14:textId="77777777" w:rsidR="00C1739B" w:rsidRDefault="00C1739B" w:rsidP="00C1739B">
            <w:pPr>
              <w:pStyle w:val="TableText"/>
              <w:keepNext/>
              <w:keepLines/>
              <w:numPr>
                <w:ilvl w:val="0"/>
                <w:numId w:val="2"/>
              </w:numPr>
              <w:ind w:left="232" w:hanging="180"/>
            </w:pPr>
            <w:r w:rsidRPr="001D78AE">
              <w:t>IHS condition codes and ADA codes are posted to the correct provider.</w:t>
            </w:r>
          </w:p>
          <w:p w14:paraId="4E16582E" w14:textId="77777777" w:rsidR="00C1739B" w:rsidRPr="009A1DE7" w:rsidRDefault="00C1739B" w:rsidP="00C1739B">
            <w:pPr>
              <w:pStyle w:val="TableText"/>
              <w:keepNext/>
              <w:keepLines/>
              <w:numPr>
                <w:ilvl w:val="0"/>
                <w:numId w:val="2"/>
              </w:numPr>
              <w:ind w:left="232" w:hanging="180"/>
            </w:pPr>
            <w:r w:rsidRPr="001D78AE">
              <w:t>Consistently following the daily, weekly monthly check list to ensure Dentrix Enterprise data is accurate.</w:t>
            </w:r>
          </w:p>
        </w:tc>
        <w:tc>
          <w:tcPr>
            <w:tcW w:w="1531" w:type="pct"/>
          </w:tcPr>
          <w:p w14:paraId="4A41ABFC" w14:textId="77777777" w:rsidR="00C1739B" w:rsidRPr="00EF587A" w:rsidRDefault="00C1739B" w:rsidP="00C1739B">
            <w:pPr>
              <w:pStyle w:val="TableText"/>
              <w:keepNext/>
              <w:keepLines/>
            </w:pPr>
            <w:r>
              <w:t>Report data will be inaccurate, dental teams will not be properly utilized and patient care could be reduced.</w:t>
            </w:r>
          </w:p>
        </w:tc>
      </w:tr>
      <w:tr w:rsidR="00C1739B" w:rsidRPr="008A47C3" w14:paraId="2B7A7623" w14:textId="77777777" w:rsidTr="00A10575">
        <w:trPr>
          <w:cantSplit/>
          <w:trHeight w:val="428"/>
        </w:trPr>
        <w:tc>
          <w:tcPr>
            <w:tcW w:w="5000" w:type="pct"/>
            <w:gridSpan w:val="3"/>
            <w:shd w:val="clear" w:color="auto" w:fill="D5DCE4" w:themeFill="text2" w:themeFillTint="33"/>
            <w:vAlign w:val="center"/>
          </w:tcPr>
          <w:p w14:paraId="62AD3FEE" w14:textId="2CB29FFB" w:rsidR="00C1739B" w:rsidRPr="008A47C3" w:rsidRDefault="00C1739B" w:rsidP="00ED67B1">
            <w:pPr>
              <w:pStyle w:val="Heading4"/>
            </w:pPr>
            <w:bookmarkStart w:id="423" w:name="_Dental_Hygienists_Activity"/>
            <w:bookmarkEnd w:id="423"/>
            <w:r w:rsidRPr="00F46E06">
              <w:t>Dental Hygienists Activity Reports</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43F7E2C4" w14:textId="77777777" w:rsidTr="00A10575">
        <w:trPr>
          <w:cantSplit/>
          <w:trHeight w:val="428"/>
        </w:trPr>
        <w:tc>
          <w:tcPr>
            <w:tcW w:w="1941" w:type="pct"/>
            <w:vAlign w:val="center"/>
          </w:tcPr>
          <w:p w14:paraId="351C67AF" w14:textId="54E8BD5E" w:rsidR="00ED67B1" w:rsidRPr="008A47C3" w:rsidRDefault="00ED67B1" w:rsidP="00ED67B1">
            <w:pPr>
              <w:pStyle w:val="TableText"/>
              <w:jc w:val="center"/>
            </w:pPr>
            <w:r w:rsidRPr="00912847">
              <w:rPr>
                <w:b/>
                <w:bCs/>
              </w:rPr>
              <w:t>Objective</w:t>
            </w:r>
          </w:p>
        </w:tc>
        <w:tc>
          <w:tcPr>
            <w:tcW w:w="1528" w:type="pct"/>
            <w:vAlign w:val="center"/>
          </w:tcPr>
          <w:p w14:paraId="1DC27041" w14:textId="7FB5B070"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783EAB1A" w14:textId="77777777" w:rsidR="00ED67B1" w:rsidRPr="009A1DE7" w:rsidRDefault="00ED67B1" w:rsidP="00ED67B1">
            <w:pPr>
              <w:pStyle w:val="TableText"/>
              <w:jc w:val="center"/>
            </w:pPr>
            <w:r w:rsidRPr="00912847">
              <w:rPr>
                <w:b/>
                <w:bCs/>
              </w:rPr>
              <w:t>Warning</w:t>
            </w:r>
          </w:p>
          <w:p w14:paraId="4759329F" w14:textId="1736EC60"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C1739B" w:rsidRPr="00EE4BD6" w14:paraId="5A116715" w14:textId="77777777" w:rsidTr="00A10575">
        <w:trPr>
          <w:cantSplit/>
          <w:trHeight w:val="270"/>
        </w:trPr>
        <w:tc>
          <w:tcPr>
            <w:tcW w:w="1941" w:type="pct"/>
          </w:tcPr>
          <w:p w14:paraId="6995640C" w14:textId="77777777" w:rsidR="00C1739B" w:rsidRPr="009A1DE7" w:rsidRDefault="00C1739B" w:rsidP="009F357F">
            <w:pPr>
              <w:pStyle w:val="TableText"/>
            </w:pPr>
            <w:r w:rsidRPr="001D78AE">
              <w:t>Display the number of patients seen by each secondary provider and the types of treatment given. Also, the report displays the</w:t>
            </w:r>
            <w:r>
              <w:t xml:space="preserve"> </w:t>
            </w:r>
            <w:r w:rsidRPr="001D78AE">
              <w:t>RVUs (relative value units) and RVU percentages for the treatment provided.</w:t>
            </w:r>
          </w:p>
        </w:tc>
        <w:tc>
          <w:tcPr>
            <w:tcW w:w="1528" w:type="pct"/>
          </w:tcPr>
          <w:p w14:paraId="232C2177" w14:textId="77777777" w:rsidR="00C1739B" w:rsidRDefault="00C1739B" w:rsidP="009F357F">
            <w:pPr>
              <w:pStyle w:val="TableText"/>
              <w:keepNext/>
              <w:keepLines/>
              <w:numPr>
                <w:ilvl w:val="0"/>
                <w:numId w:val="2"/>
              </w:numPr>
              <w:ind w:left="232" w:hanging="180"/>
            </w:pPr>
            <w:r w:rsidRPr="001D78AE">
              <w:t>IHS condition codes and ADA codes are posted to the correct provider.</w:t>
            </w:r>
          </w:p>
          <w:p w14:paraId="6F0C846E" w14:textId="77777777" w:rsidR="00C1739B" w:rsidRPr="009A1DE7" w:rsidRDefault="00C1739B" w:rsidP="009F357F">
            <w:pPr>
              <w:pStyle w:val="TableText"/>
              <w:numPr>
                <w:ilvl w:val="0"/>
                <w:numId w:val="2"/>
              </w:numPr>
              <w:ind w:left="232" w:hanging="180"/>
            </w:pPr>
            <w:r w:rsidRPr="001D78AE">
              <w:t>Consistently following the daily, weekly monthly check list to ensure Dentrix Enterprise data is accurate.</w:t>
            </w:r>
          </w:p>
        </w:tc>
        <w:tc>
          <w:tcPr>
            <w:tcW w:w="1531" w:type="pct"/>
          </w:tcPr>
          <w:p w14:paraId="4E4164A0" w14:textId="77777777" w:rsidR="00C1739B" w:rsidRPr="00EF587A" w:rsidRDefault="00C1739B" w:rsidP="009F357F">
            <w:pPr>
              <w:pStyle w:val="TableText"/>
            </w:pPr>
            <w:r>
              <w:t>Report data will be inaccurate, dental teams will not be properly utilized and patient care could be reduced.</w:t>
            </w:r>
          </w:p>
        </w:tc>
      </w:tr>
      <w:tr w:rsidR="007761C1" w:rsidRPr="008A47C3" w14:paraId="10491500" w14:textId="77777777" w:rsidTr="00A10575">
        <w:trPr>
          <w:cantSplit/>
          <w:trHeight w:val="428"/>
        </w:trPr>
        <w:tc>
          <w:tcPr>
            <w:tcW w:w="5000" w:type="pct"/>
            <w:gridSpan w:val="3"/>
            <w:shd w:val="clear" w:color="auto" w:fill="D5DCE4" w:themeFill="text2" w:themeFillTint="33"/>
            <w:vAlign w:val="center"/>
          </w:tcPr>
          <w:p w14:paraId="7682BAE7" w14:textId="4B0B5767" w:rsidR="007761C1" w:rsidRPr="008A47C3" w:rsidRDefault="007761C1" w:rsidP="00ED67B1">
            <w:pPr>
              <w:pStyle w:val="Heading4"/>
            </w:pPr>
            <w:bookmarkStart w:id="424" w:name="_Endodontic_Tooth_Access"/>
            <w:bookmarkEnd w:id="424"/>
            <w:r w:rsidRPr="00F46E06">
              <w:t>Endodontic Tooth Access Report</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6A8C80F0" w14:textId="77777777" w:rsidTr="00A10575">
        <w:trPr>
          <w:cantSplit/>
          <w:trHeight w:val="428"/>
        </w:trPr>
        <w:tc>
          <w:tcPr>
            <w:tcW w:w="1941" w:type="pct"/>
            <w:vAlign w:val="center"/>
          </w:tcPr>
          <w:p w14:paraId="3A645BAA" w14:textId="6493A473" w:rsidR="00ED67B1" w:rsidRPr="008A47C3" w:rsidRDefault="00ED67B1" w:rsidP="00ED67B1">
            <w:pPr>
              <w:pStyle w:val="TableText"/>
              <w:jc w:val="center"/>
            </w:pPr>
            <w:r w:rsidRPr="00912847">
              <w:rPr>
                <w:b/>
                <w:bCs/>
              </w:rPr>
              <w:t>Objective</w:t>
            </w:r>
          </w:p>
        </w:tc>
        <w:tc>
          <w:tcPr>
            <w:tcW w:w="1528" w:type="pct"/>
            <w:vAlign w:val="center"/>
          </w:tcPr>
          <w:p w14:paraId="371D64B2" w14:textId="0F18C45E"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443215E7" w14:textId="77777777" w:rsidR="00ED67B1" w:rsidRPr="009A1DE7" w:rsidRDefault="00ED67B1" w:rsidP="00ED67B1">
            <w:pPr>
              <w:pStyle w:val="TableText"/>
              <w:jc w:val="center"/>
            </w:pPr>
            <w:r w:rsidRPr="00912847">
              <w:rPr>
                <w:b/>
                <w:bCs/>
              </w:rPr>
              <w:t>Warning</w:t>
            </w:r>
          </w:p>
          <w:p w14:paraId="7DACD5A1" w14:textId="507F0AE5"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7761C1" w:rsidRPr="00EE4BD6" w14:paraId="4E528470" w14:textId="77777777" w:rsidTr="00A10575">
        <w:trPr>
          <w:cantSplit/>
          <w:trHeight w:val="428"/>
        </w:trPr>
        <w:tc>
          <w:tcPr>
            <w:tcW w:w="1941" w:type="pct"/>
          </w:tcPr>
          <w:p w14:paraId="405FAAE2" w14:textId="77777777" w:rsidR="007761C1" w:rsidRPr="009A1DE7" w:rsidRDefault="007761C1" w:rsidP="009F357F">
            <w:pPr>
              <w:pStyle w:val="TableText"/>
            </w:pPr>
            <w:r>
              <w:t>Displays, for each provider, the number of teeth accessed, accessed and completed, accessed and extracted, accessed and restored, and accessed and crowned in a specified date range.</w:t>
            </w:r>
          </w:p>
        </w:tc>
        <w:tc>
          <w:tcPr>
            <w:tcW w:w="1528" w:type="pct"/>
          </w:tcPr>
          <w:p w14:paraId="312B6410" w14:textId="77777777" w:rsidR="007761C1" w:rsidRDefault="007761C1" w:rsidP="009F357F">
            <w:pPr>
              <w:pStyle w:val="TableText"/>
              <w:keepNext/>
              <w:keepLines/>
              <w:numPr>
                <w:ilvl w:val="0"/>
                <w:numId w:val="2"/>
              </w:numPr>
              <w:ind w:left="232" w:hanging="180"/>
            </w:pPr>
            <w:r w:rsidRPr="001D78AE">
              <w:t>Proper endo procedure codes are posted to the correct provider.</w:t>
            </w:r>
          </w:p>
          <w:p w14:paraId="68AA89FC" w14:textId="77777777" w:rsidR="007761C1" w:rsidRPr="009A1DE7" w:rsidRDefault="007761C1" w:rsidP="009F357F">
            <w:pPr>
              <w:pStyle w:val="TableText"/>
              <w:numPr>
                <w:ilvl w:val="0"/>
                <w:numId w:val="2"/>
              </w:numPr>
              <w:ind w:left="232" w:hanging="180"/>
            </w:pPr>
            <w:r w:rsidRPr="001D78AE">
              <w:t>Consistently following the daily, weekly monthly check list to ensure Dentrix Enterprise data is accurate.</w:t>
            </w:r>
          </w:p>
        </w:tc>
        <w:tc>
          <w:tcPr>
            <w:tcW w:w="1531" w:type="pct"/>
          </w:tcPr>
          <w:p w14:paraId="717C7005" w14:textId="77777777" w:rsidR="007761C1" w:rsidRPr="00EF587A" w:rsidRDefault="007761C1" w:rsidP="009F357F">
            <w:pPr>
              <w:pStyle w:val="TableText"/>
            </w:pPr>
            <w:r w:rsidRPr="001D78AE">
              <w:t>Report data will be inaccurate and patient care not optimized.</w:t>
            </w:r>
          </w:p>
        </w:tc>
      </w:tr>
    </w:tbl>
    <w:p w14:paraId="6C3CCD64" w14:textId="77777777" w:rsidR="00A10575" w:rsidRDefault="00A10575">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7761C1" w:rsidRPr="008A47C3" w14:paraId="4E4ACEFB" w14:textId="77777777" w:rsidTr="00A10575">
        <w:trPr>
          <w:cantSplit/>
          <w:trHeight w:val="428"/>
        </w:trPr>
        <w:tc>
          <w:tcPr>
            <w:tcW w:w="5000" w:type="pct"/>
            <w:gridSpan w:val="3"/>
            <w:shd w:val="clear" w:color="auto" w:fill="D5DCE4" w:themeFill="text2" w:themeFillTint="33"/>
            <w:vAlign w:val="center"/>
          </w:tcPr>
          <w:p w14:paraId="74AA8F5D" w14:textId="64F9CA00" w:rsidR="007761C1" w:rsidRPr="008A47C3" w:rsidRDefault="007761C1" w:rsidP="00ED67B1">
            <w:pPr>
              <w:pStyle w:val="Heading4"/>
            </w:pPr>
            <w:bookmarkStart w:id="425" w:name="_Appointment_Cycle_Time"/>
            <w:bookmarkEnd w:id="425"/>
            <w:r w:rsidRPr="00F46E06">
              <w:lastRenderedPageBreak/>
              <w:t>Appointment Cycle Time</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59B01D35" w14:textId="77777777" w:rsidTr="00A10575">
        <w:trPr>
          <w:cantSplit/>
          <w:trHeight w:val="428"/>
        </w:trPr>
        <w:tc>
          <w:tcPr>
            <w:tcW w:w="1941" w:type="pct"/>
            <w:vAlign w:val="center"/>
          </w:tcPr>
          <w:p w14:paraId="60881DB6" w14:textId="1E4AB943" w:rsidR="00ED67B1" w:rsidRPr="008A47C3" w:rsidRDefault="00ED67B1" w:rsidP="00ED67B1">
            <w:pPr>
              <w:pStyle w:val="TableText"/>
              <w:jc w:val="center"/>
            </w:pPr>
            <w:r w:rsidRPr="00912847">
              <w:rPr>
                <w:b/>
                <w:bCs/>
              </w:rPr>
              <w:t>Objective</w:t>
            </w:r>
          </w:p>
        </w:tc>
        <w:tc>
          <w:tcPr>
            <w:tcW w:w="1528" w:type="pct"/>
            <w:vAlign w:val="center"/>
          </w:tcPr>
          <w:p w14:paraId="60E8AC67" w14:textId="33B1FE5B"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4E77B9AE" w14:textId="77777777" w:rsidR="00ED67B1" w:rsidRPr="009A1DE7" w:rsidRDefault="00ED67B1" w:rsidP="00ED67B1">
            <w:pPr>
              <w:pStyle w:val="TableText"/>
              <w:jc w:val="center"/>
            </w:pPr>
            <w:r w:rsidRPr="00912847">
              <w:rPr>
                <w:b/>
                <w:bCs/>
              </w:rPr>
              <w:t>Warning</w:t>
            </w:r>
          </w:p>
          <w:p w14:paraId="592ACABA" w14:textId="621B3322"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7761C1" w:rsidRPr="00EE4BD6" w14:paraId="0859E53C" w14:textId="77777777" w:rsidTr="00A10575">
        <w:trPr>
          <w:cantSplit/>
          <w:trHeight w:val="428"/>
        </w:trPr>
        <w:tc>
          <w:tcPr>
            <w:tcW w:w="1941" w:type="pct"/>
          </w:tcPr>
          <w:p w14:paraId="287B7579" w14:textId="77777777" w:rsidR="007761C1" w:rsidRPr="009A1DE7" w:rsidRDefault="007761C1" w:rsidP="009F357F">
            <w:pPr>
              <w:pStyle w:val="TableText"/>
            </w:pPr>
            <w:r w:rsidRPr="001D78AE">
              <w:t>Identify patterns in chair time usage through application of appropriate appointment status.</w:t>
            </w:r>
          </w:p>
        </w:tc>
        <w:tc>
          <w:tcPr>
            <w:tcW w:w="1528" w:type="pct"/>
          </w:tcPr>
          <w:p w14:paraId="23567A1A" w14:textId="77777777" w:rsidR="007761C1" w:rsidRDefault="007761C1" w:rsidP="009F357F">
            <w:pPr>
              <w:pStyle w:val="TableText"/>
              <w:keepNext/>
              <w:keepLines/>
              <w:numPr>
                <w:ilvl w:val="0"/>
                <w:numId w:val="2"/>
              </w:numPr>
              <w:ind w:left="232" w:hanging="180"/>
            </w:pPr>
            <w:r w:rsidRPr="001D78AE">
              <w:t>Appointment statuses are being updated</w:t>
            </w:r>
          </w:p>
          <w:p w14:paraId="4796F470" w14:textId="77777777" w:rsidR="007761C1" w:rsidRPr="009A1DE7" w:rsidRDefault="007761C1" w:rsidP="009F357F">
            <w:pPr>
              <w:pStyle w:val="TableText"/>
              <w:numPr>
                <w:ilvl w:val="0"/>
                <w:numId w:val="2"/>
              </w:numPr>
              <w:ind w:left="232" w:hanging="180"/>
            </w:pPr>
            <w:r w:rsidRPr="001D78AE">
              <w:t>Consistently following the daily, weekly monthly check list to ensure Dentrix Enterprise data is accurate.</w:t>
            </w:r>
          </w:p>
        </w:tc>
        <w:tc>
          <w:tcPr>
            <w:tcW w:w="1531" w:type="pct"/>
          </w:tcPr>
          <w:p w14:paraId="052C40FC" w14:textId="77777777" w:rsidR="007761C1" w:rsidRPr="00EF587A" w:rsidRDefault="007761C1" w:rsidP="009F357F">
            <w:pPr>
              <w:pStyle w:val="TableText"/>
            </w:pPr>
            <w:r>
              <w:t>Report data will be inaccurate, dental teams will not be properly utilized and patient care could be reduced.</w:t>
            </w:r>
          </w:p>
        </w:tc>
      </w:tr>
      <w:tr w:rsidR="007761C1" w:rsidRPr="008A47C3" w14:paraId="32C62A26" w14:textId="77777777" w:rsidTr="00A10575">
        <w:trPr>
          <w:cantSplit/>
          <w:trHeight w:val="428"/>
        </w:trPr>
        <w:tc>
          <w:tcPr>
            <w:tcW w:w="5000" w:type="pct"/>
            <w:gridSpan w:val="3"/>
            <w:shd w:val="clear" w:color="auto" w:fill="D5DCE4" w:themeFill="text2" w:themeFillTint="33"/>
            <w:vAlign w:val="center"/>
          </w:tcPr>
          <w:p w14:paraId="0CAF0E59" w14:textId="56BA88B4" w:rsidR="007761C1" w:rsidRPr="008A47C3" w:rsidRDefault="007761C1" w:rsidP="00ED67B1">
            <w:pPr>
              <w:pStyle w:val="Heading4"/>
            </w:pPr>
            <w:bookmarkStart w:id="426" w:name="_Fee_Schedule_Maintenance"/>
            <w:bookmarkEnd w:id="426"/>
            <w:r w:rsidRPr="001356DB">
              <w:t>Fee Schedule Maintenance</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013BE6A0" w14:textId="77777777" w:rsidTr="00A10575">
        <w:trPr>
          <w:cantSplit/>
          <w:trHeight w:val="428"/>
        </w:trPr>
        <w:tc>
          <w:tcPr>
            <w:tcW w:w="1941" w:type="pct"/>
            <w:vAlign w:val="center"/>
          </w:tcPr>
          <w:p w14:paraId="31456E50" w14:textId="3D3E1144" w:rsidR="00ED67B1" w:rsidRPr="008A47C3" w:rsidRDefault="00ED67B1" w:rsidP="00ED67B1">
            <w:pPr>
              <w:pStyle w:val="TableText"/>
              <w:jc w:val="center"/>
            </w:pPr>
            <w:r w:rsidRPr="00912847">
              <w:rPr>
                <w:b/>
                <w:bCs/>
              </w:rPr>
              <w:t>Objective</w:t>
            </w:r>
          </w:p>
        </w:tc>
        <w:tc>
          <w:tcPr>
            <w:tcW w:w="1528" w:type="pct"/>
            <w:vAlign w:val="center"/>
          </w:tcPr>
          <w:p w14:paraId="4FA5CEB3" w14:textId="11293DEA"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7638F62C" w14:textId="77777777" w:rsidR="00ED67B1" w:rsidRPr="009A1DE7" w:rsidRDefault="00ED67B1" w:rsidP="00ED67B1">
            <w:pPr>
              <w:pStyle w:val="TableText"/>
              <w:jc w:val="center"/>
            </w:pPr>
            <w:r w:rsidRPr="00912847">
              <w:rPr>
                <w:b/>
                <w:bCs/>
              </w:rPr>
              <w:t>Warning</w:t>
            </w:r>
          </w:p>
          <w:p w14:paraId="26F7887D" w14:textId="0248F0B9"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7761C1" w:rsidRPr="00EE4BD6" w14:paraId="095001BA" w14:textId="77777777" w:rsidTr="00A10575">
        <w:trPr>
          <w:cantSplit/>
          <w:trHeight w:val="428"/>
        </w:trPr>
        <w:tc>
          <w:tcPr>
            <w:tcW w:w="1941" w:type="pct"/>
          </w:tcPr>
          <w:p w14:paraId="30E8BAEF" w14:textId="77777777" w:rsidR="007761C1" w:rsidRPr="009A1DE7" w:rsidRDefault="007761C1" w:rsidP="009F357F">
            <w:pPr>
              <w:pStyle w:val="TableText"/>
            </w:pPr>
            <w:r w:rsidRPr="001D78AE">
              <w:t>Remove and update fee schedules to ensure proper billing and patient/insurance estimates.</w:t>
            </w:r>
          </w:p>
        </w:tc>
        <w:tc>
          <w:tcPr>
            <w:tcW w:w="1528" w:type="pct"/>
          </w:tcPr>
          <w:p w14:paraId="6B581FE3" w14:textId="77777777" w:rsidR="007761C1" w:rsidRPr="009A1DE7" w:rsidRDefault="007761C1" w:rsidP="009F357F">
            <w:pPr>
              <w:pStyle w:val="TableText"/>
              <w:numPr>
                <w:ilvl w:val="0"/>
                <w:numId w:val="2"/>
              </w:numPr>
              <w:ind w:left="232" w:hanging="180"/>
            </w:pPr>
            <w:r w:rsidRPr="001D78AE">
              <w:t>Security access and availability of updated fees.</w:t>
            </w:r>
          </w:p>
        </w:tc>
        <w:tc>
          <w:tcPr>
            <w:tcW w:w="1531" w:type="pct"/>
          </w:tcPr>
          <w:p w14:paraId="2ECC4918" w14:textId="77777777" w:rsidR="007761C1" w:rsidRPr="00EF587A" w:rsidRDefault="007761C1" w:rsidP="009F357F">
            <w:pPr>
              <w:pStyle w:val="TableText"/>
            </w:pPr>
            <w:r w:rsidRPr="001D78AE">
              <w:t>Patient financial responsibly estimates could be inaccurate.  Billing to insurance carries could yield lower reimbursement and ultimately lead to an increase in the number of accounts with balance billing or credit refund needs.</w:t>
            </w:r>
          </w:p>
        </w:tc>
      </w:tr>
      <w:tr w:rsidR="007761C1" w:rsidRPr="008A47C3" w14:paraId="41A2B1E8" w14:textId="77777777" w:rsidTr="00A10575">
        <w:trPr>
          <w:cantSplit/>
          <w:trHeight w:val="428"/>
        </w:trPr>
        <w:tc>
          <w:tcPr>
            <w:tcW w:w="5000" w:type="pct"/>
            <w:gridSpan w:val="3"/>
            <w:shd w:val="clear" w:color="auto" w:fill="D5DCE4" w:themeFill="text2" w:themeFillTint="33"/>
            <w:vAlign w:val="center"/>
          </w:tcPr>
          <w:p w14:paraId="32DF7545" w14:textId="2D8593B6" w:rsidR="007761C1" w:rsidRPr="008A47C3" w:rsidRDefault="007761C1" w:rsidP="00ED67B1">
            <w:pPr>
              <w:pStyle w:val="Heading4"/>
            </w:pPr>
            <w:bookmarkStart w:id="427" w:name="_Insurance_Carrier_Maintenance"/>
            <w:bookmarkEnd w:id="427"/>
            <w:r w:rsidRPr="001356DB">
              <w:t>Insurance Carrier Maintenance</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8A47C3" w14:paraId="6F5108C9" w14:textId="77777777" w:rsidTr="00A10575">
        <w:trPr>
          <w:cantSplit/>
          <w:trHeight w:val="428"/>
        </w:trPr>
        <w:tc>
          <w:tcPr>
            <w:tcW w:w="1941" w:type="pct"/>
            <w:vAlign w:val="center"/>
          </w:tcPr>
          <w:p w14:paraId="40028408" w14:textId="3363330E" w:rsidR="00ED67B1" w:rsidRPr="008A47C3" w:rsidRDefault="00ED67B1" w:rsidP="00ED67B1">
            <w:pPr>
              <w:pStyle w:val="TableText"/>
              <w:jc w:val="center"/>
            </w:pPr>
            <w:r w:rsidRPr="00912847">
              <w:rPr>
                <w:b/>
                <w:bCs/>
              </w:rPr>
              <w:t>Objective</w:t>
            </w:r>
          </w:p>
        </w:tc>
        <w:tc>
          <w:tcPr>
            <w:tcW w:w="1528" w:type="pct"/>
            <w:vAlign w:val="center"/>
          </w:tcPr>
          <w:p w14:paraId="3B8FF522" w14:textId="7FAA7F8B"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4AEBE112" w14:textId="77777777" w:rsidR="00ED67B1" w:rsidRPr="009A1DE7" w:rsidRDefault="00ED67B1" w:rsidP="00ED67B1">
            <w:pPr>
              <w:pStyle w:val="TableText"/>
              <w:jc w:val="center"/>
            </w:pPr>
            <w:r w:rsidRPr="00912847">
              <w:rPr>
                <w:b/>
                <w:bCs/>
              </w:rPr>
              <w:t>Warning</w:t>
            </w:r>
          </w:p>
          <w:p w14:paraId="1CBBE51B" w14:textId="562646D4"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7761C1" w:rsidRPr="00EE4BD6" w14:paraId="7B3121EB" w14:textId="77777777" w:rsidTr="00A10575">
        <w:trPr>
          <w:cantSplit/>
          <w:trHeight w:val="428"/>
        </w:trPr>
        <w:tc>
          <w:tcPr>
            <w:tcW w:w="1941" w:type="pct"/>
          </w:tcPr>
          <w:p w14:paraId="2322F102" w14:textId="77777777" w:rsidR="007761C1" w:rsidRPr="009A1DE7" w:rsidRDefault="007761C1" w:rsidP="009F357F">
            <w:pPr>
              <w:pStyle w:val="TableText"/>
            </w:pPr>
            <w:r w:rsidRPr="001D78AE">
              <w:t>Remove and update Insurance Plan to ensure proper billing and patient copays.</w:t>
            </w:r>
          </w:p>
        </w:tc>
        <w:tc>
          <w:tcPr>
            <w:tcW w:w="1528" w:type="pct"/>
          </w:tcPr>
          <w:p w14:paraId="0E84A5EF" w14:textId="77777777" w:rsidR="007761C1" w:rsidRPr="009A1DE7" w:rsidRDefault="007761C1" w:rsidP="009F357F">
            <w:pPr>
              <w:pStyle w:val="TableText"/>
              <w:numPr>
                <w:ilvl w:val="0"/>
                <w:numId w:val="2"/>
              </w:numPr>
              <w:ind w:left="232" w:hanging="180"/>
            </w:pPr>
            <w:r w:rsidRPr="001D78AE">
              <w:t>Security access with ability to merge and purge old or duplicate insurance plans.</w:t>
            </w:r>
          </w:p>
        </w:tc>
        <w:tc>
          <w:tcPr>
            <w:tcW w:w="1531" w:type="pct"/>
          </w:tcPr>
          <w:p w14:paraId="11DE6AE3" w14:textId="77777777" w:rsidR="007761C1" w:rsidRPr="00EF587A" w:rsidRDefault="007761C1" w:rsidP="009F357F">
            <w:pPr>
              <w:pStyle w:val="TableText"/>
            </w:pPr>
            <w:r w:rsidRPr="001D78AE">
              <w:t>Patient financial responsibly estimates could be inaccurate. Billing to insurance carries could yield lower reimbursement and ultimately lead to an increase in the number of accounts with balance billing or credit refund needs.</w:t>
            </w:r>
          </w:p>
        </w:tc>
      </w:tr>
    </w:tbl>
    <w:p w14:paraId="4D153B94" w14:textId="77777777" w:rsidR="00A10575" w:rsidRDefault="00A10575">
      <w:r>
        <w:rPr>
          <w:b/>
          <w:iCs/>
        </w:rPr>
        <w:br w:type="page"/>
      </w:r>
    </w:p>
    <w:tbl>
      <w:tblPr>
        <w:tblStyle w:val="TableGrid"/>
        <w:tblW w:w="12961" w:type="dxa"/>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5031"/>
        <w:gridCol w:w="3961"/>
        <w:gridCol w:w="3969"/>
      </w:tblGrid>
      <w:tr w:rsidR="007761C1" w:rsidRPr="00EE4BD6" w14:paraId="1446F478" w14:textId="77777777" w:rsidTr="00A10575">
        <w:trPr>
          <w:cantSplit/>
          <w:trHeight w:val="428"/>
        </w:trPr>
        <w:tc>
          <w:tcPr>
            <w:tcW w:w="5000" w:type="pct"/>
            <w:gridSpan w:val="3"/>
            <w:shd w:val="clear" w:color="auto" w:fill="D5DCE4" w:themeFill="text2" w:themeFillTint="33"/>
            <w:vAlign w:val="center"/>
          </w:tcPr>
          <w:p w14:paraId="0918B791" w14:textId="78CE51B6" w:rsidR="007761C1" w:rsidRPr="008A47C3" w:rsidRDefault="007761C1" w:rsidP="00ED67B1">
            <w:pPr>
              <w:pStyle w:val="Heading4"/>
            </w:pPr>
            <w:bookmarkStart w:id="428" w:name="_Practice_Organization_List"/>
            <w:bookmarkEnd w:id="428"/>
            <w:r w:rsidRPr="001356DB">
              <w:lastRenderedPageBreak/>
              <w:t>Practice Organization List</w:t>
            </w:r>
            <w:r w:rsidR="00F026E6" w:rsidRPr="00587DBC">
              <w:t xml:space="preserve"> </w:t>
            </w:r>
            <w:r w:rsidR="00F026E6">
              <w:t xml:space="preserve">                                                                                                                    </w:t>
            </w:r>
            <w:hyperlink w:anchor="_Daily,_Weekly,_Monthly" w:history="1">
              <w:r w:rsidR="00F026E6" w:rsidRPr="00FF74B1">
                <w:rPr>
                  <w:rStyle w:val="Hyperlink"/>
                  <w:b w:val="0"/>
                  <w:bCs/>
                  <w:sz w:val="16"/>
                  <w:szCs w:val="18"/>
                </w:rPr>
                <w:t>Return to Administrative Reports Checklist</w:t>
              </w:r>
            </w:hyperlink>
          </w:p>
        </w:tc>
      </w:tr>
      <w:tr w:rsidR="00ED67B1" w:rsidRPr="00EE4BD6" w14:paraId="4665FCFF" w14:textId="77777777" w:rsidTr="00A10575">
        <w:trPr>
          <w:cantSplit/>
          <w:trHeight w:val="428"/>
        </w:trPr>
        <w:tc>
          <w:tcPr>
            <w:tcW w:w="1941" w:type="pct"/>
            <w:vAlign w:val="center"/>
          </w:tcPr>
          <w:p w14:paraId="2E619CFC" w14:textId="43CCAAC9" w:rsidR="00ED67B1" w:rsidRPr="008A47C3" w:rsidRDefault="00ED67B1" w:rsidP="00ED67B1">
            <w:pPr>
              <w:pStyle w:val="TableText"/>
              <w:jc w:val="center"/>
            </w:pPr>
            <w:r w:rsidRPr="00912847">
              <w:rPr>
                <w:b/>
                <w:bCs/>
              </w:rPr>
              <w:t>Objective</w:t>
            </w:r>
          </w:p>
        </w:tc>
        <w:tc>
          <w:tcPr>
            <w:tcW w:w="1528" w:type="pct"/>
            <w:vAlign w:val="center"/>
          </w:tcPr>
          <w:p w14:paraId="71D03767" w14:textId="1DC0CB6C" w:rsidR="00ED67B1" w:rsidRPr="008A47C3" w:rsidRDefault="00ED67B1" w:rsidP="00ED67B1">
            <w:pPr>
              <w:pStyle w:val="TableText"/>
              <w:jc w:val="center"/>
            </w:pPr>
            <w:r w:rsidRPr="00912847">
              <w:rPr>
                <w:b/>
                <w:bCs/>
              </w:rPr>
              <w:t>Dependencies and Possible Actions or Corrections Needed to Meet Objective</w:t>
            </w:r>
          </w:p>
        </w:tc>
        <w:tc>
          <w:tcPr>
            <w:tcW w:w="1531" w:type="pct"/>
            <w:vAlign w:val="center"/>
          </w:tcPr>
          <w:p w14:paraId="08489F04" w14:textId="77777777" w:rsidR="00ED67B1" w:rsidRPr="009A1DE7" w:rsidRDefault="00ED67B1" w:rsidP="00ED67B1">
            <w:pPr>
              <w:pStyle w:val="TableText"/>
              <w:jc w:val="center"/>
            </w:pPr>
            <w:r w:rsidRPr="00912847">
              <w:rPr>
                <w:b/>
                <w:bCs/>
              </w:rPr>
              <w:t>Warning</w:t>
            </w:r>
          </w:p>
          <w:p w14:paraId="5BEA4BAC" w14:textId="65091971" w:rsidR="00ED67B1" w:rsidRPr="008A47C3" w:rsidRDefault="00ED67B1" w:rsidP="00ED67B1">
            <w:pPr>
              <w:pStyle w:val="TableText"/>
              <w:jc w:val="center"/>
            </w:pPr>
            <w:r w:rsidRPr="009A1DE7">
              <w:rPr>
                <w:i/>
                <w:iCs/>
              </w:rPr>
              <w:t>Not following the recommendations may yield the</w:t>
            </w:r>
            <w:r>
              <w:rPr>
                <w:i/>
                <w:iCs/>
              </w:rPr>
              <w:t>se</w:t>
            </w:r>
            <w:r w:rsidRPr="009A1DE7">
              <w:rPr>
                <w:i/>
                <w:iCs/>
              </w:rPr>
              <w:t xml:space="preserve"> unintended results.</w:t>
            </w:r>
          </w:p>
        </w:tc>
      </w:tr>
      <w:tr w:rsidR="007761C1" w:rsidRPr="00EE4BD6" w14:paraId="06253AF7" w14:textId="77777777" w:rsidTr="00A10575">
        <w:trPr>
          <w:cantSplit/>
          <w:trHeight w:val="428"/>
        </w:trPr>
        <w:tc>
          <w:tcPr>
            <w:tcW w:w="1941" w:type="pct"/>
          </w:tcPr>
          <w:p w14:paraId="4FA03257" w14:textId="77777777" w:rsidR="007761C1" w:rsidRPr="009A1DE7" w:rsidRDefault="007761C1" w:rsidP="009F357F">
            <w:pPr>
              <w:pStyle w:val="TableText"/>
            </w:pPr>
            <w:r w:rsidRPr="001D78AE">
              <w:t>Inactivate Providers and staff to ensure proper billing and reporting.</w:t>
            </w:r>
          </w:p>
        </w:tc>
        <w:tc>
          <w:tcPr>
            <w:tcW w:w="1528" w:type="pct"/>
          </w:tcPr>
          <w:p w14:paraId="4FB80B0C" w14:textId="77777777" w:rsidR="007761C1" w:rsidRPr="009A1DE7" w:rsidRDefault="007761C1" w:rsidP="009F357F">
            <w:pPr>
              <w:pStyle w:val="TableText"/>
              <w:numPr>
                <w:ilvl w:val="0"/>
                <w:numId w:val="2"/>
              </w:numPr>
              <w:ind w:left="232" w:hanging="180"/>
            </w:pPr>
            <w:r w:rsidRPr="001D78AE">
              <w:t>Security access with ability to inactivate team members and update schedules.</w:t>
            </w:r>
          </w:p>
        </w:tc>
        <w:tc>
          <w:tcPr>
            <w:tcW w:w="1531" w:type="pct"/>
          </w:tcPr>
          <w:p w14:paraId="628CA439" w14:textId="77777777" w:rsidR="007761C1" w:rsidRPr="00EF587A" w:rsidRDefault="007761C1" w:rsidP="009F357F">
            <w:pPr>
              <w:pStyle w:val="TableText"/>
            </w:pPr>
            <w:r>
              <w:t>Dental Enterprise team will not have correct providers to select when scheduling or charting. Charges will go out incorrectly resulting in delayed or missing payments reporting will be inaccurate.</w:t>
            </w:r>
          </w:p>
        </w:tc>
      </w:tr>
    </w:tbl>
    <w:p w14:paraId="41B97B0B" w14:textId="77777777" w:rsidR="00DA7F67" w:rsidRDefault="00DA7F67" w:rsidP="00DF18AF"/>
    <w:p w14:paraId="49C3723B" w14:textId="77777777" w:rsidR="00E24208" w:rsidRDefault="00E24208">
      <w:pPr>
        <w:spacing w:after="0"/>
        <w:rPr>
          <w:rFonts w:eastAsiaTheme="majorEastAsia"/>
          <w:b/>
          <w:color w:val="000000" w:themeColor="text1"/>
          <w:sz w:val="36"/>
          <w:szCs w:val="36"/>
        </w:rPr>
      </w:pPr>
      <w:r>
        <w:br w:type="page"/>
      </w:r>
    </w:p>
    <w:p w14:paraId="3579E3CA" w14:textId="7F6466AA" w:rsidR="007E577B" w:rsidRDefault="007E577B" w:rsidP="007E577B">
      <w:pPr>
        <w:pStyle w:val="Heading2"/>
      </w:pPr>
      <w:bookmarkStart w:id="429" w:name="_Toc166834443"/>
      <w:r>
        <w:lastRenderedPageBreak/>
        <w:t>Clinic IT Security Checklist</w:t>
      </w:r>
      <w:bookmarkEnd w:id="429"/>
    </w:p>
    <w:p w14:paraId="49C213AE" w14:textId="2024843E" w:rsidR="007E577B" w:rsidRDefault="007E577B" w:rsidP="007E577B">
      <w:r w:rsidRPr="00972BD0">
        <w:t xml:space="preserve">The </w:t>
      </w:r>
      <w:r>
        <w:t>Clinic IT Security checklist is</w:t>
      </w:r>
      <w:r w:rsidRPr="00972BD0">
        <w:t xml:space="preserve"> a comprehensive list of checks and balances to ensure </w:t>
      </w:r>
      <w:r>
        <w:t xml:space="preserve">that </w:t>
      </w:r>
      <w:r w:rsidRPr="00972BD0">
        <w:t>your EDR data backup job</w:t>
      </w:r>
      <w:r>
        <w:t>s are</w:t>
      </w:r>
      <w:r w:rsidRPr="00972BD0">
        <w:t xml:space="preserve"> completing successfully and your SQL server and associated servers</w:t>
      </w:r>
      <w:r>
        <w:t xml:space="preserve"> and </w:t>
      </w:r>
      <w:r w:rsidRPr="00972BD0">
        <w:t xml:space="preserve">workstations are configured for optimal performance. </w:t>
      </w:r>
      <w:r>
        <w:t>Each table of the checklist provides details for performing a task. To complete the task’s objective, be aware of any</w:t>
      </w:r>
      <w:r w:rsidRPr="00912847">
        <w:t xml:space="preserve"> dependencies</w:t>
      </w:r>
      <w:r>
        <w:t>, and take actions or make</w:t>
      </w:r>
      <w:r w:rsidRPr="00912847">
        <w:t xml:space="preserve"> corrections if</w:t>
      </w:r>
      <w:r>
        <w:t xml:space="preserve"> </w:t>
      </w:r>
      <w:r w:rsidRPr="00912847">
        <w:t xml:space="preserve">the </w:t>
      </w:r>
      <w:r>
        <w:t>action</w:t>
      </w:r>
      <w:r w:rsidRPr="00912847">
        <w:t xml:space="preserve"> does not yield the expected result. </w:t>
      </w:r>
      <w:r>
        <w:t>To record the task’s completion,</w:t>
      </w:r>
      <w:r w:rsidRPr="00912847">
        <w:t xml:space="preserve"> enter the review date, your name, recommended actions, target date</w:t>
      </w:r>
      <w:r>
        <w:t>,</w:t>
      </w:r>
      <w:r w:rsidRPr="00912847">
        <w:t xml:space="preserve"> and completion date.</w:t>
      </w:r>
    </w:p>
    <w:p w14:paraId="1DB3C656" w14:textId="11479306" w:rsidR="00D97A18" w:rsidRPr="00D97A18" w:rsidRDefault="00D97A18" w:rsidP="007E577B">
      <w:pPr>
        <w:rPr>
          <w:sz w:val="20"/>
          <w:szCs w:val="22"/>
        </w:rPr>
      </w:pPr>
      <w:r w:rsidRPr="00D97A18">
        <w:rPr>
          <w:sz w:val="20"/>
          <w:szCs w:val="22"/>
        </w:rPr>
        <w:t xml:space="preserve">Return to: </w:t>
      </w:r>
      <w:hyperlink w:anchor="_Daily_Checklist" w:history="1">
        <w:r w:rsidRPr="00D97A18">
          <w:rPr>
            <w:rStyle w:val="Hyperlink"/>
            <w:sz w:val="20"/>
            <w:szCs w:val="22"/>
          </w:rPr>
          <w:t>Daily Checklist</w:t>
        </w:r>
      </w:hyperlink>
      <w:r w:rsidRPr="00D97A18">
        <w:rPr>
          <w:sz w:val="20"/>
          <w:szCs w:val="22"/>
        </w:rPr>
        <w:t xml:space="preserve"> / </w:t>
      </w:r>
      <w:hyperlink w:anchor="_Weekly_Checklist" w:history="1">
        <w:r w:rsidRPr="00D97A18">
          <w:rPr>
            <w:rStyle w:val="Hyperlink"/>
            <w:sz w:val="20"/>
            <w:szCs w:val="22"/>
          </w:rPr>
          <w:t>Weekly Checklist</w:t>
        </w:r>
      </w:hyperlink>
      <w:r w:rsidRPr="00D97A18">
        <w:rPr>
          <w:sz w:val="20"/>
          <w:szCs w:val="22"/>
        </w:rPr>
        <w:t xml:space="preserve"> </w:t>
      </w:r>
    </w:p>
    <w:tbl>
      <w:tblPr>
        <w:tblStyle w:val="TableGrid"/>
        <w:tblW w:w="5529" w:type="pct"/>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902"/>
        <w:gridCol w:w="2519"/>
        <w:gridCol w:w="4049"/>
        <w:gridCol w:w="3511"/>
        <w:gridCol w:w="3328"/>
      </w:tblGrid>
      <w:tr w:rsidR="00D97A18" w:rsidRPr="00EE4BD6" w14:paraId="123DF01F" w14:textId="77777777" w:rsidTr="009F357F">
        <w:trPr>
          <w:cantSplit/>
          <w:trHeight w:val="514"/>
          <w:tblHeader/>
        </w:trPr>
        <w:tc>
          <w:tcPr>
            <w:tcW w:w="315" w:type="pct"/>
            <w:shd w:val="clear" w:color="auto" w:fill="DEEAF6" w:themeFill="accent1" w:themeFillTint="33"/>
            <w:textDirection w:val="btLr"/>
            <w:vAlign w:val="center"/>
          </w:tcPr>
          <w:p w14:paraId="3070862D" w14:textId="77777777" w:rsidR="00D97A18" w:rsidRPr="00912847" w:rsidRDefault="00D97A18" w:rsidP="009F357F">
            <w:pPr>
              <w:pStyle w:val="Heading4"/>
              <w:ind w:left="113" w:right="113"/>
              <w:jc w:val="center"/>
              <w:rPr>
                <w:b w:val="0"/>
                <w:bCs/>
              </w:rPr>
            </w:pPr>
          </w:p>
        </w:tc>
        <w:tc>
          <w:tcPr>
            <w:tcW w:w="880" w:type="pct"/>
            <w:shd w:val="clear" w:color="auto" w:fill="DEEAF6" w:themeFill="accent1" w:themeFillTint="33"/>
            <w:vAlign w:val="center"/>
          </w:tcPr>
          <w:p w14:paraId="67D82D88" w14:textId="77777777" w:rsidR="00D97A18" w:rsidRPr="008311F1" w:rsidRDefault="00D97A18" w:rsidP="009F357F">
            <w:pPr>
              <w:pStyle w:val="TableText"/>
              <w:jc w:val="center"/>
              <w:rPr>
                <w:b/>
                <w:bCs/>
                <w:sz w:val="20"/>
                <w:szCs w:val="20"/>
              </w:rPr>
            </w:pPr>
            <w:r>
              <w:rPr>
                <w:b/>
                <w:bCs/>
                <w:sz w:val="20"/>
                <w:szCs w:val="20"/>
              </w:rPr>
              <w:t>Task or Report</w:t>
            </w:r>
          </w:p>
        </w:tc>
        <w:tc>
          <w:tcPr>
            <w:tcW w:w="1415" w:type="pct"/>
            <w:shd w:val="clear" w:color="auto" w:fill="DEEAF6" w:themeFill="accent1" w:themeFillTint="33"/>
            <w:vAlign w:val="center"/>
          </w:tcPr>
          <w:p w14:paraId="6B57BBA8" w14:textId="77777777" w:rsidR="00D97A18" w:rsidRPr="00912847" w:rsidRDefault="00D97A18" w:rsidP="009F357F">
            <w:pPr>
              <w:pStyle w:val="TableText"/>
              <w:jc w:val="center"/>
              <w:rPr>
                <w:b/>
                <w:bCs/>
              </w:rPr>
            </w:pPr>
            <w:r w:rsidRPr="008311F1">
              <w:rPr>
                <w:b/>
                <w:bCs/>
                <w:sz w:val="20"/>
                <w:szCs w:val="20"/>
              </w:rPr>
              <w:t>Objective</w:t>
            </w:r>
          </w:p>
        </w:tc>
        <w:tc>
          <w:tcPr>
            <w:tcW w:w="1227" w:type="pct"/>
            <w:shd w:val="clear" w:color="auto" w:fill="DEEAF6" w:themeFill="accent1" w:themeFillTint="33"/>
            <w:vAlign w:val="center"/>
          </w:tcPr>
          <w:p w14:paraId="1FC70289" w14:textId="77777777" w:rsidR="00D97A18" w:rsidRDefault="00D97A18" w:rsidP="009F357F">
            <w:pPr>
              <w:pStyle w:val="TableText"/>
              <w:jc w:val="center"/>
              <w:rPr>
                <w:b/>
                <w:bCs/>
                <w:sz w:val="20"/>
                <w:szCs w:val="20"/>
              </w:rPr>
            </w:pPr>
            <w:r w:rsidRPr="008311F1">
              <w:rPr>
                <w:b/>
                <w:bCs/>
                <w:sz w:val="20"/>
                <w:szCs w:val="20"/>
              </w:rPr>
              <w:t xml:space="preserve">Dependencies and </w:t>
            </w:r>
          </w:p>
          <w:p w14:paraId="30B907D4" w14:textId="77777777" w:rsidR="00D97A18" w:rsidRPr="00912847" w:rsidRDefault="00D97A18" w:rsidP="009F357F">
            <w:pPr>
              <w:pStyle w:val="TableText"/>
              <w:jc w:val="center"/>
              <w:rPr>
                <w:b/>
                <w:bCs/>
              </w:rPr>
            </w:pPr>
            <w:r w:rsidRPr="008311F1">
              <w:rPr>
                <w:b/>
                <w:bCs/>
                <w:sz w:val="20"/>
                <w:szCs w:val="20"/>
              </w:rPr>
              <w:t>Possible Actions or Corrections Needed to Meet Objective</w:t>
            </w:r>
          </w:p>
        </w:tc>
        <w:tc>
          <w:tcPr>
            <w:tcW w:w="1163" w:type="pct"/>
            <w:shd w:val="clear" w:color="auto" w:fill="DEEAF6" w:themeFill="accent1" w:themeFillTint="33"/>
            <w:vAlign w:val="center"/>
          </w:tcPr>
          <w:p w14:paraId="456E237C" w14:textId="77777777" w:rsidR="00D97A18" w:rsidRPr="008311F1" w:rsidRDefault="00D97A18" w:rsidP="009F357F">
            <w:pPr>
              <w:pStyle w:val="TableText"/>
              <w:jc w:val="center"/>
              <w:rPr>
                <w:sz w:val="20"/>
                <w:szCs w:val="20"/>
              </w:rPr>
            </w:pPr>
            <w:r w:rsidRPr="008311F1">
              <w:rPr>
                <w:b/>
                <w:bCs/>
                <w:sz w:val="20"/>
                <w:szCs w:val="20"/>
              </w:rPr>
              <w:t>Warning</w:t>
            </w:r>
          </w:p>
          <w:p w14:paraId="2D543339" w14:textId="77777777" w:rsidR="00D97A18" w:rsidRPr="009A1DE7" w:rsidRDefault="00D97A18" w:rsidP="009F357F">
            <w:pPr>
              <w:pStyle w:val="TableText"/>
              <w:jc w:val="center"/>
            </w:pPr>
            <w:r w:rsidRPr="009A1DE7">
              <w:rPr>
                <w:i/>
                <w:iCs/>
              </w:rPr>
              <w:t>Not following the recommendations may yield the</w:t>
            </w:r>
            <w:r>
              <w:rPr>
                <w:i/>
                <w:iCs/>
              </w:rPr>
              <w:t>se</w:t>
            </w:r>
            <w:r w:rsidRPr="009A1DE7">
              <w:rPr>
                <w:i/>
                <w:iCs/>
              </w:rPr>
              <w:t xml:space="preserve"> unintended results.</w:t>
            </w:r>
          </w:p>
        </w:tc>
      </w:tr>
      <w:tr w:rsidR="00D97A18" w:rsidRPr="00EE4BD6" w14:paraId="0D8732C0" w14:textId="77777777" w:rsidTr="009F357F">
        <w:trPr>
          <w:cantSplit/>
          <w:trHeight w:val="990"/>
        </w:trPr>
        <w:tc>
          <w:tcPr>
            <w:tcW w:w="315" w:type="pct"/>
            <w:vMerge w:val="restart"/>
            <w:shd w:val="clear" w:color="auto" w:fill="DEEAF6" w:themeFill="accent1" w:themeFillTint="33"/>
            <w:textDirection w:val="btLr"/>
            <w:vAlign w:val="center"/>
          </w:tcPr>
          <w:p w14:paraId="6D3183A4" w14:textId="77777777" w:rsidR="00D97A18" w:rsidRDefault="00D97A18" w:rsidP="009F357F">
            <w:pPr>
              <w:pStyle w:val="Heading4"/>
              <w:ind w:left="113" w:right="113"/>
              <w:jc w:val="center"/>
            </w:pPr>
            <w:bookmarkStart w:id="430" w:name="_Daily"/>
            <w:bookmarkEnd w:id="430"/>
            <w:r w:rsidRPr="00F04013">
              <w:t>Daily</w:t>
            </w:r>
          </w:p>
        </w:tc>
        <w:tc>
          <w:tcPr>
            <w:tcW w:w="880" w:type="pct"/>
          </w:tcPr>
          <w:p w14:paraId="1F941521" w14:textId="77777777" w:rsidR="00D97A18" w:rsidRPr="008311F1" w:rsidRDefault="00D97A18" w:rsidP="009F357F">
            <w:pPr>
              <w:pStyle w:val="TableText"/>
              <w:rPr>
                <w:b/>
                <w:bCs/>
              </w:rPr>
            </w:pPr>
            <w:r w:rsidRPr="008311F1">
              <w:rPr>
                <w:b/>
                <w:bCs/>
                <w:sz w:val="20"/>
                <w:szCs w:val="20"/>
              </w:rPr>
              <w:t>Nightly Backup</w:t>
            </w:r>
          </w:p>
        </w:tc>
        <w:tc>
          <w:tcPr>
            <w:tcW w:w="1415" w:type="pct"/>
          </w:tcPr>
          <w:p w14:paraId="0EFB51DB" w14:textId="77777777" w:rsidR="00D97A18" w:rsidRPr="008311F1" w:rsidRDefault="00D97A18" w:rsidP="009F357F">
            <w:pPr>
              <w:pStyle w:val="TableText"/>
              <w:rPr>
                <w:sz w:val="18"/>
                <w:szCs w:val="18"/>
              </w:rPr>
            </w:pPr>
            <w:r w:rsidRPr="008311F1">
              <w:rPr>
                <w:sz w:val="18"/>
                <w:szCs w:val="18"/>
              </w:rPr>
              <w:t>Backup is crucial for data protection. A regular nightly data backup saves your important files.</w:t>
            </w:r>
          </w:p>
        </w:tc>
        <w:tc>
          <w:tcPr>
            <w:tcW w:w="1227" w:type="pct"/>
          </w:tcPr>
          <w:p w14:paraId="5A80013E" w14:textId="77777777" w:rsidR="00D97A18" w:rsidRPr="008311F1" w:rsidRDefault="00D97A18" w:rsidP="009F357F">
            <w:pPr>
              <w:pStyle w:val="TableText"/>
              <w:numPr>
                <w:ilvl w:val="0"/>
                <w:numId w:val="2"/>
              </w:numPr>
              <w:ind w:left="232" w:hanging="180"/>
              <w:rPr>
                <w:sz w:val="18"/>
                <w:szCs w:val="18"/>
              </w:rPr>
            </w:pPr>
            <w:r w:rsidRPr="008311F1">
              <w:rPr>
                <w:sz w:val="18"/>
                <w:szCs w:val="18"/>
              </w:rPr>
              <w:t>Check your backup software application log for successful backups and remedy any unsuccessful backup job as soon as possible.</w:t>
            </w:r>
          </w:p>
        </w:tc>
        <w:tc>
          <w:tcPr>
            <w:tcW w:w="1163" w:type="pct"/>
          </w:tcPr>
          <w:p w14:paraId="7BBC9AAF" w14:textId="77777777" w:rsidR="00D97A18" w:rsidRPr="008311F1" w:rsidRDefault="00D97A18" w:rsidP="009F357F">
            <w:pPr>
              <w:pStyle w:val="TableText"/>
              <w:rPr>
                <w:sz w:val="18"/>
                <w:szCs w:val="18"/>
              </w:rPr>
            </w:pPr>
            <w:r w:rsidRPr="008311F1">
              <w:rPr>
                <w:sz w:val="18"/>
                <w:szCs w:val="18"/>
              </w:rPr>
              <w:t>Data loss situations due to potential events such as system crash, malware infection, hard drive corruption and failure.</w:t>
            </w:r>
          </w:p>
        </w:tc>
      </w:tr>
      <w:tr w:rsidR="00D97A18" w:rsidRPr="00EE4BD6" w14:paraId="5A84CD1E" w14:textId="77777777" w:rsidTr="009F357F">
        <w:trPr>
          <w:cantSplit/>
          <w:trHeight w:val="1152"/>
        </w:trPr>
        <w:tc>
          <w:tcPr>
            <w:tcW w:w="315" w:type="pct"/>
            <w:vMerge/>
            <w:shd w:val="clear" w:color="auto" w:fill="DEEAF6" w:themeFill="accent1" w:themeFillTint="33"/>
          </w:tcPr>
          <w:p w14:paraId="16B296F1" w14:textId="77777777" w:rsidR="00D97A18" w:rsidRPr="00124ECC" w:rsidRDefault="00D97A18" w:rsidP="009F357F">
            <w:pPr>
              <w:pStyle w:val="TableText"/>
            </w:pPr>
          </w:p>
        </w:tc>
        <w:tc>
          <w:tcPr>
            <w:tcW w:w="880" w:type="pct"/>
          </w:tcPr>
          <w:p w14:paraId="5C554EF3" w14:textId="77777777" w:rsidR="00D97A18" w:rsidRPr="008311F1" w:rsidRDefault="00D97A18" w:rsidP="009F357F">
            <w:pPr>
              <w:pStyle w:val="TableText"/>
              <w:rPr>
                <w:b/>
                <w:bCs/>
              </w:rPr>
            </w:pPr>
            <w:r w:rsidRPr="008311F1">
              <w:rPr>
                <w:b/>
                <w:bCs/>
                <w:sz w:val="20"/>
                <w:szCs w:val="20"/>
              </w:rPr>
              <w:t>SQL Maintenance Plans (Daily)</w:t>
            </w:r>
          </w:p>
        </w:tc>
        <w:tc>
          <w:tcPr>
            <w:tcW w:w="1415" w:type="pct"/>
          </w:tcPr>
          <w:p w14:paraId="4FC2B158" w14:textId="77777777" w:rsidR="00D97A18" w:rsidRPr="008311F1" w:rsidRDefault="00D97A18" w:rsidP="009F357F">
            <w:pPr>
              <w:pStyle w:val="TableText"/>
              <w:rPr>
                <w:sz w:val="18"/>
                <w:szCs w:val="18"/>
              </w:rPr>
            </w:pPr>
            <w:r w:rsidRPr="008311F1">
              <w:rPr>
                <w:sz w:val="18"/>
                <w:szCs w:val="18"/>
              </w:rPr>
              <w:t>SQL Maintenance plan backs up your EDR SQL Dentrix Enterprise data and EDR SQL transaction log and optimizes your SQL configuration.</w:t>
            </w:r>
          </w:p>
        </w:tc>
        <w:tc>
          <w:tcPr>
            <w:tcW w:w="1227" w:type="pct"/>
          </w:tcPr>
          <w:p w14:paraId="7B1A5A7A" w14:textId="77777777" w:rsidR="00D97A18" w:rsidRPr="008311F1" w:rsidRDefault="00D97A18" w:rsidP="009F357F">
            <w:pPr>
              <w:pStyle w:val="TableText"/>
              <w:numPr>
                <w:ilvl w:val="0"/>
                <w:numId w:val="2"/>
              </w:numPr>
              <w:ind w:left="232" w:hanging="180"/>
              <w:rPr>
                <w:sz w:val="18"/>
                <w:szCs w:val="18"/>
              </w:rPr>
            </w:pPr>
            <w:r w:rsidRPr="008311F1">
              <w:rPr>
                <w:sz w:val="18"/>
                <w:szCs w:val="18"/>
              </w:rPr>
              <w:t>Check your SQL server logs for successful SQL backups and remedy any unsuccessful backup job as soon as possible.</w:t>
            </w:r>
          </w:p>
        </w:tc>
        <w:tc>
          <w:tcPr>
            <w:tcW w:w="1163" w:type="pct"/>
          </w:tcPr>
          <w:p w14:paraId="3D0DEE89" w14:textId="77777777" w:rsidR="00D97A18" w:rsidRPr="008311F1" w:rsidRDefault="00D97A18" w:rsidP="009F357F">
            <w:pPr>
              <w:pStyle w:val="TableText"/>
              <w:rPr>
                <w:sz w:val="18"/>
                <w:szCs w:val="18"/>
              </w:rPr>
            </w:pPr>
            <w:r w:rsidRPr="008311F1">
              <w:rPr>
                <w:sz w:val="18"/>
                <w:szCs w:val="18"/>
              </w:rPr>
              <w:t>Data loss can occur if the SQL Maintenance plans do not run successfully. The EDR server hard drive will eventually become full and EDR Dentrix Enterprise will stop working.</w:t>
            </w:r>
          </w:p>
        </w:tc>
      </w:tr>
      <w:tr w:rsidR="00D97A18" w:rsidRPr="00EE4BD6" w14:paraId="76ADC0DA" w14:textId="77777777" w:rsidTr="009F357F">
        <w:trPr>
          <w:cantSplit/>
          <w:trHeight w:val="1242"/>
        </w:trPr>
        <w:tc>
          <w:tcPr>
            <w:tcW w:w="315" w:type="pct"/>
            <w:vMerge/>
            <w:shd w:val="clear" w:color="auto" w:fill="DEEAF6" w:themeFill="accent1" w:themeFillTint="33"/>
          </w:tcPr>
          <w:p w14:paraId="33BDDF73" w14:textId="77777777" w:rsidR="00D97A18" w:rsidRPr="00124ECC" w:rsidRDefault="00D97A18" w:rsidP="009F357F">
            <w:pPr>
              <w:pStyle w:val="TableText"/>
            </w:pPr>
          </w:p>
        </w:tc>
        <w:tc>
          <w:tcPr>
            <w:tcW w:w="880" w:type="pct"/>
          </w:tcPr>
          <w:p w14:paraId="163219AB" w14:textId="77777777" w:rsidR="00D97A18" w:rsidRPr="008311F1" w:rsidRDefault="00D97A18" w:rsidP="009F357F">
            <w:pPr>
              <w:pStyle w:val="TableText"/>
              <w:rPr>
                <w:b/>
                <w:bCs/>
              </w:rPr>
            </w:pPr>
            <w:r w:rsidRPr="008311F1">
              <w:rPr>
                <w:b/>
                <w:bCs/>
                <w:sz w:val="20"/>
                <w:szCs w:val="20"/>
              </w:rPr>
              <w:t>Antivirus Scans (Daily/Continuous)</w:t>
            </w:r>
          </w:p>
        </w:tc>
        <w:tc>
          <w:tcPr>
            <w:tcW w:w="1415" w:type="pct"/>
          </w:tcPr>
          <w:p w14:paraId="1B0F7543" w14:textId="77777777" w:rsidR="00D97A18" w:rsidRPr="008311F1" w:rsidRDefault="00D97A18" w:rsidP="009F357F">
            <w:pPr>
              <w:pStyle w:val="TableText"/>
              <w:rPr>
                <w:sz w:val="18"/>
                <w:szCs w:val="18"/>
              </w:rPr>
            </w:pPr>
            <w:r w:rsidRPr="008311F1">
              <w:rPr>
                <w:sz w:val="18"/>
                <w:szCs w:val="18"/>
              </w:rPr>
              <w:t>Antivirus programs and computer protection software are designed to evaluate data such as web pages, files, software, and applications to help find and eradicate malware as quickly as possible.</w:t>
            </w:r>
          </w:p>
        </w:tc>
        <w:tc>
          <w:tcPr>
            <w:tcW w:w="1227" w:type="pct"/>
          </w:tcPr>
          <w:p w14:paraId="3B125166" w14:textId="77777777" w:rsidR="00D97A18" w:rsidRPr="008311F1" w:rsidRDefault="00D97A18" w:rsidP="009F357F">
            <w:pPr>
              <w:pStyle w:val="TableText"/>
              <w:numPr>
                <w:ilvl w:val="0"/>
                <w:numId w:val="157"/>
              </w:numPr>
              <w:ind w:left="245" w:hanging="187"/>
              <w:rPr>
                <w:sz w:val="18"/>
                <w:szCs w:val="18"/>
              </w:rPr>
            </w:pPr>
            <w:r w:rsidRPr="008311F1">
              <w:rPr>
                <w:sz w:val="18"/>
                <w:szCs w:val="18"/>
              </w:rPr>
              <w:t>Antivirus software is an essential part of a good security strategy.</w:t>
            </w:r>
          </w:p>
        </w:tc>
        <w:tc>
          <w:tcPr>
            <w:tcW w:w="1163" w:type="pct"/>
          </w:tcPr>
          <w:p w14:paraId="48C98986" w14:textId="77777777" w:rsidR="00D97A18" w:rsidRPr="008311F1" w:rsidRDefault="00D97A18" w:rsidP="009F357F">
            <w:pPr>
              <w:pStyle w:val="TableText"/>
              <w:rPr>
                <w:sz w:val="18"/>
                <w:szCs w:val="18"/>
              </w:rPr>
            </w:pPr>
            <w:r w:rsidRPr="008311F1">
              <w:rPr>
                <w:sz w:val="18"/>
                <w:szCs w:val="18"/>
              </w:rPr>
              <w:t>Data loss situations due to common events such malware infection, hard drive corruption and failure.</w:t>
            </w:r>
          </w:p>
        </w:tc>
      </w:tr>
      <w:tr w:rsidR="00D97A18" w:rsidRPr="00EE4BD6" w14:paraId="65E3A20D" w14:textId="77777777" w:rsidTr="009F357F">
        <w:trPr>
          <w:cantSplit/>
          <w:trHeight w:val="1062"/>
        </w:trPr>
        <w:tc>
          <w:tcPr>
            <w:tcW w:w="315" w:type="pct"/>
            <w:vMerge w:val="restart"/>
            <w:shd w:val="clear" w:color="auto" w:fill="DEEAF6" w:themeFill="accent1" w:themeFillTint="33"/>
            <w:textDirection w:val="btLr"/>
            <w:vAlign w:val="center"/>
          </w:tcPr>
          <w:p w14:paraId="02CC6FF9" w14:textId="77777777" w:rsidR="00D97A18" w:rsidRPr="00CB2C0D" w:rsidRDefault="00D97A18" w:rsidP="009F357F">
            <w:pPr>
              <w:pStyle w:val="TableText"/>
              <w:jc w:val="center"/>
              <w:rPr>
                <w:b/>
                <w:bCs/>
              </w:rPr>
            </w:pPr>
            <w:r w:rsidRPr="00CB2C0D">
              <w:rPr>
                <w:b/>
                <w:bCs/>
                <w:sz w:val="22"/>
                <w:szCs w:val="24"/>
              </w:rPr>
              <w:t>Weekly</w:t>
            </w:r>
          </w:p>
        </w:tc>
        <w:tc>
          <w:tcPr>
            <w:tcW w:w="880" w:type="pct"/>
          </w:tcPr>
          <w:p w14:paraId="77F051D6" w14:textId="77777777" w:rsidR="00D97A18" w:rsidRPr="008311F1" w:rsidRDefault="00D97A18" w:rsidP="009F357F">
            <w:pPr>
              <w:pStyle w:val="TableText"/>
              <w:rPr>
                <w:b/>
                <w:bCs/>
                <w:sz w:val="20"/>
                <w:szCs w:val="20"/>
              </w:rPr>
            </w:pPr>
            <w:r w:rsidRPr="00ED242C">
              <w:rPr>
                <w:b/>
                <w:bCs/>
                <w:sz w:val="20"/>
                <w:szCs w:val="20"/>
              </w:rPr>
              <w:t>Windows Updates</w:t>
            </w:r>
          </w:p>
        </w:tc>
        <w:tc>
          <w:tcPr>
            <w:tcW w:w="1415" w:type="pct"/>
          </w:tcPr>
          <w:p w14:paraId="5980694B" w14:textId="77777777" w:rsidR="00D97A18" w:rsidRPr="007D2A8B" w:rsidRDefault="00D97A18" w:rsidP="009F357F">
            <w:pPr>
              <w:pStyle w:val="TableText"/>
              <w:rPr>
                <w:sz w:val="18"/>
                <w:szCs w:val="18"/>
              </w:rPr>
            </w:pPr>
            <w:r w:rsidRPr="007D2A8B">
              <w:rPr>
                <w:sz w:val="18"/>
                <w:szCs w:val="18"/>
              </w:rPr>
              <w:t>Installing Microsoft Windows updates is critical task that allows for fixes to known issues in Microsoft products.</w:t>
            </w:r>
          </w:p>
        </w:tc>
        <w:tc>
          <w:tcPr>
            <w:tcW w:w="1227" w:type="pct"/>
          </w:tcPr>
          <w:p w14:paraId="2E54380A" w14:textId="77777777" w:rsidR="00D97A18" w:rsidRPr="007D2A8B" w:rsidRDefault="00D97A18" w:rsidP="009F357F">
            <w:pPr>
              <w:pStyle w:val="TableText"/>
              <w:numPr>
                <w:ilvl w:val="0"/>
                <w:numId w:val="157"/>
              </w:numPr>
              <w:ind w:left="245" w:hanging="187"/>
              <w:rPr>
                <w:sz w:val="18"/>
                <w:szCs w:val="18"/>
              </w:rPr>
            </w:pPr>
            <w:r w:rsidRPr="007D2A8B">
              <w:rPr>
                <w:sz w:val="18"/>
                <w:szCs w:val="18"/>
              </w:rPr>
              <w:t>Servers and Workstations should be patched to the latest Microsoft operating system updates.</w:t>
            </w:r>
          </w:p>
        </w:tc>
        <w:tc>
          <w:tcPr>
            <w:tcW w:w="1163" w:type="pct"/>
          </w:tcPr>
          <w:p w14:paraId="6FF6B0A5" w14:textId="77777777" w:rsidR="00D97A18" w:rsidRPr="007D2A8B" w:rsidRDefault="00D97A18" w:rsidP="009F357F">
            <w:pPr>
              <w:pStyle w:val="TableText"/>
              <w:rPr>
                <w:sz w:val="18"/>
                <w:szCs w:val="18"/>
              </w:rPr>
            </w:pPr>
            <w:r w:rsidRPr="007D2A8B">
              <w:rPr>
                <w:sz w:val="18"/>
                <w:szCs w:val="18"/>
              </w:rPr>
              <w:t>Servers and Workstations are vulnerable to malware, virus and out of date Microsoft applications which could cause your system to stop working.</w:t>
            </w:r>
          </w:p>
        </w:tc>
      </w:tr>
      <w:tr w:rsidR="00D97A18" w:rsidRPr="00EE4BD6" w14:paraId="562AE828" w14:textId="77777777" w:rsidTr="009F357F">
        <w:trPr>
          <w:cantSplit/>
          <w:trHeight w:val="1062"/>
        </w:trPr>
        <w:tc>
          <w:tcPr>
            <w:tcW w:w="315" w:type="pct"/>
            <w:vMerge/>
            <w:shd w:val="clear" w:color="auto" w:fill="DEEAF6" w:themeFill="accent1" w:themeFillTint="33"/>
          </w:tcPr>
          <w:p w14:paraId="68CCAD27" w14:textId="77777777" w:rsidR="00D97A18" w:rsidRPr="00124ECC" w:rsidRDefault="00D97A18" w:rsidP="009F357F">
            <w:pPr>
              <w:pStyle w:val="TableText"/>
            </w:pPr>
          </w:p>
        </w:tc>
        <w:tc>
          <w:tcPr>
            <w:tcW w:w="880" w:type="pct"/>
          </w:tcPr>
          <w:p w14:paraId="0F1BA89B" w14:textId="77777777" w:rsidR="00D97A18" w:rsidRPr="008311F1" w:rsidRDefault="00D97A18" w:rsidP="009F357F">
            <w:pPr>
              <w:pStyle w:val="TableText"/>
              <w:rPr>
                <w:b/>
                <w:bCs/>
                <w:sz w:val="20"/>
                <w:szCs w:val="20"/>
              </w:rPr>
            </w:pPr>
            <w:r w:rsidRPr="00ED242C">
              <w:rPr>
                <w:b/>
                <w:bCs/>
                <w:sz w:val="20"/>
                <w:szCs w:val="20"/>
              </w:rPr>
              <w:t>Windows System Logs</w:t>
            </w:r>
          </w:p>
        </w:tc>
        <w:tc>
          <w:tcPr>
            <w:tcW w:w="1415" w:type="pct"/>
          </w:tcPr>
          <w:p w14:paraId="33200A51" w14:textId="77777777" w:rsidR="00D97A18" w:rsidRPr="007D2A8B" w:rsidRDefault="00D97A18" w:rsidP="009F357F">
            <w:pPr>
              <w:pStyle w:val="TableText"/>
              <w:rPr>
                <w:sz w:val="18"/>
                <w:szCs w:val="18"/>
              </w:rPr>
            </w:pPr>
            <w:r w:rsidRPr="007D2A8B">
              <w:rPr>
                <w:sz w:val="18"/>
                <w:szCs w:val="18"/>
              </w:rPr>
              <w:t>Monitor and report on file access, network connections, unauthorized activity, error messages, and unusual network and system behavior.</w:t>
            </w:r>
          </w:p>
        </w:tc>
        <w:tc>
          <w:tcPr>
            <w:tcW w:w="1227" w:type="pct"/>
          </w:tcPr>
          <w:p w14:paraId="6F388E41" w14:textId="77777777" w:rsidR="00D97A18" w:rsidRPr="007D2A8B" w:rsidRDefault="00D97A18" w:rsidP="009F357F">
            <w:pPr>
              <w:pStyle w:val="TableText"/>
              <w:numPr>
                <w:ilvl w:val="0"/>
                <w:numId w:val="157"/>
              </w:numPr>
              <w:ind w:left="245" w:hanging="187"/>
              <w:rPr>
                <w:sz w:val="18"/>
                <w:szCs w:val="18"/>
              </w:rPr>
            </w:pPr>
            <w:r w:rsidRPr="007D2A8B">
              <w:rPr>
                <w:sz w:val="18"/>
                <w:szCs w:val="18"/>
              </w:rPr>
              <w:t>Check your Server/Workstation system logs for any critical error codes or messages.</w:t>
            </w:r>
          </w:p>
        </w:tc>
        <w:tc>
          <w:tcPr>
            <w:tcW w:w="1163" w:type="pct"/>
          </w:tcPr>
          <w:p w14:paraId="67B642BB" w14:textId="77777777" w:rsidR="00D97A18" w:rsidRPr="007D2A8B" w:rsidRDefault="00D97A18" w:rsidP="009F357F">
            <w:pPr>
              <w:pStyle w:val="TableText"/>
              <w:rPr>
                <w:sz w:val="18"/>
                <w:szCs w:val="18"/>
              </w:rPr>
            </w:pPr>
            <w:r w:rsidRPr="007D2A8B">
              <w:rPr>
                <w:sz w:val="18"/>
                <w:szCs w:val="18"/>
              </w:rPr>
              <w:t>Server/Workstation system logs can indicate a potential failure point or undesirable connections to your Server/Workstation.</w:t>
            </w:r>
          </w:p>
        </w:tc>
      </w:tr>
    </w:tbl>
    <w:p w14:paraId="3A52B502" w14:textId="65690CB7" w:rsidR="006F0D49" w:rsidRPr="00D97A18" w:rsidRDefault="00D97A18">
      <w:pPr>
        <w:rPr>
          <w:bCs/>
          <w:sz w:val="20"/>
          <w:szCs w:val="22"/>
        </w:rPr>
      </w:pPr>
      <w:r w:rsidRPr="00D97A18">
        <w:rPr>
          <w:bCs/>
          <w:iCs/>
          <w:sz w:val="20"/>
          <w:szCs w:val="22"/>
        </w:rPr>
        <w:lastRenderedPageBreak/>
        <w:t xml:space="preserve">Return to: </w:t>
      </w:r>
      <w:hyperlink w:anchor="_Monthly_Checklist" w:history="1">
        <w:r w:rsidRPr="00D97A18">
          <w:rPr>
            <w:rStyle w:val="Hyperlink"/>
            <w:bCs/>
            <w:iCs/>
            <w:sz w:val="20"/>
            <w:szCs w:val="22"/>
          </w:rPr>
          <w:t>Monthly Checklist</w:t>
        </w:r>
      </w:hyperlink>
      <w:r w:rsidRPr="00D97A18">
        <w:rPr>
          <w:bCs/>
          <w:iCs/>
          <w:sz w:val="20"/>
          <w:szCs w:val="22"/>
        </w:rPr>
        <w:t xml:space="preserve"> / </w:t>
      </w:r>
      <w:hyperlink w:anchor="_Annually_Checklist" w:history="1">
        <w:r w:rsidRPr="00D97A18">
          <w:rPr>
            <w:rStyle w:val="Hyperlink"/>
            <w:bCs/>
            <w:iCs/>
            <w:sz w:val="20"/>
            <w:szCs w:val="22"/>
          </w:rPr>
          <w:t>Annually Checklist</w:t>
        </w:r>
      </w:hyperlink>
    </w:p>
    <w:tbl>
      <w:tblPr>
        <w:tblStyle w:val="TableGrid"/>
        <w:tblW w:w="5529" w:type="pct"/>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899"/>
        <w:gridCol w:w="2521"/>
        <w:gridCol w:w="4052"/>
        <w:gridCol w:w="3509"/>
        <w:gridCol w:w="3328"/>
      </w:tblGrid>
      <w:tr w:rsidR="00D97A18" w:rsidRPr="00EE4BD6" w14:paraId="30BBB7CA" w14:textId="77777777" w:rsidTr="009F357F">
        <w:trPr>
          <w:cantSplit/>
          <w:trHeight w:val="63"/>
        </w:trPr>
        <w:tc>
          <w:tcPr>
            <w:tcW w:w="314" w:type="pct"/>
            <w:shd w:val="clear" w:color="auto" w:fill="DEEAF6" w:themeFill="accent1" w:themeFillTint="33"/>
            <w:textDirection w:val="btLr"/>
            <w:vAlign w:val="center"/>
          </w:tcPr>
          <w:p w14:paraId="6B314BF6" w14:textId="77777777" w:rsidR="00D97A18" w:rsidRPr="00912847" w:rsidRDefault="00D97A18" w:rsidP="009F357F">
            <w:pPr>
              <w:pStyle w:val="Heading4"/>
              <w:ind w:right="113"/>
              <w:jc w:val="center"/>
              <w:rPr>
                <w:b w:val="0"/>
                <w:bCs/>
              </w:rPr>
            </w:pPr>
          </w:p>
        </w:tc>
        <w:tc>
          <w:tcPr>
            <w:tcW w:w="881" w:type="pct"/>
            <w:shd w:val="clear" w:color="auto" w:fill="DEEAF6" w:themeFill="accent1" w:themeFillTint="33"/>
            <w:vAlign w:val="center"/>
          </w:tcPr>
          <w:p w14:paraId="5D3C0F28" w14:textId="77777777" w:rsidR="00D97A18" w:rsidRPr="00912847" w:rsidRDefault="00D97A18" w:rsidP="009F357F">
            <w:pPr>
              <w:pStyle w:val="TableText"/>
              <w:jc w:val="center"/>
              <w:rPr>
                <w:b/>
                <w:bCs/>
              </w:rPr>
            </w:pPr>
            <w:r>
              <w:rPr>
                <w:b/>
                <w:bCs/>
                <w:sz w:val="20"/>
                <w:szCs w:val="20"/>
              </w:rPr>
              <w:t>Task or Report</w:t>
            </w:r>
          </w:p>
        </w:tc>
        <w:tc>
          <w:tcPr>
            <w:tcW w:w="1416" w:type="pct"/>
            <w:shd w:val="clear" w:color="auto" w:fill="DEEAF6" w:themeFill="accent1" w:themeFillTint="33"/>
            <w:vAlign w:val="center"/>
          </w:tcPr>
          <w:p w14:paraId="641E55DC" w14:textId="77777777" w:rsidR="00D97A18" w:rsidRPr="00AF31B0" w:rsidRDefault="00D97A18" w:rsidP="009F357F">
            <w:pPr>
              <w:pStyle w:val="TableText"/>
              <w:jc w:val="center"/>
            </w:pPr>
            <w:r w:rsidRPr="008311F1">
              <w:rPr>
                <w:b/>
                <w:bCs/>
                <w:sz w:val="20"/>
                <w:szCs w:val="20"/>
              </w:rPr>
              <w:t>Objective</w:t>
            </w:r>
          </w:p>
        </w:tc>
        <w:tc>
          <w:tcPr>
            <w:tcW w:w="1226" w:type="pct"/>
            <w:shd w:val="clear" w:color="auto" w:fill="DEEAF6" w:themeFill="accent1" w:themeFillTint="33"/>
            <w:vAlign w:val="center"/>
          </w:tcPr>
          <w:p w14:paraId="7AD0BB13" w14:textId="77777777" w:rsidR="00D97A18" w:rsidRPr="00AF31B0" w:rsidRDefault="00D97A18" w:rsidP="009F357F">
            <w:pPr>
              <w:pStyle w:val="TableText"/>
              <w:jc w:val="center"/>
            </w:pPr>
            <w:r w:rsidRPr="008311F1">
              <w:rPr>
                <w:b/>
                <w:bCs/>
                <w:sz w:val="20"/>
                <w:szCs w:val="20"/>
              </w:rPr>
              <w:t>Dependencies and Possible Actions or Corrections Needed to Meet Objective</w:t>
            </w:r>
          </w:p>
        </w:tc>
        <w:tc>
          <w:tcPr>
            <w:tcW w:w="1163" w:type="pct"/>
            <w:shd w:val="clear" w:color="auto" w:fill="DEEAF6" w:themeFill="accent1" w:themeFillTint="33"/>
            <w:vAlign w:val="center"/>
          </w:tcPr>
          <w:p w14:paraId="34A5C628" w14:textId="77777777" w:rsidR="00D97A18" w:rsidRPr="008311F1" w:rsidRDefault="00D97A18" w:rsidP="009F357F">
            <w:pPr>
              <w:pStyle w:val="TableText"/>
              <w:jc w:val="center"/>
              <w:rPr>
                <w:sz w:val="20"/>
                <w:szCs w:val="20"/>
              </w:rPr>
            </w:pPr>
            <w:r w:rsidRPr="008311F1">
              <w:rPr>
                <w:b/>
                <w:bCs/>
                <w:sz w:val="20"/>
                <w:szCs w:val="20"/>
              </w:rPr>
              <w:t>Warning</w:t>
            </w:r>
          </w:p>
          <w:p w14:paraId="56AFC8EB" w14:textId="77777777" w:rsidR="00D97A18" w:rsidRPr="00AF31B0" w:rsidRDefault="00D97A18" w:rsidP="009F357F">
            <w:pPr>
              <w:pStyle w:val="TableText"/>
              <w:jc w:val="center"/>
            </w:pPr>
            <w:r w:rsidRPr="009A1DE7">
              <w:rPr>
                <w:i/>
                <w:iCs/>
              </w:rPr>
              <w:t>Not following the recommendations may yield the</w:t>
            </w:r>
            <w:r>
              <w:rPr>
                <w:i/>
                <w:iCs/>
              </w:rPr>
              <w:t>se</w:t>
            </w:r>
            <w:r w:rsidRPr="009A1DE7">
              <w:rPr>
                <w:i/>
                <w:iCs/>
              </w:rPr>
              <w:t xml:space="preserve"> unintended results.</w:t>
            </w:r>
          </w:p>
        </w:tc>
      </w:tr>
      <w:tr w:rsidR="00D97A18" w:rsidRPr="00EE4BD6" w14:paraId="1327BB96" w14:textId="77777777" w:rsidTr="009F357F">
        <w:trPr>
          <w:cantSplit/>
          <w:trHeight w:val="1422"/>
        </w:trPr>
        <w:tc>
          <w:tcPr>
            <w:tcW w:w="314" w:type="pct"/>
            <w:shd w:val="clear" w:color="auto" w:fill="DEEAF6" w:themeFill="accent1" w:themeFillTint="33"/>
            <w:textDirection w:val="btLr"/>
            <w:vAlign w:val="center"/>
          </w:tcPr>
          <w:p w14:paraId="2C8680BF" w14:textId="77777777" w:rsidR="00D97A18" w:rsidRPr="00FF4D51" w:rsidRDefault="00D97A18" w:rsidP="009F357F">
            <w:pPr>
              <w:pStyle w:val="Heading4"/>
              <w:ind w:right="113"/>
              <w:jc w:val="center"/>
            </w:pPr>
            <w:r w:rsidRPr="00B23B4E">
              <w:t>Monthly</w:t>
            </w:r>
          </w:p>
        </w:tc>
        <w:tc>
          <w:tcPr>
            <w:tcW w:w="881" w:type="pct"/>
            <w:shd w:val="clear" w:color="auto" w:fill="FFFFFF" w:themeFill="background1"/>
          </w:tcPr>
          <w:p w14:paraId="3F05FA5A" w14:textId="77777777" w:rsidR="00D97A18" w:rsidRPr="00FF4D51" w:rsidRDefault="00D97A18" w:rsidP="009F357F">
            <w:pPr>
              <w:pStyle w:val="TableText"/>
            </w:pPr>
            <w:r w:rsidRPr="00ED242C">
              <w:rPr>
                <w:b/>
                <w:bCs/>
                <w:sz w:val="20"/>
                <w:szCs w:val="20"/>
              </w:rPr>
              <w:t>Hard/Virtual Drive Maintenance</w:t>
            </w:r>
          </w:p>
        </w:tc>
        <w:tc>
          <w:tcPr>
            <w:tcW w:w="1416" w:type="pct"/>
            <w:shd w:val="clear" w:color="auto" w:fill="FFFFFF" w:themeFill="background1"/>
          </w:tcPr>
          <w:p w14:paraId="636215CD" w14:textId="77777777" w:rsidR="00D97A18" w:rsidRPr="00F8717F" w:rsidRDefault="00D97A18" w:rsidP="009F357F">
            <w:pPr>
              <w:pStyle w:val="TableText"/>
              <w:rPr>
                <w:sz w:val="18"/>
                <w:szCs w:val="18"/>
              </w:rPr>
            </w:pPr>
            <w:bookmarkStart w:id="431" w:name="_Hard/Virtual_Drive_Maintenance"/>
            <w:bookmarkEnd w:id="431"/>
            <w:r w:rsidRPr="00F8717F">
              <w:rPr>
                <w:sz w:val="18"/>
                <w:szCs w:val="18"/>
              </w:rPr>
              <w:t>Optimizing your drives can help your Server/PC run smoother and increase performance.</w:t>
            </w:r>
          </w:p>
        </w:tc>
        <w:tc>
          <w:tcPr>
            <w:tcW w:w="1226" w:type="pct"/>
            <w:shd w:val="clear" w:color="auto" w:fill="FFFFFF" w:themeFill="background1"/>
          </w:tcPr>
          <w:p w14:paraId="44EB41C6" w14:textId="77777777" w:rsidR="00D97A18" w:rsidRPr="00F8717F" w:rsidRDefault="00D97A18" w:rsidP="009F357F">
            <w:pPr>
              <w:pStyle w:val="TableText"/>
              <w:numPr>
                <w:ilvl w:val="0"/>
                <w:numId w:val="2"/>
              </w:numPr>
              <w:ind w:left="232" w:hanging="180"/>
              <w:rPr>
                <w:sz w:val="18"/>
                <w:szCs w:val="18"/>
              </w:rPr>
            </w:pPr>
            <w:r w:rsidRPr="00F8717F">
              <w:rPr>
                <w:sz w:val="18"/>
                <w:szCs w:val="18"/>
              </w:rPr>
              <w:t>Server and Workstation hard drive optimization are inherited tools in all Microsoft operating systems.</w:t>
            </w:r>
          </w:p>
        </w:tc>
        <w:tc>
          <w:tcPr>
            <w:tcW w:w="1163" w:type="pct"/>
            <w:shd w:val="clear" w:color="auto" w:fill="FFFFFF" w:themeFill="background1"/>
          </w:tcPr>
          <w:p w14:paraId="10471CC7" w14:textId="77777777" w:rsidR="00D97A18" w:rsidRPr="00F8717F" w:rsidRDefault="00D97A18" w:rsidP="009F357F">
            <w:pPr>
              <w:pStyle w:val="TableText"/>
              <w:rPr>
                <w:sz w:val="18"/>
                <w:szCs w:val="18"/>
              </w:rPr>
            </w:pPr>
            <w:r w:rsidRPr="00F8717F">
              <w:rPr>
                <w:sz w:val="18"/>
                <w:szCs w:val="18"/>
              </w:rPr>
              <w:t>Hard Drives not fully optimized will have decreased performance.</w:t>
            </w:r>
          </w:p>
        </w:tc>
      </w:tr>
      <w:tr w:rsidR="00D97A18" w:rsidRPr="00EE4BD6" w14:paraId="1E1AC8B8" w14:textId="77777777" w:rsidTr="009F357F">
        <w:trPr>
          <w:cantSplit/>
          <w:trHeight w:val="1692"/>
        </w:trPr>
        <w:tc>
          <w:tcPr>
            <w:tcW w:w="314" w:type="pct"/>
            <w:shd w:val="clear" w:color="auto" w:fill="DEEAF6" w:themeFill="accent1" w:themeFillTint="33"/>
            <w:textDirection w:val="btLr"/>
            <w:vAlign w:val="center"/>
          </w:tcPr>
          <w:p w14:paraId="7654334B" w14:textId="77777777" w:rsidR="00D97A18" w:rsidRPr="002A50BA" w:rsidRDefault="00D97A18" w:rsidP="009F357F">
            <w:pPr>
              <w:pStyle w:val="Heading4"/>
              <w:ind w:right="113"/>
              <w:jc w:val="center"/>
            </w:pPr>
            <w:r w:rsidRPr="00B23B4E">
              <w:t>Annually</w:t>
            </w:r>
          </w:p>
        </w:tc>
        <w:tc>
          <w:tcPr>
            <w:tcW w:w="881" w:type="pct"/>
            <w:shd w:val="clear" w:color="auto" w:fill="FFFFFF" w:themeFill="background1"/>
          </w:tcPr>
          <w:p w14:paraId="1740C13B" w14:textId="77777777" w:rsidR="00D97A18" w:rsidRPr="002A50BA" w:rsidRDefault="00D97A18" w:rsidP="009F357F">
            <w:pPr>
              <w:pStyle w:val="Heading4"/>
            </w:pPr>
            <w:r w:rsidRPr="007D2A8B">
              <w:rPr>
                <w:sz w:val="20"/>
                <w:szCs w:val="22"/>
              </w:rPr>
              <w:t>Data Recovery</w:t>
            </w:r>
          </w:p>
        </w:tc>
        <w:tc>
          <w:tcPr>
            <w:tcW w:w="1416" w:type="pct"/>
            <w:shd w:val="clear" w:color="auto" w:fill="FFFFFF" w:themeFill="background1"/>
          </w:tcPr>
          <w:p w14:paraId="2A41A703" w14:textId="77777777" w:rsidR="00D97A18" w:rsidRPr="00F8717F" w:rsidRDefault="00D97A18" w:rsidP="009F357F">
            <w:pPr>
              <w:pStyle w:val="TableText"/>
              <w:rPr>
                <w:sz w:val="18"/>
                <w:szCs w:val="18"/>
              </w:rPr>
            </w:pPr>
            <w:bookmarkStart w:id="432" w:name="_Data_Recovery"/>
            <w:bookmarkEnd w:id="432"/>
            <w:r w:rsidRPr="00F8717F">
              <w:rPr>
                <w:sz w:val="18"/>
                <w:szCs w:val="18"/>
              </w:rPr>
              <w:t>Methods of replicating data for security and its ability to reliably retrieve EDR data should the need arise. Backup and recovery testing is an essential part of a disaster recovery plan.</w:t>
            </w:r>
          </w:p>
        </w:tc>
        <w:tc>
          <w:tcPr>
            <w:tcW w:w="1226" w:type="pct"/>
            <w:shd w:val="clear" w:color="auto" w:fill="FFFFFF" w:themeFill="background1"/>
          </w:tcPr>
          <w:p w14:paraId="33B0E8DF" w14:textId="77777777" w:rsidR="00D97A18" w:rsidRPr="00F8717F" w:rsidRDefault="00D97A18" w:rsidP="009F357F">
            <w:pPr>
              <w:pStyle w:val="TableText"/>
              <w:numPr>
                <w:ilvl w:val="0"/>
                <w:numId w:val="2"/>
              </w:numPr>
              <w:ind w:left="232" w:hanging="180"/>
              <w:rPr>
                <w:sz w:val="18"/>
                <w:szCs w:val="18"/>
              </w:rPr>
            </w:pPr>
            <w:r w:rsidRPr="00F8717F">
              <w:rPr>
                <w:sz w:val="18"/>
                <w:szCs w:val="18"/>
              </w:rPr>
              <w:t>Guides below outline steps to backup and restore your EDR data. It is strongly recommended that EDR Support be contacted for assistance with Annual Data Recovery Testing.</w:t>
            </w:r>
          </w:p>
        </w:tc>
        <w:tc>
          <w:tcPr>
            <w:tcW w:w="1163" w:type="pct"/>
            <w:shd w:val="clear" w:color="auto" w:fill="FFFFFF" w:themeFill="background1"/>
          </w:tcPr>
          <w:p w14:paraId="24E27121" w14:textId="77777777" w:rsidR="00D97A18" w:rsidRPr="00F8717F" w:rsidRDefault="00D97A18" w:rsidP="009F357F">
            <w:pPr>
              <w:pStyle w:val="TableText"/>
              <w:rPr>
                <w:sz w:val="18"/>
                <w:szCs w:val="18"/>
              </w:rPr>
            </w:pPr>
            <w:r w:rsidRPr="00F8717F">
              <w:rPr>
                <w:sz w:val="18"/>
                <w:szCs w:val="18"/>
              </w:rPr>
              <w:t>Successful Data Recovery testing ensures that your EDR data can be restored in case of a critical system event (virus, fire, theft).</w:t>
            </w:r>
          </w:p>
        </w:tc>
      </w:tr>
    </w:tbl>
    <w:p w14:paraId="38E7583F" w14:textId="3361E406" w:rsidR="00F17BA0" w:rsidRDefault="00F17BA0" w:rsidP="00F17BA0">
      <w:pPr>
        <w:rPr>
          <w:sz w:val="2"/>
          <w:szCs w:val="2"/>
          <w:lang w:val="en"/>
        </w:rPr>
      </w:pPr>
    </w:p>
    <w:p w14:paraId="59EEE109" w14:textId="2D670D09" w:rsidR="00551298" w:rsidRDefault="00551298">
      <w:pPr>
        <w:spacing w:after="0"/>
        <w:rPr>
          <w:sz w:val="2"/>
          <w:szCs w:val="2"/>
          <w:lang w:val="en"/>
        </w:rPr>
      </w:pPr>
      <w:r>
        <w:rPr>
          <w:sz w:val="2"/>
          <w:szCs w:val="2"/>
          <w:lang w:val="en"/>
        </w:rPr>
        <w:br w:type="page"/>
      </w:r>
    </w:p>
    <w:p w14:paraId="656BCFA2" w14:textId="77777777" w:rsidR="00551298" w:rsidRDefault="00551298">
      <w:pPr>
        <w:spacing w:after="0"/>
        <w:rPr>
          <w:sz w:val="2"/>
          <w:szCs w:val="2"/>
          <w:lang w:val="en"/>
        </w:rPr>
      </w:pPr>
    </w:p>
    <w:p w14:paraId="3C3C0816" w14:textId="3CA29E6E" w:rsidR="00551298" w:rsidRDefault="00551298" w:rsidP="00551298">
      <w:pPr>
        <w:pStyle w:val="Heading2"/>
      </w:pPr>
      <w:bookmarkStart w:id="433" w:name="_Toc166834444"/>
      <w:r>
        <w:t>Annual Reports Checklist</w:t>
      </w:r>
      <w:bookmarkEnd w:id="433"/>
    </w:p>
    <w:p w14:paraId="6A111BDE" w14:textId="66A490A9" w:rsidR="00551298" w:rsidRDefault="00551298" w:rsidP="00551298">
      <w:pPr>
        <w:rPr>
          <w:sz w:val="20"/>
          <w:szCs w:val="22"/>
        </w:rPr>
      </w:pPr>
      <w:r w:rsidRPr="00D97A18">
        <w:rPr>
          <w:sz w:val="20"/>
          <w:szCs w:val="22"/>
        </w:rPr>
        <w:t>Return to:</w:t>
      </w:r>
      <w:r>
        <w:rPr>
          <w:sz w:val="20"/>
          <w:szCs w:val="22"/>
        </w:rPr>
        <w:t xml:space="preserve"> </w:t>
      </w:r>
      <w:hyperlink w:anchor="_Annually_Checklist" w:history="1">
        <w:r w:rsidRPr="00551298">
          <w:rPr>
            <w:rStyle w:val="Hyperlink"/>
            <w:sz w:val="20"/>
            <w:szCs w:val="22"/>
          </w:rPr>
          <w:t>Annually Checklist</w:t>
        </w:r>
      </w:hyperlink>
    </w:p>
    <w:tbl>
      <w:tblPr>
        <w:tblStyle w:val="TableGrid"/>
        <w:tblW w:w="12960" w:type="dxa"/>
        <w:tblInd w:w="-5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A0" w:firstRow="1" w:lastRow="0" w:firstColumn="1" w:lastColumn="0" w:noHBand="0" w:noVBand="1"/>
      </w:tblPr>
      <w:tblGrid>
        <w:gridCol w:w="3839"/>
        <w:gridCol w:w="5293"/>
        <w:gridCol w:w="3828"/>
      </w:tblGrid>
      <w:tr w:rsidR="00551298" w:rsidRPr="00E92EA5" w14:paraId="77FB79C0" w14:textId="77777777" w:rsidTr="00646884">
        <w:trPr>
          <w:cantSplit/>
          <w:trHeight w:val="428"/>
        </w:trPr>
        <w:tc>
          <w:tcPr>
            <w:tcW w:w="5000" w:type="pct"/>
            <w:gridSpan w:val="3"/>
            <w:shd w:val="clear" w:color="auto" w:fill="F2F2F2" w:themeFill="background1" w:themeFillShade="F2"/>
            <w:vAlign w:val="center"/>
          </w:tcPr>
          <w:p w14:paraId="32801D94" w14:textId="2AD44E99" w:rsidR="00551298" w:rsidRPr="00E92EA5" w:rsidRDefault="00EF1FDF" w:rsidP="00B47A80">
            <w:pPr>
              <w:pStyle w:val="Heading4"/>
            </w:pPr>
            <w:bookmarkStart w:id="434" w:name="_NIPRS_Validation_(non-RPMS;_1"/>
            <w:bookmarkEnd w:id="434"/>
            <w:r>
              <w:rPr>
                <w:color w:val="auto"/>
              </w:rPr>
              <w:t>NPIRS</w:t>
            </w:r>
            <w:r w:rsidR="00551298" w:rsidRPr="00DD1E1E">
              <w:rPr>
                <w:color w:val="auto"/>
              </w:rPr>
              <w:t xml:space="preserve"> Validation (non-RPMS; v. 11.0.44 and later)</w:t>
            </w:r>
            <w:r w:rsidR="00646884" w:rsidRPr="00E92EA5">
              <w:t xml:space="preserve"> </w:t>
            </w:r>
          </w:p>
        </w:tc>
      </w:tr>
      <w:tr w:rsidR="00551298" w14:paraId="248D75B9" w14:textId="77777777" w:rsidTr="00646884">
        <w:trPr>
          <w:cantSplit/>
          <w:trHeight w:val="428"/>
        </w:trPr>
        <w:tc>
          <w:tcPr>
            <w:tcW w:w="1481" w:type="pct"/>
            <w:vAlign w:val="center"/>
          </w:tcPr>
          <w:p w14:paraId="4CDC5CFF" w14:textId="407D457F" w:rsidR="00551298" w:rsidRPr="00837A86" w:rsidRDefault="00551298" w:rsidP="00B47A80">
            <w:pPr>
              <w:pStyle w:val="TableText"/>
              <w:jc w:val="center"/>
            </w:pPr>
            <w:r w:rsidRPr="00912847">
              <w:rPr>
                <w:b/>
                <w:bCs/>
              </w:rPr>
              <w:t>Objective</w:t>
            </w:r>
          </w:p>
        </w:tc>
        <w:tc>
          <w:tcPr>
            <w:tcW w:w="2042" w:type="pct"/>
            <w:vAlign w:val="center"/>
          </w:tcPr>
          <w:p w14:paraId="3CE878A8" w14:textId="77777777" w:rsidR="00551298" w:rsidRPr="00837A86" w:rsidRDefault="00551298" w:rsidP="00B47A80">
            <w:pPr>
              <w:pStyle w:val="TableText"/>
              <w:keepNext/>
              <w:keepLines/>
              <w:jc w:val="center"/>
            </w:pPr>
            <w:r w:rsidRPr="00912847">
              <w:rPr>
                <w:b/>
                <w:bCs/>
              </w:rPr>
              <w:t>Dependencies and Possible Actions or Corrections Needed to Meet Objective</w:t>
            </w:r>
          </w:p>
        </w:tc>
        <w:tc>
          <w:tcPr>
            <w:tcW w:w="1477" w:type="pct"/>
            <w:vAlign w:val="center"/>
          </w:tcPr>
          <w:p w14:paraId="33A0B920" w14:textId="77777777" w:rsidR="00551298" w:rsidRPr="009A1DE7" w:rsidRDefault="00551298" w:rsidP="00B47A80">
            <w:pPr>
              <w:pStyle w:val="TableText"/>
              <w:jc w:val="center"/>
            </w:pPr>
            <w:r w:rsidRPr="00912847">
              <w:rPr>
                <w:b/>
                <w:bCs/>
              </w:rPr>
              <w:t>Warning</w:t>
            </w:r>
          </w:p>
          <w:p w14:paraId="4E6C1C7B" w14:textId="5EEAAF59" w:rsidR="00551298" w:rsidRDefault="00551298" w:rsidP="00B47A80">
            <w:pPr>
              <w:pStyle w:val="TableText"/>
              <w:spacing w:after="0"/>
              <w:jc w:val="center"/>
            </w:pPr>
            <w:r w:rsidRPr="009A1DE7">
              <w:rPr>
                <w:i/>
                <w:iCs/>
              </w:rPr>
              <w:t>Not following the recommendations may yield the</w:t>
            </w:r>
            <w:r>
              <w:rPr>
                <w:i/>
                <w:iCs/>
              </w:rPr>
              <w:t>se</w:t>
            </w:r>
            <w:r w:rsidRPr="009A1DE7">
              <w:rPr>
                <w:i/>
                <w:iCs/>
              </w:rPr>
              <w:t xml:space="preserve"> unintended results.</w:t>
            </w:r>
          </w:p>
        </w:tc>
      </w:tr>
      <w:tr w:rsidR="00551298" w:rsidRPr="00EF587A" w14:paraId="0D08D7E6" w14:textId="77777777" w:rsidTr="00646884">
        <w:trPr>
          <w:cantSplit/>
          <w:trHeight w:val="428"/>
        </w:trPr>
        <w:tc>
          <w:tcPr>
            <w:tcW w:w="1481" w:type="pct"/>
          </w:tcPr>
          <w:p w14:paraId="6A4C9655" w14:textId="270E35C2" w:rsidR="00551298" w:rsidRPr="009A1DE7" w:rsidRDefault="00551298" w:rsidP="00B47A80">
            <w:pPr>
              <w:pStyle w:val="TableText"/>
            </w:pPr>
            <w:r>
              <w:t>G</w:t>
            </w:r>
            <w:r w:rsidRPr="004769B7">
              <w:t>enerate encounter and registration files to store in the National Data Warehouse (NDW)</w:t>
            </w:r>
            <w:r w:rsidRPr="000F3D09">
              <w:t>.</w:t>
            </w:r>
          </w:p>
        </w:tc>
        <w:tc>
          <w:tcPr>
            <w:tcW w:w="2042" w:type="pct"/>
          </w:tcPr>
          <w:p w14:paraId="17303577" w14:textId="77777777" w:rsidR="00551298" w:rsidRDefault="00551298" w:rsidP="00B47A80">
            <w:pPr>
              <w:pStyle w:val="TableText"/>
              <w:keepNext/>
              <w:keepLines/>
            </w:pPr>
            <w:r>
              <w:t>Patient information, provider</w:t>
            </w:r>
            <w:r w:rsidRPr="000F3D09">
              <w:t xml:space="preserve"> </w:t>
            </w:r>
            <w:r>
              <w:t xml:space="preserve">information, procedures, and IHS standard codes </w:t>
            </w:r>
            <w:r w:rsidRPr="000F3D09">
              <w:t>must be entered.</w:t>
            </w:r>
            <w:r>
              <w:t xml:space="preserve"> </w:t>
            </w:r>
          </w:p>
          <w:p w14:paraId="2F7FD000" w14:textId="77777777" w:rsidR="00551298" w:rsidRDefault="00551298" w:rsidP="00B47A80">
            <w:pPr>
              <w:pStyle w:val="TableText"/>
              <w:numPr>
                <w:ilvl w:val="0"/>
                <w:numId w:val="2"/>
              </w:numPr>
              <w:ind w:left="232" w:hanging="180"/>
            </w:pPr>
            <w:r>
              <w:rPr>
                <w:u w:val="single"/>
              </w:rPr>
              <w:t>Family File</w:t>
            </w:r>
            <w:r w:rsidRPr="009A1DE7">
              <w:t xml:space="preserve">: </w:t>
            </w:r>
            <w:r>
              <w:t>Enter personal, demographic, office, and insurance information.</w:t>
            </w:r>
          </w:p>
          <w:p w14:paraId="555B6B90" w14:textId="77777777" w:rsidR="00551298" w:rsidRDefault="00551298" w:rsidP="00B47A80">
            <w:pPr>
              <w:pStyle w:val="TableText"/>
              <w:numPr>
                <w:ilvl w:val="0"/>
                <w:numId w:val="2"/>
              </w:numPr>
              <w:ind w:left="232" w:hanging="180"/>
            </w:pPr>
            <w:r>
              <w:rPr>
                <w:u w:val="single"/>
              </w:rPr>
              <w:t>Ledger</w:t>
            </w:r>
            <w:r>
              <w:t>: Enter procedures.</w:t>
            </w:r>
          </w:p>
          <w:p w14:paraId="2F3A4BCE" w14:textId="77777777" w:rsidR="00551298" w:rsidRPr="009A1DE7" w:rsidRDefault="00551298" w:rsidP="00B47A80">
            <w:pPr>
              <w:pStyle w:val="TableText"/>
              <w:numPr>
                <w:ilvl w:val="0"/>
                <w:numId w:val="2"/>
              </w:numPr>
              <w:ind w:left="232" w:hanging="180"/>
            </w:pPr>
            <w:r>
              <w:rPr>
                <w:u w:val="single"/>
              </w:rPr>
              <w:t>Office Manager</w:t>
            </w:r>
            <w:r>
              <w:t>: Enter provider information, and customize IHS standard codes.</w:t>
            </w:r>
          </w:p>
        </w:tc>
        <w:tc>
          <w:tcPr>
            <w:tcW w:w="1477" w:type="pct"/>
          </w:tcPr>
          <w:p w14:paraId="7E5E91B5" w14:textId="564C174B" w:rsidR="00551298" w:rsidRPr="00551298" w:rsidRDefault="00551298" w:rsidP="00551298">
            <w:pPr>
              <w:pStyle w:val="TableText"/>
            </w:pPr>
            <w:r>
              <w:t>If the clinic does not routinely extract data from Dentrix Enterprise to create files for the NPIRS, up-to-date information is not available for reporting, data mining, and analysis to support patient care and management.</w:t>
            </w:r>
          </w:p>
        </w:tc>
      </w:tr>
      <w:tr w:rsidR="00646884" w:rsidRPr="00E92EA5" w14:paraId="05626E30" w14:textId="77777777" w:rsidTr="00B47A80">
        <w:trPr>
          <w:cantSplit/>
          <w:trHeight w:val="428"/>
        </w:trPr>
        <w:tc>
          <w:tcPr>
            <w:tcW w:w="5000" w:type="pct"/>
            <w:gridSpan w:val="3"/>
            <w:shd w:val="clear" w:color="auto" w:fill="F2F2F2" w:themeFill="background1" w:themeFillShade="F2"/>
            <w:vAlign w:val="center"/>
          </w:tcPr>
          <w:p w14:paraId="7AB17856" w14:textId="4D0947B5" w:rsidR="00646884" w:rsidRPr="00E92EA5" w:rsidRDefault="00646884" w:rsidP="00B47A80">
            <w:pPr>
              <w:pStyle w:val="Heading4"/>
            </w:pPr>
            <w:bookmarkStart w:id="435" w:name="_Clinical_Note_Review"/>
            <w:bookmarkEnd w:id="435"/>
            <w:r w:rsidRPr="00646884">
              <w:rPr>
                <w:color w:val="auto"/>
              </w:rPr>
              <w:t>Clinical Note Review Dashboard</w:t>
            </w:r>
            <w:r w:rsidRPr="00E92EA5">
              <w:t xml:space="preserve"> </w:t>
            </w:r>
          </w:p>
        </w:tc>
      </w:tr>
      <w:tr w:rsidR="00646884" w14:paraId="043961D8" w14:textId="77777777" w:rsidTr="00646884">
        <w:trPr>
          <w:cantSplit/>
          <w:trHeight w:val="428"/>
        </w:trPr>
        <w:tc>
          <w:tcPr>
            <w:tcW w:w="1481" w:type="pct"/>
            <w:vAlign w:val="center"/>
          </w:tcPr>
          <w:p w14:paraId="2C29CD21" w14:textId="77777777" w:rsidR="00646884" w:rsidRPr="00837A86" w:rsidRDefault="00646884" w:rsidP="00B47A80">
            <w:pPr>
              <w:pStyle w:val="TableText"/>
              <w:jc w:val="center"/>
            </w:pPr>
            <w:r w:rsidRPr="00912847">
              <w:rPr>
                <w:b/>
                <w:bCs/>
              </w:rPr>
              <w:t>Objective</w:t>
            </w:r>
          </w:p>
        </w:tc>
        <w:tc>
          <w:tcPr>
            <w:tcW w:w="2042" w:type="pct"/>
            <w:vAlign w:val="center"/>
          </w:tcPr>
          <w:p w14:paraId="5AAF2C79" w14:textId="77777777" w:rsidR="00646884" w:rsidRPr="00837A86" w:rsidRDefault="00646884" w:rsidP="00B47A80">
            <w:pPr>
              <w:pStyle w:val="TableText"/>
              <w:keepNext/>
              <w:keepLines/>
              <w:jc w:val="center"/>
            </w:pPr>
            <w:r w:rsidRPr="00912847">
              <w:rPr>
                <w:b/>
                <w:bCs/>
              </w:rPr>
              <w:t>Dependencies and Possible Actions or Corrections Needed to Meet Objective</w:t>
            </w:r>
          </w:p>
        </w:tc>
        <w:tc>
          <w:tcPr>
            <w:tcW w:w="1477" w:type="pct"/>
            <w:vAlign w:val="center"/>
          </w:tcPr>
          <w:p w14:paraId="0D4A14B9" w14:textId="77777777" w:rsidR="00646884" w:rsidRPr="009A1DE7" w:rsidRDefault="00646884" w:rsidP="00B47A80">
            <w:pPr>
              <w:pStyle w:val="TableText"/>
              <w:jc w:val="center"/>
            </w:pPr>
            <w:r w:rsidRPr="00912847">
              <w:rPr>
                <w:b/>
                <w:bCs/>
              </w:rPr>
              <w:t>Warning</w:t>
            </w:r>
          </w:p>
          <w:p w14:paraId="6E09ACDC" w14:textId="77777777" w:rsidR="00646884" w:rsidRDefault="00646884" w:rsidP="00B47A80">
            <w:pPr>
              <w:pStyle w:val="TableText"/>
              <w:spacing w:after="0"/>
              <w:jc w:val="center"/>
            </w:pPr>
            <w:r w:rsidRPr="009A1DE7">
              <w:rPr>
                <w:i/>
                <w:iCs/>
              </w:rPr>
              <w:t>Not following the recommendations may yield the</w:t>
            </w:r>
            <w:r>
              <w:rPr>
                <w:i/>
                <w:iCs/>
              </w:rPr>
              <w:t>se</w:t>
            </w:r>
            <w:r w:rsidRPr="009A1DE7">
              <w:rPr>
                <w:i/>
                <w:iCs/>
              </w:rPr>
              <w:t xml:space="preserve"> unintended results.</w:t>
            </w:r>
          </w:p>
        </w:tc>
      </w:tr>
      <w:tr w:rsidR="00646884" w:rsidRPr="00EF587A" w14:paraId="0DA362D2" w14:textId="77777777" w:rsidTr="00646884">
        <w:trPr>
          <w:cantSplit/>
          <w:trHeight w:val="428"/>
        </w:trPr>
        <w:tc>
          <w:tcPr>
            <w:tcW w:w="1481" w:type="pct"/>
          </w:tcPr>
          <w:p w14:paraId="286B60EE" w14:textId="50FA8A77" w:rsidR="00646884" w:rsidRPr="009A1DE7" w:rsidRDefault="00F8059B" w:rsidP="00B47A80">
            <w:pPr>
              <w:pStyle w:val="TableText"/>
            </w:pPr>
            <w:r>
              <w:t>Help a</w:t>
            </w:r>
            <w:r w:rsidRPr="00F8059B">
              <w:t>utomate the process of reviewing clinical notes</w:t>
            </w:r>
            <w:r>
              <w:t>.</w:t>
            </w:r>
          </w:p>
        </w:tc>
        <w:tc>
          <w:tcPr>
            <w:tcW w:w="2042" w:type="pct"/>
          </w:tcPr>
          <w:p w14:paraId="3768AF5A" w14:textId="77777777" w:rsidR="00F8059B" w:rsidRDefault="00F8059B" w:rsidP="00F8059B">
            <w:pPr>
              <w:pStyle w:val="TableText"/>
              <w:keepNext/>
              <w:keepLines/>
            </w:pPr>
            <w:r w:rsidRPr="00837A86">
              <w:t xml:space="preserve">Clinical </w:t>
            </w:r>
            <w:r>
              <w:t>n</w:t>
            </w:r>
            <w:r w:rsidRPr="00837A86">
              <w:t>otes and electronic signatures (approvals) are being used in the EDR</w:t>
            </w:r>
            <w:r w:rsidRPr="00D160F4">
              <w:t>.</w:t>
            </w:r>
          </w:p>
          <w:p w14:paraId="0ABD08D5" w14:textId="6FEE0EF7" w:rsidR="00F8059B" w:rsidRPr="009A1DE7" w:rsidRDefault="00F8059B" w:rsidP="00F8059B">
            <w:pPr>
              <w:pStyle w:val="TableText"/>
              <w:numPr>
                <w:ilvl w:val="0"/>
                <w:numId w:val="2"/>
              </w:numPr>
              <w:ind w:left="232" w:hanging="180"/>
            </w:pPr>
            <w:r>
              <w:rPr>
                <w:u w:val="single"/>
              </w:rPr>
              <w:t>Clinical Notes</w:t>
            </w:r>
            <w:r>
              <w:t xml:space="preserve">: </w:t>
            </w:r>
            <w:r w:rsidRPr="00837A86">
              <w:t>Add</w:t>
            </w:r>
            <w:r>
              <w:t xml:space="preserve"> or </w:t>
            </w:r>
            <w:r w:rsidRPr="00837A86">
              <w:t xml:space="preserve">modify </w:t>
            </w:r>
            <w:r>
              <w:t>c</w:t>
            </w:r>
            <w:r w:rsidRPr="00837A86">
              <w:t xml:space="preserve">linical </w:t>
            </w:r>
            <w:r>
              <w:t>n</w:t>
            </w:r>
            <w:r w:rsidRPr="00837A86">
              <w:t>ote as needed</w:t>
            </w:r>
            <w:r>
              <w:t xml:space="preserve">. </w:t>
            </w:r>
            <w:r w:rsidRPr="00837A86">
              <w:t xml:space="preserve">Sign </w:t>
            </w:r>
            <w:r>
              <w:t>c</w:t>
            </w:r>
            <w:r w:rsidRPr="00837A86">
              <w:t xml:space="preserve">linical </w:t>
            </w:r>
            <w:r>
              <w:t>n</w:t>
            </w:r>
            <w:r w:rsidRPr="00837A86">
              <w:t>ote</w:t>
            </w:r>
            <w:r>
              <w:t>.</w:t>
            </w:r>
          </w:p>
        </w:tc>
        <w:tc>
          <w:tcPr>
            <w:tcW w:w="1477" w:type="pct"/>
          </w:tcPr>
          <w:p w14:paraId="11087CAB" w14:textId="172A47E4" w:rsidR="00646884" w:rsidRPr="00551298" w:rsidRDefault="00F8059B" w:rsidP="00B47A80">
            <w:pPr>
              <w:pStyle w:val="TableText"/>
            </w:pPr>
            <w:r w:rsidRPr="00837A86">
              <w:t xml:space="preserve">Not </w:t>
            </w:r>
            <w:r>
              <w:t>reviewing clinical notes</w:t>
            </w:r>
            <w:r w:rsidRPr="00837A86">
              <w:t xml:space="preserve"> leaves unsigned </w:t>
            </w:r>
            <w:r>
              <w:t>c</w:t>
            </w:r>
            <w:r w:rsidRPr="00837A86">
              <w:t xml:space="preserve">linical </w:t>
            </w:r>
            <w:r>
              <w:t>n</w:t>
            </w:r>
            <w:r w:rsidRPr="00837A86">
              <w:t xml:space="preserve">otes open for editing. Identifying those unsigned </w:t>
            </w:r>
            <w:r>
              <w:t>c</w:t>
            </w:r>
            <w:r w:rsidRPr="00837A86">
              <w:t xml:space="preserve">linical </w:t>
            </w:r>
            <w:r>
              <w:t>n</w:t>
            </w:r>
            <w:r w:rsidRPr="00837A86">
              <w:t xml:space="preserve">otes </w:t>
            </w:r>
            <w:r>
              <w:t xml:space="preserve">is </w:t>
            </w:r>
            <w:r w:rsidRPr="00837A86">
              <w:t xml:space="preserve">a quick and easy way for Providers to find </w:t>
            </w:r>
            <w:r>
              <w:t>any</w:t>
            </w:r>
            <w:r w:rsidRPr="00837A86">
              <w:t xml:space="preserve"> </w:t>
            </w:r>
            <w:r>
              <w:t>c</w:t>
            </w:r>
            <w:r w:rsidRPr="00837A86">
              <w:t xml:space="preserve">linical </w:t>
            </w:r>
            <w:r>
              <w:t>n</w:t>
            </w:r>
            <w:r w:rsidRPr="00837A86">
              <w:t>otes that need attention and completion.</w:t>
            </w:r>
          </w:p>
        </w:tc>
      </w:tr>
    </w:tbl>
    <w:p w14:paraId="56CA85E9" w14:textId="77777777" w:rsidR="00551298" w:rsidRPr="00D97A18" w:rsidRDefault="00551298" w:rsidP="00551298">
      <w:pPr>
        <w:rPr>
          <w:sz w:val="20"/>
          <w:szCs w:val="22"/>
        </w:rPr>
      </w:pPr>
    </w:p>
    <w:p w14:paraId="4D758D59" w14:textId="740970FC" w:rsidR="00F17BA0" w:rsidRDefault="00F17BA0">
      <w:pPr>
        <w:spacing w:after="0"/>
        <w:rPr>
          <w:sz w:val="2"/>
          <w:szCs w:val="2"/>
          <w:lang w:val="en"/>
        </w:rPr>
      </w:pPr>
    </w:p>
    <w:p w14:paraId="22C324A7" w14:textId="42E23DB2" w:rsidR="00DA7F67" w:rsidRPr="009A743E" w:rsidRDefault="00DA7F67" w:rsidP="00F17BA0">
      <w:pPr>
        <w:rPr>
          <w:sz w:val="2"/>
          <w:szCs w:val="2"/>
          <w:lang w:val="en"/>
        </w:rPr>
      </w:pPr>
    </w:p>
    <w:sectPr w:rsidR="00DA7F67" w:rsidRPr="009A743E" w:rsidSect="00C616BD">
      <w:headerReference w:type="even" r:id="rId124"/>
      <w:headerReference w:type="default" r:id="rId125"/>
      <w:footerReference w:type="even" r:id="rId126"/>
      <w:footerReference w:type="default" r:id="rId127"/>
      <w:pgSz w:w="15840" w:h="12240" w:orient="landscape"/>
      <w:pgMar w:top="1440" w:right="1440" w:bottom="1440" w:left="144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98DCA" w14:textId="77777777" w:rsidR="00150477" w:rsidRDefault="00150477">
      <w:pPr>
        <w:spacing w:after="0"/>
      </w:pPr>
      <w:r>
        <w:separator/>
      </w:r>
    </w:p>
  </w:endnote>
  <w:endnote w:type="continuationSeparator" w:id="0">
    <w:p w14:paraId="1074EDC9" w14:textId="77777777" w:rsidR="00150477" w:rsidRDefault="00150477">
      <w:pPr>
        <w:spacing w:after="0"/>
      </w:pPr>
      <w:r>
        <w:continuationSeparator/>
      </w:r>
    </w:p>
  </w:endnote>
  <w:endnote w:type="continuationNotice" w:id="1">
    <w:p w14:paraId="698F770D" w14:textId="77777777" w:rsidR="00150477" w:rsidRDefault="001504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9360"/>
    </w:tblGrid>
    <w:tr w:rsidR="00FE171B" w:rsidRPr="00707166" w14:paraId="2BD08F26" w14:textId="77777777" w:rsidTr="00C22C2A">
      <w:tc>
        <w:tcPr>
          <w:tcW w:w="5000" w:type="pct"/>
          <w:tcMar>
            <w:left w:w="0" w:type="dxa"/>
            <w:right w:w="0" w:type="dxa"/>
          </w:tcMar>
          <w:vAlign w:val="center"/>
        </w:tcPr>
        <w:p w14:paraId="6C7DA930" w14:textId="44F4FC96" w:rsidR="00FE171B" w:rsidRPr="00707166" w:rsidRDefault="00FE171B" w:rsidP="00EC114D">
          <w:pPr>
            <w:spacing w:after="0"/>
            <w:rPr>
              <w:sz w:val="18"/>
              <w:szCs w:val="20"/>
            </w:rPr>
          </w:pPr>
          <w:r w:rsidRPr="00707166">
            <w:rPr>
              <w:sz w:val="18"/>
              <w:szCs w:val="20"/>
            </w:rPr>
            <w:t>IHS Dental Clinic Manager’s Handbook</w:t>
          </w:r>
        </w:p>
      </w:tc>
    </w:tr>
  </w:tbl>
  <w:p w14:paraId="479A64B4" w14:textId="058AD7F1" w:rsidR="00FE171B" w:rsidRPr="00C22C2A" w:rsidRDefault="00C22C2A" w:rsidP="00FE171B">
    <w:pPr>
      <w:pStyle w:val="Footer"/>
    </w:pPr>
    <w:r w:rsidRPr="000C2F63">
      <w:rPr>
        <w:noProof/>
        <w:sz w:val="18"/>
        <w:szCs w:val="18"/>
      </w:rPr>
      <mc:AlternateContent>
        <mc:Choice Requires="wps">
          <w:drawing>
            <wp:anchor distT="0" distB="0" distL="114300" distR="114300" simplePos="0" relativeHeight="251658247" behindDoc="0" locked="0" layoutInCell="1" allowOverlap="1" wp14:anchorId="3A8AFD09" wp14:editId="3345F5B3">
              <wp:simplePos x="0" y="0"/>
              <wp:positionH relativeFrom="page">
                <wp:posOffset>3200400</wp:posOffset>
              </wp:positionH>
              <wp:positionV relativeFrom="page">
                <wp:posOffset>9601200</wp:posOffset>
              </wp:positionV>
              <wp:extent cx="3657600" cy="18288"/>
              <wp:effectExtent l="0" t="0" r="0" b="0"/>
              <wp:wrapNone/>
              <wp:docPr id="5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C8EF02" id="docshape10" o:spid="_x0000_s1026" style="position:absolute;margin-left:252pt;margin-top:756pt;width:4in;height:1.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12960"/>
    </w:tblGrid>
    <w:tr w:rsidR="00305356" w:rsidRPr="00707166" w14:paraId="7D0D6916" w14:textId="77777777" w:rsidTr="009F357F">
      <w:tc>
        <w:tcPr>
          <w:tcW w:w="5000" w:type="pct"/>
        </w:tcPr>
        <w:p w14:paraId="22DFC175" w14:textId="77777777" w:rsidR="00305356" w:rsidRPr="00707166" w:rsidRDefault="00305356" w:rsidP="00305356">
          <w:pPr>
            <w:spacing w:after="0"/>
            <w:jc w:val="right"/>
            <w:rPr>
              <w:sz w:val="18"/>
              <w:szCs w:val="20"/>
            </w:rPr>
          </w:pPr>
          <w:r w:rsidRPr="000C2F63">
            <w:rPr>
              <w:noProof/>
              <w:sz w:val="18"/>
              <w:szCs w:val="18"/>
            </w:rPr>
            <mc:AlternateContent>
              <mc:Choice Requires="wps">
                <w:drawing>
                  <wp:anchor distT="0" distB="0" distL="114300" distR="114300" simplePos="0" relativeHeight="251674636" behindDoc="0" locked="0" layoutInCell="1" allowOverlap="1" wp14:anchorId="06856B0E" wp14:editId="4768A784">
                    <wp:simplePos x="0" y="0"/>
                    <wp:positionH relativeFrom="page">
                      <wp:posOffset>-2672</wp:posOffset>
                    </wp:positionH>
                    <wp:positionV relativeFrom="page">
                      <wp:posOffset>59377</wp:posOffset>
                    </wp:positionV>
                    <wp:extent cx="5486400" cy="18288"/>
                    <wp:effectExtent l="0" t="0" r="0" b="0"/>
                    <wp:wrapNone/>
                    <wp:docPr id="112235285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2DF588" id="docshape10" o:spid="_x0000_s1026" style="position:absolute;margin-left:-.2pt;margin-top:4.7pt;width:6in;height:1.45pt;z-index:2516746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" fillcolor="black [3213]" stroked="f">
                    <w10:wrap anchorx="page" anchory="page"/>
                  </v:rect>
                </w:pict>
              </mc:Fallback>
            </mc:AlternateContent>
          </w:r>
          <w:r w:rsidRPr="00707166">
            <w:rPr>
              <w:sz w:val="18"/>
              <w:szCs w:val="20"/>
            </w:rPr>
            <w:t>IHS Dental Clinic Manager’s Handbook</w:t>
          </w:r>
        </w:p>
      </w:tc>
    </w:tr>
  </w:tbl>
  <w:p w14:paraId="44A3FB14" w14:textId="3805A133" w:rsidR="00305356" w:rsidRPr="00305356" w:rsidRDefault="00305356" w:rsidP="0030535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12960"/>
    </w:tblGrid>
    <w:tr w:rsidR="00305356" w:rsidRPr="00707166" w14:paraId="30F4C6CC" w14:textId="77777777" w:rsidTr="009F357F">
      <w:tc>
        <w:tcPr>
          <w:tcW w:w="5000" w:type="pct"/>
          <w:tcMar>
            <w:left w:w="0" w:type="dxa"/>
            <w:right w:w="115" w:type="dxa"/>
          </w:tcMar>
          <w:vAlign w:val="center"/>
        </w:tcPr>
        <w:p w14:paraId="51652978" w14:textId="77777777" w:rsidR="00305356" w:rsidRPr="00707166" w:rsidRDefault="00305356" w:rsidP="00305356">
          <w:pPr>
            <w:spacing w:after="0"/>
            <w:rPr>
              <w:sz w:val="18"/>
              <w:szCs w:val="20"/>
            </w:rPr>
          </w:pPr>
          <w:r w:rsidRPr="000C2F63">
            <w:rPr>
              <w:noProof/>
              <w:sz w:val="18"/>
              <w:szCs w:val="18"/>
            </w:rPr>
            <mc:AlternateContent>
              <mc:Choice Requires="wps">
                <w:drawing>
                  <wp:anchor distT="0" distB="0" distL="114300" distR="114300" simplePos="0" relativeHeight="251672588" behindDoc="0" locked="0" layoutInCell="1" allowOverlap="1" wp14:anchorId="397B50A8" wp14:editId="4AD220FC">
                    <wp:simplePos x="0" y="0"/>
                    <wp:positionH relativeFrom="page">
                      <wp:posOffset>2743200</wp:posOffset>
                    </wp:positionH>
                    <wp:positionV relativeFrom="page">
                      <wp:posOffset>62865</wp:posOffset>
                    </wp:positionV>
                    <wp:extent cx="5486400" cy="17780"/>
                    <wp:effectExtent l="0" t="0" r="0" b="0"/>
                    <wp:wrapNone/>
                    <wp:docPr id="152661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78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C452C" id="docshape10" o:spid="_x0000_s1026" style="position:absolute;margin-left:3in;margin-top:4.95pt;width:6in;height:1.4pt;z-index:251672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" fillcolor="black [3213]" stroked="f">
                    <w10:wrap anchorx="page" anchory="page"/>
                  </v:rect>
                </w:pict>
              </mc:Fallback>
            </mc:AlternateContent>
          </w:r>
          <w:r w:rsidRPr="00707166">
            <w:rPr>
              <w:sz w:val="18"/>
              <w:szCs w:val="20"/>
            </w:rPr>
            <w:t>IHS Dental Clinic Manager’s Handbook</w:t>
          </w:r>
        </w:p>
      </w:tc>
    </w:tr>
  </w:tbl>
  <w:p w14:paraId="65EAAEA3" w14:textId="25606FB3" w:rsidR="00305356" w:rsidRPr="00707166" w:rsidRDefault="00305356" w:rsidP="0070716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9360"/>
    </w:tblGrid>
    <w:tr w:rsidR="00AF069F" w:rsidRPr="00707166" w14:paraId="34D8FE68" w14:textId="77777777" w:rsidTr="009F357F">
      <w:tc>
        <w:tcPr>
          <w:tcW w:w="5000" w:type="pct"/>
          <w:tcMar>
            <w:left w:w="0" w:type="dxa"/>
            <w:right w:w="0" w:type="dxa"/>
          </w:tcMar>
          <w:vAlign w:val="center"/>
        </w:tcPr>
        <w:p w14:paraId="7A83FEF5" w14:textId="77777777" w:rsidR="00AF069F" w:rsidRPr="00707166" w:rsidRDefault="00AF069F" w:rsidP="00AF069F">
          <w:pPr>
            <w:spacing w:after="0"/>
            <w:jc w:val="right"/>
            <w:rPr>
              <w:sz w:val="18"/>
              <w:szCs w:val="20"/>
            </w:rPr>
          </w:pPr>
          <w:r w:rsidRPr="00707166">
            <w:rPr>
              <w:sz w:val="18"/>
              <w:szCs w:val="20"/>
            </w:rPr>
            <w:t>IHS Dental Clinic Manager’s Handbook</w:t>
          </w:r>
        </w:p>
      </w:tc>
    </w:tr>
  </w:tbl>
  <w:p w14:paraId="42761459" w14:textId="1A28F6FA" w:rsidR="00305356" w:rsidRPr="00305356" w:rsidRDefault="00AF069F" w:rsidP="00305356">
    <w:pPr>
      <w:pStyle w:val="Footer"/>
    </w:pPr>
    <w:r w:rsidRPr="000C2F63">
      <w:rPr>
        <w:noProof/>
        <w:sz w:val="18"/>
        <w:szCs w:val="18"/>
      </w:rPr>
      <mc:AlternateContent>
        <mc:Choice Requires="wps">
          <w:drawing>
            <wp:anchor distT="0" distB="0" distL="114300" distR="114300" simplePos="0" relativeHeight="251678732" behindDoc="0" locked="0" layoutInCell="1" allowOverlap="1" wp14:anchorId="3097A525" wp14:editId="72CBBE4B">
              <wp:simplePos x="0" y="0"/>
              <wp:positionH relativeFrom="page">
                <wp:posOffset>914400</wp:posOffset>
              </wp:positionH>
              <wp:positionV relativeFrom="page">
                <wp:posOffset>9601200</wp:posOffset>
              </wp:positionV>
              <wp:extent cx="3657600" cy="18288"/>
              <wp:effectExtent l="0" t="0" r="0" b="0"/>
              <wp:wrapNone/>
              <wp:docPr id="114978911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55E6B4" id="docshape10" o:spid="_x0000_s1026" style="position:absolute;margin-left:1in;margin-top:756pt;width:4in;height:1.45pt;z-index:2516787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9360"/>
    </w:tblGrid>
    <w:tr w:rsidR="00AF069F" w:rsidRPr="00707166" w14:paraId="1198A179" w14:textId="77777777" w:rsidTr="009F357F">
      <w:tc>
        <w:tcPr>
          <w:tcW w:w="5000" w:type="pct"/>
          <w:tcMar>
            <w:left w:w="0" w:type="dxa"/>
            <w:right w:w="115" w:type="dxa"/>
          </w:tcMar>
          <w:vAlign w:val="center"/>
        </w:tcPr>
        <w:p w14:paraId="5459BC46" w14:textId="77777777" w:rsidR="00AF069F" w:rsidRPr="00707166" w:rsidRDefault="00AF069F" w:rsidP="00AF069F">
          <w:pPr>
            <w:spacing w:after="0"/>
            <w:rPr>
              <w:sz w:val="18"/>
              <w:szCs w:val="20"/>
            </w:rPr>
          </w:pPr>
          <w:r w:rsidRPr="00707166">
            <w:rPr>
              <w:sz w:val="18"/>
              <w:szCs w:val="20"/>
            </w:rPr>
            <w:t>IHS Dental Clinic Manager’s Handbook</w:t>
          </w:r>
        </w:p>
      </w:tc>
    </w:tr>
  </w:tbl>
  <w:p w14:paraId="65328111" w14:textId="2D4CE626" w:rsidR="00305356" w:rsidRPr="00707166" w:rsidRDefault="00AF069F" w:rsidP="00707166">
    <w:pPr>
      <w:pStyle w:val="Footer"/>
    </w:pPr>
    <w:r w:rsidRPr="000C2F63">
      <w:rPr>
        <w:noProof/>
        <w:sz w:val="18"/>
        <w:szCs w:val="18"/>
      </w:rPr>
      <mc:AlternateContent>
        <mc:Choice Requires="wps">
          <w:drawing>
            <wp:anchor distT="0" distB="0" distL="114300" distR="114300" simplePos="0" relativeHeight="251676684" behindDoc="0" locked="0" layoutInCell="1" allowOverlap="1" wp14:anchorId="2A17C1AD" wp14:editId="6C6DCF14">
              <wp:simplePos x="0" y="0"/>
              <wp:positionH relativeFrom="page">
                <wp:posOffset>3200400</wp:posOffset>
              </wp:positionH>
              <wp:positionV relativeFrom="page">
                <wp:posOffset>9601200</wp:posOffset>
              </wp:positionV>
              <wp:extent cx="3657600" cy="18288"/>
              <wp:effectExtent l="0" t="0" r="0" b="0"/>
              <wp:wrapNone/>
              <wp:docPr id="4810354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DDA354" id="docshape10" o:spid="_x0000_s1026" style="position:absolute;margin-left:252pt;margin-top:756pt;width:4in;height:1.45pt;z-index:2516766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12960"/>
    </w:tblGrid>
    <w:tr w:rsidR="005919FC" w:rsidRPr="00707166" w14:paraId="6409CBCB" w14:textId="77777777" w:rsidTr="009F357F">
      <w:tc>
        <w:tcPr>
          <w:tcW w:w="5000" w:type="pct"/>
        </w:tcPr>
        <w:p w14:paraId="67F60424" w14:textId="77777777" w:rsidR="005919FC" w:rsidRPr="00707166" w:rsidRDefault="005919FC" w:rsidP="005919FC">
          <w:pPr>
            <w:spacing w:after="0"/>
            <w:jc w:val="right"/>
            <w:rPr>
              <w:sz w:val="18"/>
              <w:szCs w:val="20"/>
            </w:rPr>
          </w:pPr>
          <w:r w:rsidRPr="000C2F63">
            <w:rPr>
              <w:noProof/>
              <w:sz w:val="18"/>
              <w:szCs w:val="18"/>
            </w:rPr>
            <mc:AlternateContent>
              <mc:Choice Requires="wps">
                <w:drawing>
                  <wp:anchor distT="0" distB="0" distL="114300" distR="114300" simplePos="0" relativeHeight="251684876" behindDoc="0" locked="0" layoutInCell="1" allowOverlap="1" wp14:anchorId="66DC081B" wp14:editId="222FDA16">
                    <wp:simplePos x="0" y="0"/>
                    <wp:positionH relativeFrom="page">
                      <wp:posOffset>-2672</wp:posOffset>
                    </wp:positionH>
                    <wp:positionV relativeFrom="page">
                      <wp:posOffset>59377</wp:posOffset>
                    </wp:positionV>
                    <wp:extent cx="5486400" cy="18288"/>
                    <wp:effectExtent l="0" t="0" r="0" b="0"/>
                    <wp:wrapNone/>
                    <wp:docPr id="68411940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A74CE8" id="docshape10" o:spid="_x0000_s1026" style="position:absolute;margin-left:-.2pt;margin-top:4.7pt;width:6in;height:1.45pt;z-index:2516848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" fillcolor="black [3213]" stroked="f">
                    <w10:wrap anchorx="page" anchory="page"/>
                  </v:rect>
                </w:pict>
              </mc:Fallback>
            </mc:AlternateContent>
          </w:r>
          <w:r w:rsidRPr="00707166">
            <w:rPr>
              <w:sz w:val="18"/>
              <w:szCs w:val="20"/>
            </w:rPr>
            <w:t>IHS Dental Clinic Manager’s Handbook</w:t>
          </w:r>
        </w:p>
      </w:tc>
    </w:tr>
  </w:tbl>
  <w:p w14:paraId="75996955" w14:textId="77777777" w:rsidR="00AF069F" w:rsidRPr="00305356" w:rsidRDefault="00AF069F" w:rsidP="00305356">
    <w:pPr>
      <w:pStyle w:val="Footer"/>
    </w:pPr>
    <w:r w:rsidRPr="000C2F63">
      <w:rPr>
        <w:noProof/>
        <w:sz w:val="18"/>
        <w:szCs w:val="18"/>
      </w:rPr>
      <mc:AlternateContent>
        <mc:Choice Requires="wps">
          <w:drawing>
            <wp:anchor distT="0" distB="0" distL="114300" distR="114300" simplePos="0" relativeHeight="251680780" behindDoc="0" locked="0" layoutInCell="1" allowOverlap="1" wp14:anchorId="196AE5E8" wp14:editId="3502AADB">
              <wp:simplePos x="0" y="0"/>
              <wp:positionH relativeFrom="page">
                <wp:posOffset>914400</wp:posOffset>
              </wp:positionH>
              <wp:positionV relativeFrom="page">
                <wp:posOffset>9601200</wp:posOffset>
              </wp:positionV>
              <wp:extent cx="3657600" cy="18288"/>
              <wp:effectExtent l="0" t="0" r="0" b="0"/>
              <wp:wrapNone/>
              <wp:docPr id="85463599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6D5238" id="docshape10" o:spid="_x0000_s1026" style="position:absolute;margin-left:1in;margin-top:756pt;width:4in;height:1.45pt;z-index:251680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12960"/>
    </w:tblGrid>
    <w:tr w:rsidR="005919FC" w:rsidRPr="00707166" w14:paraId="3D580901" w14:textId="77777777" w:rsidTr="009F357F">
      <w:tc>
        <w:tcPr>
          <w:tcW w:w="5000" w:type="pct"/>
          <w:tcMar>
            <w:left w:w="0" w:type="dxa"/>
            <w:right w:w="115" w:type="dxa"/>
          </w:tcMar>
          <w:vAlign w:val="center"/>
        </w:tcPr>
        <w:p w14:paraId="4FA66406" w14:textId="77777777" w:rsidR="005919FC" w:rsidRPr="00707166" w:rsidRDefault="005919FC" w:rsidP="005919FC">
          <w:pPr>
            <w:spacing w:after="0"/>
            <w:rPr>
              <w:sz w:val="18"/>
              <w:szCs w:val="20"/>
            </w:rPr>
          </w:pPr>
          <w:r w:rsidRPr="000C2F63">
            <w:rPr>
              <w:noProof/>
              <w:sz w:val="18"/>
              <w:szCs w:val="18"/>
            </w:rPr>
            <mc:AlternateContent>
              <mc:Choice Requires="wps">
                <w:drawing>
                  <wp:anchor distT="0" distB="0" distL="114300" distR="114300" simplePos="0" relativeHeight="251686924" behindDoc="0" locked="0" layoutInCell="1" allowOverlap="1" wp14:anchorId="755E487F" wp14:editId="3D1027DF">
                    <wp:simplePos x="0" y="0"/>
                    <wp:positionH relativeFrom="page">
                      <wp:posOffset>2743200</wp:posOffset>
                    </wp:positionH>
                    <wp:positionV relativeFrom="page">
                      <wp:posOffset>62865</wp:posOffset>
                    </wp:positionV>
                    <wp:extent cx="5486400" cy="17780"/>
                    <wp:effectExtent l="0" t="0" r="0" b="0"/>
                    <wp:wrapNone/>
                    <wp:docPr id="186975940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78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E1D861" id="docshape10" o:spid="_x0000_s1026" style="position:absolute;margin-left:3in;margin-top:4.95pt;width:6in;height:1.4pt;z-index:2516869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" fillcolor="black [3213]" stroked="f">
                    <w10:wrap anchorx="page" anchory="page"/>
                  </v:rect>
                </w:pict>
              </mc:Fallback>
            </mc:AlternateContent>
          </w:r>
          <w:r w:rsidRPr="00707166">
            <w:rPr>
              <w:sz w:val="18"/>
              <w:szCs w:val="20"/>
            </w:rPr>
            <w:t>IHS Dental Clinic Manager’s Handbook</w:t>
          </w:r>
        </w:p>
      </w:tc>
    </w:tr>
  </w:tbl>
  <w:p w14:paraId="74B1AD5F" w14:textId="77777777" w:rsidR="00AF069F" w:rsidRPr="00707166" w:rsidRDefault="00AF069F" w:rsidP="00707166">
    <w:pPr>
      <w:pStyle w:val="Footer"/>
    </w:pPr>
    <w:r w:rsidRPr="000C2F63">
      <w:rPr>
        <w:noProof/>
        <w:sz w:val="18"/>
        <w:szCs w:val="18"/>
      </w:rPr>
      <mc:AlternateContent>
        <mc:Choice Requires="wps">
          <w:drawing>
            <wp:anchor distT="0" distB="0" distL="114300" distR="114300" simplePos="0" relativeHeight="251682828" behindDoc="0" locked="0" layoutInCell="1" allowOverlap="1" wp14:anchorId="5F55175C" wp14:editId="5E6E1C61">
              <wp:simplePos x="0" y="0"/>
              <wp:positionH relativeFrom="page">
                <wp:posOffset>3200400</wp:posOffset>
              </wp:positionH>
              <wp:positionV relativeFrom="page">
                <wp:posOffset>9601200</wp:posOffset>
              </wp:positionV>
              <wp:extent cx="3657600" cy="18288"/>
              <wp:effectExtent l="0" t="0" r="0" b="0"/>
              <wp:wrapNone/>
              <wp:docPr id="162252574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104A62" id="docshape10" o:spid="_x0000_s1026" style="position:absolute;margin-left:252pt;margin-top:756pt;width:4in;height:1.45pt;z-index:251682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CellMar>
        <w:left w:w="0" w:type="dxa"/>
        <w:right w:w="0" w:type="dxa"/>
      </w:tblCellMar>
      <w:tblLook w:val="04A0" w:firstRow="1" w:lastRow="0" w:firstColumn="1" w:lastColumn="0" w:noHBand="0" w:noVBand="1"/>
    </w:tblPr>
    <w:tblGrid>
      <w:gridCol w:w="9360"/>
    </w:tblGrid>
    <w:tr w:rsidR="005815A8" w14:paraId="405035AB" w14:textId="77777777" w:rsidTr="00C22C2A">
      <w:tc>
        <w:tcPr>
          <w:tcW w:w="5000" w:type="pct"/>
          <w:tcBorders>
            <w:top w:val="nil"/>
            <w:left w:val="nil"/>
            <w:bottom w:val="nil"/>
            <w:right w:val="nil"/>
          </w:tcBorders>
        </w:tcPr>
        <w:p w14:paraId="77EFA9C0" w14:textId="75D71A64" w:rsidR="005815A8" w:rsidRDefault="005815A8" w:rsidP="00EC114D">
          <w:pPr>
            <w:spacing w:after="0"/>
            <w:jc w:val="right"/>
          </w:pPr>
          <w:r w:rsidRPr="00707166">
            <w:rPr>
              <w:sz w:val="18"/>
              <w:szCs w:val="20"/>
            </w:rPr>
            <w:t>IHS Dental Clinic Manager’s Handbook</w:t>
          </w:r>
        </w:p>
      </w:tc>
    </w:tr>
  </w:tbl>
  <w:p w14:paraId="655B6DAD" w14:textId="43635E05" w:rsidR="005815A8" w:rsidRPr="005815A8" w:rsidRDefault="005815A8" w:rsidP="005815A8">
    <w:pPr>
      <w:spacing w:after="0"/>
    </w:pPr>
    <w:r w:rsidRPr="005815A8">
      <w:rPr>
        <w:noProof/>
        <w:szCs w:val="22"/>
      </w:rPr>
      <mc:AlternateContent>
        <mc:Choice Requires="wps">
          <w:drawing>
            <wp:anchor distT="0" distB="0" distL="114300" distR="114300" simplePos="0" relativeHeight="251658246" behindDoc="0" locked="0" layoutInCell="1" allowOverlap="1" wp14:anchorId="7A886267" wp14:editId="1DEFA4CD">
              <wp:simplePos x="0" y="0"/>
              <wp:positionH relativeFrom="page">
                <wp:posOffset>914400</wp:posOffset>
              </wp:positionH>
              <wp:positionV relativeFrom="page">
                <wp:posOffset>9603907</wp:posOffset>
              </wp:positionV>
              <wp:extent cx="3657600" cy="18288"/>
              <wp:effectExtent l="0" t="0" r="0" b="0"/>
              <wp:wrapNone/>
              <wp:docPr id="2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910E12" id="docshape10" o:spid="_x0000_s1026" style="position:absolute;margin-left:1in;margin-top:756.2pt;width:4in;height:1.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" fillcolor="black [3213]"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80" w:type="dxa"/>
      <w:tblInd w:w="-360" w:type="dxa"/>
      <w:tblLook w:val="04A0" w:firstRow="1" w:lastRow="0" w:firstColumn="1" w:lastColumn="0" w:noHBand="0" w:noVBand="1"/>
    </w:tblPr>
    <w:tblGrid>
      <w:gridCol w:w="8626"/>
      <w:gridCol w:w="1454"/>
    </w:tblGrid>
    <w:tr w:rsidR="00707166" w:rsidRPr="00707166" w14:paraId="51EBDA44" w14:textId="77777777" w:rsidTr="00707166">
      <w:tc>
        <w:tcPr>
          <w:tcW w:w="4279" w:type="pct"/>
          <w:tcMar>
            <w:left w:w="0" w:type="dxa"/>
            <w:right w:w="115" w:type="dxa"/>
          </w:tcMar>
          <w:vAlign w:val="center"/>
        </w:tcPr>
        <w:p w14:paraId="5AF4CECE" w14:textId="330E1EBC" w:rsidR="00707166" w:rsidRPr="00707166" w:rsidRDefault="00707166" w:rsidP="00707166">
          <w:pPr>
            <w:spacing w:after="0"/>
            <w:rPr>
              <w:sz w:val="18"/>
              <w:szCs w:val="20"/>
            </w:rPr>
          </w:pPr>
          <w:r w:rsidRPr="000C2F63">
            <w:rPr>
              <w:noProof/>
              <w:sz w:val="18"/>
              <w:szCs w:val="18"/>
            </w:rPr>
            <mc:AlternateContent>
              <mc:Choice Requires="wps">
                <w:drawing>
                  <wp:anchor distT="0" distB="0" distL="114300" distR="114300" simplePos="0" relativeHeight="251658240" behindDoc="0" locked="0" layoutInCell="1" allowOverlap="1" wp14:anchorId="47ABE4FC" wp14:editId="05B049AC">
                    <wp:simplePos x="0" y="0"/>
                    <wp:positionH relativeFrom="page">
                      <wp:posOffset>2151380</wp:posOffset>
                    </wp:positionH>
                    <wp:positionV relativeFrom="page">
                      <wp:posOffset>62865</wp:posOffset>
                    </wp:positionV>
                    <wp:extent cx="3886200" cy="18288"/>
                    <wp:effectExtent l="0" t="0" r="0" b="0"/>
                    <wp:wrapNone/>
                    <wp:docPr id="3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624CF2" id="docshape10" o:spid="_x0000_s1026" style="position:absolute;margin-left:169.4pt;margin-top:4.95pt;width:306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" fillcolor="black [3213]" stroked="f">
                    <w10:wrap anchorx="page" anchory="page"/>
                  </v:rect>
                </w:pict>
              </mc:Fallback>
            </mc:AlternateContent>
          </w:r>
          <w:r w:rsidRPr="00707166">
            <w:rPr>
              <w:sz w:val="18"/>
              <w:szCs w:val="20"/>
            </w:rPr>
            <w:t>IHS Dental Clinic Manager’s Handbook</w:t>
          </w:r>
        </w:p>
      </w:tc>
      <w:tc>
        <w:tcPr>
          <w:tcW w:w="721" w:type="pct"/>
          <w:tcMar>
            <w:left w:w="115" w:type="dxa"/>
            <w:right w:w="0" w:type="dxa"/>
          </w:tcMar>
          <w:vAlign w:val="center"/>
        </w:tcPr>
        <w:p w14:paraId="7CAE9DE2" w14:textId="77777777" w:rsidR="00707166" w:rsidRPr="00707166" w:rsidRDefault="00707166" w:rsidP="00707166">
          <w:pPr>
            <w:spacing w:after="0"/>
            <w:jc w:val="right"/>
            <w:rPr>
              <w:sz w:val="18"/>
              <w:szCs w:val="20"/>
            </w:rPr>
          </w:pPr>
          <w:r w:rsidRPr="00707166">
            <w:rPr>
              <w:sz w:val="18"/>
              <w:szCs w:val="20"/>
            </w:rPr>
            <w:fldChar w:fldCharType="begin"/>
          </w:r>
          <w:r w:rsidRPr="00707166">
            <w:rPr>
              <w:sz w:val="18"/>
              <w:szCs w:val="20"/>
            </w:rPr>
            <w:instrText>PAGE</w:instrText>
          </w:r>
          <w:r w:rsidRPr="00707166">
            <w:rPr>
              <w:sz w:val="18"/>
              <w:szCs w:val="20"/>
            </w:rPr>
            <w:fldChar w:fldCharType="separate"/>
          </w:r>
          <w:r w:rsidRPr="00707166">
            <w:rPr>
              <w:sz w:val="18"/>
              <w:szCs w:val="20"/>
            </w:rPr>
            <w:t>ii</w:t>
          </w:r>
          <w:r w:rsidRPr="00707166">
            <w:rPr>
              <w:sz w:val="18"/>
              <w:szCs w:val="20"/>
            </w:rPr>
            <w:fldChar w:fldCharType="end"/>
          </w:r>
        </w:p>
      </w:tc>
    </w:tr>
  </w:tbl>
  <w:p w14:paraId="20A7BF6D" w14:textId="77777777" w:rsidR="001603B6" w:rsidRPr="00707166" w:rsidRDefault="001603B6" w:rsidP="007071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9360"/>
    </w:tblGrid>
    <w:tr w:rsidR="00884B2E" w:rsidRPr="00707166" w14:paraId="606EA9F8" w14:textId="77777777" w:rsidTr="00793B97">
      <w:tc>
        <w:tcPr>
          <w:tcW w:w="5000" w:type="pct"/>
          <w:tcMar>
            <w:left w:w="0" w:type="dxa"/>
            <w:right w:w="115" w:type="dxa"/>
          </w:tcMar>
          <w:vAlign w:val="center"/>
        </w:tcPr>
        <w:p w14:paraId="4B88F6BE" w14:textId="77777777" w:rsidR="00884B2E" w:rsidRPr="00707166" w:rsidRDefault="00884B2E" w:rsidP="009D5A5E">
          <w:pPr>
            <w:spacing w:after="0"/>
            <w:rPr>
              <w:sz w:val="18"/>
              <w:szCs w:val="20"/>
            </w:rPr>
          </w:pPr>
          <w:r w:rsidRPr="000C2F63">
            <w:rPr>
              <w:noProof/>
              <w:sz w:val="18"/>
              <w:szCs w:val="18"/>
            </w:rPr>
            <mc:AlternateContent>
              <mc:Choice Requires="wps">
                <w:drawing>
                  <wp:anchor distT="0" distB="0" distL="114300" distR="114300" simplePos="0" relativeHeight="251658243" behindDoc="0" locked="0" layoutInCell="1" allowOverlap="1" wp14:anchorId="69E58573" wp14:editId="253D8544">
                    <wp:simplePos x="0" y="0"/>
                    <wp:positionH relativeFrom="page">
                      <wp:posOffset>2286000</wp:posOffset>
                    </wp:positionH>
                    <wp:positionV relativeFrom="page">
                      <wp:posOffset>62865</wp:posOffset>
                    </wp:positionV>
                    <wp:extent cx="3657600" cy="18288"/>
                    <wp:effectExtent l="0" t="0" r="0" b="0"/>
                    <wp:wrapNone/>
                    <wp:docPr id="44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CD7B8E" id="docshape10" o:spid="_x0000_s1026" style="position:absolute;margin-left:180pt;margin-top:4.95pt;width:4in;height:1.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" fillcolor="black [3213]" stroked="f">
                    <w10:wrap anchorx="page" anchory="page"/>
                  </v:rect>
                </w:pict>
              </mc:Fallback>
            </mc:AlternateContent>
          </w:r>
          <w:r w:rsidRPr="00707166">
            <w:rPr>
              <w:sz w:val="18"/>
              <w:szCs w:val="20"/>
            </w:rPr>
            <w:t>IHS Dental Clinic Manager’s Handbook</w:t>
          </w:r>
        </w:p>
      </w:tc>
    </w:tr>
  </w:tbl>
  <w:p w14:paraId="107B6BDC" w14:textId="77777777" w:rsidR="00884B2E" w:rsidRPr="00E35410" w:rsidRDefault="00884B2E" w:rsidP="006F7C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9360"/>
    </w:tblGrid>
    <w:tr w:rsidR="004C749D" w:rsidRPr="00707166" w14:paraId="5BE03EFE" w14:textId="77777777" w:rsidTr="004A5961">
      <w:tc>
        <w:tcPr>
          <w:tcW w:w="5000" w:type="pct"/>
        </w:tcPr>
        <w:p w14:paraId="1976C773" w14:textId="447B0CA2" w:rsidR="004C749D" w:rsidRPr="00707166" w:rsidRDefault="004C749D" w:rsidP="004A5961">
          <w:pPr>
            <w:spacing w:after="0"/>
            <w:jc w:val="right"/>
            <w:rPr>
              <w:sz w:val="18"/>
              <w:szCs w:val="20"/>
            </w:rPr>
          </w:pPr>
          <w:r w:rsidRPr="00707166">
            <w:rPr>
              <w:sz w:val="18"/>
              <w:szCs w:val="20"/>
            </w:rPr>
            <w:t>IHS Dental Clinic Manager’s Handbook</w:t>
          </w:r>
        </w:p>
      </w:tc>
    </w:tr>
  </w:tbl>
  <w:p w14:paraId="44DD7A4E" w14:textId="3FA06B75" w:rsidR="00272316" w:rsidRPr="00707166" w:rsidRDefault="004A5961" w:rsidP="00707166">
    <w:pPr>
      <w:pStyle w:val="Footer"/>
    </w:pPr>
    <w:r w:rsidRPr="005815A8">
      <w:rPr>
        <w:noProof/>
        <w:szCs w:val="22"/>
      </w:rPr>
      <mc:AlternateContent>
        <mc:Choice Requires="wps">
          <w:drawing>
            <wp:anchor distT="0" distB="0" distL="114300" distR="114300" simplePos="0" relativeHeight="251658252" behindDoc="0" locked="0" layoutInCell="1" allowOverlap="1" wp14:anchorId="084741B9" wp14:editId="0F12AFF1">
              <wp:simplePos x="0" y="0"/>
              <wp:positionH relativeFrom="page">
                <wp:posOffset>914400</wp:posOffset>
              </wp:positionH>
              <wp:positionV relativeFrom="page">
                <wp:posOffset>9601200</wp:posOffset>
              </wp:positionV>
              <wp:extent cx="3657600" cy="18288"/>
              <wp:effectExtent l="0" t="0" r="0" b="0"/>
              <wp:wrapNone/>
              <wp:docPr id="174652646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1036B8" id="docshape10" o:spid="_x0000_s1026" style="position:absolute;margin-left:1in;margin-top:756pt;width:4in;height:1.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12960"/>
    </w:tblGrid>
    <w:tr w:rsidR="002A57B2" w:rsidRPr="00707166" w14:paraId="22A936D1" w14:textId="77777777" w:rsidTr="009F357F">
      <w:tc>
        <w:tcPr>
          <w:tcW w:w="5000" w:type="pct"/>
        </w:tcPr>
        <w:p w14:paraId="257C0A70" w14:textId="52287BA3" w:rsidR="002A57B2" w:rsidRPr="00707166" w:rsidRDefault="00DB13CA" w:rsidP="002A57B2">
          <w:pPr>
            <w:spacing w:after="0"/>
            <w:jc w:val="right"/>
            <w:rPr>
              <w:sz w:val="18"/>
              <w:szCs w:val="20"/>
            </w:rPr>
          </w:pPr>
          <w:r w:rsidRPr="000C2F63">
            <w:rPr>
              <w:noProof/>
              <w:sz w:val="18"/>
              <w:szCs w:val="18"/>
            </w:rPr>
            <mc:AlternateContent>
              <mc:Choice Requires="wps">
                <w:drawing>
                  <wp:anchor distT="0" distB="0" distL="114300" distR="114300" simplePos="0" relativeHeight="251668492" behindDoc="0" locked="0" layoutInCell="1" allowOverlap="1" wp14:anchorId="761C0004" wp14:editId="19151035">
                    <wp:simplePos x="0" y="0"/>
                    <wp:positionH relativeFrom="page">
                      <wp:posOffset>-2672</wp:posOffset>
                    </wp:positionH>
                    <wp:positionV relativeFrom="page">
                      <wp:posOffset>59377</wp:posOffset>
                    </wp:positionV>
                    <wp:extent cx="5486400" cy="18288"/>
                    <wp:effectExtent l="0" t="0" r="0" b="0"/>
                    <wp:wrapNone/>
                    <wp:docPr id="201452219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5B0D41" id="docshape10" o:spid="_x0000_s1026" style="position:absolute;margin-left:-.2pt;margin-top:4.7pt;width:6in;height:1.45pt;z-index:251668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" fillcolor="black [3213]" stroked="f">
                    <w10:wrap anchorx="page" anchory="page"/>
                  </v:rect>
                </w:pict>
              </mc:Fallback>
            </mc:AlternateContent>
          </w:r>
          <w:r w:rsidR="002A57B2" w:rsidRPr="00707166">
            <w:rPr>
              <w:sz w:val="18"/>
              <w:szCs w:val="20"/>
            </w:rPr>
            <w:t>IHS Dental Clinic Manager’s Handbook</w:t>
          </w:r>
        </w:p>
      </w:tc>
    </w:tr>
  </w:tbl>
  <w:p w14:paraId="0151404F" w14:textId="714733D4" w:rsidR="007D2D4A" w:rsidRPr="00081245" w:rsidRDefault="002A57B2" w:rsidP="00081245">
    <w:pPr>
      <w:pStyle w:val="Footer"/>
    </w:pPr>
    <w:r w:rsidRPr="005815A8">
      <w:rPr>
        <w:noProof/>
        <w:szCs w:val="22"/>
      </w:rPr>
      <mc:AlternateContent>
        <mc:Choice Requires="wps">
          <w:drawing>
            <wp:anchor distT="0" distB="0" distL="114300" distR="114300" simplePos="0" relativeHeight="251662348" behindDoc="0" locked="0" layoutInCell="1" allowOverlap="1" wp14:anchorId="73B653E0" wp14:editId="34BCB522">
              <wp:simplePos x="0" y="0"/>
              <wp:positionH relativeFrom="page">
                <wp:posOffset>914400</wp:posOffset>
              </wp:positionH>
              <wp:positionV relativeFrom="page">
                <wp:posOffset>9601200</wp:posOffset>
              </wp:positionV>
              <wp:extent cx="3657600" cy="18288"/>
              <wp:effectExtent l="0" t="0" r="0" b="0"/>
              <wp:wrapNone/>
              <wp:docPr id="33500926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B4F3F0" id="docshape10" o:spid="_x0000_s1026" style="position:absolute;margin-left:1in;margin-top:756pt;width:4in;height:1.45pt;z-index:251662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12960"/>
    </w:tblGrid>
    <w:tr w:rsidR="0099411B" w:rsidRPr="00707166" w14:paraId="37E5A74B" w14:textId="77777777" w:rsidTr="009F357F">
      <w:tc>
        <w:tcPr>
          <w:tcW w:w="5000" w:type="pct"/>
          <w:tcMar>
            <w:left w:w="0" w:type="dxa"/>
            <w:right w:w="115" w:type="dxa"/>
          </w:tcMar>
          <w:vAlign w:val="center"/>
        </w:tcPr>
        <w:p w14:paraId="576AD120" w14:textId="77777777" w:rsidR="0099411B" w:rsidRPr="00707166" w:rsidRDefault="0099411B" w:rsidP="0099411B">
          <w:pPr>
            <w:spacing w:after="0"/>
            <w:rPr>
              <w:sz w:val="18"/>
              <w:szCs w:val="20"/>
            </w:rPr>
          </w:pPr>
          <w:r w:rsidRPr="000C2F63">
            <w:rPr>
              <w:noProof/>
              <w:sz w:val="18"/>
              <w:szCs w:val="18"/>
            </w:rPr>
            <mc:AlternateContent>
              <mc:Choice Requires="wps">
                <w:drawing>
                  <wp:anchor distT="0" distB="0" distL="114300" distR="114300" simplePos="0" relativeHeight="251660300" behindDoc="0" locked="0" layoutInCell="1" allowOverlap="1" wp14:anchorId="004FCCF4" wp14:editId="74E7B20B">
                    <wp:simplePos x="0" y="0"/>
                    <wp:positionH relativeFrom="page">
                      <wp:posOffset>2743200</wp:posOffset>
                    </wp:positionH>
                    <wp:positionV relativeFrom="page">
                      <wp:posOffset>62865</wp:posOffset>
                    </wp:positionV>
                    <wp:extent cx="5486400" cy="17780"/>
                    <wp:effectExtent l="0" t="0" r="0" b="0"/>
                    <wp:wrapNone/>
                    <wp:docPr id="66047865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78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90A250" id="docshape10" o:spid="_x0000_s1026" style="position:absolute;margin-left:3in;margin-top:4.95pt;width:6in;height:1.4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" fillcolor="black [3213]" stroked="f">
                    <w10:wrap anchorx="page" anchory="page"/>
                  </v:rect>
                </w:pict>
              </mc:Fallback>
            </mc:AlternateContent>
          </w:r>
          <w:r w:rsidRPr="00707166">
            <w:rPr>
              <w:sz w:val="18"/>
              <w:szCs w:val="20"/>
            </w:rPr>
            <w:t>IHS Dental Clinic Manager’s Handbook</w:t>
          </w:r>
        </w:p>
      </w:tc>
    </w:tr>
  </w:tbl>
  <w:p w14:paraId="763DB8D2" w14:textId="0EF7E723" w:rsidR="007D2D4A" w:rsidRPr="00707166" w:rsidRDefault="007D2D4A" w:rsidP="007071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9360"/>
    </w:tblGrid>
    <w:tr w:rsidR="00793B97" w:rsidRPr="00707166" w14:paraId="43DDBA16" w14:textId="77777777" w:rsidTr="00731DD1">
      <w:tc>
        <w:tcPr>
          <w:tcW w:w="5000" w:type="pct"/>
          <w:tcMar>
            <w:left w:w="0" w:type="dxa"/>
            <w:right w:w="0" w:type="dxa"/>
          </w:tcMar>
          <w:vAlign w:val="center"/>
        </w:tcPr>
        <w:p w14:paraId="616D9443" w14:textId="2BC2740F" w:rsidR="00793B97" w:rsidRPr="00707166" w:rsidRDefault="00793B97" w:rsidP="00BC2ABE">
          <w:pPr>
            <w:spacing w:after="0"/>
            <w:jc w:val="right"/>
            <w:rPr>
              <w:sz w:val="18"/>
              <w:szCs w:val="20"/>
            </w:rPr>
          </w:pPr>
          <w:r w:rsidRPr="00707166">
            <w:rPr>
              <w:sz w:val="18"/>
              <w:szCs w:val="20"/>
            </w:rPr>
            <w:t>IHS Dental Clinic Manager’s Handbook</w:t>
          </w:r>
        </w:p>
      </w:tc>
    </w:tr>
  </w:tbl>
  <w:p w14:paraId="2C38BF7A" w14:textId="506BDDE3" w:rsidR="00793B97" w:rsidRPr="00081245" w:rsidRDefault="005A2F6B" w:rsidP="00081245">
    <w:pPr>
      <w:pStyle w:val="Footer"/>
    </w:pPr>
    <w:r w:rsidRPr="000C2F63">
      <w:rPr>
        <w:noProof/>
        <w:sz w:val="18"/>
        <w:szCs w:val="18"/>
      </w:rPr>
      <mc:AlternateContent>
        <mc:Choice Requires="wps">
          <w:drawing>
            <wp:anchor distT="0" distB="0" distL="114300" distR="114300" simplePos="0" relativeHeight="251658250" behindDoc="0" locked="0" layoutInCell="1" allowOverlap="1" wp14:anchorId="76CD4F9B" wp14:editId="56AADF78">
              <wp:simplePos x="0" y="0"/>
              <wp:positionH relativeFrom="page">
                <wp:posOffset>914400</wp:posOffset>
              </wp:positionH>
              <wp:positionV relativeFrom="page">
                <wp:posOffset>9601200</wp:posOffset>
              </wp:positionV>
              <wp:extent cx="3657600" cy="18288"/>
              <wp:effectExtent l="0" t="0" r="0" b="0"/>
              <wp:wrapNone/>
              <wp:docPr id="1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4735FF" id="docshape10" o:spid="_x0000_s1026" style="position:absolute;margin-left:1in;margin-top:756pt;width:4in;height:1.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9360"/>
    </w:tblGrid>
    <w:tr w:rsidR="00305356" w:rsidRPr="00707166" w14:paraId="2E274CD2" w14:textId="77777777" w:rsidTr="009F357F">
      <w:tc>
        <w:tcPr>
          <w:tcW w:w="5000" w:type="pct"/>
          <w:tcMar>
            <w:left w:w="0" w:type="dxa"/>
            <w:right w:w="115" w:type="dxa"/>
          </w:tcMar>
          <w:vAlign w:val="center"/>
        </w:tcPr>
        <w:p w14:paraId="1029C997" w14:textId="1C0C4F55" w:rsidR="00305356" w:rsidRPr="00707166" w:rsidRDefault="00305356" w:rsidP="00305356">
          <w:pPr>
            <w:spacing w:after="0"/>
            <w:rPr>
              <w:sz w:val="18"/>
              <w:szCs w:val="20"/>
            </w:rPr>
          </w:pPr>
          <w:r w:rsidRPr="00707166">
            <w:rPr>
              <w:sz w:val="18"/>
              <w:szCs w:val="20"/>
            </w:rPr>
            <w:t>IHS Dental Clinic Manager’s Handbook</w:t>
          </w:r>
        </w:p>
      </w:tc>
    </w:tr>
  </w:tbl>
  <w:p w14:paraId="4277D96D" w14:textId="50F89446" w:rsidR="00793B97" w:rsidRPr="00707166" w:rsidRDefault="005A2F6B" w:rsidP="00707166">
    <w:pPr>
      <w:pStyle w:val="Footer"/>
    </w:pPr>
    <w:r w:rsidRPr="000C2F63">
      <w:rPr>
        <w:noProof/>
        <w:sz w:val="18"/>
        <w:szCs w:val="18"/>
      </w:rPr>
      <mc:AlternateContent>
        <mc:Choice Requires="wps">
          <w:drawing>
            <wp:anchor distT="0" distB="0" distL="114300" distR="114300" simplePos="0" relativeHeight="251658251" behindDoc="0" locked="0" layoutInCell="1" allowOverlap="1" wp14:anchorId="33D75F52" wp14:editId="6B5D1EB7">
              <wp:simplePos x="0" y="0"/>
              <wp:positionH relativeFrom="page">
                <wp:posOffset>3200400</wp:posOffset>
              </wp:positionH>
              <wp:positionV relativeFrom="page">
                <wp:posOffset>9601200</wp:posOffset>
              </wp:positionV>
              <wp:extent cx="3657600" cy="18288"/>
              <wp:effectExtent l="0" t="0" r="0" b="0"/>
              <wp:wrapNone/>
              <wp:docPr id="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4D8E7F" id="docshape10" o:spid="_x0000_s1026" style="position:absolute;margin-left:252pt;margin-top:756pt;width:4in;height:1.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C16B8" w14:textId="77777777" w:rsidR="00150477" w:rsidRDefault="00150477">
      <w:pPr>
        <w:spacing w:after="0"/>
      </w:pPr>
      <w:r>
        <w:separator/>
      </w:r>
    </w:p>
  </w:footnote>
  <w:footnote w:type="continuationSeparator" w:id="0">
    <w:p w14:paraId="6EF7A00E" w14:textId="77777777" w:rsidR="00150477" w:rsidRDefault="00150477">
      <w:pPr>
        <w:spacing w:after="0"/>
      </w:pPr>
      <w:r>
        <w:continuationSeparator/>
      </w:r>
    </w:p>
  </w:footnote>
  <w:footnote w:type="continuationNotice" w:id="1">
    <w:p w14:paraId="7C6119E0" w14:textId="77777777" w:rsidR="00150477" w:rsidRDefault="001504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8281"/>
      <w:gridCol w:w="359"/>
    </w:tblGrid>
    <w:tr w:rsidR="00EE2AFE" w:rsidRPr="009D5A5E" w14:paraId="6BCC2356" w14:textId="6E8CEF3B" w:rsidTr="00793B97">
      <w:trPr>
        <w:cantSplit/>
        <w:trHeight w:hRule="exact" w:val="720"/>
      </w:trPr>
      <w:tc>
        <w:tcPr>
          <w:tcW w:w="720" w:type="dxa"/>
          <w:vAlign w:val="center"/>
        </w:tcPr>
        <w:p w14:paraId="066EF6B6" w14:textId="0F6F041E" w:rsidR="00EE2AFE" w:rsidRPr="009D5A5E" w:rsidRDefault="00EE2AFE" w:rsidP="00B87558">
          <w:pPr>
            <w:rPr>
              <w:sz w:val="18"/>
              <w:szCs w:val="20"/>
            </w:rPr>
          </w:pPr>
          <w:r w:rsidRPr="009D5A5E">
            <w:rPr>
              <w:noProof/>
              <w:sz w:val="18"/>
              <w:szCs w:val="20"/>
            </w:rPr>
            <w:drawing>
              <wp:inline distT="0" distB="0" distL="0" distR="0" wp14:anchorId="7657CDF4" wp14:editId="21850CD8">
                <wp:extent cx="457200" cy="457200"/>
                <wp:effectExtent l="0" t="0" r="0" b="0"/>
                <wp:docPr id="1629341086" name="Picture 162934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8281" w:type="dxa"/>
          <w:vAlign w:val="center"/>
        </w:tcPr>
        <w:p w14:paraId="69FB612E" w14:textId="206BD6A6" w:rsidR="00EE2AFE" w:rsidRPr="00637642" w:rsidRDefault="00EE2AFE" w:rsidP="00EE2AFE">
          <w:pPr>
            <w:spacing w:after="0"/>
            <w:jc w:val="right"/>
            <w:rPr>
              <w:sz w:val="18"/>
              <w:szCs w:val="20"/>
            </w:rPr>
          </w:pPr>
          <w:r w:rsidRPr="00637642">
            <w:rPr>
              <w:sz w:val="18"/>
              <w:szCs w:val="20"/>
            </w:rPr>
            <w:t>Contents</w:t>
          </w:r>
        </w:p>
      </w:tc>
      <w:tc>
        <w:tcPr>
          <w:tcW w:w="359" w:type="dxa"/>
          <w:vAlign w:val="center"/>
        </w:tcPr>
        <w:p w14:paraId="2FC28DCA" w14:textId="76351E08" w:rsidR="00EE2AFE" w:rsidRPr="009D5A5E" w:rsidRDefault="00EE2AFE" w:rsidP="00EE2AFE">
          <w:pPr>
            <w:spacing w:after="0"/>
            <w:jc w:val="right"/>
            <w:rPr>
              <w:b/>
              <w:bCs/>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sidRPr="009D5A5E">
            <w:rPr>
              <w:b/>
              <w:bCs/>
              <w:noProof/>
              <w:sz w:val="18"/>
              <w:szCs w:val="20"/>
            </w:rPr>
            <w:t>1</w:t>
          </w:r>
          <w:r w:rsidRPr="009D5A5E">
            <w:rPr>
              <w:b/>
              <w:bCs/>
              <w:noProof/>
              <w:sz w:val="18"/>
              <w:szCs w:val="20"/>
            </w:rPr>
            <w:fldChar w:fldCharType="end"/>
          </w:r>
        </w:p>
      </w:tc>
    </w:tr>
  </w:tbl>
  <w:p w14:paraId="1E414468" w14:textId="13D13491" w:rsidR="00B87558" w:rsidRDefault="00FE171B">
    <w:pPr>
      <w:pStyle w:val="Header"/>
    </w:pPr>
    <w:r w:rsidRPr="000C2F63">
      <w:rPr>
        <w:noProof/>
        <w:sz w:val="18"/>
        <w:szCs w:val="18"/>
      </w:rPr>
      <mc:AlternateContent>
        <mc:Choice Requires="wps">
          <w:drawing>
            <wp:anchor distT="0" distB="0" distL="114300" distR="114300" simplePos="0" relativeHeight="251658242" behindDoc="0" locked="0" layoutInCell="1" allowOverlap="1" wp14:anchorId="5BDA6BED" wp14:editId="02C03FDE">
              <wp:simplePos x="0" y="0"/>
              <wp:positionH relativeFrom="page">
                <wp:posOffset>1600200</wp:posOffset>
              </wp:positionH>
              <wp:positionV relativeFrom="page">
                <wp:posOffset>457200</wp:posOffset>
              </wp:positionV>
              <wp:extent cx="2971800" cy="18288"/>
              <wp:effectExtent l="0" t="0" r="0" b="0"/>
              <wp:wrapNone/>
              <wp:docPr id="4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A26533" id="docshape10" o:spid="_x0000_s1026" style="position:absolute;margin-left:126pt;margin-top:36pt;width:234pt;height:1.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" fillcolor="black [3213]"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720"/>
      <w:gridCol w:w="7919"/>
      <w:gridCol w:w="721"/>
    </w:tblGrid>
    <w:tr w:rsidR="00793B97" w:rsidRPr="008E6BF9" w14:paraId="431289D3" w14:textId="77777777" w:rsidTr="00450F23">
      <w:trPr>
        <w:cantSplit/>
        <w:trHeight w:hRule="exact" w:val="720"/>
      </w:trPr>
      <w:tc>
        <w:tcPr>
          <w:tcW w:w="720" w:type="dxa"/>
          <w:vAlign w:val="center"/>
        </w:tcPr>
        <w:p w14:paraId="32C0DDEB" w14:textId="1B4202B3" w:rsidR="00793B97" w:rsidRPr="008E6BF9" w:rsidRDefault="00BC2ABE" w:rsidP="00884B2E">
          <w:pPr>
            <w:spacing w:after="0"/>
            <w:rPr>
              <w:noProof/>
              <w:sz w:val="18"/>
              <w:szCs w:val="20"/>
            </w:rPr>
          </w:pPr>
          <w:r w:rsidRPr="009D5A5E">
            <w:rPr>
              <w:noProof/>
              <w:sz w:val="18"/>
              <w:szCs w:val="20"/>
            </w:rPr>
            <w:drawing>
              <wp:inline distT="0" distB="0" distL="0" distR="0" wp14:anchorId="4E6E5E19" wp14:editId="7B1CD373">
                <wp:extent cx="457200" cy="457200"/>
                <wp:effectExtent l="0" t="0" r="0" b="0"/>
                <wp:docPr id="2076496142" name="Picture 207649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2C0E4289" w14:textId="77777777" w:rsidR="00793B97" w:rsidRPr="006D4C19" w:rsidRDefault="00793B97" w:rsidP="00884B2E">
          <w:pPr>
            <w:spacing w:after="0"/>
            <w:jc w:val="center"/>
            <w:rPr>
              <w:noProof/>
              <w:sz w:val="18"/>
              <w:szCs w:val="20"/>
            </w:rPr>
          </w:pPr>
          <w:r w:rsidRPr="006D4C19">
            <w:rPr>
              <w:noProof/>
              <w:sz w:val="18"/>
              <w:szCs w:val="18"/>
            </w:rPr>
            <mc:AlternateContent>
              <mc:Choice Requires="wps">
                <w:drawing>
                  <wp:inline distT="0" distB="0" distL="0" distR="0" wp14:anchorId="1AF686B7" wp14:editId="7E9ACA22">
                    <wp:extent cx="1371600" cy="18288"/>
                    <wp:effectExtent l="0" t="0" r="0" b="0"/>
                    <wp:docPr id="1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FABF442"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13496846" wp14:editId="02320AE4">
                    <wp:extent cx="1371600" cy="18288"/>
                    <wp:effectExtent l="0" t="0" r="0" b="0"/>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3F6E8A21"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3A1B4428" w14:textId="5FA6351F" w:rsidR="00793B97" w:rsidRPr="008E6BF9" w:rsidRDefault="00BC2ABE" w:rsidP="00884B2E">
          <w:pPr>
            <w:spacing w:after="0"/>
            <w:jc w:val="right"/>
            <w:rPr>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62</w:t>
          </w:r>
          <w:r w:rsidRPr="008E6BF9">
            <w:rPr>
              <w:b/>
              <w:bCs/>
              <w:noProof/>
              <w:sz w:val="18"/>
              <w:szCs w:val="20"/>
            </w:rPr>
            <w:fldChar w:fldCharType="end"/>
          </w:r>
        </w:p>
      </w:tc>
    </w:tr>
  </w:tbl>
  <w:p w14:paraId="393E2E95" w14:textId="77777777" w:rsidR="00793B97" w:rsidRDefault="00793B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7920"/>
      <w:gridCol w:w="720"/>
    </w:tblGrid>
    <w:tr w:rsidR="00793B97" w:rsidRPr="008E6BF9" w14:paraId="6B1ABD8A" w14:textId="77777777" w:rsidTr="00540A00">
      <w:trPr>
        <w:trHeight w:hRule="exact" w:val="720"/>
      </w:trPr>
      <w:tc>
        <w:tcPr>
          <w:tcW w:w="720" w:type="dxa"/>
          <w:tcBorders>
            <w:right w:val="nil"/>
          </w:tcBorders>
          <w:vAlign w:val="center"/>
        </w:tcPr>
        <w:p w14:paraId="2A8151EB" w14:textId="5515FE49" w:rsidR="00793B97" w:rsidRPr="008E6BF9" w:rsidRDefault="00BC2ABE" w:rsidP="00884B2E">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63</w:t>
          </w:r>
          <w:r w:rsidRPr="008E6BF9">
            <w:rPr>
              <w:b/>
              <w:bCs/>
              <w:noProof/>
              <w:sz w:val="18"/>
              <w:szCs w:val="20"/>
            </w:rPr>
            <w:fldChar w:fldCharType="end"/>
          </w:r>
        </w:p>
      </w:tc>
      <w:tc>
        <w:tcPr>
          <w:tcW w:w="0" w:type="auto"/>
          <w:tcBorders>
            <w:top w:val="nil"/>
            <w:left w:val="nil"/>
            <w:bottom w:val="nil"/>
            <w:right w:val="nil"/>
          </w:tcBorders>
          <w:vAlign w:val="center"/>
        </w:tcPr>
        <w:p w14:paraId="3E3063FC" w14:textId="77777777" w:rsidR="00793B97" w:rsidRPr="006D4C19" w:rsidRDefault="00793B97" w:rsidP="00884B2E">
          <w:pPr>
            <w:spacing w:after="0"/>
            <w:jc w:val="center"/>
            <w:rPr>
              <w:noProof/>
              <w:sz w:val="18"/>
              <w:szCs w:val="20"/>
            </w:rPr>
          </w:pPr>
          <w:r w:rsidRPr="006D4C19">
            <w:rPr>
              <w:noProof/>
              <w:sz w:val="18"/>
              <w:szCs w:val="18"/>
            </w:rPr>
            <mc:AlternateContent>
              <mc:Choice Requires="wps">
                <w:drawing>
                  <wp:inline distT="0" distB="0" distL="0" distR="0" wp14:anchorId="4A8C9FC9" wp14:editId="0FDABB90">
                    <wp:extent cx="1371600" cy="18288"/>
                    <wp:effectExtent l="0" t="0" r="0" b="0"/>
                    <wp:docPr id="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585D567B"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555A391C" wp14:editId="014DD10D">
                    <wp:extent cx="1371600" cy="18288"/>
                    <wp:effectExtent l="0" t="0" r="0" b="0"/>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4067EF80"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tcBorders>
            <w:left w:val="nil"/>
          </w:tcBorders>
          <w:vAlign w:val="center"/>
        </w:tcPr>
        <w:p w14:paraId="61789C8D" w14:textId="0BF84883" w:rsidR="00793B97" w:rsidRPr="008E6BF9" w:rsidRDefault="00BC2ABE" w:rsidP="00884B2E">
          <w:pPr>
            <w:spacing w:after="0"/>
            <w:jc w:val="right"/>
            <w:rPr>
              <w:sz w:val="18"/>
              <w:szCs w:val="20"/>
            </w:rPr>
          </w:pPr>
          <w:r w:rsidRPr="009D5A5E">
            <w:rPr>
              <w:noProof/>
              <w:sz w:val="18"/>
              <w:szCs w:val="20"/>
            </w:rPr>
            <w:drawing>
              <wp:inline distT="0" distB="0" distL="0" distR="0" wp14:anchorId="4F02848F" wp14:editId="2EA439EB">
                <wp:extent cx="457200" cy="457200"/>
                <wp:effectExtent l="0" t="0" r="0" b="0"/>
                <wp:docPr id="1149748142" name="Picture 114974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7BE63BAF" w14:textId="77777777" w:rsidR="00793B97" w:rsidRPr="000C2F63" w:rsidRDefault="00793B97" w:rsidP="000C2F63">
    <w:pPr>
      <w:spacing w:after="0"/>
      <w:rPr>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7919"/>
      <w:gridCol w:w="721"/>
    </w:tblGrid>
    <w:tr w:rsidR="00305356" w:rsidRPr="008E6BF9" w14:paraId="28DEC80D" w14:textId="77777777" w:rsidTr="009F357F">
      <w:trPr>
        <w:cantSplit/>
        <w:trHeight w:hRule="exact" w:val="720"/>
      </w:trPr>
      <w:tc>
        <w:tcPr>
          <w:tcW w:w="720" w:type="dxa"/>
          <w:vAlign w:val="center"/>
        </w:tcPr>
        <w:p w14:paraId="3B591131" w14:textId="77777777" w:rsidR="00305356" w:rsidRPr="008E6BF9" w:rsidRDefault="00305356" w:rsidP="00305356">
          <w:pPr>
            <w:spacing w:after="0"/>
            <w:rPr>
              <w:noProof/>
              <w:sz w:val="18"/>
              <w:szCs w:val="20"/>
            </w:rPr>
          </w:pPr>
          <w:r w:rsidRPr="009D5A5E">
            <w:rPr>
              <w:noProof/>
              <w:sz w:val="18"/>
              <w:szCs w:val="20"/>
            </w:rPr>
            <w:drawing>
              <wp:inline distT="0" distB="0" distL="0" distR="0" wp14:anchorId="05AD6A60" wp14:editId="68D69B92">
                <wp:extent cx="457200" cy="457200"/>
                <wp:effectExtent l="0" t="0" r="0" b="0"/>
                <wp:docPr id="1257895221" name="Picture 1257895221"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7071" name="Picture 1152267071"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62F56695" w14:textId="77777777" w:rsidR="00305356" w:rsidRPr="006D4C19" w:rsidRDefault="00305356" w:rsidP="00305356">
          <w:pPr>
            <w:spacing w:after="0"/>
            <w:jc w:val="center"/>
            <w:rPr>
              <w:noProof/>
              <w:sz w:val="18"/>
              <w:szCs w:val="20"/>
            </w:rPr>
          </w:pPr>
          <w:r w:rsidRPr="006D4C19">
            <w:rPr>
              <w:noProof/>
              <w:sz w:val="18"/>
              <w:szCs w:val="18"/>
            </w:rPr>
            <mc:AlternateContent>
              <mc:Choice Requires="wps">
                <w:drawing>
                  <wp:inline distT="0" distB="0" distL="0" distR="0" wp14:anchorId="0C1B20CF" wp14:editId="07C666D7">
                    <wp:extent cx="1371600" cy="18288"/>
                    <wp:effectExtent l="0" t="0" r="0" b="0"/>
                    <wp:docPr id="148059891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7CD4FF20"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6163FE13" wp14:editId="5417130A">
                    <wp:extent cx="1371600" cy="18288"/>
                    <wp:effectExtent l="0" t="0" r="0" b="0"/>
                    <wp:docPr id="104381461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560E5286"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7B6D3D8A" w14:textId="77777777" w:rsidR="00305356" w:rsidRPr="008E6BF9" w:rsidRDefault="00305356" w:rsidP="00305356">
          <w:pPr>
            <w:spacing w:after="0"/>
            <w:jc w:val="right"/>
            <w:rPr>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2</w:t>
          </w:r>
          <w:r w:rsidRPr="008E6BF9">
            <w:rPr>
              <w:b/>
              <w:bCs/>
              <w:noProof/>
              <w:sz w:val="18"/>
              <w:szCs w:val="20"/>
            </w:rPr>
            <w:fldChar w:fldCharType="end"/>
          </w:r>
        </w:p>
      </w:tc>
    </w:tr>
  </w:tbl>
  <w:p w14:paraId="0F631A57" w14:textId="77777777" w:rsidR="00305356" w:rsidRDefault="003053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11520"/>
      <w:gridCol w:w="720"/>
    </w:tblGrid>
    <w:tr w:rsidR="00305356" w:rsidRPr="008E6BF9" w14:paraId="0BEA1B2C" w14:textId="77777777" w:rsidTr="009F357F">
      <w:trPr>
        <w:trHeight w:hRule="exact" w:val="720"/>
      </w:trPr>
      <w:tc>
        <w:tcPr>
          <w:tcW w:w="720" w:type="dxa"/>
          <w:vAlign w:val="center"/>
        </w:tcPr>
        <w:p w14:paraId="447AD34E" w14:textId="77777777" w:rsidR="00305356" w:rsidRPr="008E6BF9" w:rsidRDefault="00305356" w:rsidP="00305356">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3</w:t>
          </w:r>
          <w:r w:rsidRPr="008E6BF9">
            <w:rPr>
              <w:b/>
              <w:bCs/>
              <w:noProof/>
              <w:sz w:val="18"/>
              <w:szCs w:val="20"/>
            </w:rPr>
            <w:fldChar w:fldCharType="end"/>
          </w:r>
        </w:p>
      </w:tc>
      <w:tc>
        <w:tcPr>
          <w:tcW w:w="0" w:type="auto"/>
          <w:tcBorders>
            <w:right w:val="nil"/>
          </w:tcBorders>
          <w:vAlign w:val="center"/>
        </w:tcPr>
        <w:p w14:paraId="37094256" w14:textId="77777777" w:rsidR="00305356" w:rsidRPr="006D4C19" w:rsidRDefault="00305356" w:rsidP="00305356">
          <w:pPr>
            <w:spacing w:after="0"/>
            <w:jc w:val="center"/>
            <w:rPr>
              <w:noProof/>
              <w:sz w:val="18"/>
              <w:szCs w:val="20"/>
            </w:rPr>
          </w:pPr>
          <w:r w:rsidRPr="006D4C19">
            <w:rPr>
              <w:noProof/>
              <w:sz w:val="18"/>
              <w:szCs w:val="18"/>
            </w:rPr>
            <mc:AlternateContent>
              <mc:Choice Requires="wps">
                <w:drawing>
                  <wp:inline distT="0" distB="0" distL="0" distR="0" wp14:anchorId="2F211810" wp14:editId="23A4F6AE">
                    <wp:extent cx="1371600" cy="18288"/>
                    <wp:effectExtent l="0" t="0" r="0" b="0"/>
                    <wp:docPr id="67765708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1AAA43BF"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0A983506" wp14:editId="0C36E96B">
                    <wp:extent cx="1371600" cy="18288"/>
                    <wp:effectExtent l="0" t="0" r="0" b="0"/>
                    <wp:docPr id="78577955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4F6A917F"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tcBorders>
            <w:top w:val="nil"/>
            <w:left w:val="nil"/>
            <w:bottom w:val="nil"/>
            <w:right w:val="nil"/>
          </w:tcBorders>
          <w:vAlign w:val="center"/>
        </w:tcPr>
        <w:p w14:paraId="79429F67" w14:textId="77777777" w:rsidR="00305356" w:rsidRPr="008E6BF9" w:rsidRDefault="00305356" w:rsidP="00305356">
          <w:pPr>
            <w:spacing w:after="0"/>
            <w:jc w:val="right"/>
            <w:rPr>
              <w:sz w:val="18"/>
              <w:szCs w:val="20"/>
            </w:rPr>
          </w:pPr>
          <w:r w:rsidRPr="009D5A5E">
            <w:rPr>
              <w:noProof/>
              <w:sz w:val="18"/>
              <w:szCs w:val="20"/>
            </w:rPr>
            <w:drawing>
              <wp:inline distT="0" distB="0" distL="0" distR="0" wp14:anchorId="31A5773A" wp14:editId="33DBBF3E">
                <wp:extent cx="457200" cy="457200"/>
                <wp:effectExtent l="0" t="0" r="0" b="0"/>
                <wp:docPr id="1306716285" name="Picture 1306716285"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65765" name="Picture 1945665765"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r>
  </w:tbl>
  <w:p w14:paraId="46DFF235" w14:textId="77777777" w:rsidR="00305356" w:rsidRPr="000C2F63" w:rsidRDefault="00305356" w:rsidP="000C2F63">
    <w:pPr>
      <w:spacing w:after="0"/>
      <w:rPr>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720"/>
      <w:gridCol w:w="7919"/>
      <w:gridCol w:w="721"/>
    </w:tblGrid>
    <w:tr w:rsidR="00AF069F" w:rsidRPr="008E6BF9" w14:paraId="05BD4C5B" w14:textId="77777777" w:rsidTr="009F357F">
      <w:trPr>
        <w:cantSplit/>
        <w:trHeight w:hRule="exact" w:val="720"/>
      </w:trPr>
      <w:tc>
        <w:tcPr>
          <w:tcW w:w="720" w:type="dxa"/>
          <w:vAlign w:val="center"/>
        </w:tcPr>
        <w:p w14:paraId="7ABC3A4E" w14:textId="77777777" w:rsidR="00AF069F" w:rsidRPr="008E6BF9" w:rsidRDefault="00AF069F" w:rsidP="00AF069F">
          <w:pPr>
            <w:spacing w:after="0"/>
            <w:rPr>
              <w:noProof/>
              <w:sz w:val="18"/>
              <w:szCs w:val="20"/>
            </w:rPr>
          </w:pPr>
          <w:r w:rsidRPr="009D5A5E">
            <w:rPr>
              <w:noProof/>
              <w:sz w:val="18"/>
              <w:szCs w:val="20"/>
            </w:rPr>
            <w:drawing>
              <wp:inline distT="0" distB="0" distL="0" distR="0" wp14:anchorId="4A26E319" wp14:editId="50E31E15">
                <wp:extent cx="457200" cy="457200"/>
                <wp:effectExtent l="0" t="0" r="0" b="0"/>
                <wp:docPr id="963290797" name="Picture 963290797"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41446" name="Picture 1763041446"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2215CA1C" w14:textId="77777777" w:rsidR="00AF069F" w:rsidRPr="006D4C19" w:rsidRDefault="00AF069F" w:rsidP="00AF069F">
          <w:pPr>
            <w:spacing w:after="0"/>
            <w:jc w:val="center"/>
            <w:rPr>
              <w:noProof/>
              <w:sz w:val="18"/>
              <w:szCs w:val="20"/>
            </w:rPr>
          </w:pPr>
          <w:r w:rsidRPr="006D4C19">
            <w:rPr>
              <w:noProof/>
              <w:sz w:val="18"/>
              <w:szCs w:val="18"/>
            </w:rPr>
            <mc:AlternateContent>
              <mc:Choice Requires="wps">
                <w:drawing>
                  <wp:inline distT="0" distB="0" distL="0" distR="0" wp14:anchorId="3405E9F7" wp14:editId="61ED7681">
                    <wp:extent cx="1371600" cy="18288"/>
                    <wp:effectExtent l="0" t="0" r="0" b="0"/>
                    <wp:docPr id="64417448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7EFF8E4F"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6DE82188" wp14:editId="7D5B431B">
                    <wp:extent cx="1371600" cy="18288"/>
                    <wp:effectExtent l="0" t="0" r="0" b="0"/>
                    <wp:docPr id="35874348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2DAA6B3B"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38F763D2" w14:textId="77777777" w:rsidR="00AF069F" w:rsidRPr="008E6BF9" w:rsidRDefault="00AF069F" w:rsidP="00AF069F">
          <w:pPr>
            <w:spacing w:after="0"/>
            <w:jc w:val="right"/>
            <w:rPr>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62</w:t>
          </w:r>
          <w:r w:rsidRPr="008E6BF9">
            <w:rPr>
              <w:b/>
              <w:bCs/>
              <w:noProof/>
              <w:sz w:val="18"/>
              <w:szCs w:val="20"/>
            </w:rPr>
            <w:fldChar w:fldCharType="end"/>
          </w:r>
        </w:p>
      </w:tc>
    </w:tr>
  </w:tbl>
  <w:p w14:paraId="52B94CF4" w14:textId="77777777" w:rsidR="00305356" w:rsidRDefault="003053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7920"/>
      <w:gridCol w:w="720"/>
    </w:tblGrid>
    <w:tr w:rsidR="00305356" w:rsidRPr="008E6BF9" w14:paraId="7AAF2E89" w14:textId="77777777" w:rsidTr="009F357F">
      <w:trPr>
        <w:trHeight w:hRule="exact" w:val="720"/>
      </w:trPr>
      <w:tc>
        <w:tcPr>
          <w:tcW w:w="720" w:type="dxa"/>
          <w:tcBorders>
            <w:right w:val="nil"/>
          </w:tcBorders>
          <w:vAlign w:val="center"/>
        </w:tcPr>
        <w:p w14:paraId="3D5DF82D" w14:textId="77777777" w:rsidR="00305356" w:rsidRPr="008E6BF9" w:rsidRDefault="00305356" w:rsidP="00305356">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63</w:t>
          </w:r>
          <w:r w:rsidRPr="008E6BF9">
            <w:rPr>
              <w:b/>
              <w:bCs/>
              <w:noProof/>
              <w:sz w:val="18"/>
              <w:szCs w:val="20"/>
            </w:rPr>
            <w:fldChar w:fldCharType="end"/>
          </w:r>
        </w:p>
      </w:tc>
      <w:tc>
        <w:tcPr>
          <w:tcW w:w="0" w:type="auto"/>
          <w:tcBorders>
            <w:top w:val="nil"/>
            <w:left w:val="nil"/>
            <w:bottom w:val="nil"/>
            <w:right w:val="nil"/>
          </w:tcBorders>
          <w:vAlign w:val="center"/>
        </w:tcPr>
        <w:p w14:paraId="5906A120" w14:textId="77777777" w:rsidR="00305356" w:rsidRPr="006D4C19" w:rsidRDefault="00305356" w:rsidP="00305356">
          <w:pPr>
            <w:spacing w:after="0"/>
            <w:jc w:val="center"/>
            <w:rPr>
              <w:noProof/>
              <w:sz w:val="18"/>
              <w:szCs w:val="20"/>
            </w:rPr>
          </w:pPr>
          <w:r w:rsidRPr="006D4C19">
            <w:rPr>
              <w:noProof/>
              <w:sz w:val="18"/>
              <w:szCs w:val="18"/>
            </w:rPr>
            <mc:AlternateContent>
              <mc:Choice Requires="wps">
                <w:drawing>
                  <wp:inline distT="0" distB="0" distL="0" distR="0" wp14:anchorId="2D9933C8" wp14:editId="69645CCA">
                    <wp:extent cx="1371600" cy="18288"/>
                    <wp:effectExtent l="0" t="0" r="0" b="0"/>
                    <wp:docPr id="39194542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2F777D14"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4A48A91E" wp14:editId="608CC7C7">
                    <wp:extent cx="1371600" cy="18288"/>
                    <wp:effectExtent l="0" t="0" r="0" b="0"/>
                    <wp:docPr id="183961697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42713798"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tcBorders>
            <w:left w:val="nil"/>
          </w:tcBorders>
          <w:vAlign w:val="center"/>
        </w:tcPr>
        <w:p w14:paraId="6E602D1A" w14:textId="77777777" w:rsidR="00305356" w:rsidRPr="008E6BF9" w:rsidRDefault="00305356" w:rsidP="00305356">
          <w:pPr>
            <w:spacing w:after="0"/>
            <w:jc w:val="right"/>
            <w:rPr>
              <w:sz w:val="18"/>
              <w:szCs w:val="20"/>
            </w:rPr>
          </w:pPr>
          <w:r w:rsidRPr="009D5A5E">
            <w:rPr>
              <w:noProof/>
              <w:sz w:val="18"/>
              <w:szCs w:val="20"/>
            </w:rPr>
            <w:drawing>
              <wp:inline distT="0" distB="0" distL="0" distR="0" wp14:anchorId="13D8FC01" wp14:editId="06487C9F">
                <wp:extent cx="457200" cy="457200"/>
                <wp:effectExtent l="0" t="0" r="0" b="0"/>
                <wp:docPr id="634651986" name="Picture 634651986"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48707" name="Picture 1050648707"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r>
  </w:tbl>
  <w:p w14:paraId="1C589367" w14:textId="77777777" w:rsidR="00305356" w:rsidRPr="000C2F63" w:rsidRDefault="00305356" w:rsidP="000C2F63">
    <w:pPr>
      <w:spacing w:after="0"/>
      <w:rPr>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7919"/>
      <w:gridCol w:w="721"/>
    </w:tblGrid>
    <w:tr w:rsidR="00AF069F" w:rsidRPr="008E6BF9" w14:paraId="02260B12" w14:textId="77777777" w:rsidTr="009F357F">
      <w:trPr>
        <w:cantSplit/>
        <w:trHeight w:hRule="exact" w:val="720"/>
      </w:trPr>
      <w:tc>
        <w:tcPr>
          <w:tcW w:w="720" w:type="dxa"/>
          <w:vAlign w:val="center"/>
        </w:tcPr>
        <w:p w14:paraId="31134B25" w14:textId="77777777" w:rsidR="00AF069F" w:rsidRPr="008E6BF9" w:rsidRDefault="00AF069F" w:rsidP="00AF069F">
          <w:pPr>
            <w:spacing w:after="0"/>
            <w:rPr>
              <w:noProof/>
              <w:sz w:val="18"/>
              <w:szCs w:val="20"/>
            </w:rPr>
          </w:pPr>
          <w:r w:rsidRPr="009D5A5E">
            <w:rPr>
              <w:noProof/>
              <w:sz w:val="18"/>
              <w:szCs w:val="20"/>
            </w:rPr>
            <w:drawing>
              <wp:inline distT="0" distB="0" distL="0" distR="0" wp14:anchorId="08836DB6" wp14:editId="35148D20">
                <wp:extent cx="457200" cy="457200"/>
                <wp:effectExtent l="0" t="0" r="0" b="0"/>
                <wp:docPr id="159495498" name="Picture 159495498"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7071" name="Picture 1152267071"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4C369153" w14:textId="77777777" w:rsidR="00AF069F" w:rsidRPr="006D4C19" w:rsidRDefault="00AF069F" w:rsidP="00AF069F">
          <w:pPr>
            <w:spacing w:after="0"/>
            <w:jc w:val="center"/>
            <w:rPr>
              <w:noProof/>
              <w:sz w:val="18"/>
              <w:szCs w:val="20"/>
            </w:rPr>
          </w:pPr>
          <w:r w:rsidRPr="006D4C19">
            <w:rPr>
              <w:noProof/>
              <w:sz w:val="18"/>
              <w:szCs w:val="18"/>
            </w:rPr>
            <mc:AlternateContent>
              <mc:Choice Requires="wps">
                <w:drawing>
                  <wp:inline distT="0" distB="0" distL="0" distR="0" wp14:anchorId="7076E353" wp14:editId="1BFBC886">
                    <wp:extent cx="1371600" cy="18288"/>
                    <wp:effectExtent l="0" t="0" r="0" b="0"/>
                    <wp:docPr id="3538699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3F5F0E5B"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254884FD" wp14:editId="6A229C40">
                    <wp:extent cx="1371600" cy="18288"/>
                    <wp:effectExtent l="0" t="0" r="0" b="0"/>
                    <wp:docPr id="67649326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3A153653"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6471F08C" w14:textId="77777777" w:rsidR="00AF069F" w:rsidRPr="008E6BF9" w:rsidRDefault="00AF069F" w:rsidP="00AF069F">
          <w:pPr>
            <w:spacing w:after="0"/>
            <w:jc w:val="right"/>
            <w:rPr>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2</w:t>
          </w:r>
          <w:r w:rsidRPr="008E6BF9">
            <w:rPr>
              <w:b/>
              <w:bCs/>
              <w:noProof/>
              <w:sz w:val="18"/>
              <w:szCs w:val="20"/>
            </w:rPr>
            <w:fldChar w:fldCharType="end"/>
          </w:r>
        </w:p>
      </w:tc>
    </w:tr>
  </w:tbl>
  <w:p w14:paraId="104A4D99" w14:textId="77777777" w:rsidR="00AF069F" w:rsidRDefault="00AF069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11520"/>
      <w:gridCol w:w="720"/>
    </w:tblGrid>
    <w:tr w:rsidR="005919FC" w:rsidRPr="008E6BF9" w14:paraId="47F7766D" w14:textId="77777777" w:rsidTr="009F357F">
      <w:trPr>
        <w:trHeight w:hRule="exact" w:val="720"/>
      </w:trPr>
      <w:tc>
        <w:tcPr>
          <w:tcW w:w="720" w:type="dxa"/>
          <w:vAlign w:val="center"/>
        </w:tcPr>
        <w:p w14:paraId="625CE20E" w14:textId="77777777" w:rsidR="005919FC" w:rsidRPr="008E6BF9" w:rsidRDefault="005919FC" w:rsidP="005919FC">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3</w:t>
          </w:r>
          <w:r w:rsidRPr="008E6BF9">
            <w:rPr>
              <w:b/>
              <w:bCs/>
              <w:noProof/>
              <w:sz w:val="18"/>
              <w:szCs w:val="20"/>
            </w:rPr>
            <w:fldChar w:fldCharType="end"/>
          </w:r>
        </w:p>
      </w:tc>
      <w:tc>
        <w:tcPr>
          <w:tcW w:w="0" w:type="auto"/>
          <w:tcBorders>
            <w:right w:val="nil"/>
          </w:tcBorders>
          <w:vAlign w:val="center"/>
        </w:tcPr>
        <w:p w14:paraId="20590DFA" w14:textId="77777777" w:rsidR="005919FC" w:rsidRPr="006D4C19" w:rsidRDefault="005919FC" w:rsidP="005919FC">
          <w:pPr>
            <w:spacing w:after="0"/>
            <w:jc w:val="center"/>
            <w:rPr>
              <w:noProof/>
              <w:sz w:val="18"/>
              <w:szCs w:val="20"/>
            </w:rPr>
          </w:pPr>
          <w:r w:rsidRPr="006D4C19">
            <w:rPr>
              <w:noProof/>
              <w:sz w:val="18"/>
              <w:szCs w:val="18"/>
            </w:rPr>
            <mc:AlternateContent>
              <mc:Choice Requires="wps">
                <w:drawing>
                  <wp:inline distT="0" distB="0" distL="0" distR="0" wp14:anchorId="7B870711" wp14:editId="0626FE5B">
                    <wp:extent cx="1371600" cy="18288"/>
                    <wp:effectExtent l="0" t="0" r="0" b="0"/>
                    <wp:docPr id="6443868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495A86E5"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20F8A12F" wp14:editId="7D4C3D6B">
                    <wp:extent cx="1371600" cy="18288"/>
                    <wp:effectExtent l="0" t="0" r="0" b="0"/>
                    <wp:docPr id="125287597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5ED58996"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tcBorders>
            <w:top w:val="nil"/>
            <w:left w:val="nil"/>
            <w:bottom w:val="nil"/>
            <w:right w:val="nil"/>
          </w:tcBorders>
          <w:vAlign w:val="center"/>
        </w:tcPr>
        <w:p w14:paraId="1379EFF6" w14:textId="77777777" w:rsidR="005919FC" w:rsidRPr="008E6BF9" w:rsidRDefault="005919FC" w:rsidP="005919FC">
          <w:pPr>
            <w:spacing w:after="0"/>
            <w:jc w:val="right"/>
            <w:rPr>
              <w:sz w:val="18"/>
              <w:szCs w:val="20"/>
            </w:rPr>
          </w:pPr>
          <w:r w:rsidRPr="009D5A5E">
            <w:rPr>
              <w:noProof/>
              <w:sz w:val="18"/>
              <w:szCs w:val="20"/>
            </w:rPr>
            <w:drawing>
              <wp:inline distT="0" distB="0" distL="0" distR="0" wp14:anchorId="70DD3EA9" wp14:editId="72B9BEEB">
                <wp:extent cx="457200" cy="457200"/>
                <wp:effectExtent l="0" t="0" r="0" b="0"/>
                <wp:docPr id="329204242" name="Picture 329204242" descr="A black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65765" name="Picture 1945665765" descr="A black and white logo with text&#10;&#10;Description automatically generated"/>
                        <pic:cNvPicPr/>
                      </pic:nvPicPr>
                      <pic:blipFill>
                        <a:blip r:embed="rId1"/>
                        <a:stretch>
                          <a:fillRect/>
                        </a:stretch>
                      </pic:blipFill>
                      <pic:spPr>
                        <a:xfrm>
                          <a:off x="0" y="0"/>
                          <a:ext cx="457200" cy="457200"/>
                        </a:xfrm>
                        <a:prstGeom prst="rect">
                          <a:avLst/>
                        </a:prstGeom>
                      </pic:spPr>
                    </pic:pic>
                  </a:graphicData>
                </a:graphic>
              </wp:inline>
            </w:drawing>
          </w:r>
        </w:p>
      </w:tc>
    </w:tr>
  </w:tbl>
  <w:p w14:paraId="47369106" w14:textId="77777777" w:rsidR="00AF069F" w:rsidRPr="000C2F63" w:rsidRDefault="00AF069F" w:rsidP="000C2F63">
    <w:pPr>
      <w:spacing w:after="0"/>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360"/>
      <w:gridCol w:w="8280"/>
      <w:gridCol w:w="720"/>
    </w:tblGrid>
    <w:tr w:rsidR="00637642" w:rsidRPr="009D5A5E" w14:paraId="0929B42F" w14:textId="77777777" w:rsidTr="005A2F6B">
      <w:trPr>
        <w:cantSplit/>
        <w:trHeight w:hRule="exact" w:val="720"/>
      </w:trPr>
      <w:tc>
        <w:tcPr>
          <w:tcW w:w="360" w:type="dxa"/>
          <w:vAlign w:val="center"/>
        </w:tcPr>
        <w:p w14:paraId="73514063" w14:textId="0D3BE06D" w:rsidR="00637642" w:rsidRPr="009D5A5E" w:rsidRDefault="005A2F6B" w:rsidP="005A2F6B">
          <w:pPr>
            <w:spacing w:after="0"/>
            <w:rPr>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ii</w:t>
          </w:r>
          <w:r w:rsidRPr="009D5A5E">
            <w:rPr>
              <w:b/>
              <w:bCs/>
              <w:noProof/>
              <w:sz w:val="18"/>
              <w:szCs w:val="20"/>
            </w:rPr>
            <w:fldChar w:fldCharType="end"/>
          </w:r>
        </w:p>
      </w:tc>
      <w:tc>
        <w:tcPr>
          <w:tcW w:w="8281" w:type="dxa"/>
          <w:vAlign w:val="center"/>
        </w:tcPr>
        <w:p w14:paraId="0F1FFA4C" w14:textId="77777777" w:rsidR="00637642" w:rsidRPr="00637642" w:rsidRDefault="00637642" w:rsidP="005A2F6B">
          <w:pPr>
            <w:spacing w:after="0"/>
            <w:rPr>
              <w:sz w:val="18"/>
              <w:szCs w:val="20"/>
            </w:rPr>
          </w:pPr>
          <w:r w:rsidRPr="00637642">
            <w:rPr>
              <w:sz w:val="18"/>
              <w:szCs w:val="20"/>
            </w:rPr>
            <w:t>Contents</w:t>
          </w:r>
        </w:p>
      </w:tc>
      <w:tc>
        <w:tcPr>
          <w:tcW w:w="720" w:type="dxa"/>
          <w:vAlign w:val="center"/>
        </w:tcPr>
        <w:p w14:paraId="58D1F17A" w14:textId="03B750A0" w:rsidR="00637642" w:rsidRPr="009D5A5E" w:rsidRDefault="005A2F6B" w:rsidP="00EE2AFE">
          <w:pPr>
            <w:spacing w:after="0"/>
            <w:jc w:val="right"/>
            <w:rPr>
              <w:b/>
              <w:bCs/>
              <w:sz w:val="18"/>
              <w:szCs w:val="20"/>
            </w:rPr>
          </w:pPr>
          <w:r w:rsidRPr="009D5A5E">
            <w:rPr>
              <w:noProof/>
              <w:sz w:val="18"/>
              <w:szCs w:val="20"/>
            </w:rPr>
            <w:drawing>
              <wp:inline distT="0" distB="0" distL="0" distR="0" wp14:anchorId="2A9CCE50" wp14:editId="5CA391C7">
                <wp:extent cx="457200" cy="457200"/>
                <wp:effectExtent l="0" t="0" r="0" b="0"/>
                <wp:docPr id="109552208" name="Picture 10955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1FF220E7" w14:textId="1E96572C" w:rsidR="00637642" w:rsidRDefault="00637642">
    <w:pPr>
      <w:pStyle w:val="Header"/>
    </w:pPr>
    <w:r w:rsidRPr="000C2F63">
      <w:rPr>
        <w:noProof/>
        <w:sz w:val="18"/>
        <w:szCs w:val="18"/>
      </w:rPr>
      <mc:AlternateContent>
        <mc:Choice Requires="wps">
          <w:drawing>
            <wp:anchor distT="0" distB="0" distL="114300" distR="114300" simplePos="0" relativeHeight="251658244" behindDoc="0" locked="0" layoutInCell="1" allowOverlap="1" wp14:anchorId="6E8E2BE4" wp14:editId="52BD792D">
              <wp:simplePos x="0" y="0"/>
              <wp:positionH relativeFrom="page">
                <wp:posOffset>3200400</wp:posOffset>
              </wp:positionH>
              <wp:positionV relativeFrom="page">
                <wp:posOffset>457200</wp:posOffset>
              </wp:positionV>
              <wp:extent cx="2971800" cy="18288"/>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25BD85" id="docshape10" o:spid="_x0000_s1026" style="position:absolute;margin-left:252pt;margin-top:36pt;width:234pt;height:1.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720"/>
      <w:gridCol w:w="8280"/>
      <w:gridCol w:w="360"/>
    </w:tblGrid>
    <w:tr w:rsidR="00EE2AFE" w14:paraId="1459747A" w14:textId="77777777" w:rsidTr="00EC114D">
      <w:trPr>
        <w:cantSplit/>
        <w:trHeight w:hRule="exact" w:val="720"/>
      </w:trPr>
      <w:tc>
        <w:tcPr>
          <w:tcW w:w="720" w:type="dxa"/>
          <w:vAlign w:val="center"/>
        </w:tcPr>
        <w:p w14:paraId="7C96C4BE" w14:textId="46EB66A6" w:rsidR="00EE2AFE" w:rsidRPr="00637642" w:rsidRDefault="00EC114D" w:rsidP="00637642">
          <w:pPr>
            <w:spacing w:after="0"/>
            <w:jc w:val="both"/>
            <w:rPr>
              <w:b/>
              <w:bCs/>
            </w:rPr>
          </w:pPr>
          <w:r w:rsidRPr="009D5A5E">
            <w:rPr>
              <w:noProof/>
              <w:sz w:val="18"/>
              <w:szCs w:val="20"/>
            </w:rPr>
            <w:drawing>
              <wp:inline distT="0" distB="0" distL="0" distR="0" wp14:anchorId="4FCDD122" wp14:editId="25DCF599">
                <wp:extent cx="457200" cy="457200"/>
                <wp:effectExtent l="0" t="0" r="0" b="0"/>
                <wp:docPr id="1987038018" name="Picture 198703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8280" w:type="dxa"/>
          <w:vAlign w:val="center"/>
        </w:tcPr>
        <w:p w14:paraId="3F06B086" w14:textId="5048AA7D" w:rsidR="00EE2AFE" w:rsidRPr="00637642" w:rsidRDefault="00EE2AFE" w:rsidP="00EC114D">
          <w:pPr>
            <w:spacing w:after="0"/>
            <w:jc w:val="right"/>
            <w:rPr>
              <w:sz w:val="18"/>
              <w:szCs w:val="20"/>
            </w:rPr>
          </w:pPr>
          <w:r w:rsidRPr="00637642">
            <w:rPr>
              <w:sz w:val="18"/>
              <w:szCs w:val="20"/>
            </w:rPr>
            <w:t>Contents</w:t>
          </w:r>
        </w:p>
      </w:tc>
      <w:tc>
        <w:tcPr>
          <w:tcW w:w="360" w:type="dxa"/>
          <w:vAlign w:val="center"/>
        </w:tcPr>
        <w:p w14:paraId="7EAED620" w14:textId="7E4E00C5" w:rsidR="00EE2AFE" w:rsidRPr="00EE2AFE" w:rsidRDefault="00EC114D" w:rsidP="00EE2AFE">
          <w:pPr>
            <w:spacing w:after="0"/>
            <w:jc w:val="right"/>
            <w:rPr>
              <w:b/>
              <w:bCs/>
              <w:sz w:val="18"/>
              <w:szCs w:val="20"/>
            </w:rPr>
          </w:pPr>
          <w:r w:rsidRPr="00637642">
            <w:rPr>
              <w:b/>
              <w:bCs/>
              <w:sz w:val="18"/>
              <w:szCs w:val="20"/>
            </w:rPr>
            <w:fldChar w:fldCharType="begin"/>
          </w:r>
          <w:r w:rsidRPr="00637642">
            <w:rPr>
              <w:b/>
              <w:bCs/>
              <w:sz w:val="18"/>
              <w:szCs w:val="20"/>
            </w:rPr>
            <w:instrText xml:space="preserve"> PAGE   \* MERGEFORMAT </w:instrText>
          </w:r>
          <w:r w:rsidRPr="00637642">
            <w:rPr>
              <w:b/>
              <w:bCs/>
              <w:sz w:val="18"/>
              <w:szCs w:val="20"/>
            </w:rPr>
            <w:fldChar w:fldCharType="separate"/>
          </w:r>
          <w:r>
            <w:rPr>
              <w:b/>
              <w:bCs/>
              <w:sz w:val="18"/>
              <w:szCs w:val="20"/>
            </w:rPr>
            <w:t>iii</w:t>
          </w:r>
          <w:r w:rsidRPr="00637642">
            <w:rPr>
              <w:b/>
              <w:bCs/>
              <w:noProof/>
              <w:sz w:val="18"/>
              <w:szCs w:val="20"/>
            </w:rPr>
            <w:fldChar w:fldCharType="end"/>
          </w:r>
        </w:p>
      </w:tc>
    </w:tr>
  </w:tbl>
  <w:p w14:paraId="2195D6D8" w14:textId="7694BEA9" w:rsidR="00EE2AFE" w:rsidRPr="00B6486F" w:rsidRDefault="00637642" w:rsidP="00B6486F">
    <w:pPr>
      <w:spacing w:after="0"/>
      <w:rPr>
        <w:szCs w:val="22"/>
      </w:rPr>
    </w:pPr>
    <w:r w:rsidRPr="000C2F63">
      <w:rPr>
        <w:noProof/>
        <w:sz w:val="18"/>
        <w:szCs w:val="18"/>
      </w:rPr>
      <mc:AlternateContent>
        <mc:Choice Requires="wps">
          <w:drawing>
            <wp:anchor distT="0" distB="0" distL="114300" distR="114300" simplePos="0" relativeHeight="251658245" behindDoc="0" locked="0" layoutInCell="1" allowOverlap="1" wp14:anchorId="6159C359" wp14:editId="26194A59">
              <wp:simplePos x="0" y="0"/>
              <wp:positionH relativeFrom="page">
                <wp:posOffset>1600200</wp:posOffset>
              </wp:positionH>
              <wp:positionV relativeFrom="page">
                <wp:posOffset>457200</wp:posOffset>
              </wp:positionV>
              <wp:extent cx="2971800" cy="18288"/>
              <wp:effectExtent l="0" t="0" r="0" b="0"/>
              <wp:wrapNone/>
              <wp:docPr id="1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0E6960" id="docshape10" o:spid="_x0000_s1026" style="position:absolute;margin-left:126pt;margin-top:36pt;width:234pt;height:1.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" fillcolor="black [3213]"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4859"/>
      <w:gridCol w:w="4141"/>
      <w:gridCol w:w="360"/>
    </w:tblGrid>
    <w:tr w:rsidR="00756235" w14:paraId="2A55A0C6" w14:textId="67D62C9B" w:rsidTr="00756235">
      <w:trPr>
        <w:cantSplit/>
        <w:trHeight w:hRule="exact" w:val="720"/>
      </w:trPr>
      <w:tc>
        <w:tcPr>
          <w:tcW w:w="0" w:type="auto"/>
          <w:vAlign w:val="center"/>
        </w:tcPr>
        <w:p w14:paraId="7EF09AA1" w14:textId="17A49BAD" w:rsidR="00756235" w:rsidRDefault="00756235" w:rsidP="00B6486F">
          <w:pPr>
            <w:spacing w:after="0"/>
          </w:pPr>
          <w:r w:rsidRPr="003B19D0">
            <w:rPr>
              <w:noProof/>
              <w:sz w:val="18"/>
              <w:szCs w:val="20"/>
            </w:rPr>
            <mc:AlternateContent>
              <mc:Choice Requires="wps">
                <w:drawing>
                  <wp:anchor distT="0" distB="0" distL="114300" distR="114300" simplePos="0" relativeHeight="251658241" behindDoc="0" locked="0" layoutInCell="1" allowOverlap="1" wp14:anchorId="32059E94" wp14:editId="5D43CCA9">
                    <wp:simplePos x="0" y="0"/>
                    <wp:positionH relativeFrom="page">
                      <wp:posOffset>534670</wp:posOffset>
                    </wp:positionH>
                    <wp:positionV relativeFrom="page">
                      <wp:posOffset>224790</wp:posOffset>
                    </wp:positionV>
                    <wp:extent cx="3200400" cy="17780"/>
                    <wp:effectExtent l="0" t="0" r="0" b="0"/>
                    <wp:wrapNone/>
                    <wp:docPr id="2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78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FF6696" id="docshape10" o:spid="_x0000_s1026" style="position:absolute;margin-left:42.1pt;margin-top:17.7pt;width:252pt;height:1.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" fillcolor="black [3213]" stroked="f">
                    <w10:wrap anchorx="page" anchory="page"/>
                  </v:rect>
                </w:pict>
              </mc:Fallback>
            </mc:AlternateContent>
          </w:r>
          <w:r>
            <w:rPr>
              <w:noProof/>
            </w:rPr>
            <w:drawing>
              <wp:inline distT="0" distB="0" distL="0" distR="0" wp14:anchorId="7439700B" wp14:editId="5C492D7F">
                <wp:extent cx="457200" cy="457200"/>
                <wp:effectExtent l="0" t="0" r="0" b="0"/>
                <wp:docPr id="1202336355" name="Picture 12023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4141" w:type="dxa"/>
          <w:vAlign w:val="center"/>
        </w:tcPr>
        <w:p w14:paraId="6F6900EE" w14:textId="02569B32" w:rsidR="00756235" w:rsidRPr="003B19D0" w:rsidRDefault="00756235" w:rsidP="00B6486F">
          <w:pPr>
            <w:spacing w:after="0"/>
            <w:jc w:val="right"/>
            <w:rPr>
              <w:sz w:val="18"/>
              <w:szCs w:val="20"/>
            </w:rPr>
          </w:pPr>
          <w:r>
            <w:rPr>
              <w:sz w:val="18"/>
              <w:szCs w:val="20"/>
            </w:rPr>
            <w:t>Abstract</w:t>
          </w:r>
        </w:p>
      </w:tc>
      <w:tc>
        <w:tcPr>
          <w:tcW w:w="360" w:type="dxa"/>
          <w:vAlign w:val="center"/>
        </w:tcPr>
        <w:p w14:paraId="1E7A1BB0" w14:textId="77AFFAEF" w:rsidR="00756235" w:rsidRDefault="00756235" w:rsidP="00756235">
          <w:pPr>
            <w:spacing w:after="0"/>
            <w:jc w:val="right"/>
            <w:rPr>
              <w:sz w:val="18"/>
              <w:szCs w:val="20"/>
            </w:rPr>
          </w:pPr>
          <w:r w:rsidRPr="00756235">
            <w:rPr>
              <w:sz w:val="18"/>
              <w:szCs w:val="20"/>
            </w:rPr>
            <w:fldChar w:fldCharType="begin"/>
          </w:r>
          <w:r w:rsidRPr="00756235">
            <w:rPr>
              <w:sz w:val="18"/>
              <w:szCs w:val="20"/>
            </w:rPr>
            <w:instrText xml:space="preserve"> PAGE   \* MERGEFORMAT </w:instrText>
          </w:r>
          <w:r w:rsidRPr="00756235">
            <w:rPr>
              <w:sz w:val="18"/>
              <w:szCs w:val="20"/>
            </w:rPr>
            <w:fldChar w:fldCharType="separate"/>
          </w:r>
          <w:r w:rsidRPr="00756235">
            <w:rPr>
              <w:noProof/>
              <w:sz w:val="18"/>
              <w:szCs w:val="20"/>
            </w:rPr>
            <w:t>1</w:t>
          </w:r>
          <w:r w:rsidRPr="00756235">
            <w:rPr>
              <w:noProof/>
              <w:sz w:val="18"/>
              <w:szCs w:val="20"/>
            </w:rPr>
            <w:fldChar w:fldCharType="end"/>
          </w:r>
        </w:p>
      </w:tc>
    </w:tr>
  </w:tbl>
  <w:p w14:paraId="761EC809" w14:textId="57A400D2" w:rsidR="00B87558" w:rsidRDefault="00B87558" w:rsidP="004044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720"/>
      <w:gridCol w:w="7919"/>
      <w:gridCol w:w="721"/>
    </w:tblGrid>
    <w:tr w:rsidR="00840615" w:rsidRPr="008E6BF9" w14:paraId="55261F1F" w14:textId="77777777" w:rsidTr="00C22C2A">
      <w:trPr>
        <w:cantSplit/>
        <w:trHeight w:hRule="exact" w:val="720"/>
      </w:trPr>
      <w:tc>
        <w:tcPr>
          <w:tcW w:w="720" w:type="dxa"/>
          <w:vAlign w:val="center"/>
        </w:tcPr>
        <w:p w14:paraId="5B2FD095" w14:textId="7CAE27DE" w:rsidR="00875D0D" w:rsidRPr="00C22C2A" w:rsidRDefault="00EC114D" w:rsidP="00875D0D">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1</w:t>
          </w:r>
          <w:r w:rsidRPr="008E6BF9">
            <w:rPr>
              <w:b/>
              <w:bCs/>
              <w:noProof/>
              <w:sz w:val="18"/>
              <w:szCs w:val="20"/>
            </w:rPr>
            <w:fldChar w:fldCharType="end"/>
          </w:r>
        </w:p>
      </w:tc>
      <w:tc>
        <w:tcPr>
          <w:tcW w:w="0" w:type="auto"/>
          <w:vAlign w:val="center"/>
        </w:tcPr>
        <w:p w14:paraId="5461D904" w14:textId="256A2A58" w:rsidR="00875D0D" w:rsidRPr="006D4C19" w:rsidRDefault="00425458" w:rsidP="00840615">
          <w:pPr>
            <w:spacing w:after="0"/>
            <w:jc w:val="center"/>
            <w:rPr>
              <w:noProof/>
              <w:sz w:val="18"/>
              <w:szCs w:val="20"/>
            </w:rPr>
          </w:pPr>
          <w:r w:rsidRPr="006D4C19">
            <w:rPr>
              <w:noProof/>
              <w:sz w:val="18"/>
              <w:szCs w:val="18"/>
            </w:rPr>
            <mc:AlternateContent>
              <mc:Choice Requires="wps">
                <w:drawing>
                  <wp:inline distT="0" distB="0" distL="0" distR="0" wp14:anchorId="38D324BF" wp14:editId="05A02F6C">
                    <wp:extent cx="1371600" cy="18288"/>
                    <wp:effectExtent l="0" t="0" r="0" b="0"/>
                    <wp:docPr id="5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362D9B3"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00875D0D"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0F4B0521" wp14:editId="267C323E">
                    <wp:extent cx="1371600" cy="18288"/>
                    <wp:effectExtent l="0" t="0" r="0" b="0"/>
                    <wp:docPr id="6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556EA433"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48CF5614" w14:textId="71C8FE38" w:rsidR="00875D0D" w:rsidRPr="008E6BF9" w:rsidRDefault="00EC114D" w:rsidP="00875D0D">
          <w:pPr>
            <w:spacing w:after="0"/>
            <w:jc w:val="right"/>
            <w:rPr>
              <w:sz w:val="18"/>
              <w:szCs w:val="20"/>
            </w:rPr>
          </w:pPr>
          <w:r w:rsidRPr="009D5A5E">
            <w:rPr>
              <w:noProof/>
              <w:sz w:val="18"/>
              <w:szCs w:val="20"/>
            </w:rPr>
            <w:drawing>
              <wp:inline distT="0" distB="0" distL="0" distR="0" wp14:anchorId="46CD90B2" wp14:editId="5734DB4C">
                <wp:extent cx="457200" cy="457200"/>
                <wp:effectExtent l="0" t="0" r="0" b="0"/>
                <wp:docPr id="1554537064" name="Picture 155453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790EF67C" w14:textId="04524D2D" w:rsidR="009B344D" w:rsidRPr="008E6BF9" w:rsidRDefault="009B344D" w:rsidP="008E6BF9">
    <w:pPr>
      <w:spacing w:after="0"/>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CellMar>
        <w:left w:w="0" w:type="dxa"/>
        <w:right w:w="0" w:type="dxa"/>
      </w:tblCellMar>
      <w:tblLook w:val="04A0" w:firstRow="1" w:lastRow="0" w:firstColumn="1" w:lastColumn="0" w:noHBand="0" w:noVBand="1"/>
    </w:tblPr>
    <w:tblGrid>
      <w:gridCol w:w="720"/>
      <w:gridCol w:w="7920"/>
      <w:gridCol w:w="720"/>
    </w:tblGrid>
    <w:tr w:rsidR="00AE36C6" w14:paraId="11E6EDE7" w14:textId="77777777" w:rsidTr="00B36E3D">
      <w:trPr>
        <w:cantSplit/>
        <w:trHeight w:hRule="exact" w:val="720"/>
      </w:trPr>
      <w:tc>
        <w:tcPr>
          <w:tcW w:w="720" w:type="dxa"/>
          <w:vAlign w:val="center"/>
        </w:tcPr>
        <w:p w14:paraId="131C0E94" w14:textId="7A5B8DD9" w:rsidR="00AE36C6" w:rsidRDefault="00AE36C6" w:rsidP="00B6486F">
          <w:pPr>
            <w:spacing w:after="0"/>
          </w:pPr>
          <w:r>
            <w:rPr>
              <w:noProof/>
            </w:rPr>
            <w:drawing>
              <wp:inline distT="0" distB="0" distL="0" distR="0" wp14:anchorId="328F0E3A" wp14:editId="255DB259">
                <wp:extent cx="457200" cy="457200"/>
                <wp:effectExtent l="0" t="0" r="0" b="0"/>
                <wp:docPr id="166859491" name="Picture 16685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3667F7B1" w14:textId="6519752E" w:rsidR="00AE36C6" w:rsidRPr="003B19D0" w:rsidRDefault="00B36E3D" w:rsidP="00B36E3D">
          <w:pPr>
            <w:spacing w:after="0"/>
            <w:jc w:val="center"/>
            <w:rPr>
              <w:sz w:val="18"/>
              <w:szCs w:val="20"/>
            </w:rPr>
          </w:pPr>
          <w:r w:rsidRPr="006D4C19">
            <w:rPr>
              <w:noProof/>
              <w:sz w:val="18"/>
              <w:szCs w:val="18"/>
            </w:rPr>
            <mc:AlternateContent>
              <mc:Choice Requires="wps">
                <w:drawing>
                  <wp:inline distT="0" distB="0" distL="0" distR="0" wp14:anchorId="1CB156C8" wp14:editId="5A5AEDCD">
                    <wp:extent cx="1371600" cy="18288"/>
                    <wp:effectExtent l="0" t="0" r="0" b="0"/>
                    <wp:docPr id="111782839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F8C15D8"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6D61C5AF" wp14:editId="5AE9C036">
                    <wp:extent cx="1371600" cy="18288"/>
                    <wp:effectExtent l="0" t="0" r="0" b="0"/>
                    <wp:docPr id="156000289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088D2A96"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vAlign w:val="center"/>
        </w:tcPr>
        <w:p w14:paraId="4D96166B" w14:textId="77777777" w:rsidR="00AE36C6" w:rsidRDefault="00AE36C6" w:rsidP="00756235">
          <w:pPr>
            <w:spacing w:after="0"/>
            <w:jc w:val="right"/>
            <w:rPr>
              <w:sz w:val="18"/>
              <w:szCs w:val="20"/>
            </w:rPr>
          </w:pPr>
          <w:r w:rsidRPr="00756235">
            <w:rPr>
              <w:sz w:val="18"/>
              <w:szCs w:val="20"/>
            </w:rPr>
            <w:fldChar w:fldCharType="begin"/>
          </w:r>
          <w:r w:rsidRPr="00756235">
            <w:rPr>
              <w:sz w:val="18"/>
              <w:szCs w:val="20"/>
            </w:rPr>
            <w:instrText xml:space="preserve"> PAGE   \* MERGEFORMAT </w:instrText>
          </w:r>
          <w:r w:rsidRPr="00756235">
            <w:rPr>
              <w:sz w:val="18"/>
              <w:szCs w:val="20"/>
            </w:rPr>
            <w:fldChar w:fldCharType="separate"/>
          </w:r>
          <w:r w:rsidRPr="00756235">
            <w:rPr>
              <w:noProof/>
              <w:sz w:val="18"/>
              <w:szCs w:val="20"/>
            </w:rPr>
            <w:t>1</w:t>
          </w:r>
          <w:r w:rsidRPr="00756235">
            <w:rPr>
              <w:noProof/>
              <w:sz w:val="18"/>
              <w:szCs w:val="20"/>
            </w:rPr>
            <w:fldChar w:fldCharType="end"/>
          </w:r>
        </w:p>
      </w:tc>
    </w:tr>
  </w:tbl>
  <w:p w14:paraId="63416107" w14:textId="77777777" w:rsidR="00AE36C6" w:rsidRDefault="00AE36C6" w:rsidP="004044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720"/>
      <w:gridCol w:w="7919"/>
      <w:gridCol w:w="721"/>
    </w:tblGrid>
    <w:tr w:rsidR="00E065B7" w:rsidRPr="008E6BF9" w14:paraId="3A1DDE49" w14:textId="77777777" w:rsidTr="00C22C2A">
      <w:trPr>
        <w:cantSplit/>
        <w:trHeight w:hRule="exact" w:val="720"/>
      </w:trPr>
      <w:tc>
        <w:tcPr>
          <w:tcW w:w="720" w:type="dxa"/>
          <w:vAlign w:val="center"/>
        </w:tcPr>
        <w:p w14:paraId="32B5887D" w14:textId="724D8ACE" w:rsidR="00E065B7" w:rsidRPr="00C22C2A" w:rsidRDefault="00E065B7" w:rsidP="00E065B7">
          <w:pPr>
            <w:spacing w:after="0"/>
            <w:rPr>
              <w:noProof/>
              <w:sz w:val="18"/>
              <w:szCs w:val="20"/>
            </w:rPr>
          </w:pPr>
          <w:r w:rsidRPr="009D5A5E">
            <w:rPr>
              <w:noProof/>
              <w:sz w:val="18"/>
              <w:szCs w:val="20"/>
            </w:rPr>
            <w:drawing>
              <wp:inline distT="0" distB="0" distL="0" distR="0" wp14:anchorId="23D2E697" wp14:editId="6CE4FC1B">
                <wp:extent cx="457200" cy="457200"/>
                <wp:effectExtent l="0" t="0" r="0" b="0"/>
                <wp:docPr id="890214265" name="Picture 89021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794203FD" w14:textId="3834CD9C" w:rsidR="00E065B7" w:rsidRPr="006D4C19" w:rsidRDefault="00E065B7" w:rsidP="00E065B7">
          <w:pPr>
            <w:spacing w:after="0"/>
            <w:jc w:val="center"/>
            <w:rPr>
              <w:noProof/>
              <w:sz w:val="18"/>
              <w:szCs w:val="20"/>
            </w:rPr>
          </w:pPr>
        </w:p>
      </w:tc>
      <w:tc>
        <w:tcPr>
          <w:tcW w:w="721" w:type="dxa"/>
          <w:vAlign w:val="center"/>
        </w:tcPr>
        <w:p w14:paraId="74A00648" w14:textId="4AA3B541" w:rsidR="00E065B7" w:rsidRPr="008E6BF9" w:rsidRDefault="00AE36C6" w:rsidP="00E065B7">
          <w:pPr>
            <w:spacing w:after="0"/>
            <w:jc w:val="right"/>
            <w:rPr>
              <w:sz w:val="18"/>
              <w:szCs w:val="20"/>
            </w:rPr>
          </w:pPr>
          <w:r w:rsidRPr="00AE36C6">
            <w:rPr>
              <w:sz w:val="18"/>
              <w:szCs w:val="20"/>
            </w:rPr>
            <w:fldChar w:fldCharType="begin"/>
          </w:r>
          <w:r w:rsidRPr="00AE36C6">
            <w:rPr>
              <w:sz w:val="18"/>
              <w:szCs w:val="20"/>
            </w:rPr>
            <w:instrText xml:space="preserve"> PAGE   \* MERGEFORMAT </w:instrText>
          </w:r>
          <w:r w:rsidRPr="00AE36C6">
            <w:rPr>
              <w:sz w:val="18"/>
              <w:szCs w:val="20"/>
            </w:rPr>
            <w:fldChar w:fldCharType="separate"/>
          </w:r>
          <w:r w:rsidRPr="00AE36C6">
            <w:rPr>
              <w:noProof/>
              <w:sz w:val="18"/>
              <w:szCs w:val="20"/>
            </w:rPr>
            <w:t>1</w:t>
          </w:r>
          <w:r w:rsidRPr="00AE36C6">
            <w:rPr>
              <w:noProof/>
              <w:sz w:val="18"/>
              <w:szCs w:val="20"/>
            </w:rPr>
            <w:fldChar w:fldCharType="end"/>
          </w:r>
        </w:p>
      </w:tc>
    </w:tr>
  </w:tbl>
  <w:p w14:paraId="26E5602D" w14:textId="77777777" w:rsidR="00E065B7" w:rsidRPr="008E6BF9" w:rsidRDefault="00E065B7" w:rsidP="008E6BF9">
    <w:pPr>
      <w:spacing w:after="0"/>
      <w:rPr>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7919"/>
      <w:gridCol w:w="721"/>
    </w:tblGrid>
    <w:tr w:rsidR="00884B2E" w:rsidRPr="008E6BF9" w14:paraId="5E850508" w14:textId="77777777" w:rsidTr="00793B97">
      <w:trPr>
        <w:cantSplit/>
        <w:trHeight w:hRule="exact" w:val="720"/>
      </w:trPr>
      <w:tc>
        <w:tcPr>
          <w:tcW w:w="720" w:type="dxa"/>
          <w:vAlign w:val="center"/>
        </w:tcPr>
        <w:p w14:paraId="69908BA7" w14:textId="38FE9AFD" w:rsidR="00884B2E" w:rsidRPr="008E6BF9" w:rsidRDefault="00EC114D" w:rsidP="00884B2E">
          <w:pPr>
            <w:spacing w:after="0"/>
            <w:rPr>
              <w:noProof/>
              <w:sz w:val="18"/>
              <w:szCs w:val="20"/>
            </w:rPr>
          </w:pPr>
          <w:r w:rsidRPr="009D5A5E">
            <w:rPr>
              <w:noProof/>
              <w:sz w:val="18"/>
              <w:szCs w:val="20"/>
            </w:rPr>
            <w:drawing>
              <wp:inline distT="0" distB="0" distL="0" distR="0" wp14:anchorId="1A8CB6CD" wp14:editId="234D969D">
                <wp:extent cx="457200" cy="457200"/>
                <wp:effectExtent l="0" t="0" r="0" b="0"/>
                <wp:docPr id="2126981821" name="Picture 212698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0" w:type="auto"/>
          <w:vAlign w:val="center"/>
        </w:tcPr>
        <w:p w14:paraId="694A760F" w14:textId="77777777" w:rsidR="00884B2E" w:rsidRPr="006D4C19" w:rsidRDefault="00884B2E" w:rsidP="00884B2E">
          <w:pPr>
            <w:spacing w:after="0"/>
            <w:jc w:val="center"/>
            <w:rPr>
              <w:noProof/>
              <w:sz w:val="18"/>
              <w:szCs w:val="20"/>
            </w:rPr>
          </w:pPr>
          <w:r w:rsidRPr="006D4C19">
            <w:rPr>
              <w:noProof/>
              <w:sz w:val="18"/>
              <w:szCs w:val="18"/>
            </w:rPr>
            <mc:AlternateContent>
              <mc:Choice Requires="wps">
                <w:drawing>
                  <wp:inline distT="0" distB="0" distL="0" distR="0" wp14:anchorId="01F28333" wp14:editId="4F9FEA6F">
                    <wp:extent cx="1371600" cy="18288"/>
                    <wp:effectExtent l="0" t="0" r="0" b="0"/>
                    <wp:docPr id="44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3134E0E8"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44F172ED" wp14:editId="7DD2CD54">
                    <wp:extent cx="1371600" cy="18288"/>
                    <wp:effectExtent l="0" t="0" r="0" b="0"/>
                    <wp:docPr id="45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287CC6C"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1" w:type="dxa"/>
          <w:vAlign w:val="center"/>
        </w:tcPr>
        <w:p w14:paraId="68A008F8" w14:textId="05BBBCCF" w:rsidR="00884B2E" w:rsidRPr="008E6BF9" w:rsidRDefault="00EC114D" w:rsidP="00884B2E">
          <w:pPr>
            <w:spacing w:after="0"/>
            <w:jc w:val="right"/>
            <w:rPr>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2</w:t>
          </w:r>
          <w:r w:rsidRPr="008E6BF9">
            <w:rPr>
              <w:b/>
              <w:bCs/>
              <w:noProof/>
              <w:sz w:val="18"/>
              <w:szCs w:val="20"/>
            </w:rPr>
            <w:fldChar w:fldCharType="end"/>
          </w:r>
        </w:p>
      </w:tc>
    </w:tr>
  </w:tbl>
  <w:p w14:paraId="0C5EF98A" w14:textId="16D77253" w:rsidR="001603B6" w:rsidRDefault="001603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11520"/>
      <w:gridCol w:w="720"/>
    </w:tblGrid>
    <w:tr w:rsidR="00884B2E" w:rsidRPr="008E6BF9" w14:paraId="4BCCE638" w14:textId="77777777" w:rsidTr="006D4C19">
      <w:trPr>
        <w:trHeight w:hRule="exact" w:val="720"/>
      </w:trPr>
      <w:tc>
        <w:tcPr>
          <w:tcW w:w="720" w:type="dxa"/>
          <w:vAlign w:val="center"/>
        </w:tcPr>
        <w:p w14:paraId="6E2F99D9" w14:textId="2E8AC966" w:rsidR="00884B2E" w:rsidRPr="008E6BF9" w:rsidRDefault="00EC114D" w:rsidP="00884B2E">
          <w:pPr>
            <w:spacing w:after="0"/>
            <w:rPr>
              <w:noProof/>
              <w:sz w:val="18"/>
              <w:szCs w:val="20"/>
            </w:rPr>
          </w:pPr>
          <w:r w:rsidRPr="008E6BF9">
            <w:rPr>
              <w:b/>
              <w:bCs/>
              <w:sz w:val="18"/>
              <w:szCs w:val="20"/>
            </w:rPr>
            <w:fldChar w:fldCharType="begin"/>
          </w:r>
          <w:r w:rsidRPr="008E6BF9">
            <w:rPr>
              <w:b/>
              <w:bCs/>
              <w:sz w:val="18"/>
              <w:szCs w:val="20"/>
            </w:rPr>
            <w:instrText xml:space="preserve"> PAGE   \* MERGEFORMAT </w:instrText>
          </w:r>
          <w:r w:rsidRPr="008E6BF9">
            <w:rPr>
              <w:b/>
              <w:bCs/>
              <w:sz w:val="18"/>
              <w:szCs w:val="20"/>
            </w:rPr>
            <w:fldChar w:fldCharType="separate"/>
          </w:r>
          <w:r>
            <w:rPr>
              <w:b/>
              <w:bCs/>
              <w:sz w:val="18"/>
              <w:szCs w:val="20"/>
            </w:rPr>
            <w:t>3</w:t>
          </w:r>
          <w:r w:rsidRPr="008E6BF9">
            <w:rPr>
              <w:b/>
              <w:bCs/>
              <w:noProof/>
              <w:sz w:val="18"/>
              <w:szCs w:val="20"/>
            </w:rPr>
            <w:fldChar w:fldCharType="end"/>
          </w:r>
        </w:p>
      </w:tc>
      <w:tc>
        <w:tcPr>
          <w:tcW w:w="0" w:type="auto"/>
          <w:tcBorders>
            <w:right w:val="nil"/>
          </w:tcBorders>
          <w:vAlign w:val="center"/>
        </w:tcPr>
        <w:p w14:paraId="332E0B46" w14:textId="77777777" w:rsidR="00884B2E" w:rsidRPr="006D4C19" w:rsidRDefault="00884B2E" w:rsidP="00884B2E">
          <w:pPr>
            <w:spacing w:after="0"/>
            <w:jc w:val="center"/>
            <w:rPr>
              <w:noProof/>
              <w:sz w:val="18"/>
              <w:szCs w:val="20"/>
            </w:rPr>
          </w:pPr>
          <w:r w:rsidRPr="006D4C19">
            <w:rPr>
              <w:noProof/>
              <w:sz w:val="18"/>
              <w:szCs w:val="18"/>
            </w:rPr>
            <mc:AlternateContent>
              <mc:Choice Requires="wps">
                <w:drawing>
                  <wp:inline distT="0" distB="0" distL="0" distR="0" wp14:anchorId="0EA8E19E" wp14:editId="7FE413C1">
                    <wp:extent cx="1371600" cy="18288"/>
                    <wp:effectExtent l="0" t="0" r="0" b="0"/>
                    <wp:docPr id="45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C95A7DD"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r w:rsidRPr="006D4C19">
            <w:rPr>
              <w:sz w:val="18"/>
              <w:szCs w:val="18"/>
            </w:rPr>
            <w:t xml:space="preserve">     </w:t>
          </w:r>
          <w:hyperlink w:anchor="Contents_Page" w:history="1">
            <w:r w:rsidRPr="006D4C19">
              <w:rPr>
                <w:rStyle w:val="Hyperlink"/>
                <w:color w:val="1F4E79" w:themeColor="accent1" w:themeShade="80"/>
                <w:sz w:val="18"/>
                <w:szCs w:val="18"/>
              </w:rPr>
              <w:t>Return to Contents Page</w:t>
            </w:r>
          </w:hyperlink>
          <w:r w:rsidRPr="006D4C19">
            <w:rPr>
              <w:rStyle w:val="Hyperlink"/>
              <w:color w:val="1F4E79" w:themeColor="accent1" w:themeShade="80"/>
              <w:sz w:val="18"/>
              <w:szCs w:val="18"/>
              <w:u w:val="none"/>
            </w:rPr>
            <w:t xml:space="preserve">     </w:t>
          </w:r>
          <w:r w:rsidRPr="006D4C19">
            <w:rPr>
              <w:noProof/>
              <w:sz w:val="18"/>
              <w:szCs w:val="18"/>
            </w:rPr>
            <mc:AlternateContent>
              <mc:Choice Requires="wps">
                <w:drawing>
                  <wp:inline distT="0" distB="0" distL="0" distR="0" wp14:anchorId="6BD6DD81" wp14:editId="2CFC8A96">
                    <wp:extent cx="1371600" cy="18288"/>
                    <wp:effectExtent l="0" t="0" r="0" b="0"/>
                    <wp:docPr id="45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18288"/>
                            </a:xfrm>
                            <a:prstGeom prst="rect">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rect w14:anchorId="667C0877" id="docshape10" o:spid="_x0000_s1026" style="width:108pt;height:1.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" fillcolor="black [3213]" stroked="f">
                    <w10:anchorlock/>
                  </v:rect>
                </w:pict>
              </mc:Fallback>
            </mc:AlternateContent>
          </w:r>
        </w:p>
      </w:tc>
      <w:tc>
        <w:tcPr>
          <w:tcW w:w="720" w:type="dxa"/>
          <w:tcBorders>
            <w:top w:val="nil"/>
            <w:left w:val="nil"/>
            <w:bottom w:val="nil"/>
            <w:right w:val="nil"/>
          </w:tcBorders>
          <w:vAlign w:val="center"/>
        </w:tcPr>
        <w:p w14:paraId="08735692" w14:textId="785D9715" w:rsidR="00884B2E" w:rsidRPr="008E6BF9" w:rsidRDefault="00EC114D" w:rsidP="00884B2E">
          <w:pPr>
            <w:spacing w:after="0"/>
            <w:jc w:val="right"/>
            <w:rPr>
              <w:sz w:val="18"/>
              <w:szCs w:val="20"/>
            </w:rPr>
          </w:pPr>
          <w:r w:rsidRPr="009D5A5E">
            <w:rPr>
              <w:noProof/>
              <w:sz w:val="18"/>
              <w:szCs w:val="20"/>
            </w:rPr>
            <w:drawing>
              <wp:inline distT="0" distB="0" distL="0" distR="0" wp14:anchorId="3979ED80" wp14:editId="15991E7F">
                <wp:extent cx="457200" cy="457200"/>
                <wp:effectExtent l="0" t="0" r="0" b="0"/>
                <wp:docPr id="1776939823" name="Picture 177693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6010FFDF" w14:textId="60BC2C79" w:rsidR="00D2666D" w:rsidRPr="000C2F63" w:rsidRDefault="00D2666D" w:rsidP="000C2F63">
    <w:pPr>
      <w:spacing w:after="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6833B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1.75pt;height:20.25pt;visibility:visible;mso-wrap-style:square" o:bullet="t">
        <v:imagedata r:id="rId1" o:title=""/>
      </v:shape>
    </w:pict>
  </w:numPicBullet>
  <w:abstractNum w:abstractNumId="0" w15:restartNumberingAfterBreak="0">
    <w:nsid w:val="0010217E"/>
    <w:multiLevelType w:val="multilevel"/>
    <w:tmpl w:val="1FE4D6C0"/>
    <w:lvl w:ilvl="0">
      <w:start w:val="1"/>
      <w:numFmt w:val="upperLetter"/>
      <w:lvlText w:val="%1."/>
      <w:lvlJc w:val="left"/>
      <w:pPr>
        <w:tabs>
          <w:tab w:val="num" w:pos="720"/>
        </w:tabs>
        <w:ind w:left="720" w:hanging="360"/>
      </w:pPr>
      <w:rPr>
        <w:b/>
        <w:bCs/>
      </w:rPr>
    </w:lvl>
    <w:lvl w:ilvl="1">
      <w:start w:val="1"/>
      <w:numFmt w:val="decimal"/>
      <w:lvlText w:val="%2."/>
      <w:lvlJc w:val="left"/>
      <w:pPr>
        <w:tabs>
          <w:tab w:val="num" w:pos="1440"/>
        </w:tabs>
        <w:ind w:left="1440" w:hanging="360"/>
      </w:pPr>
      <w:rPr>
        <w:b/>
        <w:bCs/>
      </w:rPr>
    </w:lvl>
    <w:lvl w:ilvl="2">
      <w:start w:val="1"/>
      <w:numFmt w:val="lowerLetter"/>
      <w:lvlText w:val="%3."/>
      <w:lvlJc w:val="left"/>
      <w:pPr>
        <w:tabs>
          <w:tab w:val="num" w:pos="2160"/>
        </w:tabs>
        <w:ind w:left="2160" w:hanging="360"/>
      </w:pPr>
      <w:rPr>
        <w:b/>
        <w:bCs/>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0556B41"/>
    <w:multiLevelType w:val="hybridMultilevel"/>
    <w:tmpl w:val="C2D4E714"/>
    <w:lvl w:ilvl="0" w:tplc="B65EA2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946D9"/>
    <w:multiLevelType w:val="hybridMultilevel"/>
    <w:tmpl w:val="48763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C2B61"/>
    <w:multiLevelType w:val="hybridMultilevel"/>
    <w:tmpl w:val="0482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C5AA0"/>
    <w:multiLevelType w:val="hybridMultilevel"/>
    <w:tmpl w:val="EE082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91483"/>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5096978"/>
    <w:multiLevelType w:val="hybridMultilevel"/>
    <w:tmpl w:val="E10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0B04EC"/>
    <w:multiLevelType w:val="hybridMultilevel"/>
    <w:tmpl w:val="02E42D94"/>
    <w:lvl w:ilvl="0" w:tplc="FFFFFFFF">
      <w:start w:val="1"/>
      <w:numFmt w:val="bullet"/>
      <w:lvlText w:val=""/>
      <w:lvlJc w:val="left"/>
      <w:pPr>
        <w:ind w:left="720" w:hanging="360"/>
      </w:pPr>
      <w:rPr>
        <w:rFonts w:ascii="Symbol" w:hAnsi="Symbol" w:hint="default"/>
        <w:color w:val="auto"/>
      </w:rPr>
    </w:lvl>
    <w:lvl w:ilvl="1" w:tplc="F4A8564C">
      <w:start w:val="1"/>
      <w:numFmt w:val="bullet"/>
      <w:lvlText w:val=""/>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687F8F"/>
    <w:multiLevelType w:val="hybridMultilevel"/>
    <w:tmpl w:val="AD5A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23E18"/>
    <w:multiLevelType w:val="hybridMultilevel"/>
    <w:tmpl w:val="C308C0D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2B1D44"/>
    <w:multiLevelType w:val="hybridMultilevel"/>
    <w:tmpl w:val="BF861CF6"/>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C11CC"/>
    <w:multiLevelType w:val="hybridMultilevel"/>
    <w:tmpl w:val="29F63678"/>
    <w:lvl w:ilvl="0" w:tplc="1938F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A0785"/>
    <w:multiLevelType w:val="hybridMultilevel"/>
    <w:tmpl w:val="3AA68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C61AF3"/>
    <w:multiLevelType w:val="multilevel"/>
    <w:tmpl w:val="C4207B90"/>
    <w:lvl w:ilvl="0">
      <w:start w:val="1"/>
      <w:numFmt w:val="upperLetter"/>
      <w:lvlText w:val="%1."/>
      <w:lvlJc w:val="left"/>
      <w:pPr>
        <w:tabs>
          <w:tab w:val="num" w:pos="720"/>
        </w:tabs>
        <w:ind w:left="720" w:hanging="360"/>
      </w:pPr>
      <w:rPr>
        <w:b/>
        <w:bCs/>
      </w:rPr>
    </w:lvl>
    <w:lvl w:ilvl="1">
      <w:start w:val="1"/>
      <w:numFmt w:val="decimal"/>
      <w:lvlText w:val="%2."/>
      <w:lvlJc w:val="left"/>
      <w:pPr>
        <w:tabs>
          <w:tab w:val="num" w:pos="1440"/>
        </w:tabs>
        <w:ind w:left="1440" w:hanging="360"/>
      </w:pPr>
      <w:rPr>
        <w:b/>
        <w:bCs/>
      </w:rPr>
    </w:lvl>
    <w:lvl w:ilvl="2">
      <w:start w:val="1"/>
      <w:numFmt w:val="lowerLetter"/>
      <w:lvlText w:val="%3."/>
      <w:lvlJc w:val="left"/>
      <w:pPr>
        <w:tabs>
          <w:tab w:val="num" w:pos="2160"/>
        </w:tabs>
        <w:ind w:left="2160" w:hanging="360"/>
      </w:pPr>
      <w:rPr>
        <w:b/>
        <w:bCs/>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09FC2D36"/>
    <w:multiLevelType w:val="hybridMultilevel"/>
    <w:tmpl w:val="462A2CB0"/>
    <w:lvl w:ilvl="0" w:tplc="B65EA26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6152D8"/>
    <w:multiLevelType w:val="hybridMultilevel"/>
    <w:tmpl w:val="BDEA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172001"/>
    <w:multiLevelType w:val="hybridMultilevel"/>
    <w:tmpl w:val="507AC6EC"/>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F13CBD"/>
    <w:multiLevelType w:val="hybridMultilevel"/>
    <w:tmpl w:val="23B0A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1F25DD"/>
    <w:multiLevelType w:val="multilevel"/>
    <w:tmpl w:val="790C350A"/>
    <w:lvl w:ilvl="0">
      <w:start w:val="1"/>
      <w:numFmt w:val="bullet"/>
      <w:lvlText w:val=""/>
      <w:lvlJc w:val="left"/>
      <w:pPr>
        <w:ind w:left="-360" w:hanging="360"/>
      </w:pPr>
      <w:rPr>
        <w:rFonts w:ascii="Symbol" w:hAnsi="Symbol" w:hint="default"/>
        <w:u w:val="none"/>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lowerRoman"/>
      <w:lvlText w:val="%4."/>
      <w:lvlJc w:val="right"/>
      <w:pPr>
        <w:ind w:left="1800" w:hanging="360"/>
      </w:pPr>
      <w:rPr>
        <w:b w:val="0"/>
        <w:u w:val="none"/>
      </w:rPr>
    </w:lvl>
    <w:lvl w:ilvl="4">
      <w:start w:val="1"/>
      <w:numFmt w:val="decimal"/>
      <w:lvlText w:val="%5)"/>
      <w:lvlJc w:val="left"/>
      <w:pPr>
        <w:ind w:left="2520" w:hanging="360"/>
      </w:pPr>
      <w:rPr>
        <w:b w:val="0"/>
        <w:u w:val="none"/>
      </w:rPr>
    </w:lvl>
    <w:lvl w:ilvl="5">
      <w:start w:val="1"/>
      <w:numFmt w:val="lowerRoman"/>
      <w:lvlText w:val="%6."/>
      <w:lvlJc w:val="right"/>
      <w:pPr>
        <w:ind w:left="3240" w:hanging="360"/>
      </w:pPr>
      <w:rPr>
        <w:u w:val="none"/>
      </w:rPr>
    </w:lvl>
    <w:lvl w:ilvl="6">
      <w:start w:val="1"/>
      <w:numFmt w:val="decimal"/>
      <w:lvlText w:val="%7."/>
      <w:lvlJc w:val="left"/>
      <w:pPr>
        <w:ind w:left="3960" w:hanging="360"/>
      </w:pPr>
      <w:rPr>
        <w:u w:val="none"/>
      </w:rPr>
    </w:lvl>
    <w:lvl w:ilvl="7">
      <w:start w:val="1"/>
      <w:numFmt w:val="lowerLetter"/>
      <w:lvlText w:val="%8."/>
      <w:lvlJc w:val="left"/>
      <w:pPr>
        <w:ind w:left="4680" w:hanging="360"/>
      </w:pPr>
      <w:rPr>
        <w:u w:val="none"/>
      </w:rPr>
    </w:lvl>
    <w:lvl w:ilvl="8">
      <w:start w:val="1"/>
      <w:numFmt w:val="lowerRoman"/>
      <w:lvlText w:val="%9."/>
      <w:lvlJc w:val="right"/>
      <w:pPr>
        <w:ind w:left="5400" w:hanging="360"/>
      </w:pPr>
      <w:rPr>
        <w:u w:val="none"/>
      </w:rPr>
    </w:lvl>
  </w:abstractNum>
  <w:abstractNum w:abstractNumId="19" w15:restartNumberingAfterBreak="0">
    <w:nsid w:val="0C2C2ED5"/>
    <w:multiLevelType w:val="hybridMultilevel"/>
    <w:tmpl w:val="D20C9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8548B9"/>
    <w:multiLevelType w:val="hybridMultilevel"/>
    <w:tmpl w:val="3494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4710D"/>
    <w:multiLevelType w:val="hybridMultilevel"/>
    <w:tmpl w:val="83D650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0E4E7553"/>
    <w:multiLevelType w:val="hybridMultilevel"/>
    <w:tmpl w:val="B4CE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863D3A"/>
    <w:multiLevelType w:val="hybridMultilevel"/>
    <w:tmpl w:val="BF0CB4F2"/>
    <w:lvl w:ilvl="0" w:tplc="29F2AC78">
      <w:start w:val="1"/>
      <w:numFmt w:val="upperLetter"/>
      <w:lvlText w:val="%1."/>
      <w:lvlJc w:val="left"/>
      <w:pPr>
        <w:tabs>
          <w:tab w:val="num" w:pos="720"/>
        </w:tabs>
        <w:ind w:left="720" w:hanging="360"/>
      </w:pPr>
      <w:rPr>
        <w:b/>
        <w:bCs/>
      </w:rPr>
    </w:lvl>
    <w:lvl w:ilvl="1" w:tplc="2C062B48">
      <w:start w:val="1"/>
      <w:numFmt w:val="decimal"/>
      <w:lvlText w:val="%2."/>
      <w:lvlJc w:val="left"/>
      <w:pPr>
        <w:tabs>
          <w:tab w:val="num" w:pos="1440"/>
        </w:tabs>
        <w:ind w:left="1440" w:hanging="360"/>
      </w:pPr>
      <w:rPr>
        <w:b/>
        <w:bCs/>
      </w:rPr>
    </w:lvl>
    <w:lvl w:ilvl="2" w:tplc="27B0E1F6">
      <w:start w:val="1"/>
      <w:numFmt w:val="lowerLetter"/>
      <w:lvlText w:val="%3."/>
      <w:lvlJc w:val="left"/>
      <w:pPr>
        <w:tabs>
          <w:tab w:val="num" w:pos="2160"/>
        </w:tabs>
        <w:ind w:left="2160" w:hanging="360"/>
      </w:pPr>
      <w:rPr>
        <w:b/>
        <w:bCs/>
      </w:rPr>
    </w:lvl>
    <w:lvl w:ilvl="3" w:tplc="3CA4B61C" w:tentative="1">
      <w:start w:val="1"/>
      <w:numFmt w:val="upperLetter"/>
      <w:lvlText w:val="%4."/>
      <w:lvlJc w:val="left"/>
      <w:pPr>
        <w:tabs>
          <w:tab w:val="num" w:pos="2880"/>
        </w:tabs>
        <w:ind w:left="2880" w:hanging="360"/>
      </w:pPr>
    </w:lvl>
    <w:lvl w:ilvl="4" w:tplc="D548BF88" w:tentative="1">
      <w:start w:val="1"/>
      <w:numFmt w:val="upperLetter"/>
      <w:lvlText w:val="%5."/>
      <w:lvlJc w:val="left"/>
      <w:pPr>
        <w:tabs>
          <w:tab w:val="num" w:pos="3600"/>
        </w:tabs>
        <w:ind w:left="3600" w:hanging="360"/>
      </w:pPr>
    </w:lvl>
    <w:lvl w:ilvl="5" w:tplc="50ECE3C4" w:tentative="1">
      <w:start w:val="1"/>
      <w:numFmt w:val="upperLetter"/>
      <w:lvlText w:val="%6."/>
      <w:lvlJc w:val="left"/>
      <w:pPr>
        <w:tabs>
          <w:tab w:val="num" w:pos="4320"/>
        </w:tabs>
        <w:ind w:left="4320" w:hanging="360"/>
      </w:pPr>
    </w:lvl>
    <w:lvl w:ilvl="6" w:tplc="7138F5EC" w:tentative="1">
      <w:start w:val="1"/>
      <w:numFmt w:val="upperLetter"/>
      <w:lvlText w:val="%7."/>
      <w:lvlJc w:val="left"/>
      <w:pPr>
        <w:tabs>
          <w:tab w:val="num" w:pos="5040"/>
        </w:tabs>
        <w:ind w:left="5040" w:hanging="360"/>
      </w:pPr>
    </w:lvl>
    <w:lvl w:ilvl="7" w:tplc="F7E83C7E" w:tentative="1">
      <w:start w:val="1"/>
      <w:numFmt w:val="upperLetter"/>
      <w:lvlText w:val="%8."/>
      <w:lvlJc w:val="left"/>
      <w:pPr>
        <w:tabs>
          <w:tab w:val="num" w:pos="5760"/>
        </w:tabs>
        <w:ind w:left="5760" w:hanging="360"/>
      </w:pPr>
    </w:lvl>
    <w:lvl w:ilvl="8" w:tplc="254639EE" w:tentative="1">
      <w:start w:val="1"/>
      <w:numFmt w:val="upperLetter"/>
      <w:lvlText w:val="%9."/>
      <w:lvlJc w:val="left"/>
      <w:pPr>
        <w:tabs>
          <w:tab w:val="num" w:pos="6480"/>
        </w:tabs>
        <w:ind w:left="6480" w:hanging="360"/>
      </w:pPr>
    </w:lvl>
  </w:abstractNum>
  <w:abstractNum w:abstractNumId="24" w15:restartNumberingAfterBreak="0">
    <w:nsid w:val="13402254"/>
    <w:multiLevelType w:val="hybridMultilevel"/>
    <w:tmpl w:val="2F16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E32696"/>
    <w:multiLevelType w:val="hybridMultilevel"/>
    <w:tmpl w:val="7DD6FAA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5BF0309"/>
    <w:multiLevelType w:val="hybridMultilevel"/>
    <w:tmpl w:val="54AE1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9D3223"/>
    <w:multiLevelType w:val="hybridMultilevel"/>
    <w:tmpl w:val="0D0018FA"/>
    <w:lvl w:ilvl="0" w:tplc="1C707666">
      <w:start w:val="1"/>
      <w:numFmt w:val="decimal"/>
      <w:lvlText w:val="%1."/>
      <w:lvlJc w:val="left"/>
      <w:pPr>
        <w:ind w:left="1440" w:hanging="360"/>
      </w:pPr>
      <w:rPr>
        <w:b/>
        <w:bCs/>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6E05708"/>
    <w:multiLevelType w:val="hybridMultilevel"/>
    <w:tmpl w:val="2594FC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73A3D14"/>
    <w:multiLevelType w:val="hybridMultilevel"/>
    <w:tmpl w:val="3AC27D9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75D0592"/>
    <w:multiLevelType w:val="hybridMultilevel"/>
    <w:tmpl w:val="9A982938"/>
    <w:lvl w:ilvl="0" w:tplc="FFFFFFFF">
      <w:start w:val="1"/>
      <w:numFmt w:val="decimal"/>
      <w:lvlText w:val="%1."/>
      <w:lvlJc w:val="left"/>
      <w:pPr>
        <w:ind w:left="720" w:hanging="360"/>
      </w:pPr>
      <w:rPr>
        <w:rFonts w:hint="default"/>
        <w:b/>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775204C"/>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17997DBA"/>
    <w:multiLevelType w:val="hybridMultilevel"/>
    <w:tmpl w:val="6AF6E724"/>
    <w:lvl w:ilvl="0" w:tplc="04090013">
      <w:start w:val="1"/>
      <w:numFmt w:val="upperRoman"/>
      <w:lvlText w:val="%1."/>
      <w:lvlJc w:val="righ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4B2038"/>
    <w:multiLevelType w:val="hybridMultilevel"/>
    <w:tmpl w:val="C3F635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8441A7"/>
    <w:multiLevelType w:val="hybridMultilevel"/>
    <w:tmpl w:val="0582CFC8"/>
    <w:lvl w:ilvl="0" w:tplc="FFFFFFFF">
      <w:start w:val="1"/>
      <w:numFmt w:val="bullet"/>
      <w:lvlText w:val=""/>
      <w:lvlJc w:val="left"/>
      <w:pPr>
        <w:ind w:left="720" w:hanging="360"/>
      </w:pPr>
      <w:rPr>
        <w:rFonts w:ascii="Symbol" w:hAnsi="Symbol" w:hint="default"/>
        <w:color w:val="auto"/>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9837D34"/>
    <w:multiLevelType w:val="hybridMultilevel"/>
    <w:tmpl w:val="20E2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4E508B"/>
    <w:multiLevelType w:val="hybridMultilevel"/>
    <w:tmpl w:val="45C6225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216D0"/>
    <w:multiLevelType w:val="hybridMultilevel"/>
    <w:tmpl w:val="55B8F7DA"/>
    <w:lvl w:ilvl="0" w:tplc="04090001">
      <w:start w:val="1"/>
      <w:numFmt w:val="bullet"/>
      <w:lvlText w:val=""/>
      <w:lvlJc w:val="left"/>
      <w:pPr>
        <w:ind w:left="720" w:hanging="360"/>
      </w:pPr>
      <w:rPr>
        <w:rFonts w:ascii="Symbol" w:hAnsi="Symbol" w:hint="default"/>
      </w:rPr>
    </w:lvl>
    <w:lvl w:ilvl="1" w:tplc="1C707666">
      <w:start w:val="1"/>
      <w:numFmt w:val="decimal"/>
      <w:lvlText w:val="%2."/>
      <w:lvlJc w:val="left"/>
      <w:pPr>
        <w:ind w:left="1440" w:hanging="360"/>
      </w:pPr>
      <w:rPr>
        <w:b/>
        <w:bCs/>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3940D1"/>
    <w:multiLevelType w:val="hybridMultilevel"/>
    <w:tmpl w:val="8206C30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E43195D"/>
    <w:multiLevelType w:val="hybridMultilevel"/>
    <w:tmpl w:val="99908FCE"/>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E6946A4"/>
    <w:multiLevelType w:val="hybridMultilevel"/>
    <w:tmpl w:val="8C3C779C"/>
    <w:lvl w:ilvl="0" w:tplc="9D741852">
      <w:start w:val="6"/>
      <w:numFmt w:val="upperLetter"/>
      <w:lvlText w:val="%1."/>
      <w:lvlJc w:val="left"/>
      <w:pPr>
        <w:ind w:left="720" w:hanging="360"/>
      </w:pPr>
      <w:rPr>
        <w:rFonts w:hint="default"/>
        <w:b/>
        <w:bCs/>
        <w:u w:val="none"/>
      </w:rPr>
    </w:lvl>
    <w:lvl w:ilvl="1" w:tplc="0BF40FD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8E5575"/>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2" w15:restartNumberingAfterBreak="0">
    <w:nsid w:val="1E9E584B"/>
    <w:multiLevelType w:val="hybridMultilevel"/>
    <w:tmpl w:val="A240182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F067143"/>
    <w:multiLevelType w:val="hybridMultilevel"/>
    <w:tmpl w:val="E3FC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7B7908"/>
    <w:multiLevelType w:val="hybridMultilevel"/>
    <w:tmpl w:val="E1E22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0C1C77"/>
    <w:multiLevelType w:val="hybridMultilevel"/>
    <w:tmpl w:val="CFCC6A6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00D49E6"/>
    <w:multiLevelType w:val="hybridMultilevel"/>
    <w:tmpl w:val="64BE6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A46EA9"/>
    <w:multiLevelType w:val="hybridMultilevel"/>
    <w:tmpl w:val="68064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C06ED6"/>
    <w:multiLevelType w:val="hybridMultilevel"/>
    <w:tmpl w:val="99BC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3E4A06"/>
    <w:multiLevelType w:val="hybridMultilevel"/>
    <w:tmpl w:val="C24A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564B0D"/>
    <w:multiLevelType w:val="hybridMultilevel"/>
    <w:tmpl w:val="06B8FE0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40636DF"/>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24087E0B"/>
    <w:multiLevelType w:val="hybridMultilevel"/>
    <w:tmpl w:val="F502125C"/>
    <w:lvl w:ilvl="0" w:tplc="FFFFFFFF">
      <w:start w:val="1"/>
      <w:numFmt w:val="bullet"/>
      <w:lvlText w:val=""/>
      <w:lvlJc w:val="left"/>
      <w:pPr>
        <w:ind w:left="720" w:hanging="360"/>
      </w:pPr>
      <w:rPr>
        <w:rFonts w:ascii="Symbol" w:hAnsi="Symbol" w:hint="default"/>
      </w:rPr>
    </w:lvl>
    <w:lvl w:ilvl="1" w:tplc="443AB1CC">
      <w:start w:val="1"/>
      <w:numFmt w:val="decimal"/>
      <w:lvlText w:val="%2."/>
      <w:lvlJc w:val="left"/>
      <w:pPr>
        <w:ind w:left="720" w:hanging="360"/>
      </w:pPr>
      <w:rPr>
        <w:rFonts w:hint="default"/>
        <w: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4D835DC"/>
    <w:multiLevelType w:val="hybridMultilevel"/>
    <w:tmpl w:val="ED9405FE"/>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B55CF9"/>
    <w:multiLevelType w:val="hybridMultilevel"/>
    <w:tmpl w:val="FC6A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954A2B"/>
    <w:multiLevelType w:val="hybridMultilevel"/>
    <w:tmpl w:val="2894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1C0EC8"/>
    <w:multiLevelType w:val="hybridMultilevel"/>
    <w:tmpl w:val="B5E6E2D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7395F06"/>
    <w:multiLevelType w:val="hybridMultilevel"/>
    <w:tmpl w:val="8AA4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605418"/>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9" w15:restartNumberingAfterBreak="0">
    <w:nsid w:val="27FB013F"/>
    <w:multiLevelType w:val="hybridMultilevel"/>
    <w:tmpl w:val="D51AE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8BB4389"/>
    <w:multiLevelType w:val="hybridMultilevel"/>
    <w:tmpl w:val="2F262F60"/>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D6562D"/>
    <w:multiLevelType w:val="hybridMultilevel"/>
    <w:tmpl w:val="AB50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1A0B08"/>
    <w:multiLevelType w:val="hybridMultilevel"/>
    <w:tmpl w:val="C8D0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4565A5"/>
    <w:multiLevelType w:val="hybridMultilevel"/>
    <w:tmpl w:val="83C2099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9E26E16"/>
    <w:multiLevelType w:val="hybridMultilevel"/>
    <w:tmpl w:val="258E3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ADD0D5D"/>
    <w:multiLevelType w:val="hybridMultilevel"/>
    <w:tmpl w:val="BFFEEEC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C60253E"/>
    <w:multiLevelType w:val="hybridMultilevel"/>
    <w:tmpl w:val="FB743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6531A8"/>
    <w:multiLevelType w:val="hybridMultilevel"/>
    <w:tmpl w:val="261C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323CF0"/>
    <w:multiLevelType w:val="hybridMultilevel"/>
    <w:tmpl w:val="8748771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FDC3B63"/>
    <w:multiLevelType w:val="hybridMultilevel"/>
    <w:tmpl w:val="64B26858"/>
    <w:lvl w:ilvl="0" w:tplc="82349F04">
      <w:start w:val="1"/>
      <w:numFmt w:val="decimal"/>
      <w:lvlText w:val="%1."/>
      <w:lvlJc w:val="left"/>
      <w:pPr>
        <w:ind w:left="108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7B25AF"/>
    <w:multiLevelType w:val="hybridMultilevel"/>
    <w:tmpl w:val="68423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8E0173"/>
    <w:multiLevelType w:val="hybridMultilevel"/>
    <w:tmpl w:val="8BB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D76652"/>
    <w:multiLevelType w:val="hybridMultilevel"/>
    <w:tmpl w:val="6D6067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0E57259"/>
    <w:multiLevelType w:val="hybridMultilevel"/>
    <w:tmpl w:val="5D36582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1B81133"/>
    <w:multiLevelType w:val="hybridMultilevel"/>
    <w:tmpl w:val="268E6D52"/>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4716B9"/>
    <w:multiLevelType w:val="hybridMultilevel"/>
    <w:tmpl w:val="B7E69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2576E26"/>
    <w:multiLevelType w:val="hybridMultilevel"/>
    <w:tmpl w:val="5A3E816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2C740DD"/>
    <w:multiLevelType w:val="hybridMultilevel"/>
    <w:tmpl w:val="29D06E6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AF033F"/>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3493183E"/>
    <w:multiLevelType w:val="hybridMultilevel"/>
    <w:tmpl w:val="808C06CE"/>
    <w:lvl w:ilvl="0" w:tplc="BD52A06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093F71"/>
    <w:multiLevelType w:val="hybridMultilevel"/>
    <w:tmpl w:val="49D0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68A1910"/>
    <w:multiLevelType w:val="hybridMultilevel"/>
    <w:tmpl w:val="61B4A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BD04B7"/>
    <w:multiLevelType w:val="hybridMultilevel"/>
    <w:tmpl w:val="456E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BE4555"/>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4" w15:restartNumberingAfterBreak="0">
    <w:nsid w:val="384852A0"/>
    <w:multiLevelType w:val="hybridMultilevel"/>
    <w:tmpl w:val="1E1A375E"/>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9023EE"/>
    <w:multiLevelType w:val="hybridMultilevel"/>
    <w:tmpl w:val="A386C3AE"/>
    <w:lvl w:ilvl="0" w:tplc="1938F916">
      <w:start w:val="1"/>
      <w:numFmt w:val="bullet"/>
      <w:lvlText w:val=""/>
      <w:lvlJc w:val="left"/>
      <w:pPr>
        <w:ind w:left="720" w:hanging="72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9BF23B1"/>
    <w:multiLevelType w:val="hybridMultilevel"/>
    <w:tmpl w:val="1206CF42"/>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9CE536D"/>
    <w:multiLevelType w:val="hybridMultilevel"/>
    <w:tmpl w:val="7ED4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F05F9D"/>
    <w:multiLevelType w:val="hybridMultilevel"/>
    <w:tmpl w:val="A1664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3A243366"/>
    <w:multiLevelType w:val="multilevel"/>
    <w:tmpl w:val="E5429A22"/>
    <w:lvl w:ilvl="0">
      <w:start w:val="1"/>
      <w:numFmt w:val="decimal"/>
      <w:pStyle w:val="Heading2"/>
      <w:lvlText w:val="%1."/>
      <w:lvlJc w:val="left"/>
      <w:pPr>
        <w:ind w:left="360" w:hanging="360"/>
      </w:pPr>
      <w:rPr>
        <w:rFonts w:ascii="Arial" w:hAnsi="Arial" w:cs="Arial" w:hint="default"/>
        <w:color w:val="000000" w:themeColor="text1"/>
        <w:sz w:val="36"/>
        <w:szCs w:val="36"/>
      </w:rPr>
    </w:lvl>
    <w:lvl w:ilvl="1">
      <w:start w:val="1"/>
      <w:numFmt w:val="decimal"/>
      <w:pStyle w:val="Heading3"/>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A45191C"/>
    <w:multiLevelType w:val="hybridMultilevel"/>
    <w:tmpl w:val="05001E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3B3359BE"/>
    <w:multiLevelType w:val="hybridMultilevel"/>
    <w:tmpl w:val="17601EBA"/>
    <w:lvl w:ilvl="0" w:tplc="82349F04">
      <w:start w:val="1"/>
      <w:numFmt w:val="decimal"/>
      <w:lvlText w:val="%1."/>
      <w:lvlJc w:val="left"/>
      <w:pPr>
        <w:ind w:left="108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182A8C"/>
    <w:multiLevelType w:val="hybridMultilevel"/>
    <w:tmpl w:val="050054A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C9A1C01"/>
    <w:multiLevelType w:val="hybridMultilevel"/>
    <w:tmpl w:val="806C2B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CF37720"/>
    <w:multiLevelType w:val="hybridMultilevel"/>
    <w:tmpl w:val="9050E92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b/>
        <w:bCs/>
        <w:color w:val="auto"/>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3D564729"/>
    <w:multiLevelType w:val="hybridMultilevel"/>
    <w:tmpl w:val="107815C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3DE77C7C"/>
    <w:multiLevelType w:val="hybridMultilevel"/>
    <w:tmpl w:val="E84E936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F0857B3"/>
    <w:multiLevelType w:val="hybridMultilevel"/>
    <w:tmpl w:val="33C8C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F5321D4"/>
    <w:multiLevelType w:val="hybridMultilevel"/>
    <w:tmpl w:val="B5E6E2D6"/>
    <w:lvl w:ilvl="0" w:tplc="443AB1CC">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FDB6CD4"/>
    <w:multiLevelType w:val="hybridMultilevel"/>
    <w:tmpl w:val="B956C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454756"/>
    <w:multiLevelType w:val="hybridMultilevel"/>
    <w:tmpl w:val="B4ACBE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0EA0366"/>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360" w:hanging="360"/>
      </w:pPr>
      <w:rPr>
        <w:b w:val="0"/>
        <w:color w:val="auto"/>
        <w:u w:val="none"/>
      </w:rPr>
    </w:lvl>
    <w:lvl w:ilvl="2">
      <w:start w:val="1"/>
      <w:numFmt w:val="lowerLetter"/>
      <w:lvlText w:val="%3."/>
      <w:lvlJc w:val="left"/>
      <w:pPr>
        <w:ind w:left="1080" w:hanging="360"/>
      </w:pPr>
      <w:rPr>
        <w:strike w:val="0"/>
        <w:u w:val="none"/>
      </w:rPr>
    </w:lvl>
    <w:lvl w:ilvl="3">
      <w:start w:val="1"/>
      <w:numFmt w:val="lowerRoman"/>
      <w:lvlText w:val="%4."/>
      <w:lvlJc w:val="right"/>
      <w:pPr>
        <w:ind w:left="1800" w:hanging="360"/>
      </w:pPr>
      <w:rPr>
        <w:b w:val="0"/>
        <w:u w:val="none"/>
      </w:rPr>
    </w:lvl>
    <w:lvl w:ilvl="4">
      <w:start w:val="1"/>
      <w:numFmt w:val="decimal"/>
      <w:lvlText w:val="%5)"/>
      <w:lvlJc w:val="left"/>
      <w:pPr>
        <w:ind w:left="2520" w:hanging="360"/>
      </w:pPr>
      <w:rPr>
        <w:b w:val="0"/>
        <w:u w:val="none"/>
      </w:rPr>
    </w:lvl>
    <w:lvl w:ilvl="5">
      <w:start w:val="1"/>
      <w:numFmt w:val="lowerRoman"/>
      <w:lvlText w:val="%6."/>
      <w:lvlJc w:val="right"/>
      <w:pPr>
        <w:ind w:left="3240" w:hanging="360"/>
      </w:pPr>
      <w:rPr>
        <w:u w:val="none"/>
      </w:rPr>
    </w:lvl>
    <w:lvl w:ilvl="6">
      <w:start w:val="1"/>
      <w:numFmt w:val="decimal"/>
      <w:lvlText w:val="%7."/>
      <w:lvlJc w:val="left"/>
      <w:pPr>
        <w:ind w:left="3960" w:hanging="360"/>
      </w:pPr>
      <w:rPr>
        <w:u w:val="none"/>
      </w:rPr>
    </w:lvl>
    <w:lvl w:ilvl="7">
      <w:start w:val="1"/>
      <w:numFmt w:val="lowerLetter"/>
      <w:lvlText w:val="%8."/>
      <w:lvlJc w:val="left"/>
      <w:pPr>
        <w:ind w:left="4680" w:hanging="360"/>
      </w:pPr>
      <w:rPr>
        <w:u w:val="none"/>
      </w:rPr>
    </w:lvl>
    <w:lvl w:ilvl="8">
      <w:start w:val="1"/>
      <w:numFmt w:val="lowerRoman"/>
      <w:lvlText w:val="%9."/>
      <w:lvlJc w:val="right"/>
      <w:pPr>
        <w:ind w:left="5400" w:hanging="360"/>
      </w:pPr>
      <w:rPr>
        <w:u w:val="none"/>
      </w:rPr>
    </w:lvl>
  </w:abstractNum>
  <w:abstractNum w:abstractNumId="102" w15:restartNumberingAfterBreak="0">
    <w:nsid w:val="42E342A3"/>
    <w:multiLevelType w:val="hybridMultilevel"/>
    <w:tmpl w:val="7188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AF60D9"/>
    <w:multiLevelType w:val="hybridMultilevel"/>
    <w:tmpl w:val="E4A426C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0E0DAE"/>
    <w:multiLevelType w:val="hybridMultilevel"/>
    <w:tmpl w:val="CE52A56A"/>
    <w:lvl w:ilvl="0" w:tplc="C2EC802E">
      <w:start w:val="1"/>
      <w:numFmt w:val="bullet"/>
      <w:pStyle w:val="FirstBullet-IHS"/>
      <w:lvlText w:val=""/>
      <w:lvlJc w:val="left"/>
      <w:pPr>
        <w:ind w:left="1180" w:hanging="360"/>
      </w:pPr>
      <w:rPr>
        <w:rFonts w:ascii="Symbol" w:hAnsi="Symbol" w:hint="default"/>
        <w:color w:val="046597"/>
      </w:rPr>
    </w:lvl>
    <w:lvl w:ilvl="1" w:tplc="04090003">
      <w:start w:val="1"/>
      <w:numFmt w:val="bullet"/>
      <w:lvlText w:val="o"/>
      <w:lvlJc w:val="left"/>
      <w:pPr>
        <w:ind w:left="1900" w:hanging="360"/>
      </w:pPr>
      <w:rPr>
        <w:rFonts w:ascii="Courier New" w:hAnsi="Courier New" w:cs="Courier New" w:hint="default"/>
      </w:rPr>
    </w:lvl>
    <w:lvl w:ilvl="2" w:tplc="04090005">
      <w:start w:val="1"/>
      <w:numFmt w:val="bullet"/>
      <w:lvlText w:val=""/>
      <w:lvlJc w:val="left"/>
      <w:pPr>
        <w:ind w:left="2620" w:hanging="360"/>
      </w:pPr>
      <w:rPr>
        <w:rFonts w:ascii="Wingdings" w:hAnsi="Wingdings" w:hint="default"/>
      </w:rPr>
    </w:lvl>
    <w:lvl w:ilvl="3" w:tplc="04090001">
      <w:start w:val="1"/>
      <w:numFmt w:val="bullet"/>
      <w:lvlText w:val=""/>
      <w:lvlJc w:val="left"/>
      <w:pPr>
        <w:ind w:left="3340" w:hanging="360"/>
      </w:pPr>
      <w:rPr>
        <w:rFonts w:ascii="Symbol" w:hAnsi="Symbol" w:hint="default"/>
      </w:rPr>
    </w:lvl>
    <w:lvl w:ilvl="4" w:tplc="04090003">
      <w:start w:val="1"/>
      <w:numFmt w:val="bullet"/>
      <w:lvlText w:val="o"/>
      <w:lvlJc w:val="left"/>
      <w:pPr>
        <w:ind w:left="4060" w:hanging="360"/>
      </w:pPr>
      <w:rPr>
        <w:rFonts w:ascii="Courier New" w:hAnsi="Courier New" w:cs="Courier New" w:hint="default"/>
      </w:rPr>
    </w:lvl>
    <w:lvl w:ilvl="5" w:tplc="04090005">
      <w:start w:val="1"/>
      <w:numFmt w:val="bullet"/>
      <w:lvlText w:val=""/>
      <w:lvlJc w:val="left"/>
      <w:pPr>
        <w:ind w:left="4780" w:hanging="360"/>
      </w:pPr>
      <w:rPr>
        <w:rFonts w:ascii="Wingdings" w:hAnsi="Wingdings" w:hint="default"/>
      </w:rPr>
    </w:lvl>
    <w:lvl w:ilvl="6" w:tplc="04090001">
      <w:start w:val="1"/>
      <w:numFmt w:val="bullet"/>
      <w:lvlText w:val=""/>
      <w:lvlJc w:val="left"/>
      <w:pPr>
        <w:ind w:left="5500" w:hanging="360"/>
      </w:pPr>
      <w:rPr>
        <w:rFonts w:ascii="Symbol" w:hAnsi="Symbol" w:hint="default"/>
      </w:rPr>
    </w:lvl>
    <w:lvl w:ilvl="7" w:tplc="04090003">
      <w:start w:val="1"/>
      <w:numFmt w:val="bullet"/>
      <w:lvlText w:val="o"/>
      <w:lvlJc w:val="left"/>
      <w:pPr>
        <w:ind w:left="6220" w:hanging="360"/>
      </w:pPr>
      <w:rPr>
        <w:rFonts w:ascii="Courier New" w:hAnsi="Courier New" w:cs="Courier New" w:hint="default"/>
      </w:rPr>
    </w:lvl>
    <w:lvl w:ilvl="8" w:tplc="04090005">
      <w:start w:val="1"/>
      <w:numFmt w:val="bullet"/>
      <w:lvlText w:val=""/>
      <w:lvlJc w:val="left"/>
      <w:pPr>
        <w:ind w:left="6940" w:hanging="360"/>
      </w:pPr>
      <w:rPr>
        <w:rFonts w:ascii="Wingdings" w:hAnsi="Wingdings" w:hint="default"/>
      </w:rPr>
    </w:lvl>
  </w:abstractNum>
  <w:abstractNum w:abstractNumId="105" w15:restartNumberingAfterBreak="0">
    <w:nsid w:val="46114D27"/>
    <w:multiLevelType w:val="hybridMultilevel"/>
    <w:tmpl w:val="39806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38085A"/>
    <w:multiLevelType w:val="hybridMultilevel"/>
    <w:tmpl w:val="8DEE580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6F73FFA"/>
    <w:multiLevelType w:val="hybridMultilevel"/>
    <w:tmpl w:val="3A9E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205071"/>
    <w:multiLevelType w:val="hybridMultilevel"/>
    <w:tmpl w:val="9086E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8257383"/>
    <w:multiLevelType w:val="hybridMultilevel"/>
    <w:tmpl w:val="6086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9D69EE"/>
    <w:multiLevelType w:val="hybridMultilevel"/>
    <w:tmpl w:val="756AEC54"/>
    <w:lvl w:ilvl="0" w:tplc="7F566D3E">
      <w:start w:val="1"/>
      <w:numFmt w:val="upperLetter"/>
      <w:lvlText w:val="%1."/>
      <w:lvlJc w:val="left"/>
      <w:pPr>
        <w:tabs>
          <w:tab w:val="num" w:pos="720"/>
        </w:tabs>
        <w:ind w:left="720" w:hanging="360"/>
      </w:pPr>
      <w:rPr>
        <w:b/>
        <w:bCs/>
      </w:rPr>
    </w:lvl>
    <w:lvl w:ilvl="1" w:tplc="25F81D1A">
      <w:start w:val="1"/>
      <w:numFmt w:val="decimal"/>
      <w:lvlText w:val="%2."/>
      <w:lvlJc w:val="left"/>
      <w:pPr>
        <w:tabs>
          <w:tab w:val="num" w:pos="1440"/>
        </w:tabs>
        <w:ind w:left="1440" w:hanging="360"/>
      </w:pPr>
      <w:rPr>
        <w:b/>
        <w:bCs/>
      </w:rPr>
    </w:lvl>
    <w:lvl w:ilvl="2" w:tplc="D4DCB9AA">
      <w:start w:val="1"/>
      <w:numFmt w:val="lowerLetter"/>
      <w:lvlText w:val="%3."/>
      <w:lvlJc w:val="left"/>
      <w:pPr>
        <w:tabs>
          <w:tab w:val="num" w:pos="2160"/>
        </w:tabs>
        <w:ind w:left="2160" w:hanging="360"/>
      </w:pPr>
      <w:rPr>
        <w:b/>
        <w:bCs/>
      </w:rPr>
    </w:lvl>
    <w:lvl w:ilvl="3" w:tplc="DDE2A87A">
      <w:start w:val="1"/>
      <w:numFmt w:val="decimal"/>
      <w:lvlText w:val="%4."/>
      <w:lvlJc w:val="left"/>
      <w:pPr>
        <w:tabs>
          <w:tab w:val="num" w:pos="2880"/>
        </w:tabs>
        <w:ind w:left="2880" w:hanging="360"/>
      </w:pPr>
      <w:rPr>
        <w:b/>
        <w:bCs/>
      </w:rPr>
    </w:lvl>
    <w:lvl w:ilvl="4" w:tplc="4992DDA8" w:tentative="1">
      <w:start w:val="1"/>
      <w:numFmt w:val="upperLetter"/>
      <w:lvlText w:val="%5."/>
      <w:lvlJc w:val="left"/>
      <w:pPr>
        <w:tabs>
          <w:tab w:val="num" w:pos="3600"/>
        </w:tabs>
        <w:ind w:left="3600" w:hanging="360"/>
      </w:pPr>
    </w:lvl>
    <w:lvl w:ilvl="5" w:tplc="F3107828" w:tentative="1">
      <w:start w:val="1"/>
      <w:numFmt w:val="upperLetter"/>
      <w:lvlText w:val="%6."/>
      <w:lvlJc w:val="left"/>
      <w:pPr>
        <w:tabs>
          <w:tab w:val="num" w:pos="4320"/>
        </w:tabs>
        <w:ind w:left="4320" w:hanging="360"/>
      </w:pPr>
    </w:lvl>
    <w:lvl w:ilvl="6" w:tplc="2842D122" w:tentative="1">
      <w:start w:val="1"/>
      <w:numFmt w:val="upperLetter"/>
      <w:lvlText w:val="%7."/>
      <w:lvlJc w:val="left"/>
      <w:pPr>
        <w:tabs>
          <w:tab w:val="num" w:pos="5040"/>
        </w:tabs>
        <w:ind w:left="5040" w:hanging="360"/>
      </w:pPr>
    </w:lvl>
    <w:lvl w:ilvl="7" w:tplc="A19208D0" w:tentative="1">
      <w:start w:val="1"/>
      <w:numFmt w:val="upperLetter"/>
      <w:lvlText w:val="%8."/>
      <w:lvlJc w:val="left"/>
      <w:pPr>
        <w:tabs>
          <w:tab w:val="num" w:pos="5760"/>
        </w:tabs>
        <w:ind w:left="5760" w:hanging="360"/>
      </w:pPr>
    </w:lvl>
    <w:lvl w:ilvl="8" w:tplc="70481836" w:tentative="1">
      <w:start w:val="1"/>
      <w:numFmt w:val="upperLetter"/>
      <w:lvlText w:val="%9."/>
      <w:lvlJc w:val="left"/>
      <w:pPr>
        <w:tabs>
          <w:tab w:val="num" w:pos="6480"/>
        </w:tabs>
        <w:ind w:left="6480" w:hanging="360"/>
      </w:pPr>
    </w:lvl>
  </w:abstractNum>
  <w:abstractNum w:abstractNumId="111" w15:restartNumberingAfterBreak="0">
    <w:nsid w:val="491978D9"/>
    <w:multiLevelType w:val="hybridMultilevel"/>
    <w:tmpl w:val="BED6D2B4"/>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94341BC"/>
    <w:multiLevelType w:val="hybridMultilevel"/>
    <w:tmpl w:val="665E98F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9712A32"/>
    <w:multiLevelType w:val="hybridMultilevel"/>
    <w:tmpl w:val="F98E7F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9994737"/>
    <w:multiLevelType w:val="hybridMultilevel"/>
    <w:tmpl w:val="B0CAD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B7458E"/>
    <w:multiLevelType w:val="hybridMultilevel"/>
    <w:tmpl w:val="2482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AF2599F"/>
    <w:multiLevelType w:val="hybridMultilevel"/>
    <w:tmpl w:val="65B8D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6E7D47"/>
    <w:multiLevelType w:val="hybridMultilevel"/>
    <w:tmpl w:val="DDB86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4C580EDB"/>
    <w:multiLevelType w:val="hybridMultilevel"/>
    <w:tmpl w:val="13DE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D11579B"/>
    <w:multiLevelType w:val="hybridMultilevel"/>
    <w:tmpl w:val="512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0E2DAE"/>
    <w:multiLevelType w:val="hybridMultilevel"/>
    <w:tmpl w:val="C114B1BE"/>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AA1940"/>
    <w:multiLevelType w:val="hybridMultilevel"/>
    <w:tmpl w:val="BB4E486C"/>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E851F7"/>
    <w:multiLevelType w:val="hybridMultilevel"/>
    <w:tmpl w:val="E118F10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EEB5DAA"/>
    <w:multiLevelType w:val="hybridMultilevel"/>
    <w:tmpl w:val="1040D840"/>
    <w:lvl w:ilvl="0" w:tplc="1938F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B226FD"/>
    <w:multiLevelType w:val="hybridMultilevel"/>
    <w:tmpl w:val="E16ED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0940812"/>
    <w:multiLevelType w:val="hybridMultilevel"/>
    <w:tmpl w:val="90FE0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17B2F9A"/>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360" w:hanging="360"/>
      </w:pPr>
      <w:rPr>
        <w:b w:val="0"/>
        <w:color w:val="auto"/>
        <w:u w:val="none"/>
      </w:rPr>
    </w:lvl>
    <w:lvl w:ilvl="2">
      <w:start w:val="1"/>
      <w:numFmt w:val="lowerLetter"/>
      <w:lvlText w:val="%3."/>
      <w:lvlJc w:val="left"/>
      <w:pPr>
        <w:ind w:left="1080" w:hanging="360"/>
      </w:pPr>
      <w:rPr>
        <w:strike w:val="0"/>
        <w:u w:val="none"/>
      </w:rPr>
    </w:lvl>
    <w:lvl w:ilvl="3">
      <w:start w:val="1"/>
      <w:numFmt w:val="lowerRoman"/>
      <w:lvlText w:val="%4."/>
      <w:lvlJc w:val="right"/>
      <w:pPr>
        <w:ind w:left="1800" w:hanging="360"/>
      </w:pPr>
      <w:rPr>
        <w:b w:val="0"/>
        <w:u w:val="none"/>
      </w:rPr>
    </w:lvl>
    <w:lvl w:ilvl="4">
      <w:start w:val="1"/>
      <w:numFmt w:val="decimal"/>
      <w:lvlText w:val="%5)"/>
      <w:lvlJc w:val="left"/>
      <w:pPr>
        <w:ind w:left="2520" w:hanging="360"/>
      </w:pPr>
      <w:rPr>
        <w:b w:val="0"/>
        <w:u w:val="none"/>
      </w:rPr>
    </w:lvl>
    <w:lvl w:ilvl="5">
      <w:start w:val="1"/>
      <w:numFmt w:val="lowerRoman"/>
      <w:lvlText w:val="%6."/>
      <w:lvlJc w:val="right"/>
      <w:pPr>
        <w:ind w:left="3240" w:hanging="360"/>
      </w:pPr>
      <w:rPr>
        <w:u w:val="none"/>
      </w:rPr>
    </w:lvl>
    <w:lvl w:ilvl="6">
      <w:start w:val="1"/>
      <w:numFmt w:val="decimal"/>
      <w:lvlText w:val="%7."/>
      <w:lvlJc w:val="left"/>
      <w:pPr>
        <w:ind w:left="3960" w:hanging="360"/>
      </w:pPr>
      <w:rPr>
        <w:u w:val="none"/>
      </w:rPr>
    </w:lvl>
    <w:lvl w:ilvl="7">
      <w:start w:val="1"/>
      <w:numFmt w:val="lowerLetter"/>
      <w:lvlText w:val="%8."/>
      <w:lvlJc w:val="left"/>
      <w:pPr>
        <w:ind w:left="4680" w:hanging="360"/>
      </w:pPr>
      <w:rPr>
        <w:u w:val="none"/>
      </w:rPr>
    </w:lvl>
    <w:lvl w:ilvl="8">
      <w:start w:val="1"/>
      <w:numFmt w:val="lowerRoman"/>
      <w:lvlText w:val="%9."/>
      <w:lvlJc w:val="right"/>
      <w:pPr>
        <w:ind w:left="5400" w:hanging="360"/>
      </w:pPr>
      <w:rPr>
        <w:u w:val="none"/>
      </w:rPr>
    </w:lvl>
  </w:abstractNum>
  <w:abstractNum w:abstractNumId="127" w15:restartNumberingAfterBreak="0">
    <w:nsid w:val="52776766"/>
    <w:multiLevelType w:val="hybridMultilevel"/>
    <w:tmpl w:val="A44C9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2804214"/>
    <w:multiLevelType w:val="hybridMultilevel"/>
    <w:tmpl w:val="6DCA6D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9D1A85"/>
    <w:multiLevelType w:val="hybridMultilevel"/>
    <w:tmpl w:val="A394FC26"/>
    <w:lvl w:ilvl="0" w:tplc="04090001">
      <w:start w:val="1"/>
      <w:numFmt w:val="bullet"/>
      <w:lvlText w:val=""/>
      <w:lvlJc w:val="left"/>
      <w:pPr>
        <w:ind w:left="720" w:hanging="360"/>
      </w:pPr>
      <w:rPr>
        <w:rFonts w:ascii="Symbol" w:hAnsi="Symbol" w:hint="default"/>
      </w:rPr>
    </w:lvl>
    <w:lvl w:ilvl="1" w:tplc="E8464424">
      <w:numFmt w:val="bullet"/>
      <w:lvlText w:val="•"/>
      <w:lvlJc w:val="left"/>
      <w:pPr>
        <w:ind w:left="1800" w:hanging="72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34A105D"/>
    <w:multiLevelType w:val="hybridMultilevel"/>
    <w:tmpl w:val="F76CA0EC"/>
    <w:lvl w:ilvl="0" w:tplc="A0DEDC9C">
      <w:start w:val="1"/>
      <w:numFmt w:val="upperLetter"/>
      <w:lvlText w:val="%1."/>
      <w:lvlJc w:val="left"/>
      <w:pPr>
        <w:tabs>
          <w:tab w:val="num" w:pos="720"/>
        </w:tabs>
        <w:ind w:left="720" w:hanging="360"/>
      </w:pPr>
      <w:rPr>
        <w:b/>
        <w:bCs/>
      </w:rPr>
    </w:lvl>
    <w:lvl w:ilvl="1" w:tplc="02DC2382">
      <w:start w:val="1"/>
      <w:numFmt w:val="decimal"/>
      <w:lvlText w:val="%2."/>
      <w:lvlJc w:val="left"/>
      <w:pPr>
        <w:tabs>
          <w:tab w:val="num" w:pos="1440"/>
        </w:tabs>
        <w:ind w:left="1440" w:hanging="360"/>
      </w:pPr>
      <w:rPr>
        <w:b/>
        <w:bCs/>
      </w:rPr>
    </w:lvl>
    <w:lvl w:ilvl="2" w:tplc="23FE3B5A">
      <w:start w:val="1"/>
      <w:numFmt w:val="lowerLetter"/>
      <w:lvlText w:val="%3."/>
      <w:lvlJc w:val="left"/>
      <w:pPr>
        <w:tabs>
          <w:tab w:val="num" w:pos="2160"/>
        </w:tabs>
        <w:ind w:left="2160" w:hanging="360"/>
      </w:pPr>
      <w:rPr>
        <w:b/>
        <w:bCs/>
      </w:rPr>
    </w:lvl>
    <w:lvl w:ilvl="3" w:tplc="29F62D88" w:tentative="1">
      <w:start w:val="1"/>
      <w:numFmt w:val="upperLetter"/>
      <w:lvlText w:val="%4."/>
      <w:lvlJc w:val="left"/>
      <w:pPr>
        <w:tabs>
          <w:tab w:val="num" w:pos="2880"/>
        </w:tabs>
        <w:ind w:left="2880" w:hanging="360"/>
      </w:pPr>
    </w:lvl>
    <w:lvl w:ilvl="4" w:tplc="44F4B94C" w:tentative="1">
      <w:start w:val="1"/>
      <w:numFmt w:val="upperLetter"/>
      <w:lvlText w:val="%5."/>
      <w:lvlJc w:val="left"/>
      <w:pPr>
        <w:tabs>
          <w:tab w:val="num" w:pos="3600"/>
        </w:tabs>
        <w:ind w:left="3600" w:hanging="360"/>
      </w:pPr>
    </w:lvl>
    <w:lvl w:ilvl="5" w:tplc="37064044" w:tentative="1">
      <w:start w:val="1"/>
      <w:numFmt w:val="upperLetter"/>
      <w:lvlText w:val="%6."/>
      <w:lvlJc w:val="left"/>
      <w:pPr>
        <w:tabs>
          <w:tab w:val="num" w:pos="4320"/>
        </w:tabs>
        <w:ind w:left="4320" w:hanging="360"/>
      </w:pPr>
    </w:lvl>
    <w:lvl w:ilvl="6" w:tplc="EAFA2C2E" w:tentative="1">
      <w:start w:val="1"/>
      <w:numFmt w:val="upperLetter"/>
      <w:lvlText w:val="%7."/>
      <w:lvlJc w:val="left"/>
      <w:pPr>
        <w:tabs>
          <w:tab w:val="num" w:pos="5040"/>
        </w:tabs>
        <w:ind w:left="5040" w:hanging="360"/>
      </w:pPr>
    </w:lvl>
    <w:lvl w:ilvl="7" w:tplc="644AE31C" w:tentative="1">
      <w:start w:val="1"/>
      <w:numFmt w:val="upperLetter"/>
      <w:lvlText w:val="%8."/>
      <w:lvlJc w:val="left"/>
      <w:pPr>
        <w:tabs>
          <w:tab w:val="num" w:pos="5760"/>
        </w:tabs>
        <w:ind w:left="5760" w:hanging="360"/>
      </w:pPr>
    </w:lvl>
    <w:lvl w:ilvl="8" w:tplc="4CF4AB52" w:tentative="1">
      <w:start w:val="1"/>
      <w:numFmt w:val="upperLetter"/>
      <w:lvlText w:val="%9."/>
      <w:lvlJc w:val="left"/>
      <w:pPr>
        <w:tabs>
          <w:tab w:val="num" w:pos="6480"/>
        </w:tabs>
        <w:ind w:left="6480" w:hanging="360"/>
      </w:pPr>
    </w:lvl>
  </w:abstractNum>
  <w:abstractNum w:abstractNumId="131" w15:restartNumberingAfterBreak="0">
    <w:nsid w:val="54267908"/>
    <w:multiLevelType w:val="hybridMultilevel"/>
    <w:tmpl w:val="DF38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4B74028"/>
    <w:multiLevelType w:val="hybridMultilevel"/>
    <w:tmpl w:val="D74AEEA4"/>
    <w:lvl w:ilvl="0" w:tplc="C31204DA">
      <w:start w:val="10"/>
      <w:numFmt w:val="upperLetter"/>
      <w:lvlText w:val="%1."/>
      <w:lvlJc w:val="left"/>
      <w:pPr>
        <w:ind w:left="360" w:hanging="360"/>
      </w:pPr>
      <w:rPr>
        <w:rFonts w:ascii="Arial" w:hAnsi="Arial" w:cs="Arial" w:hint="default"/>
        <w:b/>
        <w:bCs/>
        <w:color w:val="353535"/>
        <w:sz w:val="2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6083586"/>
    <w:multiLevelType w:val="hybridMultilevel"/>
    <w:tmpl w:val="249C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7AE09A0"/>
    <w:multiLevelType w:val="hybridMultilevel"/>
    <w:tmpl w:val="DBC46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6E07B0"/>
    <w:multiLevelType w:val="hybridMultilevel"/>
    <w:tmpl w:val="30F6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201AE4"/>
    <w:multiLevelType w:val="multilevel"/>
    <w:tmpl w:val="279E4E08"/>
    <w:lvl w:ilvl="0">
      <w:start w:val="1"/>
      <w:numFmt w:val="bullet"/>
      <w:lvlText w:val=""/>
      <w:lvlJc w:val="left"/>
      <w:pPr>
        <w:ind w:left="540" w:hanging="360"/>
      </w:pPr>
      <w:rPr>
        <w:rFonts w:ascii="Symbol" w:hAnsi="Symbol" w:hint="default"/>
        <w:u w:val="none"/>
      </w:rPr>
    </w:lvl>
    <w:lvl w:ilvl="1">
      <w:start w:val="1"/>
      <w:numFmt w:val="decimal"/>
      <w:lvlText w:val="%2."/>
      <w:lvlJc w:val="left"/>
      <w:pPr>
        <w:ind w:left="1260" w:hanging="360"/>
      </w:pPr>
      <w:rPr>
        <w:b w:val="0"/>
        <w:color w:val="auto"/>
        <w:u w:val="none"/>
      </w:rPr>
    </w:lvl>
    <w:lvl w:ilvl="2">
      <w:start w:val="1"/>
      <w:numFmt w:val="lowerLetter"/>
      <w:lvlText w:val="%3."/>
      <w:lvlJc w:val="left"/>
      <w:pPr>
        <w:ind w:left="1980" w:hanging="360"/>
      </w:pPr>
      <w:rPr>
        <w:strike w:val="0"/>
        <w:u w:val="none"/>
      </w:rPr>
    </w:lvl>
    <w:lvl w:ilvl="3">
      <w:start w:val="1"/>
      <w:numFmt w:val="lowerRoman"/>
      <w:lvlText w:val="%4."/>
      <w:lvlJc w:val="right"/>
      <w:pPr>
        <w:ind w:left="2700" w:hanging="360"/>
      </w:pPr>
      <w:rPr>
        <w:b w:val="0"/>
        <w:u w:val="none"/>
      </w:rPr>
    </w:lvl>
    <w:lvl w:ilvl="4">
      <w:start w:val="1"/>
      <w:numFmt w:val="decimal"/>
      <w:lvlText w:val="%5)"/>
      <w:lvlJc w:val="left"/>
      <w:pPr>
        <w:ind w:left="3420" w:hanging="360"/>
      </w:pPr>
      <w:rPr>
        <w:b w:val="0"/>
        <w:u w:val="none"/>
      </w:rPr>
    </w:lvl>
    <w:lvl w:ilvl="5">
      <w:start w:val="1"/>
      <w:numFmt w:val="lowerRoman"/>
      <w:lvlText w:val="%6."/>
      <w:lvlJc w:val="right"/>
      <w:pPr>
        <w:ind w:left="4140" w:hanging="360"/>
      </w:pPr>
      <w:rPr>
        <w:u w:val="none"/>
      </w:rPr>
    </w:lvl>
    <w:lvl w:ilvl="6">
      <w:start w:val="1"/>
      <w:numFmt w:val="decimal"/>
      <w:lvlText w:val="%7."/>
      <w:lvlJc w:val="left"/>
      <w:pPr>
        <w:ind w:left="4860" w:hanging="360"/>
      </w:pPr>
      <w:rPr>
        <w:u w:val="none"/>
      </w:rPr>
    </w:lvl>
    <w:lvl w:ilvl="7">
      <w:start w:val="1"/>
      <w:numFmt w:val="lowerLetter"/>
      <w:lvlText w:val="%8."/>
      <w:lvlJc w:val="left"/>
      <w:pPr>
        <w:ind w:left="5580" w:hanging="360"/>
      </w:pPr>
      <w:rPr>
        <w:u w:val="none"/>
      </w:rPr>
    </w:lvl>
    <w:lvl w:ilvl="8">
      <w:start w:val="1"/>
      <w:numFmt w:val="lowerRoman"/>
      <w:lvlText w:val="%9."/>
      <w:lvlJc w:val="right"/>
      <w:pPr>
        <w:ind w:left="6300" w:hanging="360"/>
      </w:pPr>
      <w:rPr>
        <w:u w:val="none"/>
      </w:rPr>
    </w:lvl>
  </w:abstractNum>
  <w:abstractNum w:abstractNumId="137" w15:restartNumberingAfterBreak="0">
    <w:nsid w:val="5D0A0E15"/>
    <w:multiLevelType w:val="hybridMultilevel"/>
    <w:tmpl w:val="50123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EBF0013"/>
    <w:multiLevelType w:val="hybridMultilevel"/>
    <w:tmpl w:val="17927A9A"/>
    <w:lvl w:ilvl="0" w:tplc="FAF0638C">
      <w:start w:val="1"/>
      <w:numFmt w:val="upperLetter"/>
      <w:lvlText w:val="%1."/>
      <w:lvlJc w:val="left"/>
      <w:pPr>
        <w:tabs>
          <w:tab w:val="num" w:pos="720"/>
        </w:tabs>
        <w:ind w:left="720" w:hanging="360"/>
      </w:pPr>
      <w:rPr>
        <w:b/>
        <w:bCs/>
      </w:rPr>
    </w:lvl>
    <w:lvl w:ilvl="1" w:tplc="EA3A6518">
      <w:start w:val="1"/>
      <w:numFmt w:val="decimal"/>
      <w:lvlText w:val="%2."/>
      <w:lvlJc w:val="left"/>
      <w:pPr>
        <w:tabs>
          <w:tab w:val="num" w:pos="1440"/>
        </w:tabs>
        <w:ind w:left="1440" w:hanging="360"/>
      </w:pPr>
      <w:rPr>
        <w:b/>
        <w:bCs/>
      </w:rPr>
    </w:lvl>
    <w:lvl w:ilvl="2" w:tplc="F4E24700">
      <w:start w:val="1"/>
      <w:numFmt w:val="lowerLetter"/>
      <w:lvlText w:val="%3."/>
      <w:lvlJc w:val="left"/>
      <w:pPr>
        <w:tabs>
          <w:tab w:val="num" w:pos="2160"/>
        </w:tabs>
        <w:ind w:left="2160" w:hanging="360"/>
      </w:pPr>
      <w:rPr>
        <w:b/>
        <w:bCs/>
      </w:rPr>
    </w:lvl>
    <w:lvl w:ilvl="3" w:tplc="B62C3726" w:tentative="1">
      <w:start w:val="1"/>
      <w:numFmt w:val="upperLetter"/>
      <w:lvlText w:val="%4."/>
      <w:lvlJc w:val="left"/>
      <w:pPr>
        <w:tabs>
          <w:tab w:val="num" w:pos="2880"/>
        </w:tabs>
        <w:ind w:left="2880" w:hanging="360"/>
      </w:pPr>
    </w:lvl>
    <w:lvl w:ilvl="4" w:tplc="27B83CF8" w:tentative="1">
      <w:start w:val="1"/>
      <w:numFmt w:val="upperLetter"/>
      <w:lvlText w:val="%5."/>
      <w:lvlJc w:val="left"/>
      <w:pPr>
        <w:tabs>
          <w:tab w:val="num" w:pos="3600"/>
        </w:tabs>
        <w:ind w:left="3600" w:hanging="360"/>
      </w:pPr>
    </w:lvl>
    <w:lvl w:ilvl="5" w:tplc="418C2E2E" w:tentative="1">
      <w:start w:val="1"/>
      <w:numFmt w:val="upperLetter"/>
      <w:lvlText w:val="%6."/>
      <w:lvlJc w:val="left"/>
      <w:pPr>
        <w:tabs>
          <w:tab w:val="num" w:pos="4320"/>
        </w:tabs>
        <w:ind w:left="4320" w:hanging="360"/>
      </w:pPr>
    </w:lvl>
    <w:lvl w:ilvl="6" w:tplc="1804A672" w:tentative="1">
      <w:start w:val="1"/>
      <w:numFmt w:val="upperLetter"/>
      <w:lvlText w:val="%7."/>
      <w:lvlJc w:val="left"/>
      <w:pPr>
        <w:tabs>
          <w:tab w:val="num" w:pos="5040"/>
        </w:tabs>
        <w:ind w:left="5040" w:hanging="360"/>
      </w:pPr>
    </w:lvl>
    <w:lvl w:ilvl="7" w:tplc="1214FDE6" w:tentative="1">
      <w:start w:val="1"/>
      <w:numFmt w:val="upperLetter"/>
      <w:lvlText w:val="%8."/>
      <w:lvlJc w:val="left"/>
      <w:pPr>
        <w:tabs>
          <w:tab w:val="num" w:pos="5760"/>
        </w:tabs>
        <w:ind w:left="5760" w:hanging="360"/>
      </w:pPr>
    </w:lvl>
    <w:lvl w:ilvl="8" w:tplc="1E8C5F06" w:tentative="1">
      <w:start w:val="1"/>
      <w:numFmt w:val="upperLetter"/>
      <w:lvlText w:val="%9."/>
      <w:lvlJc w:val="left"/>
      <w:pPr>
        <w:tabs>
          <w:tab w:val="num" w:pos="6480"/>
        </w:tabs>
        <w:ind w:left="6480" w:hanging="360"/>
      </w:pPr>
    </w:lvl>
  </w:abstractNum>
  <w:abstractNum w:abstractNumId="139" w15:restartNumberingAfterBreak="0">
    <w:nsid w:val="5EE1253D"/>
    <w:multiLevelType w:val="hybridMultilevel"/>
    <w:tmpl w:val="AC98D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1504B6"/>
    <w:multiLevelType w:val="multilevel"/>
    <w:tmpl w:val="ECEA7B9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color w:val="auto"/>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1" w15:restartNumberingAfterBreak="0">
    <w:nsid w:val="5F7D117F"/>
    <w:multiLevelType w:val="hybridMultilevel"/>
    <w:tmpl w:val="8EE8CCF4"/>
    <w:lvl w:ilvl="0" w:tplc="82349F04">
      <w:start w:val="1"/>
      <w:numFmt w:val="decimal"/>
      <w:lvlText w:val="%1."/>
      <w:lvlJc w:val="left"/>
      <w:pPr>
        <w:ind w:left="1080" w:hanging="360"/>
      </w:pPr>
      <w:rPr>
        <w:rFonts w:hint="default"/>
        <w:b/>
        <w:bCs/>
        <w:u w:val="none"/>
      </w:rPr>
    </w:lvl>
    <w:lvl w:ilvl="1" w:tplc="309AD47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F7F444F"/>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3" w15:restartNumberingAfterBreak="0">
    <w:nsid w:val="5FD06D66"/>
    <w:multiLevelType w:val="hybridMultilevel"/>
    <w:tmpl w:val="43E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FD77856"/>
    <w:multiLevelType w:val="hybridMultilevel"/>
    <w:tmpl w:val="9B267D3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15C523B"/>
    <w:multiLevelType w:val="hybridMultilevel"/>
    <w:tmpl w:val="4D10BD36"/>
    <w:lvl w:ilvl="0" w:tplc="BD52A06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22E521A"/>
    <w:multiLevelType w:val="hybridMultilevel"/>
    <w:tmpl w:val="059C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258055A"/>
    <w:multiLevelType w:val="hybridMultilevel"/>
    <w:tmpl w:val="032E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2663901"/>
    <w:multiLevelType w:val="hybridMultilevel"/>
    <w:tmpl w:val="2DFC897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D14A87"/>
    <w:multiLevelType w:val="multilevel"/>
    <w:tmpl w:val="64B6F4FA"/>
    <w:lvl w:ilvl="0">
      <w:start w:val="1"/>
      <w:numFmt w:val="upperLetter"/>
      <w:lvlText w:val="%1."/>
      <w:lvlJc w:val="left"/>
      <w:pPr>
        <w:tabs>
          <w:tab w:val="num" w:pos="720"/>
        </w:tabs>
        <w:ind w:left="720" w:hanging="360"/>
      </w:pPr>
      <w:rPr>
        <w:b/>
        <w:bCs/>
      </w:rPr>
    </w:lvl>
    <w:lvl w:ilvl="1">
      <w:start w:val="1"/>
      <w:numFmt w:val="decimal"/>
      <w:lvlText w:val="%2."/>
      <w:lvlJc w:val="left"/>
      <w:pPr>
        <w:tabs>
          <w:tab w:val="num" w:pos="1440"/>
        </w:tabs>
        <w:ind w:left="1440" w:hanging="360"/>
      </w:pPr>
      <w:rPr>
        <w:b/>
        <w:bCs/>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0" w15:restartNumberingAfterBreak="0">
    <w:nsid w:val="634C1CCA"/>
    <w:multiLevelType w:val="hybridMultilevel"/>
    <w:tmpl w:val="2D128D74"/>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1E229C"/>
    <w:multiLevelType w:val="hybridMultilevel"/>
    <w:tmpl w:val="8B1ACB4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43A5A78"/>
    <w:multiLevelType w:val="hybridMultilevel"/>
    <w:tmpl w:val="AFB2BC3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64A0232B"/>
    <w:multiLevelType w:val="hybridMultilevel"/>
    <w:tmpl w:val="F1340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774E2E"/>
    <w:multiLevelType w:val="hybridMultilevel"/>
    <w:tmpl w:val="6054F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885EC3"/>
    <w:multiLevelType w:val="multilevel"/>
    <w:tmpl w:val="06C05F4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b/>
        <w:bCs/>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6" w15:restartNumberingAfterBreak="0">
    <w:nsid w:val="66632EA1"/>
    <w:multiLevelType w:val="hybridMultilevel"/>
    <w:tmpl w:val="45FEB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073BDB"/>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8" w15:restartNumberingAfterBreak="0">
    <w:nsid w:val="672F3CC8"/>
    <w:multiLevelType w:val="hybridMultilevel"/>
    <w:tmpl w:val="6222152A"/>
    <w:lvl w:ilvl="0" w:tplc="542EF4CC">
      <w:start w:val="24"/>
      <w:numFmt w:val="upperLetter"/>
      <w:lvlText w:val="%1."/>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7E515F8"/>
    <w:multiLevelType w:val="hybridMultilevel"/>
    <w:tmpl w:val="DBD8B1E2"/>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82F2046"/>
    <w:multiLevelType w:val="hybridMultilevel"/>
    <w:tmpl w:val="9FBA3200"/>
    <w:lvl w:ilvl="0" w:tplc="190416C4">
      <w:start w:val="1"/>
      <w:numFmt w:val="upperLetter"/>
      <w:lvlText w:val="%1."/>
      <w:lvlJc w:val="left"/>
      <w:pPr>
        <w:tabs>
          <w:tab w:val="num" w:pos="720"/>
        </w:tabs>
        <w:ind w:left="720" w:hanging="360"/>
      </w:pPr>
    </w:lvl>
    <w:lvl w:ilvl="1" w:tplc="07C45C8C">
      <w:start w:val="1"/>
      <w:numFmt w:val="decimal"/>
      <w:lvlText w:val="%2."/>
      <w:lvlJc w:val="left"/>
      <w:pPr>
        <w:tabs>
          <w:tab w:val="num" w:pos="1440"/>
        </w:tabs>
        <w:ind w:left="1440" w:hanging="360"/>
      </w:pPr>
      <w:rPr>
        <w:b/>
        <w:bCs/>
      </w:rPr>
    </w:lvl>
    <w:lvl w:ilvl="2" w:tplc="908A89FA">
      <w:start w:val="1"/>
      <w:numFmt w:val="lowerLetter"/>
      <w:lvlText w:val="%3."/>
      <w:lvlJc w:val="left"/>
      <w:pPr>
        <w:tabs>
          <w:tab w:val="num" w:pos="2160"/>
        </w:tabs>
        <w:ind w:left="2160" w:hanging="360"/>
      </w:pPr>
      <w:rPr>
        <w:b/>
        <w:bCs/>
      </w:rPr>
    </w:lvl>
    <w:lvl w:ilvl="3" w:tplc="B64ABD9E" w:tentative="1">
      <w:start w:val="1"/>
      <w:numFmt w:val="upperLetter"/>
      <w:lvlText w:val="%4."/>
      <w:lvlJc w:val="left"/>
      <w:pPr>
        <w:tabs>
          <w:tab w:val="num" w:pos="2880"/>
        </w:tabs>
        <w:ind w:left="2880" w:hanging="360"/>
      </w:pPr>
    </w:lvl>
    <w:lvl w:ilvl="4" w:tplc="DD44F82E" w:tentative="1">
      <w:start w:val="1"/>
      <w:numFmt w:val="upperLetter"/>
      <w:lvlText w:val="%5."/>
      <w:lvlJc w:val="left"/>
      <w:pPr>
        <w:tabs>
          <w:tab w:val="num" w:pos="3600"/>
        </w:tabs>
        <w:ind w:left="3600" w:hanging="360"/>
      </w:pPr>
    </w:lvl>
    <w:lvl w:ilvl="5" w:tplc="943EBB96" w:tentative="1">
      <w:start w:val="1"/>
      <w:numFmt w:val="upperLetter"/>
      <w:lvlText w:val="%6."/>
      <w:lvlJc w:val="left"/>
      <w:pPr>
        <w:tabs>
          <w:tab w:val="num" w:pos="4320"/>
        </w:tabs>
        <w:ind w:left="4320" w:hanging="360"/>
      </w:pPr>
    </w:lvl>
    <w:lvl w:ilvl="6" w:tplc="03483526" w:tentative="1">
      <w:start w:val="1"/>
      <w:numFmt w:val="upperLetter"/>
      <w:lvlText w:val="%7."/>
      <w:lvlJc w:val="left"/>
      <w:pPr>
        <w:tabs>
          <w:tab w:val="num" w:pos="5040"/>
        </w:tabs>
        <w:ind w:left="5040" w:hanging="360"/>
      </w:pPr>
    </w:lvl>
    <w:lvl w:ilvl="7" w:tplc="581A31B4" w:tentative="1">
      <w:start w:val="1"/>
      <w:numFmt w:val="upperLetter"/>
      <w:lvlText w:val="%8."/>
      <w:lvlJc w:val="left"/>
      <w:pPr>
        <w:tabs>
          <w:tab w:val="num" w:pos="5760"/>
        </w:tabs>
        <w:ind w:left="5760" w:hanging="360"/>
      </w:pPr>
    </w:lvl>
    <w:lvl w:ilvl="8" w:tplc="18A0F79A" w:tentative="1">
      <w:start w:val="1"/>
      <w:numFmt w:val="upperLetter"/>
      <w:lvlText w:val="%9."/>
      <w:lvlJc w:val="left"/>
      <w:pPr>
        <w:tabs>
          <w:tab w:val="num" w:pos="6480"/>
        </w:tabs>
        <w:ind w:left="6480" w:hanging="360"/>
      </w:pPr>
    </w:lvl>
  </w:abstractNum>
  <w:abstractNum w:abstractNumId="161" w15:restartNumberingAfterBreak="0">
    <w:nsid w:val="68AB2665"/>
    <w:multiLevelType w:val="hybridMultilevel"/>
    <w:tmpl w:val="597C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EA1D38"/>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63" w15:restartNumberingAfterBreak="0">
    <w:nsid w:val="6AAE5EC4"/>
    <w:multiLevelType w:val="hybridMultilevel"/>
    <w:tmpl w:val="AACC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AC83F12"/>
    <w:multiLevelType w:val="hybridMultilevel"/>
    <w:tmpl w:val="ED52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BE63357"/>
    <w:multiLevelType w:val="hybridMultilevel"/>
    <w:tmpl w:val="0C7435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6D9113CC"/>
    <w:multiLevelType w:val="hybridMultilevel"/>
    <w:tmpl w:val="AA66761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67" w15:restartNumberingAfterBreak="0">
    <w:nsid w:val="6E8778F0"/>
    <w:multiLevelType w:val="hybridMultilevel"/>
    <w:tmpl w:val="C576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F346D91"/>
    <w:multiLevelType w:val="hybridMultilevel"/>
    <w:tmpl w:val="29B0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F363968"/>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0" w15:restartNumberingAfterBreak="0">
    <w:nsid w:val="6F4A2C06"/>
    <w:multiLevelType w:val="hybridMultilevel"/>
    <w:tmpl w:val="746A638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6FDD3F84"/>
    <w:multiLevelType w:val="hybridMultilevel"/>
    <w:tmpl w:val="18E8BE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027603D"/>
    <w:multiLevelType w:val="hybridMultilevel"/>
    <w:tmpl w:val="834EE0F0"/>
    <w:lvl w:ilvl="0" w:tplc="29F290CA">
      <w:start w:val="1"/>
      <w:numFmt w:val="upperLetter"/>
      <w:lvlText w:val="%1."/>
      <w:lvlJc w:val="left"/>
      <w:pPr>
        <w:tabs>
          <w:tab w:val="num" w:pos="720"/>
        </w:tabs>
        <w:ind w:left="720" w:hanging="360"/>
      </w:pPr>
      <w:rPr>
        <w:b/>
        <w:bCs/>
      </w:rPr>
    </w:lvl>
    <w:lvl w:ilvl="1" w:tplc="DFBCBA4E">
      <w:start w:val="1"/>
      <w:numFmt w:val="decimal"/>
      <w:lvlText w:val="%2."/>
      <w:lvlJc w:val="left"/>
      <w:pPr>
        <w:tabs>
          <w:tab w:val="num" w:pos="1440"/>
        </w:tabs>
        <w:ind w:left="1440" w:hanging="360"/>
      </w:pPr>
      <w:rPr>
        <w:b/>
        <w:bCs/>
      </w:rPr>
    </w:lvl>
    <w:lvl w:ilvl="2" w:tplc="F5846724" w:tentative="1">
      <w:start w:val="1"/>
      <w:numFmt w:val="upperLetter"/>
      <w:lvlText w:val="%3."/>
      <w:lvlJc w:val="left"/>
      <w:pPr>
        <w:tabs>
          <w:tab w:val="num" w:pos="2160"/>
        </w:tabs>
        <w:ind w:left="2160" w:hanging="360"/>
      </w:pPr>
    </w:lvl>
    <w:lvl w:ilvl="3" w:tplc="43882BAE" w:tentative="1">
      <w:start w:val="1"/>
      <w:numFmt w:val="upperLetter"/>
      <w:lvlText w:val="%4."/>
      <w:lvlJc w:val="left"/>
      <w:pPr>
        <w:tabs>
          <w:tab w:val="num" w:pos="2880"/>
        </w:tabs>
        <w:ind w:left="2880" w:hanging="360"/>
      </w:pPr>
    </w:lvl>
    <w:lvl w:ilvl="4" w:tplc="0E54FCA4" w:tentative="1">
      <w:start w:val="1"/>
      <w:numFmt w:val="upperLetter"/>
      <w:lvlText w:val="%5."/>
      <w:lvlJc w:val="left"/>
      <w:pPr>
        <w:tabs>
          <w:tab w:val="num" w:pos="3600"/>
        </w:tabs>
        <w:ind w:left="3600" w:hanging="360"/>
      </w:pPr>
    </w:lvl>
    <w:lvl w:ilvl="5" w:tplc="CF34A446" w:tentative="1">
      <w:start w:val="1"/>
      <w:numFmt w:val="upperLetter"/>
      <w:lvlText w:val="%6."/>
      <w:lvlJc w:val="left"/>
      <w:pPr>
        <w:tabs>
          <w:tab w:val="num" w:pos="4320"/>
        </w:tabs>
        <w:ind w:left="4320" w:hanging="360"/>
      </w:pPr>
    </w:lvl>
    <w:lvl w:ilvl="6" w:tplc="A5E6EA3C" w:tentative="1">
      <w:start w:val="1"/>
      <w:numFmt w:val="upperLetter"/>
      <w:lvlText w:val="%7."/>
      <w:lvlJc w:val="left"/>
      <w:pPr>
        <w:tabs>
          <w:tab w:val="num" w:pos="5040"/>
        </w:tabs>
        <w:ind w:left="5040" w:hanging="360"/>
      </w:pPr>
    </w:lvl>
    <w:lvl w:ilvl="7" w:tplc="BB649ABA" w:tentative="1">
      <w:start w:val="1"/>
      <w:numFmt w:val="upperLetter"/>
      <w:lvlText w:val="%8."/>
      <w:lvlJc w:val="left"/>
      <w:pPr>
        <w:tabs>
          <w:tab w:val="num" w:pos="5760"/>
        </w:tabs>
        <w:ind w:left="5760" w:hanging="360"/>
      </w:pPr>
    </w:lvl>
    <w:lvl w:ilvl="8" w:tplc="3BA0D062" w:tentative="1">
      <w:start w:val="1"/>
      <w:numFmt w:val="upperLetter"/>
      <w:lvlText w:val="%9."/>
      <w:lvlJc w:val="left"/>
      <w:pPr>
        <w:tabs>
          <w:tab w:val="num" w:pos="6480"/>
        </w:tabs>
        <w:ind w:left="6480" w:hanging="360"/>
      </w:pPr>
    </w:lvl>
  </w:abstractNum>
  <w:abstractNum w:abstractNumId="173" w15:restartNumberingAfterBreak="0">
    <w:nsid w:val="702E54DD"/>
    <w:multiLevelType w:val="hybridMultilevel"/>
    <w:tmpl w:val="C9043C0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74D73D02"/>
    <w:multiLevelType w:val="hybridMultilevel"/>
    <w:tmpl w:val="8548BA76"/>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5336EC4"/>
    <w:multiLevelType w:val="hybridMultilevel"/>
    <w:tmpl w:val="49BE4D3A"/>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6520027"/>
    <w:multiLevelType w:val="hybridMultilevel"/>
    <w:tmpl w:val="316A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6782E52"/>
    <w:multiLevelType w:val="hybridMultilevel"/>
    <w:tmpl w:val="53487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76834266"/>
    <w:multiLevelType w:val="hybridMultilevel"/>
    <w:tmpl w:val="E8B86FB8"/>
    <w:lvl w:ilvl="0" w:tplc="1938F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D77336"/>
    <w:multiLevelType w:val="hybridMultilevel"/>
    <w:tmpl w:val="C9F2E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6DB7815"/>
    <w:multiLevelType w:val="hybridMultilevel"/>
    <w:tmpl w:val="14485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77A4205C"/>
    <w:multiLevelType w:val="hybridMultilevel"/>
    <w:tmpl w:val="4F0ABCF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77B076AF"/>
    <w:multiLevelType w:val="hybridMultilevel"/>
    <w:tmpl w:val="C576CC2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77BD6C60"/>
    <w:multiLevelType w:val="hybridMultilevel"/>
    <w:tmpl w:val="078A74F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8081E9D"/>
    <w:multiLevelType w:val="hybridMultilevel"/>
    <w:tmpl w:val="02443E04"/>
    <w:lvl w:ilvl="0" w:tplc="FFFFFFFF">
      <w:start w:val="1"/>
      <w:numFmt w:val="bullet"/>
      <w:lvlText w:val=""/>
      <w:lvlJc w:val="left"/>
      <w:pPr>
        <w:ind w:left="-540" w:hanging="360"/>
      </w:pPr>
      <w:rPr>
        <w:rFonts w:ascii="Symbol" w:hAnsi="Symbol" w:hint="default"/>
      </w:rPr>
    </w:lvl>
    <w:lvl w:ilvl="1" w:tplc="FFFFFFFF">
      <w:start w:val="1"/>
      <w:numFmt w:val="bullet"/>
      <w:lvlText w:val="o"/>
      <w:lvlJc w:val="left"/>
      <w:pPr>
        <w:ind w:left="180" w:hanging="360"/>
      </w:pPr>
      <w:rPr>
        <w:rFonts w:ascii="Courier New" w:hAnsi="Courier New" w:cs="Courier New" w:hint="default"/>
      </w:rPr>
    </w:lvl>
    <w:lvl w:ilvl="2" w:tplc="04090001">
      <w:start w:val="1"/>
      <w:numFmt w:val="bullet"/>
      <w:lvlText w:val=""/>
      <w:lvlJc w:val="left"/>
      <w:pPr>
        <w:ind w:left="900" w:hanging="360"/>
      </w:pPr>
      <w:rPr>
        <w:rFonts w:ascii="Symbol" w:hAnsi="Symbol" w:hint="default"/>
      </w:rPr>
    </w:lvl>
    <w:lvl w:ilvl="3" w:tplc="FFFFFFFF" w:tentative="1">
      <w:start w:val="1"/>
      <w:numFmt w:val="bullet"/>
      <w:lvlText w:val=""/>
      <w:lvlJc w:val="left"/>
      <w:pPr>
        <w:ind w:left="1620" w:hanging="360"/>
      </w:pPr>
      <w:rPr>
        <w:rFonts w:ascii="Symbol" w:hAnsi="Symbol" w:hint="default"/>
      </w:rPr>
    </w:lvl>
    <w:lvl w:ilvl="4" w:tplc="FFFFFFFF" w:tentative="1">
      <w:start w:val="1"/>
      <w:numFmt w:val="bullet"/>
      <w:lvlText w:val="o"/>
      <w:lvlJc w:val="left"/>
      <w:pPr>
        <w:ind w:left="2340" w:hanging="360"/>
      </w:pPr>
      <w:rPr>
        <w:rFonts w:ascii="Courier New" w:hAnsi="Courier New" w:cs="Courier New" w:hint="default"/>
      </w:rPr>
    </w:lvl>
    <w:lvl w:ilvl="5" w:tplc="FFFFFFFF" w:tentative="1">
      <w:start w:val="1"/>
      <w:numFmt w:val="bullet"/>
      <w:lvlText w:val=""/>
      <w:lvlJc w:val="left"/>
      <w:pPr>
        <w:ind w:left="3060" w:hanging="360"/>
      </w:pPr>
      <w:rPr>
        <w:rFonts w:ascii="Wingdings" w:hAnsi="Wingdings" w:hint="default"/>
      </w:rPr>
    </w:lvl>
    <w:lvl w:ilvl="6" w:tplc="FFFFFFFF" w:tentative="1">
      <w:start w:val="1"/>
      <w:numFmt w:val="bullet"/>
      <w:lvlText w:val=""/>
      <w:lvlJc w:val="left"/>
      <w:pPr>
        <w:ind w:left="3780" w:hanging="360"/>
      </w:pPr>
      <w:rPr>
        <w:rFonts w:ascii="Symbol" w:hAnsi="Symbol" w:hint="default"/>
      </w:rPr>
    </w:lvl>
    <w:lvl w:ilvl="7" w:tplc="FFFFFFFF" w:tentative="1">
      <w:start w:val="1"/>
      <w:numFmt w:val="bullet"/>
      <w:lvlText w:val="o"/>
      <w:lvlJc w:val="left"/>
      <w:pPr>
        <w:ind w:left="4500" w:hanging="360"/>
      </w:pPr>
      <w:rPr>
        <w:rFonts w:ascii="Courier New" w:hAnsi="Courier New" w:cs="Courier New" w:hint="default"/>
      </w:rPr>
    </w:lvl>
    <w:lvl w:ilvl="8" w:tplc="FFFFFFFF" w:tentative="1">
      <w:start w:val="1"/>
      <w:numFmt w:val="bullet"/>
      <w:lvlText w:val=""/>
      <w:lvlJc w:val="left"/>
      <w:pPr>
        <w:ind w:left="5220" w:hanging="360"/>
      </w:pPr>
      <w:rPr>
        <w:rFonts w:ascii="Wingdings" w:hAnsi="Wingdings" w:hint="default"/>
      </w:rPr>
    </w:lvl>
  </w:abstractNum>
  <w:abstractNum w:abstractNumId="185" w15:restartNumberingAfterBreak="0">
    <w:nsid w:val="788B2F5F"/>
    <w:multiLevelType w:val="hybridMultilevel"/>
    <w:tmpl w:val="5ABA21D6"/>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9463D53"/>
    <w:multiLevelType w:val="hybridMultilevel"/>
    <w:tmpl w:val="92A09BF8"/>
    <w:lvl w:ilvl="0" w:tplc="1CD2FE64">
      <w:start w:val="1"/>
      <w:numFmt w:val="upperLetter"/>
      <w:lvlText w:val="%1."/>
      <w:lvlJc w:val="left"/>
      <w:pPr>
        <w:tabs>
          <w:tab w:val="num" w:pos="720"/>
        </w:tabs>
        <w:ind w:left="720" w:hanging="360"/>
      </w:pPr>
      <w:rPr>
        <w:b/>
        <w:bCs/>
      </w:rPr>
    </w:lvl>
    <w:lvl w:ilvl="1" w:tplc="BC20AF6A">
      <w:start w:val="1"/>
      <w:numFmt w:val="decimal"/>
      <w:lvlText w:val="%2."/>
      <w:lvlJc w:val="left"/>
      <w:pPr>
        <w:tabs>
          <w:tab w:val="num" w:pos="1440"/>
        </w:tabs>
        <w:ind w:left="1440" w:hanging="360"/>
      </w:pPr>
      <w:rPr>
        <w:b/>
        <w:bCs/>
      </w:rPr>
    </w:lvl>
    <w:lvl w:ilvl="2" w:tplc="3DA8E6CC" w:tentative="1">
      <w:start w:val="1"/>
      <w:numFmt w:val="upperLetter"/>
      <w:lvlText w:val="%3."/>
      <w:lvlJc w:val="left"/>
      <w:pPr>
        <w:tabs>
          <w:tab w:val="num" w:pos="2160"/>
        </w:tabs>
        <w:ind w:left="2160" w:hanging="360"/>
      </w:pPr>
    </w:lvl>
    <w:lvl w:ilvl="3" w:tplc="ACA81818" w:tentative="1">
      <w:start w:val="1"/>
      <w:numFmt w:val="upperLetter"/>
      <w:lvlText w:val="%4."/>
      <w:lvlJc w:val="left"/>
      <w:pPr>
        <w:tabs>
          <w:tab w:val="num" w:pos="2880"/>
        </w:tabs>
        <w:ind w:left="2880" w:hanging="360"/>
      </w:pPr>
    </w:lvl>
    <w:lvl w:ilvl="4" w:tplc="D8C48342" w:tentative="1">
      <w:start w:val="1"/>
      <w:numFmt w:val="upperLetter"/>
      <w:lvlText w:val="%5."/>
      <w:lvlJc w:val="left"/>
      <w:pPr>
        <w:tabs>
          <w:tab w:val="num" w:pos="3600"/>
        </w:tabs>
        <w:ind w:left="3600" w:hanging="360"/>
      </w:pPr>
    </w:lvl>
    <w:lvl w:ilvl="5" w:tplc="E09A0764" w:tentative="1">
      <w:start w:val="1"/>
      <w:numFmt w:val="upperLetter"/>
      <w:lvlText w:val="%6."/>
      <w:lvlJc w:val="left"/>
      <w:pPr>
        <w:tabs>
          <w:tab w:val="num" w:pos="4320"/>
        </w:tabs>
        <w:ind w:left="4320" w:hanging="360"/>
      </w:pPr>
    </w:lvl>
    <w:lvl w:ilvl="6" w:tplc="E65AAA4A" w:tentative="1">
      <w:start w:val="1"/>
      <w:numFmt w:val="upperLetter"/>
      <w:lvlText w:val="%7."/>
      <w:lvlJc w:val="left"/>
      <w:pPr>
        <w:tabs>
          <w:tab w:val="num" w:pos="5040"/>
        </w:tabs>
        <w:ind w:left="5040" w:hanging="360"/>
      </w:pPr>
    </w:lvl>
    <w:lvl w:ilvl="7" w:tplc="803CE016" w:tentative="1">
      <w:start w:val="1"/>
      <w:numFmt w:val="upperLetter"/>
      <w:lvlText w:val="%8."/>
      <w:lvlJc w:val="left"/>
      <w:pPr>
        <w:tabs>
          <w:tab w:val="num" w:pos="5760"/>
        </w:tabs>
        <w:ind w:left="5760" w:hanging="360"/>
      </w:pPr>
    </w:lvl>
    <w:lvl w:ilvl="8" w:tplc="35C40656" w:tentative="1">
      <w:start w:val="1"/>
      <w:numFmt w:val="upperLetter"/>
      <w:lvlText w:val="%9."/>
      <w:lvlJc w:val="left"/>
      <w:pPr>
        <w:tabs>
          <w:tab w:val="num" w:pos="6480"/>
        </w:tabs>
        <w:ind w:left="6480" w:hanging="360"/>
      </w:pPr>
    </w:lvl>
  </w:abstractNum>
  <w:abstractNum w:abstractNumId="187" w15:restartNumberingAfterBreak="0">
    <w:nsid w:val="7A753E72"/>
    <w:multiLevelType w:val="hybridMultilevel"/>
    <w:tmpl w:val="44A82E3E"/>
    <w:lvl w:ilvl="0" w:tplc="FFFFFFFF">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72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7BAA71D1"/>
    <w:multiLevelType w:val="hybridMultilevel"/>
    <w:tmpl w:val="AF5613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7C04684E"/>
    <w:multiLevelType w:val="hybridMultilevel"/>
    <w:tmpl w:val="87E012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7C3148AF"/>
    <w:multiLevelType w:val="hybridMultilevel"/>
    <w:tmpl w:val="4AE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4B0B62"/>
    <w:multiLevelType w:val="hybridMultilevel"/>
    <w:tmpl w:val="5C3E2A9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7C8F6077"/>
    <w:multiLevelType w:val="hybridMultilevel"/>
    <w:tmpl w:val="1B2A74F2"/>
    <w:lvl w:ilvl="0" w:tplc="82349F04">
      <w:start w:val="1"/>
      <w:numFmt w:val="decimal"/>
      <w:lvlText w:val="%1."/>
      <w:lvlJc w:val="left"/>
      <w:pPr>
        <w:ind w:left="108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D962DCC"/>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4" w15:restartNumberingAfterBreak="0">
    <w:nsid w:val="7EAB2E43"/>
    <w:multiLevelType w:val="hybridMultilevel"/>
    <w:tmpl w:val="6D04D2A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EE20206"/>
    <w:multiLevelType w:val="hybridMultilevel"/>
    <w:tmpl w:val="0BBC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2629BA"/>
    <w:multiLevelType w:val="hybridMultilevel"/>
    <w:tmpl w:val="C5F4D9F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7FE41968"/>
    <w:multiLevelType w:val="multilevel"/>
    <w:tmpl w:val="279E4E08"/>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rPr>
        <w:b w:val="0"/>
        <w:color w:val="auto"/>
        <w:u w:val="none"/>
      </w:rPr>
    </w:lvl>
    <w:lvl w:ilvl="2">
      <w:start w:val="1"/>
      <w:numFmt w:val="lowerLetter"/>
      <w:lvlText w:val="%3."/>
      <w:lvlJc w:val="left"/>
      <w:pPr>
        <w:ind w:left="1800" w:hanging="360"/>
      </w:pPr>
      <w:rPr>
        <w:strike w:val="0"/>
        <w:u w:val="none"/>
      </w:rPr>
    </w:lvl>
    <w:lvl w:ilvl="3">
      <w:start w:val="1"/>
      <w:numFmt w:val="lowerRoman"/>
      <w:lvlText w:val="%4."/>
      <w:lvlJc w:val="right"/>
      <w:pPr>
        <w:ind w:left="2520" w:hanging="360"/>
      </w:pPr>
      <w:rPr>
        <w:b w:val="0"/>
        <w:u w:val="none"/>
      </w:rPr>
    </w:lvl>
    <w:lvl w:ilvl="4">
      <w:start w:val="1"/>
      <w:numFmt w:val="decimal"/>
      <w:lvlText w:val="%5)"/>
      <w:lvlJc w:val="left"/>
      <w:pPr>
        <w:ind w:left="3240" w:hanging="360"/>
      </w:pPr>
      <w:rPr>
        <w:b w:val="0"/>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677003441">
    <w:abstractNumId w:val="143"/>
  </w:num>
  <w:num w:numId="2" w16cid:durableId="1134443734">
    <w:abstractNumId w:val="66"/>
  </w:num>
  <w:num w:numId="3" w16cid:durableId="871962240">
    <w:abstractNumId w:val="146"/>
  </w:num>
  <w:num w:numId="4" w16cid:durableId="92625961">
    <w:abstractNumId w:val="104"/>
  </w:num>
  <w:num w:numId="5" w16cid:durableId="1345936218">
    <w:abstractNumId w:val="108"/>
  </w:num>
  <w:num w:numId="6" w16cid:durableId="914824954">
    <w:abstractNumId w:val="37"/>
  </w:num>
  <w:num w:numId="7" w16cid:durableId="1044258464">
    <w:abstractNumId w:val="27"/>
  </w:num>
  <w:num w:numId="8" w16cid:durableId="84040046">
    <w:abstractNumId w:val="11"/>
  </w:num>
  <w:num w:numId="9" w16cid:durableId="1316762045">
    <w:abstractNumId w:val="159"/>
  </w:num>
  <w:num w:numId="10" w16cid:durableId="314648599">
    <w:abstractNumId w:val="53"/>
  </w:num>
  <w:num w:numId="11" w16cid:durableId="2095978655">
    <w:abstractNumId w:val="84"/>
  </w:num>
  <w:num w:numId="12" w16cid:durableId="716785273">
    <w:abstractNumId w:val="148"/>
  </w:num>
  <w:num w:numId="13" w16cid:durableId="1937400853">
    <w:abstractNumId w:val="123"/>
  </w:num>
  <w:num w:numId="14" w16cid:durableId="1251163993">
    <w:abstractNumId w:val="174"/>
  </w:num>
  <w:num w:numId="15" w16cid:durableId="384960855">
    <w:abstractNumId w:val="10"/>
  </w:num>
  <w:num w:numId="16" w16cid:durableId="91896118">
    <w:abstractNumId w:val="16"/>
  </w:num>
  <w:num w:numId="17" w16cid:durableId="306282403">
    <w:abstractNumId w:val="175"/>
  </w:num>
  <w:num w:numId="18" w16cid:durableId="386682741">
    <w:abstractNumId w:val="85"/>
  </w:num>
  <w:num w:numId="19" w16cid:durableId="1228611559">
    <w:abstractNumId w:val="36"/>
  </w:num>
  <w:num w:numId="20" w16cid:durableId="1476219287">
    <w:abstractNumId w:val="103"/>
  </w:num>
  <w:num w:numId="21" w16cid:durableId="1416897416">
    <w:abstractNumId w:val="144"/>
  </w:num>
  <w:num w:numId="22" w16cid:durableId="1186869049">
    <w:abstractNumId w:val="150"/>
  </w:num>
  <w:num w:numId="23" w16cid:durableId="630018681">
    <w:abstractNumId w:val="60"/>
  </w:num>
  <w:num w:numId="24" w16cid:durableId="175270403">
    <w:abstractNumId w:val="111"/>
  </w:num>
  <w:num w:numId="25" w16cid:durableId="661659167">
    <w:abstractNumId w:val="77"/>
  </w:num>
  <w:num w:numId="26" w16cid:durableId="325517317">
    <w:abstractNumId w:val="178"/>
  </w:num>
  <w:num w:numId="27" w16cid:durableId="1607997881">
    <w:abstractNumId w:val="89"/>
  </w:num>
  <w:num w:numId="28" w16cid:durableId="11081621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67563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6959339">
    <w:abstractNumId w:val="197"/>
  </w:num>
  <w:num w:numId="31" w16cid:durableId="1907378583">
    <w:abstractNumId w:val="162"/>
  </w:num>
  <w:num w:numId="32" w16cid:durableId="332149887">
    <w:abstractNumId w:val="58"/>
  </w:num>
  <w:num w:numId="33" w16cid:durableId="1221870509">
    <w:abstractNumId w:val="31"/>
  </w:num>
  <w:num w:numId="34" w16cid:durableId="1545554800">
    <w:abstractNumId w:val="136"/>
  </w:num>
  <w:num w:numId="35" w16cid:durableId="1412005345">
    <w:abstractNumId w:val="5"/>
  </w:num>
  <w:num w:numId="36" w16cid:durableId="475026167">
    <w:abstractNumId w:val="41"/>
  </w:num>
  <w:num w:numId="37" w16cid:durableId="1087381313">
    <w:abstractNumId w:val="101"/>
  </w:num>
  <w:num w:numId="38" w16cid:durableId="500433438">
    <w:abstractNumId w:val="142"/>
  </w:num>
  <w:num w:numId="39" w16cid:durableId="600257871">
    <w:abstractNumId w:val="126"/>
  </w:num>
  <w:num w:numId="40" w16cid:durableId="47531426">
    <w:abstractNumId w:val="51"/>
  </w:num>
  <w:num w:numId="41" w16cid:durableId="332995197">
    <w:abstractNumId w:val="169"/>
  </w:num>
  <w:num w:numId="42" w16cid:durableId="7953900">
    <w:abstractNumId w:val="157"/>
  </w:num>
  <w:num w:numId="43" w16cid:durableId="41366966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23180677">
    <w:abstractNumId w:val="193"/>
  </w:num>
  <w:num w:numId="45" w16cid:durableId="485323541">
    <w:abstractNumId w:val="78"/>
  </w:num>
  <w:num w:numId="46" w16cid:durableId="1140422591">
    <w:abstractNumId w:val="83"/>
  </w:num>
  <w:num w:numId="47" w16cid:durableId="393237078">
    <w:abstractNumId w:val="176"/>
  </w:num>
  <w:num w:numId="48" w16cid:durableId="41904055">
    <w:abstractNumId w:val="55"/>
  </w:num>
  <w:num w:numId="49" w16cid:durableId="2023510667">
    <w:abstractNumId w:val="152"/>
  </w:num>
  <w:num w:numId="50" w16cid:durableId="1067994586">
    <w:abstractNumId w:val="45"/>
  </w:num>
  <w:num w:numId="51" w16cid:durableId="668676444">
    <w:abstractNumId w:val="135"/>
  </w:num>
  <w:num w:numId="52" w16cid:durableId="1281500006">
    <w:abstractNumId w:val="81"/>
  </w:num>
  <w:num w:numId="53" w16cid:durableId="2061203112">
    <w:abstractNumId w:val="42"/>
  </w:num>
  <w:num w:numId="54" w16cid:durableId="1654722509">
    <w:abstractNumId w:val="182"/>
  </w:num>
  <w:num w:numId="55" w16cid:durableId="15389342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07020032">
    <w:abstractNumId w:val="35"/>
  </w:num>
  <w:num w:numId="57" w16cid:durableId="2013028747">
    <w:abstractNumId w:val="154"/>
  </w:num>
  <w:num w:numId="58" w16cid:durableId="59716648">
    <w:abstractNumId w:val="28"/>
  </w:num>
  <w:num w:numId="59" w16cid:durableId="1844976327">
    <w:abstractNumId w:val="183"/>
  </w:num>
  <w:num w:numId="60" w16cid:durableId="47455299">
    <w:abstractNumId w:val="92"/>
  </w:num>
  <w:num w:numId="61" w16cid:durableId="751439751">
    <w:abstractNumId w:val="122"/>
  </w:num>
  <w:num w:numId="62" w16cid:durableId="92675486">
    <w:abstractNumId w:val="96"/>
  </w:num>
  <w:num w:numId="63" w16cid:durableId="2041272797">
    <w:abstractNumId w:val="194"/>
  </w:num>
  <w:num w:numId="64" w16cid:durableId="392394594">
    <w:abstractNumId w:val="73"/>
  </w:num>
  <w:num w:numId="65" w16cid:durableId="1779909653">
    <w:abstractNumId w:val="76"/>
  </w:num>
  <w:num w:numId="66" w16cid:durableId="1893997092">
    <w:abstractNumId w:val="14"/>
  </w:num>
  <w:num w:numId="67" w16cid:durableId="888372876">
    <w:abstractNumId w:val="95"/>
  </w:num>
  <w:num w:numId="68" w16cid:durableId="1905413551">
    <w:abstractNumId w:val="50"/>
  </w:num>
  <w:num w:numId="69" w16cid:durableId="941304180">
    <w:abstractNumId w:val="1"/>
  </w:num>
  <w:num w:numId="70" w16cid:durableId="78900710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90371293">
    <w:abstractNumId w:val="107"/>
  </w:num>
  <w:num w:numId="72" w16cid:durableId="2008514148">
    <w:abstractNumId w:val="29"/>
  </w:num>
  <w:num w:numId="73" w16cid:durableId="1147698763">
    <w:abstractNumId w:val="120"/>
  </w:num>
  <w:num w:numId="74" w16cid:durableId="1414662244">
    <w:abstractNumId w:val="187"/>
  </w:num>
  <w:num w:numId="75" w16cid:durableId="1237470697">
    <w:abstractNumId w:val="70"/>
  </w:num>
  <w:num w:numId="76" w16cid:durableId="1826968883">
    <w:abstractNumId w:val="65"/>
  </w:num>
  <w:num w:numId="77" w16cid:durableId="1751804269">
    <w:abstractNumId w:val="134"/>
  </w:num>
  <w:num w:numId="78" w16cid:durableId="116140259">
    <w:abstractNumId w:val="93"/>
  </w:num>
  <w:num w:numId="79" w16cid:durableId="1432966560">
    <w:abstractNumId w:val="38"/>
  </w:num>
  <w:num w:numId="80" w16cid:durableId="2028213781">
    <w:abstractNumId w:val="114"/>
  </w:num>
  <w:num w:numId="81" w16cid:durableId="205725411">
    <w:abstractNumId w:val="112"/>
  </w:num>
  <w:num w:numId="82" w16cid:durableId="221067605">
    <w:abstractNumId w:val="68"/>
  </w:num>
  <w:num w:numId="83" w16cid:durableId="777600387">
    <w:abstractNumId w:val="22"/>
  </w:num>
  <w:num w:numId="84" w16cid:durableId="193425499">
    <w:abstractNumId w:val="69"/>
  </w:num>
  <w:num w:numId="85" w16cid:durableId="1612668995">
    <w:abstractNumId w:val="109"/>
  </w:num>
  <w:num w:numId="86" w16cid:durableId="1818455311">
    <w:abstractNumId w:val="80"/>
  </w:num>
  <w:num w:numId="87" w16cid:durableId="1293753816">
    <w:abstractNumId w:val="46"/>
  </w:num>
  <w:num w:numId="88" w16cid:durableId="1805930932">
    <w:abstractNumId w:val="191"/>
  </w:num>
  <w:num w:numId="89" w16cid:durableId="1799565013">
    <w:abstractNumId w:val="147"/>
  </w:num>
  <w:num w:numId="90" w16cid:durableId="355693644">
    <w:abstractNumId w:val="156"/>
  </w:num>
  <w:num w:numId="91" w16cid:durableId="1003513263">
    <w:abstractNumId w:val="189"/>
  </w:num>
  <w:num w:numId="92" w16cid:durableId="1807426405">
    <w:abstractNumId w:val="2"/>
  </w:num>
  <w:num w:numId="93" w16cid:durableId="1203253417">
    <w:abstractNumId w:val="6"/>
  </w:num>
  <w:num w:numId="94" w16cid:durableId="331643749">
    <w:abstractNumId w:val="26"/>
  </w:num>
  <w:num w:numId="95" w16cid:durableId="337970873">
    <w:abstractNumId w:val="44"/>
  </w:num>
  <w:num w:numId="96" w16cid:durableId="214246184">
    <w:abstractNumId w:val="113"/>
  </w:num>
  <w:num w:numId="97" w16cid:durableId="1180588473">
    <w:abstractNumId w:val="125"/>
  </w:num>
  <w:num w:numId="98" w16cid:durableId="146363355">
    <w:abstractNumId w:val="106"/>
  </w:num>
  <w:num w:numId="99" w16cid:durableId="1392847327">
    <w:abstractNumId w:val="165"/>
  </w:num>
  <w:num w:numId="100" w16cid:durableId="827982352">
    <w:abstractNumId w:val="137"/>
  </w:num>
  <w:num w:numId="101" w16cid:durableId="968703433">
    <w:abstractNumId w:val="192"/>
  </w:num>
  <w:num w:numId="102" w16cid:durableId="1951694401">
    <w:abstractNumId w:val="196"/>
  </w:num>
  <w:num w:numId="103" w16cid:durableId="1662930743">
    <w:abstractNumId w:val="91"/>
  </w:num>
  <w:num w:numId="104" w16cid:durableId="1302346077">
    <w:abstractNumId w:val="33"/>
  </w:num>
  <w:num w:numId="105" w16cid:durableId="561216679">
    <w:abstractNumId w:val="188"/>
  </w:num>
  <w:num w:numId="106" w16cid:durableId="49118868">
    <w:abstractNumId w:val="100"/>
  </w:num>
  <w:num w:numId="107" w16cid:durableId="487015583">
    <w:abstractNumId w:val="170"/>
  </w:num>
  <w:num w:numId="108" w16cid:durableId="110058644">
    <w:abstractNumId w:val="153"/>
  </w:num>
  <w:num w:numId="109" w16cid:durableId="14579597">
    <w:abstractNumId w:val="25"/>
  </w:num>
  <w:num w:numId="110" w16cid:durableId="877006894">
    <w:abstractNumId w:val="141"/>
  </w:num>
  <w:num w:numId="111" w16cid:durableId="829836070">
    <w:abstractNumId w:val="82"/>
  </w:num>
  <w:num w:numId="112" w16cid:durableId="1647081582">
    <w:abstractNumId w:val="166"/>
  </w:num>
  <w:num w:numId="113" w16cid:durableId="769089336">
    <w:abstractNumId w:val="99"/>
  </w:num>
  <w:num w:numId="114" w16cid:durableId="493448289">
    <w:abstractNumId w:val="184"/>
  </w:num>
  <w:num w:numId="115" w16cid:durableId="1748072887">
    <w:abstractNumId w:val="151"/>
  </w:num>
  <w:num w:numId="116" w16cid:durableId="606043882">
    <w:abstractNumId w:val="72"/>
  </w:num>
  <w:num w:numId="117" w16cid:durableId="1750343637">
    <w:abstractNumId w:val="9"/>
  </w:num>
  <w:num w:numId="118" w16cid:durableId="1691031442">
    <w:abstractNumId w:val="173"/>
  </w:num>
  <w:num w:numId="119" w16cid:durableId="241961241">
    <w:abstractNumId w:val="186"/>
  </w:num>
  <w:num w:numId="120" w16cid:durableId="1049768451">
    <w:abstractNumId w:val="132"/>
  </w:num>
  <w:num w:numId="121" w16cid:durableId="1277446720">
    <w:abstractNumId w:val="130"/>
  </w:num>
  <w:num w:numId="122" w16cid:durableId="1027097359">
    <w:abstractNumId w:val="110"/>
  </w:num>
  <w:num w:numId="123" w16cid:durableId="1465805195">
    <w:abstractNumId w:val="155"/>
  </w:num>
  <w:num w:numId="124" w16cid:durableId="1386566756">
    <w:abstractNumId w:val="40"/>
  </w:num>
  <w:num w:numId="125" w16cid:durableId="1062867772">
    <w:abstractNumId w:val="160"/>
  </w:num>
  <w:num w:numId="126" w16cid:durableId="283999180">
    <w:abstractNumId w:val="158"/>
  </w:num>
  <w:num w:numId="127" w16cid:durableId="278537372">
    <w:abstractNumId w:val="13"/>
  </w:num>
  <w:num w:numId="128" w16cid:durableId="623542059">
    <w:abstractNumId w:val="149"/>
  </w:num>
  <w:num w:numId="129" w16cid:durableId="1736859528">
    <w:abstractNumId w:val="172"/>
  </w:num>
  <w:num w:numId="130" w16cid:durableId="1027801906">
    <w:abstractNumId w:val="138"/>
  </w:num>
  <w:num w:numId="131" w16cid:durableId="1236353448">
    <w:abstractNumId w:val="0"/>
  </w:num>
  <w:num w:numId="132" w16cid:durableId="396515471">
    <w:abstractNumId w:val="23"/>
  </w:num>
  <w:num w:numId="133" w16cid:durableId="160199096">
    <w:abstractNumId w:val="90"/>
  </w:num>
  <w:num w:numId="134" w16cid:durableId="1830094120">
    <w:abstractNumId w:val="3"/>
  </w:num>
  <w:num w:numId="135" w16cid:durableId="234776946">
    <w:abstractNumId w:val="15"/>
  </w:num>
  <w:num w:numId="136" w16cid:durableId="1167936913">
    <w:abstractNumId w:val="164"/>
  </w:num>
  <w:num w:numId="137" w16cid:durableId="243690399">
    <w:abstractNumId w:val="4"/>
  </w:num>
  <w:num w:numId="138" w16cid:durableId="1956012268">
    <w:abstractNumId w:val="171"/>
  </w:num>
  <w:num w:numId="139" w16cid:durableId="1098791888">
    <w:abstractNumId w:val="116"/>
  </w:num>
  <w:num w:numId="140" w16cid:durableId="1079518058">
    <w:abstractNumId w:val="63"/>
  </w:num>
  <w:num w:numId="141" w16cid:durableId="1016686925">
    <w:abstractNumId w:val="195"/>
  </w:num>
  <w:num w:numId="142" w16cid:durableId="2120369482">
    <w:abstractNumId w:val="7"/>
  </w:num>
  <w:num w:numId="143" w16cid:durableId="1393769944">
    <w:abstractNumId w:val="94"/>
  </w:num>
  <w:num w:numId="144" w16cid:durableId="1983148966">
    <w:abstractNumId w:val="34"/>
  </w:num>
  <w:num w:numId="145" w16cid:durableId="1991639185">
    <w:abstractNumId w:val="98"/>
  </w:num>
  <w:num w:numId="146" w16cid:durableId="1552351903">
    <w:abstractNumId w:val="30"/>
  </w:num>
  <w:num w:numId="147" w16cid:durableId="1020624319">
    <w:abstractNumId w:val="56"/>
  </w:num>
  <w:num w:numId="148" w16cid:durableId="1191796643">
    <w:abstractNumId w:val="86"/>
  </w:num>
  <w:num w:numId="149" w16cid:durableId="218983360">
    <w:abstractNumId w:val="185"/>
  </w:num>
  <w:num w:numId="150" w16cid:durableId="286936904">
    <w:abstractNumId w:val="74"/>
  </w:num>
  <w:num w:numId="151" w16cid:durableId="1700887593">
    <w:abstractNumId w:val="140"/>
  </w:num>
  <w:num w:numId="152" w16cid:durableId="1448233086">
    <w:abstractNumId w:val="18"/>
  </w:num>
  <w:num w:numId="153" w16cid:durableId="222257375">
    <w:abstractNumId w:val="54"/>
  </w:num>
  <w:num w:numId="154" w16cid:durableId="1242451312">
    <w:abstractNumId w:val="52"/>
  </w:num>
  <w:num w:numId="155" w16cid:durableId="693652209">
    <w:abstractNumId w:val="121"/>
  </w:num>
  <w:num w:numId="156" w16cid:durableId="841550842">
    <w:abstractNumId w:val="181"/>
  </w:num>
  <w:num w:numId="157" w16cid:durableId="25453388">
    <w:abstractNumId w:val="71"/>
  </w:num>
  <w:num w:numId="158" w16cid:durableId="19853072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29888069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618170953">
    <w:abstractNumId w:val="61"/>
  </w:num>
  <w:num w:numId="161" w16cid:durableId="1620334248">
    <w:abstractNumId w:val="102"/>
  </w:num>
  <w:num w:numId="162" w16cid:durableId="54207450">
    <w:abstractNumId w:val="49"/>
  </w:num>
  <w:num w:numId="163" w16cid:durableId="1167162732">
    <w:abstractNumId w:val="190"/>
  </w:num>
  <w:num w:numId="164" w16cid:durableId="2087216188">
    <w:abstractNumId w:val="57"/>
  </w:num>
  <w:num w:numId="165" w16cid:durableId="341007859">
    <w:abstractNumId w:val="21"/>
  </w:num>
  <w:num w:numId="166" w16cid:durableId="617219827">
    <w:abstractNumId w:val="133"/>
  </w:num>
  <w:num w:numId="167" w16cid:durableId="1273367571">
    <w:abstractNumId w:val="163"/>
  </w:num>
  <w:num w:numId="168" w16cid:durableId="1907376579">
    <w:abstractNumId w:val="48"/>
  </w:num>
  <w:num w:numId="169" w16cid:durableId="1862232353">
    <w:abstractNumId w:val="131"/>
  </w:num>
  <w:num w:numId="170" w16cid:durableId="6299256">
    <w:abstractNumId w:val="43"/>
  </w:num>
  <w:num w:numId="171" w16cid:durableId="633683208">
    <w:abstractNumId w:val="67"/>
  </w:num>
  <w:num w:numId="172" w16cid:durableId="1161189797">
    <w:abstractNumId w:val="129"/>
  </w:num>
  <w:num w:numId="173" w16cid:durableId="6762409">
    <w:abstractNumId w:val="24"/>
  </w:num>
  <w:num w:numId="174" w16cid:durableId="950162682">
    <w:abstractNumId w:val="118"/>
  </w:num>
  <w:num w:numId="175" w16cid:durableId="622271878">
    <w:abstractNumId w:val="127"/>
  </w:num>
  <w:num w:numId="176" w16cid:durableId="827481683">
    <w:abstractNumId w:val="145"/>
  </w:num>
  <w:num w:numId="177" w16cid:durableId="844435951">
    <w:abstractNumId w:val="79"/>
  </w:num>
  <w:num w:numId="178" w16cid:durableId="1134180089">
    <w:abstractNumId w:val="128"/>
  </w:num>
  <w:num w:numId="179" w16cid:durableId="2117359640">
    <w:abstractNumId w:val="179"/>
  </w:num>
  <w:num w:numId="180" w16cid:durableId="900097621">
    <w:abstractNumId w:val="17"/>
  </w:num>
  <w:num w:numId="181" w16cid:durableId="2140564990">
    <w:abstractNumId w:val="32"/>
  </w:num>
  <w:num w:numId="182" w16cid:durableId="1707754117">
    <w:abstractNumId w:val="47"/>
  </w:num>
  <w:num w:numId="183" w16cid:durableId="1997294577">
    <w:abstractNumId w:val="62"/>
  </w:num>
  <w:num w:numId="184" w16cid:durableId="364671473">
    <w:abstractNumId w:val="12"/>
  </w:num>
  <w:num w:numId="185" w16cid:durableId="1790202974">
    <w:abstractNumId w:val="139"/>
  </w:num>
  <w:num w:numId="186" w16cid:durableId="885675488">
    <w:abstractNumId w:val="39"/>
  </w:num>
  <w:num w:numId="187" w16cid:durableId="405346916">
    <w:abstractNumId w:val="75"/>
  </w:num>
  <w:num w:numId="188" w16cid:durableId="1681543181">
    <w:abstractNumId w:val="124"/>
  </w:num>
  <w:num w:numId="189" w16cid:durableId="1018459074">
    <w:abstractNumId w:val="64"/>
  </w:num>
  <w:num w:numId="190" w16cid:durableId="40904153">
    <w:abstractNumId w:val="59"/>
  </w:num>
  <w:num w:numId="191" w16cid:durableId="1344017506">
    <w:abstractNumId w:val="88"/>
  </w:num>
  <w:num w:numId="192" w16cid:durableId="1728803096">
    <w:abstractNumId w:val="177"/>
  </w:num>
  <w:num w:numId="193" w16cid:durableId="181361618">
    <w:abstractNumId w:val="117"/>
  </w:num>
  <w:num w:numId="194" w16cid:durableId="1922450222">
    <w:abstractNumId w:val="180"/>
  </w:num>
  <w:num w:numId="195" w16cid:durableId="492651202">
    <w:abstractNumId w:val="105"/>
  </w:num>
  <w:num w:numId="196" w16cid:durableId="42383880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779111907">
    <w:abstractNumId w:val="87"/>
  </w:num>
  <w:num w:numId="198" w16cid:durableId="12476892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687372332">
    <w:abstractNumId w:val="8"/>
  </w:num>
  <w:num w:numId="200" w16cid:durableId="486895808">
    <w:abstractNumId w:val="119"/>
  </w:num>
  <w:num w:numId="201" w16cid:durableId="1025985567">
    <w:abstractNumId w:val="19"/>
  </w:num>
  <w:num w:numId="202" w16cid:durableId="639964063">
    <w:abstractNumId w:val="167"/>
  </w:num>
  <w:num w:numId="203" w16cid:durableId="382601745">
    <w:abstractNumId w:val="168"/>
  </w:num>
  <w:num w:numId="204" w16cid:durableId="1735203513">
    <w:abstractNumId w:val="161"/>
  </w:num>
  <w:num w:numId="205" w16cid:durableId="1861123822">
    <w:abstractNumId w:val="115"/>
  </w:num>
  <w:num w:numId="206" w16cid:durableId="3437481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2074235549">
    <w:abstractNumId w:val="20"/>
  </w:num>
  <w:num w:numId="208" w16cid:durableId="524634658">
    <w:abstractNumId w:val="97"/>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3B"/>
    <w:rsid w:val="00000B10"/>
    <w:rsid w:val="00005F40"/>
    <w:rsid w:val="00006665"/>
    <w:rsid w:val="00010456"/>
    <w:rsid w:val="000174FC"/>
    <w:rsid w:val="00017DCE"/>
    <w:rsid w:val="00021CB4"/>
    <w:rsid w:val="00021F2E"/>
    <w:rsid w:val="00024B83"/>
    <w:rsid w:val="00030968"/>
    <w:rsid w:val="00031AC8"/>
    <w:rsid w:val="00031BCE"/>
    <w:rsid w:val="00031CC0"/>
    <w:rsid w:val="00032CA2"/>
    <w:rsid w:val="00033008"/>
    <w:rsid w:val="0003334D"/>
    <w:rsid w:val="00033861"/>
    <w:rsid w:val="00035AE4"/>
    <w:rsid w:val="000365EC"/>
    <w:rsid w:val="0004039D"/>
    <w:rsid w:val="00040E05"/>
    <w:rsid w:val="000421EF"/>
    <w:rsid w:val="000426D9"/>
    <w:rsid w:val="00042795"/>
    <w:rsid w:val="00044EA1"/>
    <w:rsid w:val="00045188"/>
    <w:rsid w:val="00045A82"/>
    <w:rsid w:val="00046AB2"/>
    <w:rsid w:val="0004771E"/>
    <w:rsid w:val="000511FE"/>
    <w:rsid w:val="00053F3E"/>
    <w:rsid w:val="000542FD"/>
    <w:rsid w:val="00055D30"/>
    <w:rsid w:val="0005617C"/>
    <w:rsid w:val="00056F28"/>
    <w:rsid w:val="0005704D"/>
    <w:rsid w:val="000570F4"/>
    <w:rsid w:val="00060C5B"/>
    <w:rsid w:val="000624DD"/>
    <w:rsid w:val="00063D85"/>
    <w:rsid w:val="00065BF9"/>
    <w:rsid w:val="0006609C"/>
    <w:rsid w:val="000676C8"/>
    <w:rsid w:val="000712C0"/>
    <w:rsid w:val="00071430"/>
    <w:rsid w:val="0007425D"/>
    <w:rsid w:val="00076745"/>
    <w:rsid w:val="00080874"/>
    <w:rsid w:val="00080E00"/>
    <w:rsid w:val="00081245"/>
    <w:rsid w:val="00082C22"/>
    <w:rsid w:val="000870A4"/>
    <w:rsid w:val="00087850"/>
    <w:rsid w:val="0009008A"/>
    <w:rsid w:val="00091ACE"/>
    <w:rsid w:val="000921ED"/>
    <w:rsid w:val="0009328C"/>
    <w:rsid w:val="000958C8"/>
    <w:rsid w:val="000978C2"/>
    <w:rsid w:val="000A4CAE"/>
    <w:rsid w:val="000A5D1F"/>
    <w:rsid w:val="000A6B0F"/>
    <w:rsid w:val="000A6F0F"/>
    <w:rsid w:val="000B053E"/>
    <w:rsid w:val="000B0566"/>
    <w:rsid w:val="000B0DE7"/>
    <w:rsid w:val="000B24E0"/>
    <w:rsid w:val="000B47A4"/>
    <w:rsid w:val="000B6808"/>
    <w:rsid w:val="000B78DD"/>
    <w:rsid w:val="000C07F4"/>
    <w:rsid w:val="000C2F63"/>
    <w:rsid w:val="000C394D"/>
    <w:rsid w:val="000C3B1E"/>
    <w:rsid w:val="000C4160"/>
    <w:rsid w:val="000C4EB1"/>
    <w:rsid w:val="000C678A"/>
    <w:rsid w:val="000C6CC9"/>
    <w:rsid w:val="000D19DE"/>
    <w:rsid w:val="000D2421"/>
    <w:rsid w:val="000D4270"/>
    <w:rsid w:val="000D6768"/>
    <w:rsid w:val="000D70A3"/>
    <w:rsid w:val="000D72FD"/>
    <w:rsid w:val="000D7FFC"/>
    <w:rsid w:val="000E058D"/>
    <w:rsid w:val="000E0732"/>
    <w:rsid w:val="000E1C4B"/>
    <w:rsid w:val="000E1D53"/>
    <w:rsid w:val="000E3CD3"/>
    <w:rsid w:val="000E41B3"/>
    <w:rsid w:val="000E4994"/>
    <w:rsid w:val="000E592D"/>
    <w:rsid w:val="000E62F5"/>
    <w:rsid w:val="000E78B3"/>
    <w:rsid w:val="000F0DFA"/>
    <w:rsid w:val="000F1673"/>
    <w:rsid w:val="000F24CA"/>
    <w:rsid w:val="000F2724"/>
    <w:rsid w:val="000F3D09"/>
    <w:rsid w:val="000F4A95"/>
    <w:rsid w:val="000F591C"/>
    <w:rsid w:val="000F5C62"/>
    <w:rsid w:val="001007ED"/>
    <w:rsid w:val="001037FF"/>
    <w:rsid w:val="001052F3"/>
    <w:rsid w:val="0011231C"/>
    <w:rsid w:val="001125DA"/>
    <w:rsid w:val="00112FB5"/>
    <w:rsid w:val="00113E87"/>
    <w:rsid w:val="0011467C"/>
    <w:rsid w:val="00114C4A"/>
    <w:rsid w:val="00117688"/>
    <w:rsid w:val="00120292"/>
    <w:rsid w:val="00122C6B"/>
    <w:rsid w:val="00124056"/>
    <w:rsid w:val="001241DB"/>
    <w:rsid w:val="00124B2C"/>
    <w:rsid w:val="00124ECC"/>
    <w:rsid w:val="0012629D"/>
    <w:rsid w:val="0013054F"/>
    <w:rsid w:val="00130E83"/>
    <w:rsid w:val="0013175D"/>
    <w:rsid w:val="00131B3B"/>
    <w:rsid w:val="00132179"/>
    <w:rsid w:val="001337C7"/>
    <w:rsid w:val="00133CF9"/>
    <w:rsid w:val="001342F2"/>
    <w:rsid w:val="001356DB"/>
    <w:rsid w:val="00135FBC"/>
    <w:rsid w:val="001444AE"/>
    <w:rsid w:val="001446F2"/>
    <w:rsid w:val="001472D3"/>
    <w:rsid w:val="00150477"/>
    <w:rsid w:val="00151005"/>
    <w:rsid w:val="001528D5"/>
    <w:rsid w:val="00152980"/>
    <w:rsid w:val="00153212"/>
    <w:rsid w:val="00153B66"/>
    <w:rsid w:val="0015436E"/>
    <w:rsid w:val="00154525"/>
    <w:rsid w:val="00156916"/>
    <w:rsid w:val="0016018D"/>
    <w:rsid w:val="001603B6"/>
    <w:rsid w:val="00161FBA"/>
    <w:rsid w:val="0016284B"/>
    <w:rsid w:val="0016465B"/>
    <w:rsid w:val="00165541"/>
    <w:rsid w:val="00166B7C"/>
    <w:rsid w:val="00170A91"/>
    <w:rsid w:val="001713F3"/>
    <w:rsid w:val="00172D8F"/>
    <w:rsid w:val="00174671"/>
    <w:rsid w:val="00174999"/>
    <w:rsid w:val="00174AEE"/>
    <w:rsid w:val="00175302"/>
    <w:rsid w:val="00181795"/>
    <w:rsid w:val="00184B0C"/>
    <w:rsid w:val="00184F77"/>
    <w:rsid w:val="00185884"/>
    <w:rsid w:val="001868FB"/>
    <w:rsid w:val="00186ECD"/>
    <w:rsid w:val="001900F6"/>
    <w:rsid w:val="00191170"/>
    <w:rsid w:val="0019137A"/>
    <w:rsid w:val="00191E03"/>
    <w:rsid w:val="00192C3E"/>
    <w:rsid w:val="001943BD"/>
    <w:rsid w:val="00196879"/>
    <w:rsid w:val="001A0052"/>
    <w:rsid w:val="001A14FD"/>
    <w:rsid w:val="001A1857"/>
    <w:rsid w:val="001A2A9F"/>
    <w:rsid w:val="001A2E9C"/>
    <w:rsid w:val="001A368D"/>
    <w:rsid w:val="001A4749"/>
    <w:rsid w:val="001A4E13"/>
    <w:rsid w:val="001A5C6B"/>
    <w:rsid w:val="001B2A0C"/>
    <w:rsid w:val="001B3803"/>
    <w:rsid w:val="001B4D0F"/>
    <w:rsid w:val="001B702E"/>
    <w:rsid w:val="001C3DA4"/>
    <w:rsid w:val="001C3F98"/>
    <w:rsid w:val="001C6E97"/>
    <w:rsid w:val="001D1758"/>
    <w:rsid w:val="001D17DA"/>
    <w:rsid w:val="001D25D5"/>
    <w:rsid w:val="001D44FC"/>
    <w:rsid w:val="001D496B"/>
    <w:rsid w:val="001D4A13"/>
    <w:rsid w:val="001D6CE0"/>
    <w:rsid w:val="001D74F3"/>
    <w:rsid w:val="001D78AE"/>
    <w:rsid w:val="001D78C1"/>
    <w:rsid w:val="001D7AFC"/>
    <w:rsid w:val="001E0785"/>
    <w:rsid w:val="001E1278"/>
    <w:rsid w:val="001E16B0"/>
    <w:rsid w:val="001E3509"/>
    <w:rsid w:val="001E39F3"/>
    <w:rsid w:val="001E438F"/>
    <w:rsid w:val="001E48A7"/>
    <w:rsid w:val="001E4B45"/>
    <w:rsid w:val="001E5090"/>
    <w:rsid w:val="001E5E0A"/>
    <w:rsid w:val="001E7726"/>
    <w:rsid w:val="001E7EDC"/>
    <w:rsid w:val="001F0A8F"/>
    <w:rsid w:val="001F12D4"/>
    <w:rsid w:val="001F134B"/>
    <w:rsid w:val="001F1407"/>
    <w:rsid w:val="001F186F"/>
    <w:rsid w:val="001F23FC"/>
    <w:rsid w:val="001F26DF"/>
    <w:rsid w:val="001F2EDA"/>
    <w:rsid w:val="001F36A8"/>
    <w:rsid w:val="001F599F"/>
    <w:rsid w:val="001F59F4"/>
    <w:rsid w:val="001F5C90"/>
    <w:rsid w:val="001F5E1E"/>
    <w:rsid w:val="0020073F"/>
    <w:rsid w:val="00202959"/>
    <w:rsid w:val="00204CA3"/>
    <w:rsid w:val="002071E8"/>
    <w:rsid w:val="0021166F"/>
    <w:rsid w:val="00213055"/>
    <w:rsid w:val="002166AA"/>
    <w:rsid w:val="002168EF"/>
    <w:rsid w:val="00220024"/>
    <w:rsid w:val="002202F7"/>
    <w:rsid w:val="002234BF"/>
    <w:rsid w:val="00224A6C"/>
    <w:rsid w:val="00224F85"/>
    <w:rsid w:val="00224FB4"/>
    <w:rsid w:val="002251ED"/>
    <w:rsid w:val="0022546F"/>
    <w:rsid w:val="00226A94"/>
    <w:rsid w:val="0023006B"/>
    <w:rsid w:val="00231CE1"/>
    <w:rsid w:val="002322D1"/>
    <w:rsid w:val="00234A19"/>
    <w:rsid w:val="0023617A"/>
    <w:rsid w:val="00241912"/>
    <w:rsid w:val="00242545"/>
    <w:rsid w:val="00247063"/>
    <w:rsid w:val="002471F1"/>
    <w:rsid w:val="00247911"/>
    <w:rsid w:val="00247BC5"/>
    <w:rsid w:val="00250846"/>
    <w:rsid w:val="002509BE"/>
    <w:rsid w:val="00251C04"/>
    <w:rsid w:val="00251F62"/>
    <w:rsid w:val="002522BD"/>
    <w:rsid w:val="002534BC"/>
    <w:rsid w:val="00253844"/>
    <w:rsid w:val="00253C8F"/>
    <w:rsid w:val="00254590"/>
    <w:rsid w:val="00254F22"/>
    <w:rsid w:val="002577E0"/>
    <w:rsid w:val="0026113A"/>
    <w:rsid w:val="00261C68"/>
    <w:rsid w:val="00264240"/>
    <w:rsid w:val="00264CB6"/>
    <w:rsid w:val="00265E61"/>
    <w:rsid w:val="00270797"/>
    <w:rsid w:val="00272316"/>
    <w:rsid w:val="0027343E"/>
    <w:rsid w:val="00274110"/>
    <w:rsid w:val="00275154"/>
    <w:rsid w:val="00276393"/>
    <w:rsid w:val="0027639B"/>
    <w:rsid w:val="002778CF"/>
    <w:rsid w:val="00277CEB"/>
    <w:rsid w:val="002804C0"/>
    <w:rsid w:val="00280736"/>
    <w:rsid w:val="00283E00"/>
    <w:rsid w:val="002841C5"/>
    <w:rsid w:val="0028469F"/>
    <w:rsid w:val="00284721"/>
    <w:rsid w:val="002868BF"/>
    <w:rsid w:val="00290DC8"/>
    <w:rsid w:val="00291B49"/>
    <w:rsid w:val="00292160"/>
    <w:rsid w:val="00293FC3"/>
    <w:rsid w:val="0029787A"/>
    <w:rsid w:val="002979D4"/>
    <w:rsid w:val="002A122D"/>
    <w:rsid w:val="002A1828"/>
    <w:rsid w:val="002A25CC"/>
    <w:rsid w:val="002A3107"/>
    <w:rsid w:val="002A336C"/>
    <w:rsid w:val="002A50BA"/>
    <w:rsid w:val="002A57B2"/>
    <w:rsid w:val="002A5A6C"/>
    <w:rsid w:val="002A6D28"/>
    <w:rsid w:val="002A7568"/>
    <w:rsid w:val="002B0C72"/>
    <w:rsid w:val="002B12FB"/>
    <w:rsid w:val="002B3CC5"/>
    <w:rsid w:val="002B7A28"/>
    <w:rsid w:val="002B7D08"/>
    <w:rsid w:val="002C0F8D"/>
    <w:rsid w:val="002C21C2"/>
    <w:rsid w:val="002C27D3"/>
    <w:rsid w:val="002C5475"/>
    <w:rsid w:val="002C5D55"/>
    <w:rsid w:val="002C7DBC"/>
    <w:rsid w:val="002C7DD7"/>
    <w:rsid w:val="002D0732"/>
    <w:rsid w:val="002D0C07"/>
    <w:rsid w:val="002D148B"/>
    <w:rsid w:val="002D1F9F"/>
    <w:rsid w:val="002D27D3"/>
    <w:rsid w:val="002D6363"/>
    <w:rsid w:val="002E03FA"/>
    <w:rsid w:val="002E2E9D"/>
    <w:rsid w:val="002E2FBA"/>
    <w:rsid w:val="002E3301"/>
    <w:rsid w:val="002E77F3"/>
    <w:rsid w:val="002F1104"/>
    <w:rsid w:val="002F2E44"/>
    <w:rsid w:val="002F364A"/>
    <w:rsid w:val="002F4B2B"/>
    <w:rsid w:val="002F61C6"/>
    <w:rsid w:val="00300B31"/>
    <w:rsid w:val="00301E2A"/>
    <w:rsid w:val="00302CB9"/>
    <w:rsid w:val="003038F7"/>
    <w:rsid w:val="003046E4"/>
    <w:rsid w:val="00304C5D"/>
    <w:rsid w:val="00305356"/>
    <w:rsid w:val="003060CF"/>
    <w:rsid w:val="00306418"/>
    <w:rsid w:val="00306D07"/>
    <w:rsid w:val="0031049A"/>
    <w:rsid w:val="0031384C"/>
    <w:rsid w:val="00314990"/>
    <w:rsid w:val="00315A4A"/>
    <w:rsid w:val="00317330"/>
    <w:rsid w:val="00317BC6"/>
    <w:rsid w:val="00320E1B"/>
    <w:rsid w:val="00323063"/>
    <w:rsid w:val="00323558"/>
    <w:rsid w:val="00325A4D"/>
    <w:rsid w:val="00325DD5"/>
    <w:rsid w:val="00326104"/>
    <w:rsid w:val="00327B21"/>
    <w:rsid w:val="00327EB1"/>
    <w:rsid w:val="00330FD5"/>
    <w:rsid w:val="003312ED"/>
    <w:rsid w:val="00331FDD"/>
    <w:rsid w:val="003322BE"/>
    <w:rsid w:val="00334089"/>
    <w:rsid w:val="00335749"/>
    <w:rsid w:val="00335DF1"/>
    <w:rsid w:val="00341FD4"/>
    <w:rsid w:val="00343A8F"/>
    <w:rsid w:val="00343C18"/>
    <w:rsid w:val="00346D79"/>
    <w:rsid w:val="00347146"/>
    <w:rsid w:val="00350F68"/>
    <w:rsid w:val="00352C39"/>
    <w:rsid w:val="00354194"/>
    <w:rsid w:val="00357440"/>
    <w:rsid w:val="00357663"/>
    <w:rsid w:val="003608FD"/>
    <w:rsid w:val="00361FAA"/>
    <w:rsid w:val="00362555"/>
    <w:rsid w:val="00362DBB"/>
    <w:rsid w:val="00362EFA"/>
    <w:rsid w:val="003638EB"/>
    <w:rsid w:val="003649B4"/>
    <w:rsid w:val="00370F48"/>
    <w:rsid w:val="003721AB"/>
    <w:rsid w:val="00372A97"/>
    <w:rsid w:val="0037353B"/>
    <w:rsid w:val="00373FB5"/>
    <w:rsid w:val="003748E2"/>
    <w:rsid w:val="003751BC"/>
    <w:rsid w:val="00376768"/>
    <w:rsid w:val="00376D65"/>
    <w:rsid w:val="00380FE2"/>
    <w:rsid w:val="00381692"/>
    <w:rsid w:val="003823AA"/>
    <w:rsid w:val="00382F85"/>
    <w:rsid w:val="00383D2C"/>
    <w:rsid w:val="00387879"/>
    <w:rsid w:val="00391B03"/>
    <w:rsid w:val="00391B54"/>
    <w:rsid w:val="00392923"/>
    <w:rsid w:val="003930B5"/>
    <w:rsid w:val="0039422F"/>
    <w:rsid w:val="0039425F"/>
    <w:rsid w:val="00394A79"/>
    <w:rsid w:val="003955EF"/>
    <w:rsid w:val="00395C6B"/>
    <w:rsid w:val="00396FCC"/>
    <w:rsid w:val="00397CFA"/>
    <w:rsid w:val="00397D3C"/>
    <w:rsid w:val="003A1F14"/>
    <w:rsid w:val="003A3116"/>
    <w:rsid w:val="003A3864"/>
    <w:rsid w:val="003A5250"/>
    <w:rsid w:val="003A71E1"/>
    <w:rsid w:val="003B19D0"/>
    <w:rsid w:val="003B1F8F"/>
    <w:rsid w:val="003B2BCC"/>
    <w:rsid w:val="003B3182"/>
    <w:rsid w:val="003B6C2F"/>
    <w:rsid w:val="003C0777"/>
    <w:rsid w:val="003C34B8"/>
    <w:rsid w:val="003C51BF"/>
    <w:rsid w:val="003C7783"/>
    <w:rsid w:val="003C788F"/>
    <w:rsid w:val="003D1AB4"/>
    <w:rsid w:val="003D1CFC"/>
    <w:rsid w:val="003D2232"/>
    <w:rsid w:val="003D2376"/>
    <w:rsid w:val="003D2FD2"/>
    <w:rsid w:val="003D43BA"/>
    <w:rsid w:val="003D4D47"/>
    <w:rsid w:val="003D6447"/>
    <w:rsid w:val="003E0552"/>
    <w:rsid w:val="003E0740"/>
    <w:rsid w:val="003E1DA8"/>
    <w:rsid w:val="003E255C"/>
    <w:rsid w:val="003E42CF"/>
    <w:rsid w:val="003E4F2B"/>
    <w:rsid w:val="003E509A"/>
    <w:rsid w:val="003F0248"/>
    <w:rsid w:val="003F36A1"/>
    <w:rsid w:val="003F3C47"/>
    <w:rsid w:val="003F444C"/>
    <w:rsid w:val="003F4C43"/>
    <w:rsid w:val="003F63A2"/>
    <w:rsid w:val="003F6CAF"/>
    <w:rsid w:val="003F7FC7"/>
    <w:rsid w:val="00401265"/>
    <w:rsid w:val="00401F86"/>
    <w:rsid w:val="00403003"/>
    <w:rsid w:val="00404468"/>
    <w:rsid w:val="00405765"/>
    <w:rsid w:val="00407AF4"/>
    <w:rsid w:val="00407F43"/>
    <w:rsid w:val="004129C6"/>
    <w:rsid w:val="00412F03"/>
    <w:rsid w:val="0041482B"/>
    <w:rsid w:val="00416563"/>
    <w:rsid w:val="0041748C"/>
    <w:rsid w:val="004222EB"/>
    <w:rsid w:val="0042268F"/>
    <w:rsid w:val="004245CA"/>
    <w:rsid w:val="0042526C"/>
    <w:rsid w:val="00425458"/>
    <w:rsid w:val="00425AEA"/>
    <w:rsid w:val="00425DE5"/>
    <w:rsid w:val="0042610F"/>
    <w:rsid w:val="004267C0"/>
    <w:rsid w:val="0043081D"/>
    <w:rsid w:val="00430D13"/>
    <w:rsid w:val="00431452"/>
    <w:rsid w:val="004336C8"/>
    <w:rsid w:val="00433914"/>
    <w:rsid w:val="00433F05"/>
    <w:rsid w:val="0043459A"/>
    <w:rsid w:val="0043466A"/>
    <w:rsid w:val="00434782"/>
    <w:rsid w:val="00435784"/>
    <w:rsid w:val="004359A6"/>
    <w:rsid w:val="004361B1"/>
    <w:rsid w:val="00436DA0"/>
    <w:rsid w:val="00441CA3"/>
    <w:rsid w:val="00441D1E"/>
    <w:rsid w:val="004428FA"/>
    <w:rsid w:val="00442B21"/>
    <w:rsid w:val="004433A2"/>
    <w:rsid w:val="0044343E"/>
    <w:rsid w:val="0044552B"/>
    <w:rsid w:val="00445990"/>
    <w:rsid w:val="00446665"/>
    <w:rsid w:val="0044778D"/>
    <w:rsid w:val="0045015E"/>
    <w:rsid w:val="00450F23"/>
    <w:rsid w:val="00452825"/>
    <w:rsid w:val="00454D84"/>
    <w:rsid w:val="00455B19"/>
    <w:rsid w:val="0045663A"/>
    <w:rsid w:val="00457F74"/>
    <w:rsid w:val="00457F93"/>
    <w:rsid w:val="0046314A"/>
    <w:rsid w:val="0046697F"/>
    <w:rsid w:val="00466B4C"/>
    <w:rsid w:val="00470CAE"/>
    <w:rsid w:val="00471CEB"/>
    <w:rsid w:val="004722A2"/>
    <w:rsid w:val="00473CF9"/>
    <w:rsid w:val="0047420C"/>
    <w:rsid w:val="00474344"/>
    <w:rsid w:val="00474390"/>
    <w:rsid w:val="00474F81"/>
    <w:rsid w:val="00474FA0"/>
    <w:rsid w:val="004752C7"/>
    <w:rsid w:val="00475EC8"/>
    <w:rsid w:val="004769B7"/>
    <w:rsid w:val="00477BCD"/>
    <w:rsid w:val="00477CBC"/>
    <w:rsid w:val="00481A41"/>
    <w:rsid w:val="00482096"/>
    <w:rsid w:val="00484464"/>
    <w:rsid w:val="00484731"/>
    <w:rsid w:val="00485010"/>
    <w:rsid w:val="00485074"/>
    <w:rsid w:val="00487B19"/>
    <w:rsid w:val="00487D6D"/>
    <w:rsid w:val="00487FA2"/>
    <w:rsid w:val="004943F2"/>
    <w:rsid w:val="0049548D"/>
    <w:rsid w:val="00496202"/>
    <w:rsid w:val="004A2A35"/>
    <w:rsid w:val="004A3187"/>
    <w:rsid w:val="004A51B1"/>
    <w:rsid w:val="004A5961"/>
    <w:rsid w:val="004B448A"/>
    <w:rsid w:val="004B64C5"/>
    <w:rsid w:val="004C1FD6"/>
    <w:rsid w:val="004C319F"/>
    <w:rsid w:val="004C353B"/>
    <w:rsid w:val="004C749D"/>
    <w:rsid w:val="004C7ADA"/>
    <w:rsid w:val="004D0D4C"/>
    <w:rsid w:val="004D3D1C"/>
    <w:rsid w:val="004D4260"/>
    <w:rsid w:val="004D5241"/>
    <w:rsid w:val="004D5594"/>
    <w:rsid w:val="004D7100"/>
    <w:rsid w:val="004D73C7"/>
    <w:rsid w:val="004D7510"/>
    <w:rsid w:val="004E055A"/>
    <w:rsid w:val="004E07D9"/>
    <w:rsid w:val="004E3CA0"/>
    <w:rsid w:val="004E6482"/>
    <w:rsid w:val="004E69C6"/>
    <w:rsid w:val="004E7679"/>
    <w:rsid w:val="004F0314"/>
    <w:rsid w:val="004F45B6"/>
    <w:rsid w:val="004F50D3"/>
    <w:rsid w:val="004F6F95"/>
    <w:rsid w:val="004F72D6"/>
    <w:rsid w:val="004F7BDB"/>
    <w:rsid w:val="005009CD"/>
    <w:rsid w:val="00501153"/>
    <w:rsid w:val="0050287A"/>
    <w:rsid w:val="00504AAF"/>
    <w:rsid w:val="00504D49"/>
    <w:rsid w:val="00505F46"/>
    <w:rsid w:val="00506F36"/>
    <w:rsid w:val="0051397C"/>
    <w:rsid w:val="00513E24"/>
    <w:rsid w:val="0052099B"/>
    <w:rsid w:val="00522391"/>
    <w:rsid w:val="00526493"/>
    <w:rsid w:val="00526AD8"/>
    <w:rsid w:val="0052707C"/>
    <w:rsid w:val="00527973"/>
    <w:rsid w:val="00530676"/>
    <w:rsid w:val="00531903"/>
    <w:rsid w:val="00536DA4"/>
    <w:rsid w:val="00536DC9"/>
    <w:rsid w:val="00537A27"/>
    <w:rsid w:val="00540A00"/>
    <w:rsid w:val="00541225"/>
    <w:rsid w:val="005427AD"/>
    <w:rsid w:val="00543246"/>
    <w:rsid w:val="00544116"/>
    <w:rsid w:val="00544727"/>
    <w:rsid w:val="00544730"/>
    <w:rsid w:val="00544971"/>
    <w:rsid w:val="005457E1"/>
    <w:rsid w:val="00546AE8"/>
    <w:rsid w:val="00551298"/>
    <w:rsid w:val="005528E0"/>
    <w:rsid w:val="005538F5"/>
    <w:rsid w:val="00553CF2"/>
    <w:rsid w:val="00554DD0"/>
    <w:rsid w:val="0055653E"/>
    <w:rsid w:val="00557E62"/>
    <w:rsid w:val="00557FD8"/>
    <w:rsid w:val="005601DF"/>
    <w:rsid w:val="0056025A"/>
    <w:rsid w:val="00562016"/>
    <w:rsid w:val="00562105"/>
    <w:rsid w:val="00562D0E"/>
    <w:rsid w:val="00563F42"/>
    <w:rsid w:val="005657CF"/>
    <w:rsid w:val="00566B00"/>
    <w:rsid w:val="00567CA8"/>
    <w:rsid w:val="00571D81"/>
    <w:rsid w:val="00572499"/>
    <w:rsid w:val="00573CA6"/>
    <w:rsid w:val="00574B65"/>
    <w:rsid w:val="00574E7A"/>
    <w:rsid w:val="00576123"/>
    <w:rsid w:val="00580E0B"/>
    <w:rsid w:val="00580F60"/>
    <w:rsid w:val="005815A8"/>
    <w:rsid w:val="00584411"/>
    <w:rsid w:val="0058569D"/>
    <w:rsid w:val="00587DBC"/>
    <w:rsid w:val="00587FED"/>
    <w:rsid w:val="00590DCB"/>
    <w:rsid w:val="00591635"/>
    <w:rsid w:val="005919FC"/>
    <w:rsid w:val="00591D6E"/>
    <w:rsid w:val="00592BA4"/>
    <w:rsid w:val="00593BA8"/>
    <w:rsid w:val="005944F1"/>
    <w:rsid w:val="005947BE"/>
    <w:rsid w:val="00595AC7"/>
    <w:rsid w:val="00596350"/>
    <w:rsid w:val="00596BAB"/>
    <w:rsid w:val="005A14DC"/>
    <w:rsid w:val="005A2540"/>
    <w:rsid w:val="005A2F6B"/>
    <w:rsid w:val="005A3517"/>
    <w:rsid w:val="005A39FB"/>
    <w:rsid w:val="005A3F31"/>
    <w:rsid w:val="005A3F71"/>
    <w:rsid w:val="005A4E59"/>
    <w:rsid w:val="005A5AC4"/>
    <w:rsid w:val="005B0B41"/>
    <w:rsid w:val="005B62C3"/>
    <w:rsid w:val="005B68B1"/>
    <w:rsid w:val="005C0FB4"/>
    <w:rsid w:val="005C159D"/>
    <w:rsid w:val="005C2D31"/>
    <w:rsid w:val="005C323D"/>
    <w:rsid w:val="005C6B1C"/>
    <w:rsid w:val="005C79E6"/>
    <w:rsid w:val="005C7DE2"/>
    <w:rsid w:val="005D0475"/>
    <w:rsid w:val="005D0572"/>
    <w:rsid w:val="005D0578"/>
    <w:rsid w:val="005D09B0"/>
    <w:rsid w:val="005D2BF9"/>
    <w:rsid w:val="005D3903"/>
    <w:rsid w:val="005D3D37"/>
    <w:rsid w:val="005D415A"/>
    <w:rsid w:val="005D4E8A"/>
    <w:rsid w:val="005D640F"/>
    <w:rsid w:val="005D72E9"/>
    <w:rsid w:val="005D766A"/>
    <w:rsid w:val="005E3056"/>
    <w:rsid w:val="005E3840"/>
    <w:rsid w:val="005E38DE"/>
    <w:rsid w:val="005E41A9"/>
    <w:rsid w:val="005E4992"/>
    <w:rsid w:val="005E4C50"/>
    <w:rsid w:val="005E5DBF"/>
    <w:rsid w:val="005E5FBD"/>
    <w:rsid w:val="005E7419"/>
    <w:rsid w:val="005F18F9"/>
    <w:rsid w:val="005F21DF"/>
    <w:rsid w:val="005F3B5E"/>
    <w:rsid w:val="005F3D4E"/>
    <w:rsid w:val="005F4A16"/>
    <w:rsid w:val="005F79F5"/>
    <w:rsid w:val="00601BEE"/>
    <w:rsid w:val="00603DDD"/>
    <w:rsid w:val="00605D50"/>
    <w:rsid w:val="006062E6"/>
    <w:rsid w:val="006108B2"/>
    <w:rsid w:val="00611FB3"/>
    <w:rsid w:val="00612448"/>
    <w:rsid w:val="00613630"/>
    <w:rsid w:val="00613FA1"/>
    <w:rsid w:val="00614227"/>
    <w:rsid w:val="00614C1A"/>
    <w:rsid w:val="00615F7B"/>
    <w:rsid w:val="006167BE"/>
    <w:rsid w:val="00620F83"/>
    <w:rsid w:val="00621914"/>
    <w:rsid w:val="006244A4"/>
    <w:rsid w:val="00624811"/>
    <w:rsid w:val="00626347"/>
    <w:rsid w:val="006266FD"/>
    <w:rsid w:val="00626E37"/>
    <w:rsid w:val="006321F8"/>
    <w:rsid w:val="006345A6"/>
    <w:rsid w:val="00635816"/>
    <w:rsid w:val="006375CF"/>
    <w:rsid w:val="00637642"/>
    <w:rsid w:val="00637CBC"/>
    <w:rsid w:val="00640785"/>
    <w:rsid w:val="00641275"/>
    <w:rsid w:val="00644004"/>
    <w:rsid w:val="006441CE"/>
    <w:rsid w:val="00646884"/>
    <w:rsid w:val="00646D5A"/>
    <w:rsid w:val="0064728B"/>
    <w:rsid w:val="00647469"/>
    <w:rsid w:val="00647502"/>
    <w:rsid w:val="00650B77"/>
    <w:rsid w:val="0065290E"/>
    <w:rsid w:val="00656E09"/>
    <w:rsid w:val="0065716F"/>
    <w:rsid w:val="00657DBA"/>
    <w:rsid w:val="00657DF9"/>
    <w:rsid w:val="00660280"/>
    <w:rsid w:val="00660407"/>
    <w:rsid w:val="00662136"/>
    <w:rsid w:val="0066566F"/>
    <w:rsid w:val="006705D9"/>
    <w:rsid w:val="00671953"/>
    <w:rsid w:val="00671C5B"/>
    <w:rsid w:val="00673129"/>
    <w:rsid w:val="00673B66"/>
    <w:rsid w:val="00675EE3"/>
    <w:rsid w:val="006761C3"/>
    <w:rsid w:val="00676296"/>
    <w:rsid w:val="00676B1C"/>
    <w:rsid w:val="00676B33"/>
    <w:rsid w:val="0067742B"/>
    <w:rsid w:val="00681FCE"/>
    <w:rsid w:val="00684112"/>
    <w:rsid w:val="0068477C"/>
    <w:rsid w:val="006908CF"/>
    <w:rsid w:val="00694A4B"/>
    <w:rsid w:val="00697DC1"/>
    <w:rsid w:val="006A0B58"/>
    <w:rsid w:val="006A0CA5"/>
    <w:rsid w:val="006A3309"/>
    <w:rsid w:val="006A3ED6"/>
    <w:rsid w:val="006A5BDD"/>
    <w:rsid w:val="006A6338"/>
    <w:rsid w:val="006A7E06"/>
    <w:rsid w:val="006B0A61"/>
    <w:rsid w:val="006B11A7"/>
    <w:rsid w:val="006B2D34"/>
    <w:rsid w:val="006B3133"/>
    <w:rsid w:val="006B324E"/>
    <w:rsid w:val="006B52DD"/>
    <w:rsid w:val="006B698B"/>
    <w:rsid w:val="006C0FBD"/>
    <w:rsid w:val="006C17AB"/>
    <w:rsid w:val="006C1DCC"/>
    <w:rsid w:val="006C2E4A"/>
    <w:rsid w:val="006C402E"/>
    <w:rsid w:val="006C476D"/>
    <w:rsid w:val="006C68B5"/>
    <w:rsid w:val="006C7A1C"/>
    <w:rsid w:val="006C7C78"/>
    <w:rsid w:val="006D0249"/>
    <w:rsid w:val="006D44DB"/>
    <w:rsid w:val="006D4C19"/>
    <w:rsid w:val="006D6EB0"/>
    <w:rsid w:val="006D7ECD"/>
    <w:rsid w:val="006E1EE0"/>
    <w:rsid w:val="006E3BEA"/>
    <w:rsid w:val="006E5079"/>
    <w:rsid w:val="006E5910"/>
    <w:rsid w:val="006E747E"/>
    <w:rsid w:val="006F0BE3"/>
    <w:rsid w:val="006F0D49"/>
    <w:rsid w:val="006F1C44"/>
    <w:rsid w:val="006F2FB3"/>
    <w:rsid w:val="006F33C6"/>
    <w:rsid w:val="006F45D7"/>
    <w:rsid w:val="006F7CC6"/>
    <w:rsid w:val="00700185"/>
    <w:rsid w:val="00700C05"/>
    <w:rsid w:val="007027EC"/>
    <w:rsid w:val="007041C9"/>
    <w:rsid w:val="00705F7B"/>
    <w:rsid w:val="007067B1"/>
    <w:rsid w:val="00707166"/>
    <w:rsid w:val="007074D3"/>
    <w:rsid w:val="00707A52"/>
    <w:rsid w:val="00707D63"/>
    <w:rsid w:val="00710009"/>
    <w:rsid w:val="0071059E"/>
    <w:rsid w:val="0071077F"/>
    <w:rsid w:val="0071083C"/>
    <w:rsid w:val="00710AD8"/>
    <w:rsid w:val="00711F3A"/>
    <w:rsid w:val="00712F33"/>
    <w:rsid w:val="007134EC"/>
    <w:rsid w:val="00715003"/>
    <w:rsid w:val="0071626D"/>
    <w:rsid w:val="0071792E"/>
    <w:rsid w:val="00720072"/>
    <w:rsid w:val="0072330A"/>
    <w:rsid w:val="00723459"/>
    <w:rsid w:val="007249C2"/>
    <w:rsid w:val="00725C0D"/>
    <w:rsid w:val="00725CBF"/>
    <w:rsid w:val="007264E7"/>
    <w:rsid w:val="00727953"/>
    <w:rsid w:val="00730DB0"/>
    <w:rsid w:val="00731DD1"/>
    <w:rsid w:val="00733114"/>
    <w:rsid w:val="00734C45"/>
    <w:rsid w:val="00736619"/>
    <w:rsid w:val="00740491"/>
    <w:rsid w:val="007426BF"/>
    <w:rsid w:val="00745C45"/>
    <w:rsid w:val="00745D31"/>
    <w:rsid w:val="00746A4E"/>
    <w:rsid w:val="00747706"/>
    <w:rsid w:val="00752ED8"/>
    <w:rsid w:val="007536A9"/>
    <w:rsid w:val="00756235"/>
    <w:rsid w:val="00756A9E"/>
    <w:rsid w:val="00760A97"/>
    <w:rsid w:val="00762137"/>
    <w:rsid w:val="00762A6E"/>
    <w:rsid w:val="00764B1B"/>
    <w:rsid w:val="007650FE"/>
    <w:rsid w:val="007658AD"/>
    <w:rsid w:val="00771F8A"/>
    <w:rsid w:val="007761C1"/>
    <w:rsid w:val="00776AB8"/>
    <w:rsid w:val="007771F1"/>
    <w:rsid w:val="0078031C"/>
    <w:rsid w:val="00781345"/>
    <w:rsid w:val="00783050"/>
    <w:rsid w:val="00784974"/>
    <w:rsid w:val="00785F21"/>
    <w:rsid w:val="00786C42"/>
    <w:rsid w:val="00787594"/>
    <w:rsid w:val="00787936"/>
    <w:rsid w:val="007901DE"/>
    <w:rsid w:val="00791491"/>
    <w:rsid w:val="00793B97"/>
    <w:rsid w:val="00793F02"/>
    <w:rsid w:val="007A04F2"/>
    <w:rsid w:val="007A1B68"/>
    <w:rsid w:val="007A3744"/>
    <w:rsid w:val="007A775B"/>
    <w:rsid w:val="007B28FB"/>
    <w:rsid w:val="007B2A0E"/>
    <w:rsid w:val="007B3225"/>
    <w:rsid w:val="007B4C26"/>
    <w:rsid w:val="007B5979"/>
    <w:rsid w:val="007C0B15"/>
    <w:rsid w:val="007C0B51"/>
    <w:rsid w:val="007C1CB4"/>
    <w:rsid w:val="007C2085"/>
    <w:rsid w:val="007C218B"/>
    <w:rsid w:val="007C3584"/>
    <w:rsid w:val="007C3C6E"/>
    <w:rsid w:val="007C5DC4"/>
    <w:rsid w:val="007C7727"/>
    <w:rsid w:val="007C7A98"/>
    <w:rsid w:val="007D1CFF"/>
    <w:rsid w:val="007D2B22"/>
    <w:rsid w:val="007D2D4A"/>
    <w:rsid w:val="007D3723"/>
    <w:rsid w:val="007D43F4"/>
    <w:rsid w:val="007D59A2"/>
    <w:rsid w:val="007D7396"/>
    <w:rsid w:val="007E4485"/>
    <w:rsid w:val="007E521D"/>
    <w:rsid w:val="007E577B"/>
    <w:rsid w:val="007F0219"/>
    <w:rsid w:val="007F25A3"/>
    <w:rsid w:val="007F2D24"/>
    <w:rsid w:val="007F2E58"/>
    <w:rsid w:val="007F563D"/>
    <w:rsid w:val="007F5E9D"/>
    <w:rsid w:val="007F769A"/>
    <w:rsid w:val="00801B16"/>
    <w:rsid w:val="008026DA"/>
    <w:rsid w:val="008029C0"/>
    <w:rsid w:val="008061B2"/>
    <w:rsid w:val="0080743B"/>
    <w:rsid w:val="0081269D"/>
    <w:rsid w:val="00812C4F"/>
    <w:rsid w:val="008130D0"/>
    <w:rsid w:val="00813D8E"/>
    <w:rsid w:val="00816126"/>
    <w:rsid w:val="008174AD"/>
    <w:rsid w:val="008204D4"/>
    <w:rsid w:val="0082353A"/>
    <w:rsid w:val="008240DC"/>
    <w:rsid w:val="0082516D"/>
    <w:rsid w:val="008268CA"/>
    <w:rsid w:val="00826A6B"/>
    <w:rsid w:val="00827F51"/>
    <w:rsid w:val="00831552"/>
    <w:rsid w:val="00832ADD"/>
    <w:rsid w:val="00833213"/>
    <w:rsid w:val="008349F5"/>
    <w:rsid w:val="00837A86"/>
    <w:rsid w:val="00840180"/>
    <w:rsid w:val="00840615"/>
    <w:rsid w:val="0084256E"/>
    <w:rsid w:val="008425B0"/>
    <w:rsid w:val="008431BD"/>
    <w:rsid w:val="0084391E"/>
    <w:rsid w:val="00843A61"/>
    <w:rsid w:val="00843F55"/>
    <w:rsid w:val="00851712"/>
    <w:rsid w:val="00854CD3"/>
    <w:rsid w:val="00855B1A"/>
    <w:rsid w:val="00855F99"/>
    <w:rsid w:val="008616E9"/>
    <w:rsid w:val="00862B58"/>
    <w:rsid w:val="0086426B"/>
    <w:rsid w:val="0086625A"/>
    <w:rsid w:val="008678FE"/>
    <w:rsid w:val="008708F2"/>
    <w:rsid w:val="0087151B"/>
    <w:rsid w:val="00871EA2"/>
    <w:rsid w:val="00872B29"/>
    <w:rsid w:val="00873C95"/>
    <w:rsid w:val="008748CD"/>
    <w:rsid w:val="00875D0D"/>
    <w:rsid w:val="00876604"/>
    <w:rsid w:val="00881478"/>
    <w:rsid w:val="0088333F"/>
    <w:rsid w:val="00884B2E"/>
    <w:rsid w:val="0088697B"/>
    <w:rsid w:val="008907CB"/>
    <w:rsid w:val="0089327E"/>
    <w:rsid w:val="00893DFB"/>
    <w:rsid w:val="008949B5"/>
    <w:rsid w:val="00895542"/>
    <w:rsid w:val="00896DD8"/>
    <w:rsid w:val="008970F6"/>
    <w:rsid w:val="00897130"/>
    <w:rsid w:val="0089764E"/>
    <w:rsid w:val="008A020D"/>
    <w:rsid w:val="008A0FF3"/>
    <w:rsid w:val="008A213B"/>
    <w:rsid w:val="008A288E"/>
    <w:rsid w:val="008A4576"/>
    <w:rsid w:val="008A47C3"/>
    <w:rsid w:val="008A4FCB"/>
    <w:rsid w:val="008A50F9"/>
    <w:rsid w:val="008A7B8D"/>
    <w:rsid w:val="008A7CF4"/>
    <w:rsid w:val="008B1058"/>
    <w:rsid w:val="008B151C"/>
    <w:rsid w:val="008B1624"/>
    <w:rsid w:val="008B2067"/>
    <w:rsid w:val="008B2759"/>
    <w:rsid w:val="008B2AE9"/>
    <w:rsid w:val="008B2D77"/>
    <w:rsid w:val="008B33A4"/>
    <w:rsid w:val="008B3C10"/>
    <w:rsid w:val="008B44A2"/>
    <w:rsid w:val="008B51FF"/>
    <w:rsid w:val="008B5B9E"/>
    <w:rsid w:val="008C124B"/>
    <w:rsid w:val="008C14FF"/>
    <w:rsid w:val="008C22F9"/>
    <w:rsid w:val="008C527C"/>
    <w:rsid w:val="008C7414"/>
    <w:rsid w:val="008D0648"/>
    <w:rsid w:val="008D15E3"/>
    <w:rsid w:val="008D29B1"/>
    <w:rsid w:val="008D426F"/>
    <w:rsid w:val="008E0632"/>
    <w:rsid w:val="008E1A76"/>
    <w:rsid w:val="008E335F"/>
    <w:rsid w:val="008E518D"/>
    <w:rsid w:val="008E56CB"/>
    <w:rsid w:val="008E593A"/>
    <w:rsid w:val="008E6268"/>
    <w:rsid w:val="008E6BF9"/>
    <w:rsid w:val="008E71B9"/>
    <w:rsid w:val="008E73A6"/>
    <w:rsid w:val="008F4199"/>
    <w:rsid w:val="008F46EA"/>
    <w:rsid w:val="008F5B94"/>
    <w:rsid w:val="00900150"/>
    <w:rsid w:val="00900816"/>
    <w:rsid w:val="00901319"/>
    <w:rsid w:val="00901EEA"/>
    <w:rsid w:val="00902237"/>
    <w:rsid w:val="00902DF2"/>
    <w:rsid w:val="00910C63"/>
    <w:rsid w:val="0091131B"/>
    <w:rsid w:val="00912240"/>
    <w:rsid w:val="00912847"/>
    <w:rsid w:val="009130BF"/>
    <w:rsid w:val="00915A2E"/>
    <w:rsid w:val="009164E1"/>
    <w:rsid w:val="0091759D"/>
    <w:rsid w:val="00920F68"/>
    <w:rsid w:val="0092253D"/>
    <w:rsid w:val="00923188"/>
    <w:rsid w:val="00923771"/>
    <w:rsid w:val="009300B0"/>
    <w:rsid w:val="009303C5"/>
    <w:rsid w:val="00930D54"/>
    <w:rsid w:val="00937997"/>
    <w:rsid w:val="00940C54"/>
    <w:rsid w:val="00940E5F"/>
    <w:rsid w:val="00940E7E"/>
    <w:rsid w:val="00941C21"/>
    <w:rsid w:val="00942EF3"/>
    <w:rsid w:val="00944182"/>
    <w:rsid w:val="009473AD"/>
    <w:rsid w:val="009508F3"/>
    <w:rsid w:val="009529C5"/>
    <w:rsid w:val="00952E3A"/>
    <w:rsid w:val="0095389B"/>
    <w:rsid w:val="00953EAD"/>
    <w:rsid w:val="00955BD5"/>
    <w:rsid w:val="00960E65"/>
    <w:rsid w:val="00960E92"/>
    <w:rsid w:val="00961B13"/>
    <w:rsid w:val="00961DE5"/>
    <w:rsid w:val="00963D20"/>
    <w:rsid w:val="009642D1"/>
    <w:rsid w:val="0096448D"/>
    <w:rsid w:val="009669E3"/>
    <w:rsid w:val="00966C0A"/>
    <w:rsid w:val="00967003"/>
    <w:rsid w:val="00971381"/>
    <w:rsid w:val="00971406"/>
    <w:rsid w:val="0097164C"/>
    <w:rsid w:val="00971E2B"/>
    <w:rsid w:val="00972BD0"/>
    <w:rsid w:val="0097388C"/>
    <w:rsid w:val="00975127"/>
    <w:rsid w:val="009817AF"/>
    <w:rsid w:val="00981869"/>
    <w:rsid w:val="00982583"/>
    <w:rsid w:val="0098302E"/>
    <w:rsid w:val="009841EE"/>
    <w:rsid w:val="009852EB"/>
    <w:rsid w:val="0098558E"/>
    <w:rsid w:val="009859E7"/>
    <w:rsid w:val="0098706C"/>
    <w:rsid w:val="009907CF"/>
    <w:rsid w:val="00992A13"/>
    <w:rsid w:val="00993E7B"/>
    <w:rsid w:val="0099411B"/>
    <w:rsid w:val="00994DE1"/>
    <w:rsid w:val="009953D9"/>
    <w:rsid w:val="00996027"/>
    <w:rsid w:val="0099717E"/>
    <w:rsid w:val="00997381"/>
    <w:rsid w:val="009978AE"/>
    <w:rsid w:val="009A0502"/>
    <w:rsid w:val="009A1641"/>
    <w:rsid w:val="009A1DE7"/>
    <w:rsid w:val="009A27ED"/>
    <w:rsid w:val="009A4EAE"/>
    <w:rsid w:val="009A5065"/>
    <w:rsid w:val="009A6281"/>
    <w:rsid w:val="009A743E"/>
    <w:rsid w:val="009B0FC8"/>
    <w:rsid w:val="009B344D"/>
    <w:rsid w:val="009B7716"/>
    <w:rsid w:val="009C0DFB"/>
    <w:rsid w:val="009C0FA9"/>
    <w:rsid w:val="009C1799"/>
    <w:rsid w:val="009C427B"/>
    <w:rsid w:val="009C6273"/>
    <w:rsid w:val="009C6855"/>
    <w:rsid w:val="009C7018"/>
    <w:rsid w:val="009D019A"/>
    <w:rsid w:val="009D3E7C"/>
    <w:rsid w:val="009D4A89"/>
    <w:rsid w:val="009D5585"/>
    <w:rsid w:val="009D5A5E"/>
    <w:rsid w:val="009D5A9D"/>
    <w:rsid w:val="009E00C1"/>
    <w:rsid w:val="009E07D7"/>
    <w:rsid w:val="009E1B79"/>
    <w:rsid w:val="009E44FF"/>
    <w:rsid w:val="009E453D"/>
    <w:rsid w:val="009E5EFD"/>
    <w:rsid w:val="009E678B"/>
    <w:rsid w:val="009E7623"/>
    <w:rsid w:val="009F1829"/>
    <w:rsid w:val="009F1CBF"/>
    <w:rsid w:val="009F357F"/>
    <w:rsid w:val="009F65D5"/>
    <w:rsid w:val="009F69FA"/>
    <w:rsid w:val="009F6DFA"/>
    <w:rsid w:val="009F6E3B"/>
    <w:rsid w:val="00A001BE"/>
    <w:rsid w:val="00A01693"/>
    <w:rsid w:val="00A01E31"/>
    <w:rsid w:val="00A03270"/>
    <w:rsid w:val="00A03DC9"/>
    <w:rsid w:val="00A045FE"/>
    <w:rsid w:val="00A0461D"/>
    <w:rsid w:val="00A0596B"/>
    <w:rsid w:val="00A05E80"/>
    <w:rsid w:val="00A079A3"/>
    <w:rsid w:val="00A104BD"/>
    <w:rsid w:val="00A10575"/>
    <w:rsid w:val="00A10DD3"/>
    <w:rsid w:val="00A1285B"/>
    <w:rsid w:val="00A130BF"/>
    <w:rsid w:val="00A17095"/>
    <w:rsid w:val="00A20A27"/>
    <w:rsid w:val="00A21C07"/>
    <w:rsid w:val="00A22B7E"/>
    <w:rsid w:val="00A23021"/>
    <w:rsid w:val="00A2430B"/>
    <w:rsid w:val="00A26DD5"/>
    <w:rsid w:val="00A27555"/>
    <w:rsid w:val="00A27D8B"/>
    <w:rsid w:val="00A30FFA"/>
    <w:rsid w:val="00A31C81"/>
    <w:rsid w:val="00A3320E"/>
    <w:rsid w:val="00A33BBF"/>
    <w:rsid w:val="00A3614D"/>
    <w:rsid w:val="00A3759A"/>
    <w:rsid w:val="00A37B2A"/>
    <w:rsid w:val="00A40185"/>
    <w:rsid w:val="00A41126"/>
    <w:rsid w:val="00A412A2"/>
    <w:rsid w:val="00A41C21"/>
    <w:rsid w:val="00A426CA"/>
    <w:rsid w:val="00A43646"/>
    <w:rsid w:val="00A46FB0"/>
    <w:rsid w:val="00A47167"/>
    <w:rsid w:val="00A50F98"/>
    <w:rsid w:val="00A52008"/>
    <w:rsid w:val="00A52E84"/>
    <w:rsid w:val="00A53CE9"/>
    <w:rsid w:val="00A53E70"/>
    <w:rsid w:val="00A5592F"/>
    <w:rsid w:val="00A569FB"/>
    <w:rsid w:val="00A56BAF"/>
    <w:rsid w:val="00A57F38"/>
    <w:rsid w:val="00A6325F"/>
    <w:rsid w:val="00A63DD0"/>
    <w:rsid w:val="00A63EDA"/>
    <w:rsid w:val="00A640EA"/>
    <w:rsid w:val="00A64852"/>
    <w:rsid w:val="00A64C31"/>
    <w:rsid w:val="00A65A2F"/>
    <w:rsid w:val="00A65F99"/>
    <w:rsid w:val="00A6635C"/>
    <w:rsid w:val="00A66ABB"/>
    <w:rsid w:val="00A67339"/>
    <w:rsid w:val="00A70342"/>
    <w:rsid w:val="00A73E75"/>
    <w:rsid w:val="00A75AFB"/>
    <w:rsid w:val="00A779D4"/>
    <w:rsid w:val="00A8381D"/>
    <w:rsid w:val="00A84099"/>
    <w:rsid w:val="00A852F4"/>
    <w:rsid w:val="00A85FBA"/>
    <w:rsid w:val="00A909A8"/>
    <w:rsid w:val="00A90B76"/>
    <w:rsid w:val="00A92C3B"/>
    <w:rsid w:val="00A939B0"/>
    <w:rsid w:val="00A93E2E"/>
    <w:rsid w:val="00A942C2"/>
    <w:rsid w:val="00A95F40"/>
    <w:rsid w:val="00AA24B1"/>
    <w:rsid w:val="00AA26C2"/>
    <w:rsid w:val="00AA53F7"/>
    <w:rsid w:val="00AA67D2"/>
    <w:rsid w:val="00AA6AB3"/>
    <w:rsid w:val="00AA7387"/>
    <w:rsid w:val="00AB1734"/>
    <w:rsid w:val="00AB1AC6"/>
    <w:rsid w:val="00AB2B67"/>
    <w:rsid w:val="00AB38F1"/>
    <w:rsid w:val="00AB492B"/>
    <w:rsid w:val="00AB5DC9"/>
    <w:rsid w:val="00AB6617"/>
    <w:rsid w:val="00AB7939"/>
    <w:rsid w:val="00AC006A"/>
    <w:rsid w:val="00AC0360"/>
    <w:rsid w:val="00AC2560"/>
    <w:rsid w:val="00AC29A4"/>
    <w:rsid w:val="00AC2F2A"/>
    <w:rsid w:val="00AC3C03"/>
    <w:rsid w:val="00AC3C8E"/>
    <w:rsid w:val="00AC3DB5"/>
    <w:rsid w:val="00AC52B1"/>
    <w:rsid w:val="00AD6DEA"/>
    <w:rsid w:val="00AD6E22"/>
    <w:rsid w:val="00AD793F"/>
    <w:rsid w:val="00AE36C6"/>
    <w:rsid w:val="00AE3E36"/>
    <w:rsid w:val="00AE42D7"/>
    <w:rsid w:val="00AE62A2"/>
    <w:rsid w:val="00AE7684"/>
    <w:rsid w:val="00AF069F"/>
    <w:rsid w:val="00AF06A0"/>
    <w:rsid w:val="00AF2A14"/>
    <w:rsid w:val="00AF31B0"/>
    <w:rsid w:val="00AF390B"/>
    <w:rsid w:val="00AF6C58"/>
    <w:rsid w:val="00B006D6"/>
    <w:rsid w:val="00B02025"/>
    <w:rsid w:val="00B02972"/>
    <w:rsid w:val="00B0456B"/>
    <w:rsid w:val="00B04EAB"/>
    <w:rsid w:val="00B052CA"/>
    <w:rsid w:val="00B05FD8"/>
    <w:rsid w:val="00B07EF2"/>
    <w:rsid w:val="00B10A1E"/>
    <w:rsid w:val="00B110DD"/>
    <w:rsid w:val="00B11C99"/>
    <w:rsid w:val="00B11D10"/>
    <w:rsid w:val="00B13CBD"/>
    <w:rsid w:val="00B13D66"/>
    <w:rsid w:val="00B1426A"/>
    <w:rsid w:val="00B15B12"/>
    <w:rsid w:val="00B16C98"/>
    <w:rsid w:val="00B201F2"/>
    <w:rsid w:val="00B22D90"/>
    <w:rsid w:val="00B22ED0"/>
    <w:rsid w:val="00B23B4E"/>
    <w:rsid w:val="00B23B6D"/>
    <w:rsid w:val="00B23B8E"/>
    <w:rsid w:val="00B23C7F"/>
    <w:rsid w:val="00B24A83"/>
    <w:rsid w:val="00B24CE5"/>
    <w:rsid w:val="00B27FCF"/>
    <w:rsid w:val="00B3072B"/>
    <w:rsid w:val="00B317CA"/>
    <w:rsid w:val="00B32DD4"/>
    <w:rsid w:val="00B331A5"/>
    <w:rsid w:val="00B33D9B"/>
    <w:rsid w:val="00B36E3D"/>
    <w:rsid w:val="00B37178"/>
    <w:rsid w:val="00B404F9"/>
    <w:rsid w:val="00B40D9B"/>
    <w:rsid w:val="00B42C69"/>
    <w:rsid w:val="00B43E86"/>
    <w:rsid w:val="00B43E99"/>
    <w:rsid w:val="00B45D88"/>
    <w:rsid w:val="00B4790C"/>
    <w:rsid w:val="00B5107E"/>
    <w:rsid w:val="00B521EA"/>
    <w:rsid w:val="00B52693"/>
    <w:rsid w:val="00B5333F"/>
    <w:rsid w:val="00B536C6"/>
    <w:rsid w:val="00B54E9F"/>
    <w:rsid w:val="00B553B0"/>
    <w:rsid w:val="00B57D8B"/>
    <w:rsid w:val="00B6061B"/>
    <w:rsid w:val="00B609F6"/>
    <w:rsid w:val="00B612FB"/>
    <w:rsid w:val="00B61DC0"/>
    <w:rsid w:val="00B622B7"/>
    <w:rsid w:val="00B622FA"/>
    <w:rsid w:val="00B629CF"/>
    <w:rsid w:val="00B62DA0"/>
    <w:rsid w:val="00B646E4"/>
    <w:rsid w:val="00B6486F"/>
    <w:rsid w:val="00B663E9"/>
    <w:rsid w:val="00B66975"/>
    <w:rsid w:val="00B6758E"/>
    <w:rsid w:val="00B67BA3"/>
    <w:rsid w:val="00B71D90"/>
    <w:rsid w:val="00B74060"/>
    <w:rsid w:val="00B7519A"/>
    <w:rsid w:val="00B75BEA"/>
    <w:rsid w:val="00B77AF1"/>
    <w:rsid w:val="00B77AF4"/>
    <w:rsid w:val="00B77D15"/>
    <w:rsid w:val="00B82B50"/>
    <w:rsid w:val="00B836BF"/>
    <w:rsid w:val="00B86C96"/>
    <w:rsid w:val="00B872B5"/>
    <w:rsid w:val="00B87558"/>
    <w:rsid w:val="00B906BD"/>
    <w:rsid w:val="00B932A4"/>
    <w:rsid w:val="00B964F8"/>
    <w:rsid w:val="00BA154B"/>
    <w:rsid w:val="00BA293A"/>
    <w:rsid w:val="00BA4BB1"/>
    <w:rsid w:val="00BA5059"/>
    <w:rsid w:val="00BA64B4"/>
    <w:rsid w:val="00BA65AB"/>
    <w:rsid w:val="00BA689E"/>
    <w:rsid w:val="00BB064F"/>
    <w:rsid w:val="00BB0734"/>
    <w:rsid w:val="00BB0E05"/>
    <w:rsid w:val="00BB0F33"/>
    <w:rsid w:val="00BB2D77"/>
    <w:rsid w:val="00BB35F5"/>
    <w:rsid w:val="00BB63AB"/>
    <w:rsid w:val="00BB6486"/>
    <w:rsid w:val="00BB68C7"/>
    <w:rsid w:val="00BB76D7"/>
    <w:rsid w:val="00BB7BF6"/>
    <w:rsid w:val="00BC05D4"/>
    <w:rsid w:val="00BC0FF0"/>
    <w:rsid w:val="00BC1F55"/>
    <w:rsid w:val="00BC2315"/>
    <w:rsid w:val="00BC26A0"/>
    <w:rsid w:val="00BC2ABE"/>
    <w:rsid w:val="00BC300E"/>
    <w:rsid w:val="00BC4BF3"/>
    <w:rsid w:val="00BC6868"/>
    <w:rsid w:val="00BD21D4"/>
    <w:rsid w:val="00BE05A9"/>
    <w:rsid w:val="00BE5895"/>
    <w:rsid w:val="00BE727D"/>
    <w:rsid w:val="00BE7A88"/>
    <w:rsid w:val="00BE7E18"/>
    <w:rsid w:val="00BF121B"/>
    <w:rsid w:val="00BF23E9"/>
    <w:rsid w:val="00BF4F4F"/>
    <w:rsid w:val="00BF5438"/>
    <w:rsid w:val="00BF5651"/>
    <w:rsid w:val="00C01B8C"/>
    <w:rsid w:val="00C01F1E"/>
    <w:rsid w:val="00C02ACE"/>
    <w:rsid w:val="00C02AE8"/>
    <w:rsid w:val="00C0364E"/>
    <w:rsid w:val="00C0452F"/>
    <w:rsid w:val="00C06989"/>
    <w:rsid w:val="00C072E8"/>
    <w:rsid w:val="00C125CF"/>
    <w:rsid w:val="00C1612C"/>
    <w:rsid w:val="00C1739B"/>
    <w:rsid w:val="00C175F4"/>
    <w:rsid w:val="00C20ACF"/>
    <w:rsid w:val="00C20B2A"/>
    <w:rsid w:val="00C20BD3"/>
    <w:rsid w:val="00C2272C"/>
    <w:rsid w:val="00C22C2A"/>
    <w:rsid w:val="00C24126"/>
    <w:rsid w:val="00C24739"/>
    <w:rsid w:val="00C26851"/>
    <w:rsid w:val="00C303B2"/>
    <w:rsid w:val="00C314F8"/>
    <w:rsid w:val="00C34309"/>
    <w:rsid w:val="00C36122"/>
    <w:rsid w:val="00C368B7"/>
    <w:rsid w:val="00C377D1"/>
    <w:rsid w:val="00C40B81"/>
    <w:rsid w:val="00C40B92"/>
    <w:rsid w:val="00C418A8"/>
    <w:rsid w:val="00C41D59"/>
    <w:rsid w:val="00C431B6"/>
    <w:rsid w:val="00C43224"/>
    <w:rsid w:val="00C4444C"/>
    <w:rsid w:val="00C468D9"/>
    <w:rsid w:val="00C51D1D"/>
    <w:rsid w:val="00C524C8"/>
    <w:rsid w:val="00C53723"/>
    <w:rsid w:val="00C553C5"/>
    <w:rsid w:val="00C55C1B"/>
    <w:rsid w:val="00C616BD"/>
    <w:rsid w:val="00C62360"/>
    <w:rsid w:val="00C6260C"/>
    <w:rsid w:val="00C63B50"/>
    <w:rsid w:val="00C65A49"/>
    <w:rsid w:val="00C71B89"/>
    <w:rsid w:val="00C7214F"/>
    <w:rsid w:val="00C724E5"/>
    <w:rsid w:val="00C72775"/>
    <w:rsid w:val="00C73C96"/>
    <w:rsid w:val="00C749EA"/>
    <w:rsid w:val="00C75B58"/>
    <w:rsid w:val="00C76612"/>
    <w:rsid w:val="00C769AB"/>
    <w:rsid w:val="00C81BCC"/>
    <w:rsid w:val="00C81E54"/>
    <w:rsid w:val="00C824DA"/>
    <w:rsid w:val="00C831AA"/>
    <w:rsid w:val="00C83A5B"/>
    <w:rsid w:val="00C83CEF"/>
    <w:rsid w:val="00C853DA"/>
    <w:rsid w:val="00C858BA"/>
    <w:rsid w:val="00C90EBC"/>
    <w:rsid w:val="00C9191C"/>
    <w:rsid w:val="00C92035"/>
    <w:rsid w:val="00C930F2"/>
    <w:rsid w:val="00C9479E"/>
    <w:rsid w:val="00C94C66"/>
    <w:rsid w:val="00C94FAB"/>
    <w:rsid w:val="00C9549C"/>
    <w:rsid w:val="00CA0DE6"/>
    <w:rsid w:val="00CA5517"/>
    <w:rsid w:val="00CA66B4"/>
    <w:rsid w:val="00CA70A5"/>
    <w:rsid w:val="00CB088C"/>
    <w:rsid w:val="00CB2417"/>
    <w:rsid w:val="00CB438B"/>
    <w:rsid w:val="00CB4487"/>
    <w:rsid w:val="00CB4983"/>
    <w:rsid w:val="00CB5B32"/>
    <w:rsid w:val="00CB60F5"/>
    <w:rsid w:val="00CB6C16"/>
    <w:rsid w:val="00CC01CF"/>
    <w:rsid w:val="00CC1E68"/>
    <w:rsid w:val="00CC45BC"/>
    <w:rsid w:val="00CC6179"/>
    <w:rsid w:val="00CC6AB9"/>
    <w:rsid w:val="00CD1631"/>
    <w:rsid w:val="00CD184D"/>
    <w:rsid w:val="00CD3428"/>
    <w:rsid w:val="00CD3F5B"/>
    <w:rsid w:val="00CD419D"/>
    <w:rsid w:val="00CD4904"/>
    <w:rsid w:val="00CE0507"/>
    <w:rsid w:val="00CE1A29"/>
    <w:rsid w:val="00CE1C7E"/>
    <w:rsid w:val="00CE34C4"/>
    <w:rsid w:val="00CE4299"/>
    <w:rsid w:val="00CF0D88"/>
    <w:rsid w:val="00CF34F0"/>
    <w:rsid w:val="00CF38F8"/>
    <w:rsid w:val="00CF43F3"/>
    <w:rsid w:val="00CF44FC"/>
    <w:rsid w:val="00D03E4D"/>
    <w:rsid w:val="00D05847"/>
    <w:rsid w:val="00D05AE9"/>
    <w:rsid w:val="00D05F03"/>
    <w:rsid w:val="00D07C1E"/>
    <w:rsid w:val="00D10660"/>
    <w:rsid w:val="00D1085F"/>
    <w:rsid w:val="00D11296"/>
    <w:rsid w:val="00D13DB6"/>
    <w:rsid w:val="00D15973"/>
    <w:rsid w:val="00D160F4"/>
    <w:rsid w:val="00D164E5"/>
    <w:rsid w:val="00D16799"/>
    <w:rsid w:val="00D21077"/>
    <w:rsid w:val="00D231B0"/>
    <w:rsid w:val="00D23890"/>
    <w:rsid w:val="00D24158"/>
    <w:rsid w:val="00D2525B"/>
    <w:rsid w:val="00D262AE"/>
    <w:rsid w:val="00D2666D"/>
    <w:rsid w:val="00D26D39"/>
    <w:rsid w:val="00D26E65"/>
    <w:rsid w:val="00D26F66"/>
    <w:rsid w:val="00D27223"/>
    <w:rsid w:val="00D32D81"/>
    <w:rsid w:val="00D32E98"/>
    <w:rsid w:val="00D331AD"/>
    <w:rsid w:val="00D336FE"/>
    <w:rsid w:val="00D34A55"/>
    <w:rsid w:val="00D379E6"/>
    <w:rsid w:val="00D40BFB"/>
    <w:rsid w:val="00D40C4C"/>
    <w:rsid w:val="00D40F1F"/>
    <w:rsid w:val="00D42C5A"/>
    <w:rsid w:val="00D435F6"/>
    <w:rsid w:val="00D44544"/>
    <w:rsid w:val="00D459EB"/>
    <w:rsid w:val="00D45F3A"/>
    <w:rsid w:val="00D46DE1"/>
    <w:rsid w:val="00D506A7"/>
    <w:rsid w:val="00D51A5F"/>
    <w:rsid w:val="00D53397"/>
    <w:rsid w:val="00D534EE"/>
    <w:rsid w:val="00D550B4"/>
    <w:rsid w:val="00D56EEB"/>
    <w:rsid w:val="00D6019F"/>
    <w:rsid w:val="00D63744"/>
    <w:rsid w:val="00D65022"/>
    <w:rsid w:val="00D66634"/>
    <w:rsid w:val="00D73216"/>
    <w:rsid w:val="00D748CA"/>
    <w:rsid w:val="00D74918"/>
    <w:rsid w:val="00D74E25"/>
    <w:rsid w:val="00D75362"/>
    <w:rsid w:val="00D755BA"/>
    <w:rsid w:val="00D77396"/>
    <w:rsid w:val="00D7795D"/>
    <w:rsid w:val="00D800B3"/>
    <w:rsid w:val="00D807B6"/>
    <w:rsid w:val="00D812D1"/>
    <w:rsid w:val="00D815E1"/>
    <w:rsid w:val="00D81E9A"/>
    <w:rsid w:val="00D82038"/>
    <w:rsid w:val="00D8231F"/>
    <w:rsid w:val="00D8294A"/>
    <w:rsid w:val="00D83E79"/>
    <w:rsid w:val="00D84E92"/>
    <w:rsid w:val="00D85C85"/>
    <w:rsid w:val="00D861F0"/>
    <w:rsid w:val="00D8668C"/>
    <w:rsid w:val="00D86EA6"/>
    <w:rsid w:val="00D9161F"/>
    <w:rsid w:val="00D94DD7"/>
    <w:rsid w:val="00D97A18"/>
    <w:rsid w:val="00D97C32"/>
    <w:rsid w:val="00DA13E6"/>
    <w:rsid w:val="00DA1D58"/>
    <w:rsid w:val="00DA41D3"/>
    <w:rsid w:val="00DA42D9"/>
    <w:rsid w:val="00DA4A35"/>
    <w:rsid w:val="00DA5078"/>
    <w:rsid w:val="00DA55E0"/>
    <w:rsid w:val="00DA6CE5"/>
    <w:rsid w:val="00DA77A0"/>
    <w:rsid w:val="00DA7F67"/>
    <w:rsid w:val="00DB0126"/>
    <w:rsid w:val="00DB13CA"/>
    <w:rsid w:val="00DB1E2E"/>
    <w:rsid w:val="00DB492A"/>
    <w:rsid w:val="00DB5083"/>
    <w:rsid w:val="00DB5737"/>
    <w:rsid w:val="00DB5BA5"/>
    <w:rsid w:val="00DB649D"/>
    <w:rsid w:val="00DB7411"/>
    <w:rsid w:val="00DC1661"/>
    <w:rsid w:val="00DC277F"/>
    <w:rsid w:val="00DC5E58"/>
    <w:rsid w:val="00DC68AA"/>
    <w:rsid w:val="00DD0BF6"/>
    <w:rsid w:val="00DD127F"/>
    <w:rsid w:val="00DD173F"/>
    <w:rsid w:val="00DD1E1E"/>
    <w:rsid w:val="00DD2FE5"/>
    <w:rsid w:val="00DD6D3B"/>
    <w:rsid w:val="00DE0822"/>
    <w:rsid w:val="00DE0D70"/>
    <w:rsid w:val="00DE1714"/>
    <w:rsid w:val="00DE3402"/>
    <w:rsid w:val="00DE69BA"/>
    <w:rsid w:val="00DE69C7"/>
    <w:rsid w:val="00DE6C2A"/>
    <w:rsid w:val="00DF0C71"/>
    <w:rsid w:val="00DF18AF"/>
    <w:rsid w:val="00DF3456"/>
    <w:rsid w:val="00DF4828"/>
    <w:rsid w:val="00DF631C"/>
    <w:rsid w:val="00DF6B13"/>
    <w:rsid w:val="00E01522"/>
    <w:rsid w:val="00E015AE"/>
    <w:rsid w:val="00E02227"/>
    <w:rsid w:val="00E029E7"/>
    <w:rsid w:val="00E048C2"/>
    <w:rsid w:val="00E05628"/>
    <w:rsid w:val="00E065B7"/>
    <w:rsid w:val="00E06FA7"/>
    <w:rsid w:val="00E07E85"/>
    <w:rsid w:val="00E105DF"/>
    <w:rsid w:val="00E10B35"/>
    <w:rsid w:val="00E12074"/>
    <w:rsid w:val="00E1278B"/>
    <w:rsid w:val="00E1307E"/>
    <w:rsid w:val="00E15274"/>
    <w:rsid w:val="00E15AE2"/>
    <w:rsid w:val="00E179AF"/>
    <w:rsid w:val="00E17B6F"/>
    <w:rsid w:val="00E24208"/>
    <w:rsid w:val="00E2543C"/>
    <w:rsid w:val="00E30576"/>
    <w:rsid w:val="00E31134"/>
    <w:rsid w:val="00E3153B"/>
    <w:rsid w:val="00E32EE1"/>
    <w:rsid w:val="00E34A34"/>
    <w:rsid w:val="00E35410"/>
    <w:rsid w:val="00E35549"/>
    <w:rsid w:val="00E35FD2"/>
    <w:rsid w:val="00E379DA"/>
    <w:rsid w:val="00E37A7E"/>
    <w:rsid w:val="00E37CA7"/>
    <w:rsid w:val="00E4146D"/>
    <w:rsid w:val="00E44DCF"/>
    <w:rsid w:val="00E45FB7"/>
    <w:rsid w:val="00E46B8D"/>
    <w:rsid w:val="00E4727A"/>
    <w:rsid w:val="00E51818"/>
    <w:rsid w:val="00E53439"/>
    <w:rsid w:val="00E53C37"/>
    <w:rsid w:val="00E541EE"/>
    <w:rsid w:val="00E554FE"/>
    <w:rsid w:val="00E560A3"/>
    <w:rsid w:val="00E563B8"/>
    <w:rsid w:val="00E568E7"/>
    <w:rsid w:val="00E61596"/>
    <w:rsid w:val="00E618C4"/>
    <w:rsid w:val="00E6345D"/>
    <w:rsid w:val="00E63CE1"/>
    <w:rsid w:val="00E64CD6"/>
    <w:rsid w:val="00E64DBB"/>
    <w:rsid w:val="00E65AD6"/>
    <w:rsid w:val="00E66542"/>
    <w:rsid w:val="00E70E56"/>
    <w:rsid w:val="00E714AF"/>
    <w:rsid w:val="00E715B8"/>
    <w:rsid w:val="00E71A8D"/>
    <w:rsid w:val="00E733C2"/>
    <w:rsid w:val="00E743F7"/>
    <w:rsid w:val="00E745C2"/>
    <w:rsid w:val="00E764E6"/>
    <w:rsid w:val="00E76BAA"/>
    <w:rsid w:val="00E76DB1"/>
    <w:rsid w:val="00E80A35"/>
    <w:rsid w:val="00E80A68"/>
    <w:rsid w:val="00E819C3"/>
    <w:rsid w:val="00E81DD0"/>
    <w:rsid w:val="00E8209C"/>
    <w:rsid w:val="00E83EBB"/>
    <w:rsid w:val="00E840B6"/>
    <w:rsid w:val="00E87C68"/>
    <w:rsid w:val="00E92EA5"/>
    <w:rsid w:val="00E9387B"/>
    <w:rsid w:val="00E95437"/>
    <w:rsid w:val="00EA1F98"/>
    <w:rsid w:val="00EA2789"/>
    <w:rsid w:val="00EB07D3"/>
    <w:rsid w:val="00EB0DCF"/>
    <w:rsid w:val="00EB1DEC"/>
    <w:rsid w:val="00EB2502"/>
    <w:rsid w:val="00EB4587"/>
    <w:rsid w:val="00EB55DB"/>
    <w:rsid w:val="00EB61A3"/>
    <w:rsid w:val="00EB673C"/>
    <w:rsid w:val="00EB6949"/>
    <w:rsid w:val="00EB769D"/>
    <w:rsid w:val="00EB7A82"/>
    <w:rsid w:val="00EC01E4"/>
    <w:rsid w:val="00EC10ED"/>
    <w:rsid w:val="00EC114D"/>
    <w:rsid w:val="00EC3DF9"/>
    <w:rsid w:val="00EC446C"/>
    <w:rsid w:val="00EC57F4"/>
    <w:rsid w:val="00EC6644"/>
    <w:rsid w:val="00EC74A0"/>
    <w:rsid w:val="00EC7DF8"/>
    <w:rsid w:val="00ED339A"/>
    <w:rsid w:val="00ED39DE"/>
    <w:rsid w:val="00ED4A63"/>
    <w:rsid w:val="00ED67B1"/>
    <w:rsid w:val="00ED6999"/>
    <w:rsid w:val="00EE0636"/>
    <w:rsid w:val="00EE070E"/>
    <w:rsid w:val="00EE1A18"/>
    <w:rsid w:val="00EE2AFE"/>
    <w:rsid w:val="00EE2B04"/>
    <w:rsid w:val="00EE2BC3"/>
    <w:rsid w:val="00EE3D03"/>
    <w:rsid w:val="00EE3E5C"/>
    <w:rsid w:val="00EE4BD6"/>
    <w:rsid w:val="00EE4F98"/>
    <w:rsid w:val="00EE524E"/>
    <w:rsid w:val="00EE69F0"/>
    <w:rsid w:val="00EE7B90"/>
    <w:rsid w:val="00EF00C1"/>
    <w:rsid w:val="00EF0DEC"/>
    <w:rsid w:val="00EF1FDF"/>
    <w:rsid w:val="00EF4549"/>
    <w:rsid w:val="00EF4990"/>
    <w:rsid w:val="00EF5157"/>
    <w:rsid w:val="00EF587A"/>
    <w:rsid w:val="00EF6061"/>
    <w:rsid w:val="00F01836"/>
    <w:rsid w:val="00F01E75"/>
    <w:rsid w:val="00F020ED"/>
    <w:rsid w:val="00F026E6"/>
    <w:rsid w:val="00F031E4"/>
    <w:rsid w:val="00F05CA3"/>
    <w:rsid w:val="00F06A7E"/>
    <w:rsid w:val="00F12263"/>
    <w:rsid w:val="00F12C15"/>
    <w:rsid w:val="00F13850"/>
    <w:rsid w:val="00F141CD"/>
    <w:rsid w:val="00F142A7"/>
    <w:rsid w:val="00F14D67"/>
    <w:rsid w:val="00F15115"/>
    <w:rsid w:val="00F15225"/>
    <w:rsid w:val="00F1523C"/>
    <w:rsid w:val="00F16046"/>
    <w:rsid w:val="00F17274"/>
    <w:rsid w:val="00F17BA0"/>
    <w:rsid w:val="00F2025F"/>
    <w:rsid w:val="00F205E7"/>
    <w:rsid w:val="00F21E5D"/>
    <w:rsid w:val="00F2720D"/>
    <w:rsid w:val="00F3166B"/>
    <w:rsid w:val="00F31D0B"/>
    <w:rsid w:val="00F34115"/>
    <w:rsid w:val="00F34979"/>
    <w:rsid w:val="00F34999"/>
    <w:rsid w:val="00F367B2"/>
    <w:rsid w:val="00F37181"/>
    <w:rsid w:val="00F40DE8"/>
    <w:rsid w:val="00F410F6"/>
    <w:rsid w:val="00F41BEF"/>
    <w:rsid w:val="00F4261A"/>
    <w:rsid w:val="00F42AC1"/>
    <w:rsid w:val="00F443BE"/>
    <w:rsid w:val="00F46BA9"/>
    <w:rsid w:val="00F46E06"/>
    <w:rsid w:val="00F47293"/>
    <w:rsid w:val="00F47D1F"/>
    <w:rsid w:val="00F514DD"/>
    <w:rsid w:val="00F5381B"/>
    <w:rsid w:val="00F57732"/>
    <w:rsid w:val="00F61E3D"/>
    <w:rsid w:val="00F621C3"/>
    <w:rsid w:val="00F62955"/>
    <w:rsid w:val="00F6373D"/>
    <w:rsid w:val="00F640A4"/>
    <w:rsid w:val="00F669BA"/>
    <w:rsid w:val="00F66FDE"/>
    <w:rsid w:val="00F67632"/>
    <w:rsid w:val="00F70317"/>
    <w:rsid w:val="00F73002"/>
    <w:rsid w:val="00F75E74"/>
    <w:rsid w:val="00F763F6"/>
    <w:rsid w:val="00F77313"/>
    <w:rsid w:val="00F8059B"/>
    <w:rsid w:val="00F819D1"/>
    <w:rsid w:val="00F82A39"/>
    <w:rsid w:val="00F83AEB"/>
    <w:rsid w:val="00F8646C"/>
    <w:rsid w:val="00F90B4B"/>
    <w:rsid w:val="00F91ADF"/>
    <w:rsid w:val="00F95EB9"/>
    <w:rsid w:val="00F9669D"/>
    <w:rsid w:val="00F976D7"/>
    <w:rsid w:val="00F97A1E"/>
    <w:rsid w:val="00FA27EA"/>
    <w:rsid w:val="00FA5088"/>
    <w:rsid w:val="00FA7A61"/>
    <w:rsid w:val="00FB1C16"/>
    <w:rsid w:val="00FB231B"/>
    <w:rsid w:val="00FB5B5A"/>
    <w:rsid w:val="00FB675F"/>
    <w:rsid w:val="00FB7233"/>
    <w:rsid w:val="00FB7778"/>
    <w:rsid w:val="00FB7C6F"/>
    <w:rsid w:val="00FB7F6F"/>
    <w:rsid w:val="00FC046A"/>
    <w:rsid w:val="00FC1244"/>
    <w:rsid w:val="00FC1834"/>
    <w:rsid w:val="00FC1A9D"/>
    <w:rsid w:val="00FC2399"/>
    <w:rsid w:val="00FC2B69"/>
    <w:rsid w:val="00FC522C"/>
    <w:rsid w:val="00FC73F1"/>
    <w:rsid w:val="00FD0A8D"/>
    <w:rsid w:val="00FD0E03"/>
    <w:rsid w:val="00FD32BE"/>
    <w:rsid w:val="00FD6025"/>
    <w:rsid w:val="00FE0224"/>
    <w:rsid w:val="00FE171B"/>
    <w:rsid w:val="00FE4B0B"/>
    <w:rsid w:val="00FE6313"/>
    <w:rsid w:val="00FE6BD7"/>
    <w:rsid w:val="00FF04B9"/>
    <w:rsid w:val="00FF2095"/>
    <w:rsid w:val="00FF24A0"/>
    <w:rsid w:val="00FF38B2"/>
    <w:rsid w:val="00FF4984"/>
    <w:rsid w:val="00FF4D51"/>
    <w:rsid w:val="00FF6EC3"/>
    <w:rsid w:val="00FF72AF"/>
    <w:rsid w:val="00FF74B1"/>
    <w:rsid w:val="00FF7C09"/>
    <w:rsid w:val="00FF7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B877F"/>
  <w15:docId w15:val="{0E14C778-8405-4495-8129-473ED566C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560A3"/>
    <w:pPr>
      <w:spacing w:after="160"/>
    </w:pPr>
    <w:rPr>
      <w:rFonts w:ascii="Arial" w:eastAsia="Arial" w:hAnsi="Arial" w:cs="Arial"/>
      <w:sz w:val="22"/>
      <w:szCs w:val="24"/>
    </w:rPr>
  </w:style>
  <w:style w:type="paragraph" w:styleId="Heading1">
    <w:name w:val="heading 1"/>
    <w:next w:val="Normal"/>
    <w:link w:val="Heading1Char"/>
    <w:uiPriority w:val="9"/>
    <w:qFormat/>
    <w:rsid w:val="00D231B0"/>
    <w:pPr>
      <w:keepNext/>
      <w:spacing w:after="120"/>
      <w:outlineLvl w:val="0"/>
    </w:pPr>
    <w:rPr>
      <w:rFonts w:ascii="Arial" w:eastAsia="Arial" w:hAnsi="Arial" w:cs="Arial"/>
      <w:b/>
      <w:bCs/>
      <w:color w:val="000000" w:themeColor="text1"/>
      <w:kern w:val="32"/>
      <w:sz w:val="44"/>
      <w:szCs w:val="32"/>
    </w:rPr>
  </w:style>
  <w:style w:type="paragraph" w:styleId="Heading2">
    <w:name w:val="heading 2"/>
    <w:next w:val="Normal"/>
    <w:link w:val="Heading2Char"/>
    <w:uiPriority w:val="9"/>
    <w:unhideWhenUsed/>
    <w:qFormat/>
    <w:rsid w:val="00776AB8"/>
    <w:pPr>
      <w:keepNext/>
      <w:keepLines/>
      <w:numPr>
        <w:numId w:val="27"/>
      </w:numPr>
      <w:spacing w:before="480" w:after="120"/>
      <w:ind w:left="432" w:hanging="432"/>
      <w:outlineLvl w:val="1"/>
    </w:pPr>
    <w:rPr>
      <w:rFonts w:ascii="Arial" w:eastAsiaTheme="majorEastAsia" w:hAnsi="Arial" w:cs="Arial"/>
      <w:b/>
      <w:color w:val="000000" w:themeColor="text1"/>
      <w:sz w:val="36"/>
      <w:szCs w:val="36"/>
    </w:rPr>
  </w:style>
  <w:style w:type="paragraph" w:styleId="Heading3">
    <w:name w:val="heading 3"/>
    <w:basedOn w:val="Heading2"/>
    <w:next w:val="Normal"/>
    <w:link w:val="Heading3Char"/>
    <w:uiPriority w:val="9"/>
    <w:unhideWhenUsed/>
    <w:qFormat/>
    <w:rsid w:val="00776AB8"/>
    <w:pPr>
      <w:numPr>
        <w:ilvl w:val="1"/>
      </w:numPr>
      <w:ind w:left="576" w:hanging="576"/>
      <w:outlineLvl w:val="2"/>
    </w:pPr>
    <w:rPr>
      <w:sz w:val="28"/>
      <w:szCs w:val="28"/>
    </w:rPr>
  </w:style>
  <w:style w:type="paragraph" w:styleId="Heading4">
    <w:name w:val="heading 4"/>
    <w:basedOn w:val="Normal"/>
    <w:next w:val="Normal"/>
    <w:link w:val="Heading4Char"/>
    <w:uiPriority w:val="9"/>
    <w:unhideWhenUsed/>
    <w:qFormat/>
    <w:rsid w:val="00B16C98"/>
    <w:pPr>
      <w:keepNext/>
      <w:keepLines/>
      <w:tabs>
        <w:tab w:val="right" w:pos="12960"/>
      </w:tabs>
      <w:spacing w:before="120" w:after="12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FF7C09"/>
    <w:pPr>
      <w:keepNext/>
      <w:keepLines/>
      <w:spacing w:before="40" w:after="240"/>
      <w:outlineLvl w:val="4"/>
    </w:pPr>
    <w:rPr>
      <w:rFonts w:eastAsiaTheme="majorEastAsia"/>
      <w:b/>
      <w:sz w:val="32"/>
    </w:rPr>
  </w:style>
  <w:style w:type="paragraph" w:styleId="Heading6">
    <w:name w:val="heading 6"/>
    <w:basedOn w:val="Normal"/>
    <w:next w:val="Normal"/>
    <w:link w:val="Heading6Char"/>
    <w:uiPriority w:val="9"/>
    <w:qFormat/>
    <w:rsid w:val="00EF7B96"/>
    <w:pPr>
      <w:spacing w:before="240"/>
      <w:outlineLvl w:val="5"/>
    </w:pPr>
    <w:rPr>
      <w:b/>
      <w:bCs/>
      <w:szCs w:val="22"/>
    </w:rPr>
  </w:style>
  <w:style w:type="paragraph" w:styleId="Heading7">
    <w:name w:val="heading 7"/>
    <w:basedOn w:val="Normal"/>
    <w:next w:val="Normal"/>
    <w:link w:val="Heading7Char"/>
    <w:uiPriority w:val="9"/>
    <w:semiHidden/>
    <w:unhideWhenUsed/>
    <w:qFormat/>
    <w:rsid w:val="00F67632"/>
    <w:pPr>
      <w:keepNext/>
      <w:keepLines/>
      <w:spacing w:before="40" w:after="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F67632"/>
    <w:pPr>
      <w:keepNext/>
      <w:keepLines/>
      <w:spacing w:after="0"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F67632"/>
    <w:pPr>
      <w:keepNext/>
      <w:keepLines/>
      <w:spacing w:after="0"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6AB8"/>
    <w:rPr>
      <w:rFonts w:ascii="Arial" w:eastAsiaTheme="majorEastAsia" w:hAnsi="Arial" w:cs="Arial"/>
      <w:b/>
      <w:color w:val="000000" w:themeColor="text1"/>
      <w:sz w:val="36"/>
      <w:szCs w:val="36"/>
    </w:rPr>
  </w:style>
  <w:style w:type="character" w:customStyle="1" w:styleId="Heading3Char">
    <w:name w:val="Heading 3 Char"/>
    <w:basedOn w:val="DefaultParagraphFont"/>
    <w:link w:val="Heading3"/>
    <w:uiPriority w:val="9"/>
    <w:rsid w:val="00776AB8"/>
    <w:rPr>
      <w:rFonts w:ascii="Arial" w:eastAsiaTheme="majorEastAsia" w:hAnsi="Arial" w:cs="Arial"/>
      <w:b/>
      <w:color w:val="000000" w:themeColor="text1"/>
      <w:sz w:val="28"/>
      <w:szCs w:val="28"/>
    </w:rPr>
  </w:style>
  <w:style w:type="character" w:customStyle="1" w:styleId="Heading5Char">
    <w:name w:val="Heading 5 Char"/>
    <w:basedOn w:val="DefaultParagraphFont"/>
    <w:link w:val="Heading5"/>
    <w:uiPriority w:val="9"/>
    <w:rsid w:val="00FF7C09"/>
    <w:rPr>
      <w:rFonts w:ascii="Arial" w:eastAsiaTheme="majorEastAsia" w:hAnsi="Arial" w:cs="Arial"/>
      <w:b/>
      <w:sz w:val="32"/>
      <w:szCs w:val="24"/>
    </w:rPr>
  </w:style>
  <w:style w:type="paragraph" w:customStyle="1" w:styleId="MainTitle">
    <w:name w:val="Main Title"/>
    <w:basedOn w:val="Normal"/>
    <w:pPr>
      <w:spacing w:before="4120"/>
    </w:pPr>
    <w:rPr>
      <w:b/>
      <w:color w:val="CC0000"/>
      <w:sz w:val="64"/>
    </w:rPr>
  </w:style>
  <w:style w:type="paragraph" w:customStyle="1" w:styleId="SubTitle">
    <w:name w:val="Sub Title"/>
    <w:basedOn w:val="Normal"/>
    <w:rPr>
      <w:b/>
      <w:color w:val="666666"/>
      <w:sz w:val="40"/>
    </w:rPr>
  </w:style>
  <w:style w:type="character" w:customStyle="1" w:styleId="CoverPageProperty">
    <w:name w:val="Cover Page Property"/>
    <w:rPr>
      <w:b/>
      <w:color w:val="666666"/>
      <w:sz w:val="18"/>
    </w:rPr>
  </w:style>
  <w:style w:type="character" w:customStyle="1" w:styleId="BreadCrumbHeader">
    <w:name w:val="Bread Crumb Header"/>
    <w:rPr>
      <w:b/>
      <w:i/>
      <w:color w:val="808080"/>
      <w:sz w:val="18"/>
    </w:rPr>
  </w:style>
  <w:style w:type="character" w:customStyle="1" w:styleId="Description">
    <w:name w:val="Description"/>
    <w:rPr>
      <w:sz w:val="16"/>
    </w:rPr>
  </w:style>
  <w:style w:type="character" w:customStyle="1" w:styleId="DescriptionInTable">
    <w:name w:val="DescriptionInTable"/>
    <w:rPr>
      <w:i/>
      <w:color w:val="808080"/>
      <w:sz w:val="16"/>
    </w:rPr>
  </w:style>
  <w:style w:type="character" w:customStyle="1" w:styleId="Table-Default">
    <w:name w:val="Table - Default"/>
    <w:rPr>
      <w:b w:val="0"/>
      <w:sz w:val="16"/>
    </w:rPr>
  </w:style>
  <w:style w:type="character" w:customStyle="1" w:styleId="Table-Header">
    <w:name w:val="Table - Header"/>
    <w:rPr>
      <w:b/>
      <w:sz w:val="16"/>
    </w:rPr>
  </w:style>
  <w:style w:type="character" w:customStyle="1" w:styleId="Table-Names">
    <w:name w:val="Table - Names"/>
    <w:rPr>
      <w:b/>
      <w:sz w:val="16"/>
    </w:rPr>
  </w:style>
  <w:style w:type="paragraph" w:customStyle="1" w:styleId="BlockTitleParagraph">
    <w:name w:val="Block Title Paragraph"/>
    <w:pPr>
      <w:keepNext/>
      <w:pBdr>
        <w:bottom w:val="single" w:sz="2" w:space="0" w:color="808080"/>
      </w:pBdr>
      <w:spacing w:before="240" w:after="240"/>
    </w:pPr>
    <w:rPr>
      <w:rFonts w:ascii="Arial" w:eastAsia="Arial" w:hAnsi="Arial" w:cs="Arial"/>
      <w:b/>
      <w:color w:val="808080"/>
    </w:rPr>
  </w:style>
  <w:style w:type="character" w:customStyle="1" w:styleId="ProjectName">
    <w:name w:val="Project Name"/>
    <w:rPr>
      <w:b/>
      <w:sz w:val="40"/>
    </w:rPr>
  </w:style>
  <w:style w:type="character" w:customStyle="1" w:styleId="DatabaseList">
    <w:name w:val="Database List"/>
    <w:rPr>
      <w:b/>
      <w:i/>
      <w:sz w:val="28"/>
    </w:rPr>
  </w:style>
  <w:style w:type="character" w:customStyle="1" w:styleId="Details">
    <w:name w:val="Details"/>
    <w:rPr>
      <w:b/>
      <w:sz w:val="24"/>
    </w:rPr>
  </w:style>
  <w:style w:type="character" w:customStyle="1" w:styleId="ScriptNormal">
    <w:name w:val="Script.Normal"/>
    <w:rPr>
      <w:rFonts w:ascii="Courier New" w:eastAsia="Courier New" w:hAnsi="Courier New" w:cs="Courier New"/>
      <w:sz w:val="16"/>
    </w:rPr>
  </w:style>
  <w:style w:type="character" w:customStyle="1" w:styleId="ScriptComment">
    <w:name w:val="Script.Comment"/>
    <w:rPr>
      <w:rFonts w:ascii="Courier New" w:eastAsia="Courier New" w:hAnsi="Courier New" w:cs="Courier New"/>
      <w:color w:val="008000"/>
      <w:sz w:val="16"/>
    </w:rPr>
  </w:style>
  <w:style w:type="character" w:customStyle="1" w:styleId="ScriptOperator">
    <w:name w:val="Script.Operator"/>
    <w:rPr>
      <w:rFonts w:ascii="Courier New" w:eastAsia="Courier New" w:hAnsi="Courier New" w:cs="Courier New"/>
      <w:color w:val="808080"/>
      <w:sz w:val="16"/>
    </w:rPr>
  </w:style>
  <w:style w:type="character" w:customStyle="1" w:styleId="ScriptKeyword">
    <w:name w:val="Script.Keyword"/>
    <w:rPr>
      <w:rFonts w:ascii="Courier New" w:eastAsia="Courier New" w:hAnsi="Courier New" w:cs="Courier New"/>
      <w:color w:val="0000FF"/>
      <w:sz w:val="16"/>
    </w:rPr>
  </w:style>
  <w:style w:type="character" w:customStyle="1" w:styleId="ScriptFunction">
    <w:name w:val="Script.Function"/>
    <w:rPr>
      <w:rFonts w:ascii="Courier New" w:eastAsia="Courier New" w:hAnsi="Courier New" w:cs="Courier New"/>
      <w:color w:val="FF00FF"/>
      <w:sz w:val="16"/>
    </w:rPr>
  </w:style>
  <w:style w:type="character" w:customStyle="1" w:styleId="ScriptSystemView">
    <w:name w:val="Script.SystemView"/>
    <w:rPr>
      <w:rFonts w:ascii="Courier New" w:eastAsia="Courier New" w:hAnsi="Courier New" w:cs="Courier New"/>
      <w:color w:val="0000FF"/>
      <w:sz w:val="16"/>
    </w:rPr>
  </w:style>
  <w:style w:type="character" w:customStyle="1" w:styleId="ScriptString">
    <w:name w:val="Script.String"/>
    <w:rPr>
      <w:rFonts w:ascii="Courier New" w:eastAsia="Courier New" w:hAnsi="Courier New" w:cs="Courier New"/>
      <w:color w:val="FF4500"/>
      <w:sz w:val="16"/>
    </w:rPr>
  </w:style>
  <w:style w:type="character" w:customStyle="1" w:styleId="ScriptStoredProcedure">
    <w:name w:val="Script.StoredProcedure"/>
    <w:rPr>
      <w:rFonts w:ascii="Courier New" w:eastAsia="Courier New" w:hAnsi="Courier New" w:cs="Courier New"/>
      <w:color w:val="8B0000"/>
      <w:sz w:val="16"/>
    </w:rPr>
  </w:style>
  <w:style w:type="paragraph" w:styleId="TOC1">
    <w:name w:val="toc 1"/>
    <w:basedOn w:val="Normal"/>
    <w:next w:val="Normal"/>
    <w:autoRedefine/>
    <w:uiPriority w:val="39"/>
    <w:qFormat/>
    <w:rsid w:val="00615F7B"/>
    <w:pPr>
      <w:tabs>
        <w:tab w:val="left" w:pos="720"/>
        <w:tab w:val="right" w:leader="dot" w:pos="10790"/>
      </w:tabs>
      <w:spacing w:before="120"/>
      <w:ind w:left="360" w:hanging="360"/>
    </w:pPr>
    <w:rPr>
      <w:noProof/>
      <w:sz w:val="28"/>
    </w:rPr>
  </w:style>
  <w:style w:type="character" w:styleId="Hyperlink">
    <w:name w:val="Hyperlink"/>
    <w:basedOn w:val="DefaultParagraphFont"/>
    <w:uiPriority w:val="99"/>
    <w:rsid w:val="00EF7B96"/>
    <w:rPr>
      <w:color w:val="0000FF"/>
      <w:u w:val="single"/>
    </w:rPr>
  </w:style>
  <w:style w:type="paragraph" w:styleId="TOC6">
    <w:name w:val="toc 6"/>
    <w:basedOn w:val="Normal"/>
    <w:next w:val="Normal"/>
    <w:autoRedefine/>
    <w:uiPriority w:val="39"/>
    <w:rsid w:val="00805BCE"/>
    <w:pPr>
      <w:ind w:left="1200"/>
    </w:pPr>
  </w:style>
  <w:style w:type="paragraph" w:styleId="Title">
    <w:name w:val="Title"/>
    <w:basedOn w:val="Normal"/>
    <w:next w:val="Normal"/>
    <w:link w:val="TitleChar"/>
    <w:uiPriority w:val="10"/>
    <w:qFormat/>
    <w:rsid w:val="000E058D"/>
    <w:pPr>
      <w:framePr w:w="11280" w:h="840" w:hRule="exact" w:wrap="auto" w:vAnchor="page" w:hAnchor="page" w:x="481" w:y="7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pPr>
    <w:rPr>
      <w:b/>
      <w:noProof/>
      <w:sz w:val="56"/>
      <w:szCs w:val="56"/>
    </w:rPr>
  </w:style>
  <w:style w:type="character" w:customStyle="1" w:styleId="TitleChar">
    <w:name w:val="Title Char"/>
    <w:basedOn w:val="DefaultParagraphFont"/>
    <w:link w:val="Title"/>
    <w:uiPriority w:val="10"/>
    <w:rsid w:val="000E058D"/>
    <w:rPr>
      <w:rFonts w:ascii="Arial" w:eastAsia="Arial" w:hAnsi="Arial" w:cs="Arial"/>
      <w:b/>
      <w:noProof/>
      <w:sz w:val="56"/>
      <w:szCs w:val="56"/>
    </w:rPr>
  </w:style>
  <w:style w:type="paragraph" w:styleId="Subtitle0">
    <w:name w:val="Subtitle"/>
    <w:basedOn w:val="Normal"/>
    <w:next w:val="Normal"/>
    <w:link w:val="SubtitleChar"/>
    <w:uiPriority w:val="11"/>
    <w:qFormat/>
    <w:rsid w:val="00B622B7"/>
    <w:pPr>
      <w:framePr w:w="11280" w:h="600" w:hRule="exact" w:wrap="auto" w:vAnchor="page" w:hAnchor="page" w:x="481" w:y="78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pPr>
    <w:rPr>
      <w:color w:val="575757"/>
      <w:sz w:val="48"/>
      <w:szCs w:val="44"/>
    </w:rPr>
  </w:style>
  <w:style w:type="character" w:customStyle="1" w:styleId="SubtitleChar">
    <w:name w:val="Subtitle Char"/>
    <w:basedOn w:val="DefaultParagraphFont"/>
    <w:link w:val="Subtitle0"/>
    <w:uiPriority w:val="11"/>
    <w:rsid w:val="00B622B7"/>
    <w:rPr>
      <w:rFonts w:ascii="Arial" w:eastAsia="Arial" w:hAnsi="Arial" w:cs="Arial"/>
      <w:color w:val="575757"/>
      <w:sz w:val="48"/>
      <w:szCs w:val="44"/>
    </w:rPr>
  </w:style>
  <w:style w:type="paragraph" w:styleId="TOC2">
    <w:name w:val="toc 2"/>
    <w:basedOn w:val="Normal"/>
    <w:next w:val="Normal"/>
    <w:autoRedefine/>
    <w:uiPriority w:val="39"/>
    <w:unhideWhenUsed/>
    <w:qFormat/>
    <w:rsid w:val="00192C3E"/>
    <w:pPr>
      <w:keepNext/>
      <w:tabs>
        <w:tab w:val="left" w:pos="1080"/>
        <w:tab w:val="right" w:leader="dot" w:pos="10790"/>
      </w:tabs>
      <w:spacing w:before="120"/>
      <w:ind w:left="720" w:hanging="360"/>
    </w:pPr>
    <w:rPr>
      <w:sz w:val="24"/>
    </w:rPr>
  </w:style>
  <w:style w:type="paragraph" w:styleId="Header">
    <w:name w:val="header"/>
    <w:basedOn w:val="Normal"/>
    <w:link w:val="HeaderChar"/>
    <w:uiPriority w:val="99"/>
    <w:unhideWhenUsed/>
    <w:rsid w:val="00E05628"/>
    <w:pPr>
      <w:tabs>
        <w:tab w:val="center" w:pos="4680"/>
        <w:tab w:val="right" w:pos="9360"/>
      </w:tabs>
      <w:spacing w:after="0"/>
    </w:pPr>
  </w:style>
  <w:style w:type="character" w:customStyle="1" w:styleId="HeaderChar">
    <w:name w:val="Header Char"/>
    <w:basedOn w:val="DefaultParagraphFont"/>
    <w:link w:val="Header"/>
    <w:uiPriority w:val="99"/>
    <w:rsid w:val="00E05628"/>
    <w:rPr>
      <w:rFonts w:ascii="Arial" w:eastAsia="Arial" w:hAnsi="Arial" w:cs="Arial"/>
      <w:sz w:val="16"/>
      <w:szCs w:val="24"/>
    </w:rPr>
  </w:style>
  <w:style w:type="paragraph" w:styleId="Footer">
    <w:name w:val="footer"/>
    <w:basedOn w:val="Normal"/>
    <w:link w:val="FooterChar"/>
    <w:uiPriority w:val="99"/>
    <w:unhideWhenUsed/>
    <w:rsid w:val="00E05628"/>
    <w:pPr>
      <w:tabs>
        <w:tab w:val="center" w:pos="4680"/>
        <w:tab w:val="right" w:pos="9360"/>
      </w:tabs>
      <w:spacing w:after="0"/>
    </w:pPr>
  </w:style>
  <w:style w:type="character" w:customStyle="1" w:styleId="FooterChar">
    <w:name w:val="Footer Char"/>
    <w:basedOn w:val="DefaultParagraphFont"/>
    <w:link w:val="Footer"/>
    <w:uiPriority w:val="99"/>
    <w:rsid w:val="00E05628"/>
    <w:rPr>
      <w:rFonts w:ascii="Arial" w:eastAsia="Arial" w:hAnsi="Arial" w:cs="Arial"/>
      <w:sz w:val="16"/>
      <w:szCs w:val="24"/>
    </w:rPr>
  </w:style>
  <w:style w:type="paragraph" w:styleId="TOCHeading">
    <w:name w:val="TOC Heading"/>
    <w:next w:val="Normal"/>
    <w:uiPriority w:val="39"/>
    <w:unhideWhenUsed/>
    <w:qFormat/>
    <w:rsid w:val="00CF34F0"/>
    <w:rPr>
      <w:rFonts w:ascii="Arial" w:eastAsia="Arial" w:hAnsi="Arial" w:cs="Arial"/>
      <w:b/>
      <w:bCs/>
      <w:color w:val="000000" w:themeColor="text1"/>
      <w:kern w:val="32"/>
      <w:sz w:val="44"/>
      <w:szCs w:val="32"/>
    </w:rPr>
  </w:style>
  <w:style w:type="character" w:customStyle="1" w:styleId="Heading4Char">
    <w:name w:val="Heading 4 Char"/>
    <w:basedOn w:val="DefaultParagraphFont"/>
    <w:link w:val="Heading4"/>
    <w:uiPriority w:val="9"/>
    <w:rsid w:val="00B16C98"/>
    <w:rPr>
      <w:rFonts w:ascii="Arial" w:eastAsiaTheme="majorEastAsia" w:hAnsi="Arial" w:cstheme="majorBidi"/>
      <w:b/>
      <w:iCs/>
      <w:color w:val="000000" w:themeColor="text1"/>
      <w:sz w:val="22"/>
      <w:szCs w:val="24"/>
    </w:rPr>
  </w:style>
  <w:style w:type="paragraph" w:styleId="TOC5">
    <w:name w:val="toc 5"/>
    <w:basedOn w:val="Normal"/>
    <w:next w:val="Normal"/>
    <w:autoRedefine/>
    <w:uiPriority w:val="39"/>
    <w:unhideWhenUsed/>
    <w:rsid w:val="00EE3E5C"/>
    <w:pPr>
      <w:spacing w:after="100"/>
      <w:ind w:left="880"/>
    </w:pPr>
  </w:style>
  <w:style w:type="paragraph" w:styleId="BodyText">
    <w:name w:val="Body Text"/>
    <w:basedOn w:val="Normal"/>
    <w:link w:val="BodyTextChar"/>
    <w:uiPriority w:val="1"/>
    <w:unhideWhenUsed/>
    <w:qFormat/>
    <w:rsid w:val="001D496B"/>
    <w:pPr>
      <w:spacing w:after="120"/>
    </w:pPr>
    <w:rPr>
      <w:rFonts w:ascii="Times New Roman" w:hAnsi="Times New Roman"/>
    </w:rPr>
  </w:style>
  <w:style w:type="character" w:customStyle="1" w:styleId="BodyTextChar">
    <w:name w:val="Body Text Char"/>
    <w:basedOn w:val="DefaultParagraphFont"/>
    <w:link w:val="BodyText"/>
    <w:uiPriority w:val="1"/>
    <w:rsid w:val="001D496B"/>
    <w:rPr>
      <w:rFonts w:eastAsia="Arial" w:cs="Arial"/>
      <w:sz w:val="22"/>
      <w:szCs w:val="24"/>
    </w:rPr>
  </w:style>
  <w:style w:type="paragraph" w:styleId="TOC3">
    <w:name w:val="toc 3"/>
    <w:basedOn w:val="Normal"/>
    <w:next w:val="Normal"/>
    <w:autoRedefine/>
    <w:uiPriority w:val="39"/>
    <w:unhideWhenUsed/>
    <w:qFormat/>
    <w:rsid w:val="00330FD5"/>
    <w:pPr>
      <w:tabs>
        <w:tab w:val="right" w:leader="dot" w:pos="10790"/>
      </w:tabs>
      <w:ind w:left="1080" w:hanging="360"/>
    </w:pPr>
    <w:rPr>
      <w:sz w:val="20"/>
    </w:rPr>
  </w:style>
  <w:style w:type="paragraph" w:styleId="ListParagraph">
    <w:name w:val="List Paragraph"/>
    <w:basedOn w:val="Normal"/>
    <w:uiPriority w:val="34"/>
    <w:qFormat/>
    <w:rsid w:val="00F819D1"/>
    <w:pPr>
      <w:widowControl w:val="0"/>
      <w:autoSpaceDE w:val="0"/>
      <w:autoSpaceDN w:val="0"/>
      <w:spacing w:before="120" w:after="120"/>
      <w:ind w:left="748" w:hanging="230"/>
    </w:pPr>
    <w:rPr>
      <w:rFonts w:eastAsia="Calibri" w:cs="Calibri"/>
      <w:szCs w:val="22"/>
    </w:rPr>
  </w:style>
  <w:style w:type="paragraph" w:styleId="TOC4">
    <w:name w:val="toc 4"/>
    <w:basedOn w:val="Normal"/>
    <w:next w:val="Normal"/>
    <w:autoRedefine/>
    <w:uiPriority w:val="39"/>
    <w:unhideWhenUsed/>
    <w:qFormat/>
    <w:rsid w:val="009859E7"/>
    <w:pPr>
      <w:tabs>
        <w:tab w:val="left" w:pos="1890"/>
        <w:tab w:val="right" w:leader="dot" w:pos="10790"/>
      </w:tabs>
      <w:ind w:left="1526" w:hanging="446"/>
    </w:pPr>
    <w:rPr>
      <w:color w:val="00B0F0"/>
      <w:sz w:val="16"/>
    </w:rPr>
  </w:style>
  <w:style w:type="paragraph" w:customStyle="1" w:styleId="TableParagraph">
    <w:name w:val="Table Paragraph"/>
    <w:basedOn w:val="Normal"/>
    <w:uiPriority w:val="1"/>
    <w:rsid w:val="00FC1A9D"/>
    <w:pPr>
      <w:widowControl w:val="0"/>
      <w:autoSpaceDE w:val="0"/>
      <w:autoSpaceDN w:val="0"/>
      <w:spacing w:after="0"/>
    </w:pPr>
    <w:rPr>
      <w:rFonts w:ascii="Calibri" w:eastAsia="Calibri" w:hAnsi="Calibri" w:cs="Calibri"/>
      <w:szCs w:val="22"/>
    </w:rPr>
  </w:style>
  <w:style w:type="character" w:styleId="UnresolvedMention">
    <w:name w:val="Unresolved Mention"/>
    <w:basedOn w:val="DefaultParagraphFont"/>
    <w:uiPriority w:val="99"/>
    <w:semiHidden/>
    <w:unhideWhenUsed/>
    <w:rsid w:val="00FC1A9D"/>
    <w:rPr>
      <w:color w:val="605E5C"/>
      <w:shd w:val="clear" w:color="auto" w:fill="E1DFDD"/>
    </w:rPr>
  </w:style>
  <w:style w:type="character" w:styleId="FollowedHyperlink">
    <w:name w:val="FollowedHyperlink"/>
    <w:basedOn w:val="DefaultParagraphFont"/>
    <w:uiPriority w:val="99"/>
    <w:semiHidden/>
    <w:unhideWhenUsed/>
    <w:rsid w:val="00662136"/>
    <w:rPr>
      <w:color w:val="954F72" w:themeColor="followedHyperlink"/>
      <w:u w:val="single"/>
    </w:rPr>
  </w:style>
  <w:style w:type="paragraph" w:styleId="TOC7">
    <w:name w:val="toc 7"/>
    <w:basedOn w:val="Normal"/>
    <w:next w:val="Normal"/>
    <w:autoRedefine/>
    <w:uiPriority w:val="39"/>
    <w:unhideWhenUsed/>
    <w:rsid w:val="00953EAD"/>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953EAD"/>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953EAD"/>
    <w:pPr>
      <w:spacing w:after="100" w:line="259" w:lineRule="auto"/>
      <w:ind w:left="1760"/>
    </w:pPr>
    <w:rPr>
      <w:rFonts w:asciiTheme="minorHAnsi" w:eastAsiaTheme="minorEastAsia" w:hAnsiTheme="minorHAnsi" w:cstheme="minorBidi"/>
      <w:szCs w:val="22"/>
    </w:rPr>
  </w:style>
  <w:style w:type="table" w:styleId="TableGrid">
    <w:name w:val="Table Grid"/>
    <w:basedOn w:val="TableNormal"/>
    <w:rsid w:val="00B62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1D496B"/>
    <w:pPr>
      <w:spacing w:after="60"/>
    </w:pPr>
    <w:rPr>
      <w:rFonts w:ascii="Arial" w:hAnsi="Arial"/>
      <w:sz w:val="16"/>
      <w:szCs w:val="16"/>
    </w:rPr>
  </w:style>
  <w:style w:type="paragraph" w:customStyle="1" w:styleId="FirstBullet-IHS">
    <w:name w:val="FirstBullet - IHS"/>
    <w:rsid w:val="00972BD0"/>
    <w:pPr>
      <w:numPr>
        <w:numId w:val="4"/>
      </w:numPr>
      <w:spacing w:after="120"/>
      <w:ind w:left="590" w:hanging="230"/>
    </w:pPr>
    <w:rPr>
      <w:rFonts w:ascii="Calibri" w:eastAsiaTheme="minorHAnsi" w:hAnsi="Calibri" w:cs="Arial"/>
      <w:sz w:val="24"/>
      <w:szCs w:val="22"/>
    </w:rPr>
  </w:style>
  <w:style w:type="character" w:customStyle="1" w:styleId="TableTextChar">
    <w:name w:val="Table Text Char"/>
    <w:basedOn w:val="BodyTextChar"/>
    <w:link w:val="TableText"/>
    <w:rsid w:val="001D496B"/>
    <w:rPr>
      <w:rFonts w:ascii="Arial" w:eastAsia="Arial" w:hAnsi="Arial" w:cs="Arial"/>
      <w:sz w:val="16"/>
      <w:szCs w:val="16"/>
    </w:rPr>
  </w:style>
  <w:style w:type="character" w:styleId="CommentReference">
    <w:name w:val="annotation reference"/>
    <w:basedOn w:val="DefaultParagraphFont"/>
    <w:uiPriority w:val="99"/>
    <w:semiHidden/>
    <w:unhideWhenUsed/>
    <w:rsid w:val="003C7783"/>
    <w:rPr>
      <w:sz w:val="16"/>
      <w:szCs w:val="16"/>
    </w:rPr>
  </w:style>
  <w:style w:type="paragraph" w:styleId="CommentText">
    <w:name w:val="annotation text"/>
    <w:basedOn w:val="Normal"/>
    <w:link w:val="CommentTextChar"/>
    <w:uiPriority w:val="99"/>
    <w:unhideWhenUsed/>
    <w:rsid w:val="003C7783"/>
    <w:pPr>
      <w:spacing w:after="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C7783"/>
    <w:rPr>
      <w:rFonts w:asciiTheme="minorHAnsi" w:eastAsiaTheme="minorHAnsi" w:hAnsiTheme="minorHAnsi" w:cstheme="minorBidi"/>
    </w:rPr>
  </w:style>
  <w:style w:type="character" w:customStyle="1" w:styleId="cf01">
    <w:name w:val="cf01"/>
    <w:basedOn w:val="DefaultParagraphFont"/>
    <w:rsid w:val="00B3072B"/>
    <w:rPr>
      <w:rFonts w:ascii="Segoe UI" w:hAnsi="Segoe UI" w:cs="Segoe UI" w:hint="default"/>
      <w:sz w:val="18"/>
      <w:szCs w:val="18"/>
    </w:rPr>
  </w:style>
  <w:style w:type="paragraph" w:styleId="NormalWeb">
    <w:name w:val="Normal (Web)"/>
    <w:basedOn w:val="Normal"/>
    <w:uiPriority w:val="99"/>
    <w:semiHidden/>
    <w:unhideWhenUsed/>
    <w:rsid w:val="009473AD"/>
    <w:pPr>
      <w:spacing w:before="100" w:beforeAutospacing="1" w:after="100" w:afterAutospacing="1"/>
    </w:pPr>
    <w:rPr>
      <w:rFonts w:ascii="Times New Roman" w:eastAsia="Times New Roman" w:hAnsi="Times New Roman" w:cs="Times New Roman"/>
      <w:sz w:val="24"/>
    </w:rPr>
  </w:style>
  <w:style w:type="character" w:customStyle="1" w:styleId="Heading1Char">
    <w:name w:val="Heading 1 Char"/>
    <w:basedOn w:val="DefaultParagraphFont"/>
    <w:link w:val="Heading1"/>
    <w:uiPriority w:val="9"/>
    <w:rsid w:val="00D231B0"/>
    <w:rPr>
      <w:rFonts w:ascii="Arial" w:eastAsia="Arial" w:hAnsi="Arial" w:cs="Arial"/>
      <w:b/>
      <w:bCs/>
      <w:color w:val="000000" w:themeColor="text1"/>
      <w:kern w:val="32"/>
      <w:sz w:val="44"/>
      <w:szCs w:val="32"/>
    </w:rPr>
  </w:style>
  <w:style w:type="paragraph" w:styleId="NoSpacing">
    <w:name w:val="No Spacing"/>
    <w:link w:val="NoSpacingChar"/>
    <w:uiPriority w:val="1"/>
    <w:rsid w:val="009473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473AD"/>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9473AD"/>
    <w:pPr>
      <w:spacing w:after="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473AD"/>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473AD"/>
    <w:rPr>
      <w:b/>
      <w:bCs/>
    </w:rPr>
  </w:style>
  <w:style w:type="character" w:customStyle="1" w:styleId="CommentSubjectChar">
    <w:name w:val="Comment Subject Char"/>
    <w:basedOn w:val="CommentTextChar"/>
    <w:link w:val="CommentSubject"/>
    <w:uiPriority w:val="99"/>
    <w:semiHidden/>
    <w:rsid w:val="009473AD"/>
    <w:rPr>
      <w:rFonts w:asciiTheme="minorHAnsi" w:eastAsiaTheme="minorHAnsi" w:hAnsiTheme="minorHAnsi" w:cstheme="minorBidi"/>
      <w:b/>
      <w:bCs/>
    </w:rPr>
  </w:style>
  <w:style w:type="paragraph" w:customStyle="1" w:styleId="xmsonormal">
    <w:name w:val="x_msonormal"/>
    <w:basedOn w:val="Normal"/>
    <w:rsid w:val="009473AD"/>
    <w:pPr>
      <w:spacing w:before="100" w:beforeAutospacing="1" w:after="100" w:afterAutospacing="1"/>
    </w:pPr>
    <w:rPr>
      <w:rFonts w:ascii="Times New Roman" w:eastAsia="Times New Roman" w:hAnsi="Times New Roman" w:cs="Times New Roman"/>
      <w:sz w:val="24"/>
    </w:rPr>
  </w:style>
  <w:style w:type="paragraph" w:customStyle="1" w:styleId="xdefault">
    <w:name w:val="x_default"/>
    <w:basedOn w:val="Normal"/>
    <w:rsid w:val="009473AD"/>
    <w:pPr>
      <w:spacing w:before="100" w:beforeAutospacing="1" w:after="100" w:afterAutospacing="1"/>
    </w:pPr>
    <w:rPr>
      <w:rFonts w:ascii="Times New Roman" w:eastAsia="Times New Roman" w:hAnsi="Times New Roman" w:cs="Times New Roman"/>
      <w:sz w:val="24"/>
    </w:rPr>
  </w:style>
  <w:style w:type="table" w:styleId="GridTable4-Accent1">
    <w:name w:val="Grid Table 4 Accent 1"/>
    <w:basedOn w:val="TableNormal"/>
    <w:uiPriority w:val="49"/>
    <w:rsid w:val="008B2759"/>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op">
    <w:name w:val="eop"/>
    <w:basedOn w:val="DefaultParagraphFont"/>
    <w:rsid w:val="00DA42D9"/>
  </w:style>
  <w:style w:type="character" w:customStyle="1" w:styleId="normaltextrun">
    <w:name w:val="normaltextrun"/>
    <w:basedOn w:val="DefaultParagraphFont"/>
    <w:rsid w:val="000712C0"/>
  </w:style>
  <w:style w:type="character" w:customStyle="1" w:styleId="Heading7Char">
    <w:name w:val="Heading 7 Char"/>
    <w:basedOn w:val="DefaultParagraphFont"/>
    <w:link w:val="Heading7"/>
    <w:uiPriority w:val="9"/>
    <w:semiHidden/>
    <w:rsid w:val="00F67632"/>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F67632"/>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F67632"/>
    <w:rPr>
      <w:rFonts w:asciiTheme="minorHAnsi" w:eastAsiaTheme="majorEastAsia" w:hAnsiTheme="minorHAnsi" w:cstheme="majorBidi"/>
      <w:color w:val="272727" w:themeColor="text1" w:themeTint="D8"/>
      <w:kern w:val="2"/>
      <w:sz w:val="22"/>
      <w:szCs w:val="22"/>
      <w14:ligatures w14:val="standardContextual"/>
    </w:rPr>
  </w:style>
  <w:style w:type="character" w:customStyle="1" w:styleId="Heading6Char">
    <w:name w:val="Heading 6 Char"/>
    <w:basedOn w:val="DefaultParagraphFont"/>
    <w:link w:val="Heading6"/>
    <w:uiPriority w:val="9"/>
    <w:rsid w:val="00F67632"/>
    <w:rPr>
      <w:rFonts w:ascii="Arial" w:eastAsia="Arial" w:hAnsi="Arial" w:cs="Arial"/>
      <w:b/>
      <w:bCs/>
      <w:sz w:val="22"/>
      <w:szCs w:val="22"/>
    </w:rPr>
  </w:style>
  <w:style w:type="paragraph" w:styleId="Quote">
    <w:name w:val="Quote"/>
    <w:basedOn w:val="Normal"/>
    <w:next w:val="Normal"/>
    <w:link w:val="QuoteChar"/>
    <w:uiPriority w:val="29"/>
    <w:qFormat/>
    <w:rsid w:val="00F67632"/>
    <w:pPr>
      <w:spacing w:before="160" w:line="259" w:lineRule="auto"/>
      <w:jc w:val="center"/>
    </w:pPr>
    <w:rPr>
      <w:rFonts w:asciiTheme="minorHAnsi" w:eastAsiaTheme="minorHAnsi" w:hAnsi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F67632"/>
    <w:rPr>
      <w:rFonts w:asciiTheme="minorHAnsi" w:eastAsiaTheme="minorHAnsi" w:hAnsiTheme="minorHAnsi" w:cstheme="minorBidi"/>
      <w:i/>
      <w:iCs/>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F67632"/>
    <w:rPr>
      <w:i/>
      <w:iCs/>
      <w:color w:val="2E74B5" w:themeColor="accent1" w:themeShade="BF"/>
    </w:rPr>
  </w:style>
  <w:style w:type="paragraph" w:styleId="IntenseQuote">
    <w:name w:val="Intense Quote"/>
    <w:basedOn w:val="Normal"/>
    <w:next w:val="Normal"/>
    <w:link w:val="IntenseQuoteChar"/>
    <w:uiPriority w:val="30"/>
    <w:qFormat/>
    <w:rsid w:val="00F67632"/>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F67632"/>
    <w:rPr>
      <w:rFonts w:asciiTheme="minorHAnsi" w:eastAsiaTheme="minorHAnsi" w:hAnsiTheme="minorHAnsi" w:cstheme="minorBidi"/>
      <w:i/>
      <w:iCs/>
      <w:color w:val="2E74B5" w:themeColor="accent1" w:themeShade="BF"/>
      <w:kern w:val="2"/>
      <w:sz w:val="22"/>
      <w:szCs w:val="22"/>
      <w14:ligatures w14:val="standardContextual"/>
    </w:rPr>
  </w:style>
  <w:style w:type="character" w:styleId="IntenseReference">
    <w:name w:val="Intense Reference"/>
    <w:basedOn w:val="DefaultParagraphFont"/>
    <w:uiPriority w:val="32"/>
    <w:qFormat/>
    <w:rsid w:val="00F67632"/>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725739">
      <w:bodyDiv w:val="1"/>
      <w:marLeft w:val="0"/>
      <w:marRight w:val="0"/>
      <w:marTop w:val="0"/>
      <w:marBottom w:val="0"/>
      <w:divBdr>
        <w:top w:val="none" w:sz="0" w:space="0" w:color="auto"/>
        <w:left w:val="none" w:sz="0" w:space="0" w:color="auto"/>
        <w:bottom w:val="none" w:sz="0" w:space="0" w:color="auto"/>
        <w:right w:val="none" w:sz="0" w:space="0" w:color="auto"/>
      </w:divBdr>
    </w:div>
    <w:div w:id="755324708">
      <w:bodyDiv w:val="1"/>
      <w:marLeft w:val="0"/>
      <w:marRight w:val="0"/>
      <w:marTop w:val="0"/>
      <w:marBottom w:val="0"/>
      <w:divBdr>
        <w:top w:val="none" w:sz="0" w:space="0" w:color="auto"/>
        <w:left w:val="none" w:sz="0" w:space="0" w:color="auto"/>
        <w:bottom w:val="none" w:sz="0" w:space="0" w:color="auto"/>
        <w:right w:val="none" w:sz="0" w:space="0" w:color="auto"/>
      </w:divBdr>
    </w:div>
    <w:div w:id="896741315">
      <w:bodyDiv w:val="1"/>
      <w:marLeft w:val="0"/>
      <w:marRight w:val="0"/>
      <w:marTop w:val="0"/>
      <w:marBottom w:val="0"/>
      <w:divBdr>
        <w:top w:val="none" w:sz="0" w:space="0" w:color="auto"/>
        <w:left w:val="none" w:sz="0" w:space="0" w:color="auto"/>
        <w:bottom w:val="none" w:sz="0" w:space="0" w:color="auto"/>
        <w:right w:val="none" w:sz="0" w:space="0" w:color="auto"/>
      </w:divBdr>
    </w:div>
    <w:div w:id="1118179543">
      <w:bodyDiv w:val="1"/>
      <w:marLeft w:val="0"/>
      <w:marRight w:val="0"/>
      <w:marTop w:val="0"/>
      <w:marBottom w:val="0"/>
      <w:divBdr>
        <w:top w:val="none" w:sz="0" w:space="0" w:color="auto"/>
        <w:left w:val="none" w:sz="0" w:space="0" w:color="auto"/>
        <w:bottom w:val="none" w:sz="0" w:space="0" w:color="auto"/>
        <w:right w:val="none" w:sz="0" w:space="0" w:color="auto"/>
      </w:divBdr>
    </w:div>
    <w:div w:id="1156845866">
      <w:bodyDiv w:val="1"/>
      <w:marLeft w:val="0"/>
      <w:marRight w:val="0"/>
      <w:marTop w:val="0"/>
      <w:marBottom w:val="0"/>
      <w:divBdr>
        <w:top w:val="none" w:sz="0" w:space="0" w:color="auto"/>
        <w:left w:val="none" w:sz="0" w:space="0" w:color="auto"/>
        <w:bottom w:val="none" w:sz="0" w:space="0" w:color="auto"/>
        <w:right w:val="none" w:sz="0" w:space="0" w:color="auto"/>
      </w:divBdr>
    </w:div>
    <w:div w:id="1335958733">
      <w:bodyDiv w:val="1"/>
      <w:marLeft w:val="0"/>
      <w:marRight w:val="0"/>
      <w:marTop w:val="0"/>
      <w:marBottom w:val="0"/>
      <w:divBdr>
        <w:top w:val="none" w:sz="0" w:space="0" w:color="auto"/>
        <w:left w:val="none" w:sz="0" w:space="0" w:color="auto"/>
        <w:bottom w:val="none" w:sz="0" w:space="0" w:color="auto"/>
        <w:right w:val="none" w:sz="0" w:space="0" w:color="auto"/>
      </w:divBdr>
    </w:div>
    <w:div w:id="1343778694">
      <w:bodyDiv w:val="1"/>
      <w:marLeft w:val="0"/>
      <w:marRight w:val="0"/>
      <w:marTop w:val="0"/>
      <w:marBottom w:val="0"/>
      <w:divBdr>
        <w:top w:val="none" w:sz="0" w:space="0" w:color="auto"/>
        <w:left w:val="none" w:sz="0" w:space="0" w:color="auto"/>
        <w:bottom w:val="none" w:sz="0" w:space="0" w:color="auto"/>
        <w:right w:val="none" w:sz="0" w:space="0" w:color="auto"/>
      </w:divBdr>
    </w:div>
    <w:div w:id="1473328084">
      <w:bodyDiv w:val="1"/>
      <w:marLeft w:val="0"/>
      <w:marRight w:val="0"/>
      <w:marTop w:val="0"/>
      <w:marBottom w:val="0"/>
      <w:divBdr>
        <w:top w:val="none" w:sz="0" w:space="0" w:color="auto"/>
        <w:left w:val="none" w:sz="0" w:space="0" w:color="auto"/>
        <w:bottom w:val="none" w:sz="0" w:space="0" w:color="auto"/>
        <w:right w:val="none" w:sz="0" w:space="0" w:color="auto"/>
      </w:divBdr>
    </w:div>
    <w:div w:id="1684697904">
      <w:bodyDiv w:val="1"/>
      <w:marLeft w:val="0"/>
      <w:marRight w:val="0"/>
      <w:marTop w:val="0"/>
      <w:marBottom w:val="0"/>
      <w:divBdr>
        <w:top w:val="none" w:sz="0" w:space="0" w:color="auto"/>
        <w:left w:val="none" w:sz="0" w:space="0" w:color="auto"/>
        <w:bottom w:val="none" w:sz="0" w:space="0" w:color="auto"/>
        <w:right w:val="none" w:sz="0" w:space="0" w:color="auto"/>
      </w:divBdr>
    </w:div>
    <w:div w:id="1757945518">
      <w:bodyDiv w:val="1"/>
      <w:marLeft w:val="0"/>
      <w:marRight w:val="0"/>
      <w:marTop w:val="0"/>
      <w:marBottom w:val="0"/>
      <w:divBdr>
        <w:top w:val="none" w:sz="0" w:space="0" w:color="auto"/>
        <w:left w:val="none" w:sz="0" w:space="0" w:color="auto"/>
        <w:bottom w:val="none" w:sz="0" w:space="0" w:color="auto"/>
        <w:right w:val="none" w:sz="0" w:space="0" w:color="auto"/>
      </w:divBdr>
    </w:div>
    <w:div w:id="1892305950">
      <w:bodyDiv w:val="1"/>
      <w:marLeft w:val="0"/>
      <w:marRight w:val="0"/>
      <w:marTop w:val="0"/>
      <w:marBottom w:val="0"/>
      <w:divBdr>
        <w:top w:val="none" w:sz="0" w:space="0" w:color="auto"/>
        <w:left w:val="none" w:sz="0" w:space="0" w:color="auto"/>
        <w:bottom w:val="none" w:sz="0" w:space="0" w:color="auto"/>
        <w:right w:val="none" w:sz="0" w:space="0" w:color="auto"/>
      </w:divBdr>
    </w:div>
    <w:div w:id="2044137857">
      <w:bodyDiv w:val="1"/>
      <w:marLeft w:val="0"/>
      <w:marRight w:val="0"/>
      <w:marTop w:val="0"/>
      <w:marBottom w:val="0"/>
      <w:divBdr>
        <w:top w:val="none" w:sz="0" w:space="0" w:color="auto"/>
        <w:left w:val="none" w:sz="0" w:space="0" w:color="auto"/>
        <w:bottom w:val="none" w:sz="0" w:space="0" w:color="auto"/>
        <w:right w:val="none" w:sz="0" w:space="0" w:color="auto"/>
      </w:divBdr>
    </w:div>
    <w:div w:id="2085493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hs.gov/doh/edr/" TargetMode="External"/><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ada.org/-/media/project/ada-organization/ada/ada-org/files/publications/cdt/v2019adadentalclaimcompletioninstructions_v3_2022feb.pdf?rev=70d192ad312a47f285487c1d69de4190&amp;hash=8EFBBD50FA335262C463823E1CA83DFE" TargetMode="External"/><Relationship Id="rId68" Type="http://schemas.openxmlformats.org/officeDocument/2006/relationships/image" Target="media/image33.png"/><Relationship Id="rId84" Type="http://schemas.openxmlformats.org/officeDocument/2006/relationships/footer" Target="footer10.xml"/><Relationship Id="rId89" Type="http://schemas.openxmlformats.org/officeDocument/2006/relationships/hyperlink" Target="https://hsps.pro/DentrixEnterprise/Help_11.0.44/index.htm" TargetMode="External"/><Relationship Id="rId112" Type="http://schemas.openxmlformats.org/officeDocument/2006/relationships/hyperlink" Target="mailto:Kevin.r.Santiago@Leidos.com" TargetMode="External"/><Relationship Id="rId16" Type="http://schemas.openxmlformats.org/officeDocument/2006/relationships/header" Target="header2.xml"/><Relationship Id="rId107" Type="http://schemas.openxmlformats.org/officeDocument/2006/relationships/hyperlink" Target="mailto:itsupport@ihs.gov" TargetMode="External"/><Relationship Id="rId11"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yperlink" Target="https://click.linksynergy.com/deeplink?id=2QzUaswX1as&amp;mid=24542&amp;u1=htg/324956&amp;murl=https%3A%2F%2Fwww.microsoft.com%2Fresources%2Fdocumentation%2Fwindows%2Fxp%2Fall%2Fproddocs%2Fen-us%2Fdefrag_defrag.mspx"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9.png"/><Relationship Id="rId79" Type="http://schemas.openxmlformats.org/officeDocument/2006/relationships/image" Target="media/image43.png"/><Relationship Id="rId102" Type="http://schemas.openxmlformats.org/officeDocument/2006/relationships/hyperlink" Target="https://www.dentrixenterprise.com/training/custom-training" TargetMode="External"/><Relationship Id="rId123" Type="http://schemas.openxmlformats.org/officeDocument/2006/relationships/footer" Target="footer13.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hsps.pro/DentrixEnterprise/Help_11.0.44/index.htm" TargetMode="External"/><Relationship Id="rId95" Type="http://schemas.openxmlformats.org/officeDocument/2006/relationships/hyperlink" Target="https://hsps.pro/DentrixEnterprise/Documentation/Dentrix_Enterprise_11.0.44_System_Requirements.pdf" TargetMode="External"/><Relationship Id="rId22" Type="http://schemas.openxmlformats.org/officeDocument/2006/relationships/footer" Target="footer3.xml"/><Relationship Id="rId27" Type="http://schemas.openxmlformats.org/officeDocument/2006/relationships/header" Target="header8.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hyperlink" Target="https://urldefense.us/v3/__https:/www.govinfo.gov/content/pkg/PLAW-115publ59/pdf/PLAW-115publ59.pdf__;!!Og_tST9LxTiQE1I!4RJ3px4D1rt4T4YHEBgUViwix9fUSeEUDdFaO_p88A9EAGOoqisufDD11ZKtDYmFczo$" TargetMode="External"/><Relationship Id="rId69" Type="http://schemas.openxmlformats.org/officeDocument/2006/relationships/image" Target="media/image34.png"/><Relationship Id="rId113" Type="http://schemas.openxmlformats.org/officeDocument/2006/relationships/hyperlink" Target="mailto:Robert.Busuttil@Leidos.com" TargetMode="External"/><Relationship Id="rId118" Type="http://schemas.openxmlformats.org/officeDocument/2006/relationships/hyperlink" Target="https://www.dentrixenterprise.com/solutions/public-health/meaningful-use" TargetMode="External"/><Relationship Id="rId80" Type="http://schemas.openxmlformats.org/officeDocument/2006/relationships/image" Target="media/image44.emf"/><Relationship Id="rId85" Type="http://schemas.openxmlformats.org/officeDocument/2006/relationships/footer" Target="footer11.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image" Target="media/image9.jpeg"/><Relationship Id="rId38" Type="http://schemas.openxmlformats.org/officeDocument/2006/relationships/header" Target="header10.xml"/><Relationship Id="rId59" Type="http://schemas.openxmlformats.org/officeDocument/2006/relationships/image" Target="media/image28.png"/><Relationship Id="rId103" Type="http://schemas.openxmlformats.org/officeDocument/2006/relationships/hyperlink" Target="mailto:ihs-support@henryscheinone.com" TargetMode="External"/><Relationship Id="rId108" Type="http://schemas.openxmlformats.org/officeDocument/2006/relationships/hyperlink" Target="https://ihsitsupport.servicenowservices.com/sp/" TargetMode="External"/><Relationship Id="rId124" Type="http://schemas.openxmlformats.org/officeDocument/2006/relationships/header" Target="header16.xml"/><Relationship Id="rId129" Type="http://schemas.openxmlformats.org/officeDocument/2006/relationships/theme" Target="theme/theme1.xml"/><Relationship Id="rId54" Type="http://schemas.openxmlformats.org/officeDocument/2006/relationships/image" Target="media/image23.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s://hsps.pro/DentrixEnterprise/Help_11.0.44/index.htm" TargetMode="External"/><Relationship Id="rId96" Type="http://schemas.openxmlformats.org/officeDocument/2006/relationships/hyperlink" Target="https://hsps.pro/DentrixEnterprise/Documentation/IHS_EDR_Technical_Reference_Guide_v4.0.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image" Target="media/image18.png"/><Relationship Id="rId114" Type="http://schemas.openxmlformats.org/officeDocument/2006/relationships/hyperlink" Target="mailto:Matt.Phaneuf@Henryscheinone.com" TargetMode="External"/><Relationship Id="rId119" Type="http://schemas.openxmlformats.org/officeDocument/2006/relationships/hyperlink" Target="https://hsps.pro/DentrixEnterprise/Help_11.0.44/index.htm" TargetMode="External"/><Relationship Id="rId44" Type="http://schemas.openxmlformats.org/officeDocument/2006/relationships/image" Target="media/image13.png"/><Relationship Id="rId60" Type="http://schemas.openxmlformats.org/officeDocument/2006/relationships/hyperlink" Target="https://www.ada.org/-/media/project/ada-organization/ada/ada-org/files/publications/cdt/v2019adadentalclaimcompletioninstructions_v3_2022feb.pdf?rev=70d192ad312a47f285487c1d69de4190&amp;hash=8EFBBD50FA335262C463823E1CA83DFE" TargetMode="External"/><Relationship Id="rId65" Type="http://schemas.openxmlformats.org/officeDocument/2006/relationships/image" Target="media/image30.png"/><Relationship Id="rId81" Type="http://schemas.openxmlformats.org/officeDocument/2006/relationships/image" Target="media/image45.png"/><Relationship Id="rId86" Type="http://schemas.openxmlformats.org/officeDocument/2006/relationships/hyperlink" Target="https://www.ihs.gov/ehr/preparing/documents/" TargetMode="Externa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header" Target="header11.xml"/><Relationship Id="rId109" Type="http://schemas.openxmlformats.org/officeDocument/2006/relationships/hyperlink" Target="mailto:Joel.Knutson@ihs.gov" TargetMode="External"/><Relationship Id="rId34" Type="http://schemas.openxmlformats.org/officeDocument/2006/relationships/hyperlink" Target="mailto:ihs-support@henryscheinone.com"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1.png"/><Relationship Id="rId97" Type="http://schemas.openxmlformats.org/officeDocument/2006/relationships/hyperlink" Target="https://resourcecenter.dentrixenterprise.com/login" TargetMode="External"/><Relationship Id="rId104" Type="http://schemas.openxmlformats.org/officeDocument/2006/relationships/hyperlink" Target="mailto:support@medicorimaging.com" TargetMode="External"/><Relationship Id="rId120" Type="http://schemas.openxmlformats.org/officeDocument/2006/relationships/header" Target="header14.xml"/><Relationship Id="rId125"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https://hsps.pro/DentrixEnterprise/Documentation/Dentrix_Enterprise_11.0.20_Users_Guide_-_IHS.pdf"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6.xml"/><Relationship Id="rId40" Type="http://schemas.openxmlformats.org/officeDocument/2006/relationships/footer" Target="footer8.xml"/><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hyperlink" Target="https://www.ihs.gov/dra/index.cfm/recordsmanagement/dispositionschedule3/" TargetMode="External"/><Relationship Id="rId110" Type="http://schemas.openxmlformats.org/officeDocument/2006/relationships/hyperlink" Target="mailto:Damon.Pope@ihs.gov" TargetMode="External"/><Relationship Id="rId115" Type="http://schemas.openxmlformats.org/officeDocument/2006/relationships/hyperlink" Target="https://www.ihs.gov/DOH/EDR/index.cfm?fuseaction=training.display" TargetMode="External"/><Relationship Id="rId61" Type="http://schemas.openxmlformats.org/officeDocument/2006/relationships/hyperlink" Target="https://www.amerihealth.com/pdfs/providers/npi/ub04_form.pdf" TargetMode="External"/><Relationship Id="rId82" Type="http://schemas.openxmlformats.org/officeDocument/2006/relationships/header" Target="header12.xml"/><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image" Target="media/image10.png"/><Relationship Id="rId56" Type="http://schemas.openxmlformats.org/officeDocument/2006/relationships/image" Target="media/image25.png"/><Relationship Id="rId77" Type="http://schemas.openxmlformats.org/officeDocument/2006/relationships/image" Target="media/image42.emf"/><Relationship Id="rId100" Type="http://schemas.openxmlformats.org/officeDocument/2006/relationships/hyperlink" Target="https://www.dentrixenterprise.com/support/updates" TargetMode="External"/><Relationship Id="rId105" Type="http://schemas.openxmlformats.org/officeDocument/2006/relationships/hyperlink" Target="https://protect.checkpoint.com/v2/___https:/www.medicorimaging.com/support___.YzJ1OmhzcHMxNjU5MTIzMTI0MzE2OmM6bzpjZjYxN2QxNjg1MDFkYTM4MjE0NTk4YWRlOTI4M2FkYTo2OjFhZTM6MTdjMDRhODFiMGRjMWQ1YzQ1Y2I1MjcyNDE1MTQ3Y2NjMGFiYTYxYTRkYTFmZDFlYzI2MDI5Y2EwNWM0MGZjZDpwOkY" TargetMode="External"/><Relationship Id="rId126"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7.jpeg"/><Relationship Id="rId93" Type="http://schemas.openxmlformats.org/officeDocument/2006/relationships/hyperlink" Target="https://hsps.pro/DentrixEnterprise/Documentation/IHS_Dentrix_Enterprise_11.0.44_Users_Guide.pdf" TargetMode="External"/><Relationship Id="rId98" Type="http://schemas.openxmlformats.org/officeDocument/2006/relationships/hyperlink" Target="https://hsps.pro/DentrixEnterprise/Help_11.0.44/index.htm" TargetMode="External"/><Relationship Id="rId121"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image" Target="media/image15.png"/><Relationship Id="rId67" Type="http://schemas.openxmlformats.org/officeDocument/2006/relationships/image" Target="media/image32.png"/><Relationship Id="rId116" Type="http://schemas.openxmlformats.org/officeDocument/2006/relationships/hyperlink" Target="https://resourcecenter.dentrixenterprise.com/login" TargetMode="External"/><Relationship Id="rId20" Type="http://schemas.openxmlformats.org/officeDocument/2006/relationships/header" Target="header4.xml"/><Relationship Id="rId41" Type="http://schemas.openxmlformats.org/officeDocument/2006/relationships/footer" Target="footer9.xml"/><Relationship Id="rId62" Type="http://schemas.openxmlformats.org/officeDocument/2006/relationships/image" Target="media/image29.png"/><Relationship Id="rId83" Type="http://schemas.openxmlformats.org/officeDocument/2006/relationships/header" Target="header13.xml"/><Relationship Id="rId88" Type="http://schemas.openxmlformats.org/officeDocument/2006/relationships/hyperlink" Target="https://www.dentrixenterprise.com/" TargetMode="External"/><Relationship Id="rId111" Type="http://schemas.openxmlformats.org/officeDocument/2006/relationships/hyperlink" Target="mailto:Jeremy.r.Carlson@leidos.com" TargetMode="External"/><Relationship Id="rId15" Type="http://schemas.openxmlformats.org/officeDocument/2006/relationships/image" Target="media/image6.png"/><Relationship Id="rId36" Type="http://schemas.openxmlformats.org/officeDocument/2006/relationships/hyperlink" Target="mailto:ihs-support@henryscheinone.com" TargetMode="External"/><Relationship Id="rId57" Type="http://schemas.openxmlformats.org/officeDocument/2006/relationships/image" Target="media/image26.png"/><Relationship Id="rId106" Type="http://schemas.openxmlformats.org/officeDocument/2006/relationships/hyperlink" Target="https://dexis.com/en-us/remote-assistance" TargetMode="External"/><Relationship Id="rId127"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1.png"/><Relationship Id="rId73" Type="http://schemas.openxmlformats.org/officeDocument/2006/relationships/image" Target="media/image38.png"/><Relationship Id="rId78" Type="http://schemas.openxmlformats.org/officeDocument/2006/relationships/image" Target="media/image1.png"/><Relationship Id="rId94" Type="http://schemas.openxmlformats.org/officeDocument/2006/relationships/hyperlink" Target="https://hsps.pro/DentrixEnterprise/Help_11.0.44/index.htm" TargetMode="External"/><Relationship Id="rId99" Type="http://schemas.openxmlformats.org/officeDocument/2006/relationships/hyperlink" Target="https://hsps.pro/DentrixEnterprise/ReleaseNotes/index.htm" TargetMode="External"/><Relationship Id="rId101" Type="http://schemas.openxmlformats.org/officeDocument/2006/relationships/hyperlink" Target="http://cdecourse.info/wp-content/uploads/2023/07/IHS-Updates-Meeting_Enhancements-List.pdf" TargetMode="External"/><Relationship Id="rId12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d192d63-95f1-43a6-aef5-a84e384cfe68">
      <UserInfo>
        <DisplayName>Jessica Napiza</DisplayName>
        <AccountId>779</AccountId>
        <AccountType/>
      </UserInfo>
      <UserInfo>
        <DisplayName>Patrick Merriman</DisplayName>
        <AccountId>780</AccountId>
        <AccountType/>
      </UserInfo>
    </SharedWithUsers>
    <lcf76f155ced4ddcb4097134ff3c332f xmlns="825454aa-ee48-42cf-b35b-7a95851f7d8f">
      <Terms xmlns="http://schemas.microsoft.com/office/infopath/2007/PartnerControls"/>
    </lcf76f155ced4ddcb4097134ff3c332f>
    <TaxCatchAll xmlns="1d192d63-95f1-43a6-aef5-a84e384cfe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70F28267725349B5C956B3397D50D4" ma:contentTypeVersion="16" ma:contentTypeDescription="Create a new document." ma:contentTypeScope="" ma:versionID="c3e9d0226d29a3b9922f310ce2b5fd1f">
  <xsd:schema xmlns:xsd="http://www.w3.org/2001/XMLSchema" xmlns:xs="http://www.w3.org/2001/XMLSchema" xmlns:p="http://schemas.microsoft.com/office/2006/metadata/properties" xmlns:ns2="825454aa-ee48-42cf-b35b-7a95851f7d8f" xmlns:ns3="1d192d63-95f1-43a6-aef5-a84e384cfe68" targetNamespace="http://schemas.microsoft.com/office/2006/metadata/properties" ma:root="true" ma:fieldsID="69d84f3ca398977d635d126a8811747a" ns2:_="" ns3:_="">
    <xsd:import namespace="825454aa-ee48-42cf-b35b-7a95851f7d8f"/>
    <xsd:import namespace="1d192d63-95f1-43a6-aef5-a84e384cfe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454aa-ee48-42cf-b35b-7a95851f7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7168b86-c2f0-474a-9c97-e1d8395994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92d63-95f1-43a6-aef5-a84e384cfe6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b38e8fa-d4de-4cd8-8132-b281f0fb946e}" ma:internalName="TaxCatchAll" ma:showField="CatchAllData" ma:web="1d192d63-95f1-43a6-aef5-a84e384cfe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8527B-0B00-4869-B4F9-87C1D56D7A28}">
  <ds:schemaRefs>
    <ds:schemaRef ds:uri="http://schemas.openxmlformats.org/officeDocument/2006/bibliography"/>
  </ds:schemaRefs>
</ds:datastoreItem>
</file>

<file path=customXml/itemProps2.xml><?xml version="1.0" encoding="utf-8"?>
<ds:datastoreItem xmlns:ds="http://schemas.openxmlformats.org/officeDocument/2006/customXml" ds:itemID="{0368921C-DA66-4DD7-AA52-CE6E6F9774CB}">
  <ds:schemaRefs>
    <ds:schemaRef ds:uri="http://schemas.microsoft.com/office/2006/metadata/properties"/>
    <ds:schemaRef ds:uri="http://schemas.microsoft.com/office/infopath/2007/PartnerControls"/>
    <ds:schemaRef ds:uri="1d192d63-95f1-43a6-aef5-a84e384cfe68"/>
    <ds:schemaRef ds:uri="825454aa-ee48-42cf-b35b-7a95851f7d8f"/>
  </ds:schemaRefs>
</ds:datastoreItem>
</file>

<file path=customXml/itemProps3.xml><?xml version="1.0" encoding="utf-8"?>
<ds:datastoreItem xmlns:ds="http://schemas.openxmlformats.org/officeDocument/2006/customXml" ds:itemID="{5D428C95-022A-420B-A9D9-BF206D881F04}">
  <ds:schemaRefs>
    <ds:schemaRef ds:uri="http://schemas.microsoft.com/sharepoint/v3/contenttype/forms"/>
  </ds:schemaRefs>
</ds:datastoreItem>
</file>

<file path=customXml/itemProps4.xml><?xml version="1.0" encoding="utf-8"?>
<ds:datastoreItem xmlns:ds="http://schemas.openxmlformats.org/officeDocument/2006/customXml" ds:itemID="{E70A51AC-FFCF-42F9-B14D-05D5385BD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454aa-ee48-42cf-b35b-7a95851f7d8f"/>
    <ds:schemaRef ds:uri="1d192d63-95f1-43a6-aef5-a84e384cf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7665</TotalTime>
  <Pages>189</Pages>
  <Words>67880</Words>
  <Characters>386916</Characters>
  <Application>Microsoft Office Word</Application>
  <DocSecurity>0</DocSecurity>
  <Lines>3224</Lines>
  <Paragraphs>907</Paragraphs>
  <ScaleCrop>false</ScaleCrop>
  <HeadingPairs>
    <vt:vector size="2" baseType="variant">
      <vt:variant>
        <vt:lpstr>Title</vt:lpstr>
      </vt:variant>
      <vt:variant>
        <vt:i4>1</vt:i4>
      </vt:variant>
    </vt:vector>
  </HeadingPairs>
  <TitlesOfParts>
    <vt:vector size="1" baseType="lpstr">
      <vt:lpstr>IHS Dental Clinic Manager's Handbook</vt:lpstr>
    </vt:vector>
  </TitlesOfParts>
  <Company/>
  <LinksUpToDate>false</LinksUpToDate>
  <CharactersWithSpaces>453889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IHS Dental Clinic Manager's Handbook</dc:title>
  <dc:subject/>
  <dc:creator>Winn, Gentry</dc:creator>
  <cp:keywords/>
  <dc:description/>
  <cp:lastModifiedBy>Gentry Winn</cp:lastModifiedBy>
  <cp:revision>69</cp:revision>
  <cp:lastPrinted>2024-05-17T16:32:00Z</cp:lastPrinted>
  <dcterms:created xsi:type="dcterms:W3CDTF">2024-03-15T21:00:00Z</dcterms:created>
  <dcterms:modified xsi:type="dcterms:W3CDTF">2024-05-17T16:32:00Z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0x010100EF70F28267725349B5C956B3397D50D4</vt:lpwstr>
  </property>
  <property fmtid="{D5CDD505-2E9C-101B-9397-08002B2CF9AE}" pid="3" name="MediaServiceImageTags">
    <vt:lpwstr/>
  </property>
  <property fmtid="{D5CDD505-2E9C-101B-9397-08002B2CF9AE}" pid="4" name="GrammarlyDocumentId">
    <vt:lpwstr>cb252e0eaa29cbb36f123c007f59c0117f863e0e8e31143dda2a4713c524d3af</vt:lpwstr>
  </property>
</Properties>
</file>